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احکام الاطفال و ادلتها مقارنه تفصیلیه بین مذهب الامامیه و المذاهب الاخری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30397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530399_7370918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530401_73709187">
            <w:r>
              <w:rPr>
                <w:webHidden/>
                <w:rStyle w:val="IndexLink"/>
                <w:rtl w:val="true"/>
              </w:rPr>
              <w:t>شکر و ثناء</w:t>
            </w:r>
            <w:r>
              <w:rPr>
                <w:rStyle w:val="IndexLink"/>
                <w:rtl w:val="true"/>
              </w:rPr>
              <w:tab/>
            </w:r>
            <w:r>
              <w:rPr>
                <w:rStyle w:val="IndexLink"/>
              </w:rPr>
              <w:t>18</w:t>
            </w:r>
          </w:hyperlink>
        </w:p>
        <w:p>
          <w:pPr>
            <w:pStyle w:val="Contents2"/>
            <w:tabs>
              <w:tab w:val="clear" w:pos="8743"/>
              <w:tab w:val="right" w:pos="9026" w:leader="dot"/>
            </w:tabs>
            <w:rPr/>
          </w:pPr>
          <w:hyperlink w:anchor="__RefHeading___Toc9530403_73709187">
            <w:r>
              <w:rPr>
                <w:webHidden/>
                <w:rStyle w:val="IndexLink"/>
                <w:rtl w:val="true"/>
              </w:rPr>
              <w:t>الباب السادس</w:t>
            </w:r>
            <w:r>
              <w:rPr>
                <w:rStyle w:val="IndexLink"/>
                <w:rtl w:val="true"/>
              </w:rPr>
              <w:t xml:space="preserve">: </w:t>
            </w:r>
            <w:r>
              <w:rPr>
                <w:rStyle w:val="IndexLink"/>
                <w:rtl w:val="true"/>
              </w:rPr>
              <w:t>تعیین نسب الأطفال و أحکام اللقیط</w:t>
            </w:r>
            <w:r>
              <w:rPr>
                <w:rStyle w:val="IndexLink"/>
                <w:rtl w:val="true"/>
              </w:rPr>
              <w:tab/>
            </w:r>
            <w:r>
              <w:rPr>
                <w:rStyle w:val="IndexLink"/>
              </w:rPr>
              <w:t>20</w:t>
            </w:r>
          </w:hyperlink>
        </w:p>
        <w:p>
          <w:pPr>
            <w:pStyle w:val="Contents3"/>
            <w:tabs>
              <w:tab w:val="clear" w:pos="8459"/>
              <w:tab w:val="right" w:pos="9026" w:leader="dot"/>
            </w:tabs>
            <w:rPr/>
          </w:pPr>
          <w:hyperlink w:anchor="__RefHeading___Toc9530405_7370918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530407_73709187">
            <w:r>
              <w:rPr>
                <w:webHidden/>
                <w:rStyle w:val="IndexLink"/>
                <w:rtl w:val="true"/>
              </w:rPr>
              <w:t>الفصل الأوّل</w:t>
            </w:r>
            <w:r>
              <w:rPr>
                <w:rStyle w:val="IndexLink"/>
                <w:rtl w:val="true"/>
              </w:rPr>
              <w:t xml:space="preserve">: </w:t>
            </w:r>
            <w:r>
              <w:rPr>
                <w:rStyle w:val="IndexLink"/>
                <w:rtl w:val="true"/>
              </w:rPr>
              <w:t>ثَبْتُ نَسَبِ الطفل</w:t>
            </w:r>
            <w:r>
              <w:rPr>
                <w:rStyle w:val="IndexLink"/>
                <w:rtl w:val="true"/>
              </w:rPr>
              <w:tab/>
            </w:r>
            <w:r>
              <w:rPr>
                <w:rStyle w:val="IndexLink"/>
              </w:rPr>
              <w:t>21</w:t>
            </w:r>
          </w:hyperlink>
        </w:p>
        <w:p>
          <w:pPr>
            <w:pStyle w:val="Contents4"/>
            <w:tabs>
              <w:tab w:val="clear" w:pos="8176"/>
              <w:tab w:val="right" w:pos="9026" w:leader="dot"/>
            </w:tabs>
            <w:rPr/>
          </w:pPr>
          <w:hyperlink w:anchor="__RefHeading___Toc9530409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9530411_73709187">
            <w:r>
              <w:rPr>
                <w:webHidden/>
                <w:rStyle w:val="IndexLink"/>
                <w:rtl w:val="true"/>
              </w:rPr>
              <w:t>أدلّة لزوم تسجیل الولادة</w:t>
            </w:r>
            <w:r>
              <w:rPr>
                <w:rStyle w:val="IndexLink"/>
                <w:rtl w:val="true"/>
              </w:rPr>
              <w:tab/>
            </w:r>
            <w:r>
              <w:rPr>
                <w:rStyle w:val="IndexLink"/>
              </w:rPr>
              <w:t>24</w:t>
            </w:r>
          </w:hyperlink>
        </w:p>
        <w:p>
          <w:pPr>
            <w:pStyle w:val="Contents5"/>
            <w:tabs>
              <w:tab w:val="clear" w:pos="7892"/>
              <w:tab w:val="right" w:pos="9026" w:leader="dot"/>
            </w:tabs>
            <w:rPr/>
          </w:pPr>
          <w:hyperlink w:anchor="__RefHeading___Toc9530413_7370918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9530415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w:t>
              <w:tab/>
            </w:r>
            <w:r>
              <w:rPr>
                <w:rStyle w:val="IndexLink"/>
              </w:rPr>
              <w:t>24</w:t>
            </w:r>
          </w:hyperlink>
        </w:p>
        <w:p>
          <w:pPr>
            <w:pStyle w:val="Contents5"/>
            <w:tabs>
              <w:tab w:val="clear" w:pos="7892"/>
              <w:tab w:val="right" w:pos="9026" w:leader="dot"/>
            </w:tabs>
            <w:rPr/>
          </w:pPr>
          <w:hyperlink w:anchor="__RefHeading___Toc9530417_73709187">
            <w:r>
              <w:rPr>
                <w:webHidden/>
                <w:rStyle w:val="IndexLink"/>
                <w:rtl w:val="true"/>
              </w:rPr>
              <w:t>الثانی</w:t>
            </w:r>
            <w:r>
              <w:rPr>
                <w:rStyle w:val="IndexLink"/>
                <w:rtl w:val="true"/>
              </w:rPr>
              <w:t xml:space="preserve">: </w:t>
            </w:r>
            <w:r>
              <w:rPr>
                <w:rStyle w:val="IndexLink"/>
                <w:rtl w:val="true"/>
              </w:rPr>
              <w:t>النصوص</w:t>
            </w:r>
            <w:r>
              <w:rPr>
                <w:rStyle w:val="IndexLink"/>
                <w:rtl w:val="true"/>
              </w:rPr>
              <w:t>:</w:t>
              <w:tab/>
            </w:r>
            <w:r>
              <w:rPr>
                <w:rStyle w:val="IndexLink"/>
              </w:rPr>
              <w:t>29</w:t>
            </w:r>
          </w:hyperlink>
        </w:p>
        <w:p>
          <w:pPr>
            <w:pStyle w:val="Contents3"/>
            <w:tabs>
              <w:tab w:val="clear" w:pos="8459"/>
              <w:tab w:val="right" w:pos="9026" w:leader="dot"/>
            </w:tabs>
            <w:rPr/>
          </w:pPr>
          <w:hyperlink w:anchor="__RefHeading___Toc9530419_73709187">
            <w:r>
              <w:rPr>
                <w:webHidden/>
                <w:rStyle w:val="IndexLink"/>
                <w:rtl w:val="true"/>
              </w:rPr>
              <w:t>الفصل الثانی</w:t>
            </w:r>
            <w:r>
              <w:rPr>
                <w:rStyle w:val="IndexLink"/>
                <w:rtl w:val="true"/>
              </w:rPr>
              <w:t xml:space="preserve">: </w:t>
            </w:r>
            <w:r>
              <w:rPr>
                <w:rStyle w:val="IndexLink"/>
                <w:rtl w:val="true"/>
              </w:rPr>
              <w:t>إلحاق الولد بوالدیه و فیه مباحث</w:t>
            </w:r>
            <w:r>
              <w:rPr>
                <w:rStyle w:val="IndexLink"/>
                <w:rtl w:val="true"/>
              </w:rPr>
              <w:tab/>
            </w:r>
            <w:r>
              <w:rPr>
                <w:rStyle w:val="IndexLink"/>
              </w:rPr>
              <w:t>31</w:t>
            </w:r>
          </w:hyperlink>
        </w:p>
        <w:p>
          <w:pPr>
            <w:pStyle w:val="Contents4"/>
            <w:tabs>
              <w:tab w:val="clear" w:pos="8176"/>
              <w:tab w:val="right" w:pos="9026" w:leader="dot"/>
            </w:tabs>
            <w:rPr/>
          </w:pPr>
          <w:hyperlink w:anchor="__RefHeading___Toc9530421_73709187">
            <w:r>
              <w:rPr>
                <w:webHidden/>
                <w:rStyle w:val="IndexLink"/>
                <w:rtl w:val="true"/>
              </w:rPr>
              <w:t>المبحث الأوّل</w:t>
            </w:r>
            <w:r>
              <w:rPr>
                <w:rStyle w:val="IndexLink"/>
                <w:rtl w:val="true"/>
              </w:rPr>
              <w:t xml:space="preserve">: </w:t>
            </w:r>
            <w:r>
              <w:rPr>
                <w:rStyle w:val="IndexLink"/>
                <w:rtl w:val="true"/>
              </w:rPr>
              <w:t xml:space="preserve">معنی قاعدة </w:t>
            </w:r>
            <w:r>
              <w:rPr>
                <w:rStyle w:val="IndexLink"/>
                <w:rtl w:val="true"/>
              </w:rPr>
              <w:t>«</w:t>
            </w:r>
            <w:r>
              <w:rPr>
                <w:rStyle w:val="IndexLink"/>
                <w:rtl w:val="true"/>
              </w:rPr>
              <w:t>الولد للفراش</w:t>
            </w:r>
            <w:r>
              <w:rPr>
                <w:rStyle w:val="IndexLink"/>
                <w:rtl w:val="true"/>
              </w:rPr>
              <w:t xml:space="preserve">» </w:t>
            </w:r>
            <w:r>
              <w:rPr>
                <w:rStyle w:val="IndexLink"/>
                <w:rtl w:val="true"/>
              </w:rPr>
              <w:t>و دلیلها</w:t>
            </w:r>
            <w:r>
              <w:rPr>
                <w:rStyle w:val="IndexLink"/>
                <w:rtl w:val="true"/>
              </w:rPr>
              <w:tab/>
            </w:r>
            <w:r>
              <w:rPr>
                <w:rStyle w:val="IndexLink"/>
              </w:rPr>
              <w:t>31</w:t>
            </w:r>
          </w:hyperlink>
        </w:p>
        <w:p>
          <w:pPr>
            <w:pStyle w:val="Contents5"/>
            <w:tabs>
              <w:tab w:val="clear" w:pos="7892"/>
              <w:tab w:val="right" w:pos="9026" w:leader="dot"/>
            </w:tabs>
            <w:rPr/>
          </w:pPr>
          <w:hyperlink w:anchor="__RefHeading___Toc9530423_7370918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9530425_73709187">
            <w:r>
              <w:rPr>
                <w:webHidden/>
                <w:rStyle w:val="IndexLink"/>
                <w:rtl w:val="true"/>
              </w:rPr>
              <w:t xml:space="preserve">أ </w:t>
            </w:r>
            <w:r>
              <w:rPr>
                <w:rStyle w:val="IndexLink"/>
                <w:rtl w:val="true"/>
              </w:rPr>
              <w:t xml:space="preserve">- </w:t>
            </w:r>
            <w:r>
              <w:rPr>
                <w:rStyle w:val="IndexLink"/>
                <w:rtl w:val="true"/>
              </w:rPr>
              <w:t xml:space="preserve">معنی قاعدة </w:t>
            </w:r>
            <w:r>
              <w:rPr>
                <w:rStyle w:val="IndexLink"/>
                <w:rtl w:val="true"/>
              </w:rPr>
              <w:t>«</w:t>
            </w:r>
            <w:r>
              <w:rPr>
                <w:rStyle w:val="IndexLink"/>
                <w:rtl w:val="true"/>
              </w:rPr>
              <w:t>الولد للفراش</w:t>
            </w:r>
            <w:r>
              <w:rPr>
                <w:rStyle w:val="IndexLink"/>
                <w:rtl w:val="true"/>
              </w:rPr>
              <w:t xml:space="preserve">» </w:t>
            </w:r>
            <w:r>
              <w:rPr>
                <w:rStyle w:val="IndexLink"/>
                <w:rtl w:val="true"/>
              </w:rPr>
              <w:t>عند الفقهاء</w:t>
            </w:r>
            <w:r>
              <w:rPr>
                <w:rStyle w:val="IndexLink"/>
                <w:rtl w:val="true"/>
              </w:rPr>
              <w:tab/>
            </w:r>
            <w:r>
              <w:rPr>
                <w:rStyle w:val="IndexLink"/>
              </w:rPr>
              <w:t>32</w:t>
            </w:r>
          </w:hyperlink>
        </w:p>
        <w:p>
          <w:pPr>
            <w:pStyle w:val="Contents5"/>
            <w:tabs>
              <w:tab w:val="clear" w:pos="7892"/>
              <w:tab w:val="right" w:pos="9026" w:leader="dot"/>
            </w:tabs>
            <w:rPr/>
          </w:pPr>
          <w:hyperlink w:anchor="__RefHeading___Toc9530427_73709187">
            <w:r>
              <w:rPr>
                <w:webHidden/>
                <w:rStyle w:val="IndexLink"/>
                <w:rtl w:val="true"/>
              </w:rPr>
              <w:t>ب</w:t>
            </w:r>
            <w:r>
              <w:rPr>
                <w:rStyle w:val="IndexLink"/>
                <w:rtl w:val="true"/>
              </w:rPr>
              <w:t xml:space="preserve">: </w:t>
            </w:r>
            <w:r>
              <w:rPr>
                <w:rStyle w:val="IndexLink"/>
                <w:rtl w:val="true"/>
              </w:rPr>
              <w:t>وجوب إلحاق الولد بالزّوج</w:t>
            </w:r>
            <w:r>
              <w:rPr>
                <w:rStyle w:val="IndexLink"/>
                <w:rtl w:val="true"/>
              </w:rPr>
              <w:tab/>
            </w:r>
            <w:r>
              <w:rPr>
                <w:rStyle w:val="IndexLink"/>
              </w:rPr>
              <w:t>35</w:t>
            </w:r>
          </w:hyperlink>
        </w:p>
        <w:p>
          <w:pPr>
            <w:pStyle w:val="Contents5"/>
            <w:tabs>
              <w:tab w:val="clear" w:pos="7892"/>
              <w:tab w:val="right" w:pos="9026" w:leader="dot"/>
            </w:tabs>
            <w:rPr/>
          </w:pPr>
          <w:hyperlink w:anchor="__RefHeading___Toc9530429_73709187">
            <w:r>
              <w:rPr>
                <w:webHidden/>
                <w:rStyle w:val="IndexLink"/>
                <w:rtl w:val="true"/>
              </w:rPr>
              <w:t>ج</w:t>
            </w:r>
            <w:r>
              <w:rPr>
                <w:rStyle w:val="IndexLink"/>
                <w:rtl w:val="true"/>
              </w:rPr>
              <w:t xml:space="preserve">: </w:t>
            </w:r>
            <w:r>
              <w:rPr>
                <w:rStyle w:val="IndexLink"/>
                <w:rtl w:val="true"/>
              </w:rPr>
              <w:t xml:space="preserve">دلیل قاعدة </w:t>
            </w:r>
            <w:r>
              <w:rPr>
                <w:rStyle w:val="IndexLink"/>
                <w:rtl w:val="true"/>
              </w:rPr>
              <w:t>«</w:t>
            </w:r>
            <w:r>
              <w:rPr>
                <w:rStyle w:val="IndexLink"/>
                <w:rtl w:val="true"/>
              </w:rPr>
              <w:t>الولد للفراش</w:t>
            </w:r>
            <w:r>
              <w:rPr>
                <w:rStyle w:val="IndexLink"/>
                <w:rtl w:val="true"/>
              </w:rPr>
              <w:t>»</w:t>
              <w:tab/>
            </w:r>
            <w:r>
              <w:rPr>
                <w:rStyle w:val="IndexLink"/>
              </w:rPr>
              <w:t>36</w:t>
            </w:r>
          </w:hyperlink>
        </w:p>
        <w:p>
          <w:pPr>
            <w:pStyle w:val="Contents6"/>
            <w:tabs>
              <w:tab w:val="clear" w:pos="7609"/>
              <w:tab w:val="right" w:pos="9026" w:leader="dot"/>
            </w:tabs>
            <w:rPr/>
          </w:pPr>
          <w:hyperlink w:anchor="__RefHeading___Toc9530431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9530433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36</w:t>
            </w:r>
          </w:hyperlink>
        </w:p>
        <w:p>
          <w:pPr>
            <w:pStyle w:val="Contents6"/>
            <w:tabs>
              <w:tab w:val="clear" w:pos="7609"/>
              <w:tab w:val="right" w:pos="9026" w:leader="dot"/>
            </w:tabs>
            <w:rPr/>
          </w:pPr>
          <w:hyperlink w:anchor="__RefHeading___Toc9530435_73709187">
            <w:r>
              <w:rPr>
                <w:webHidden/>
                <w:rStyle w:val="IndexLink"/>
                <w:rtl w:val="true"/>
              </w:rPr>
              <w:t>الثانی</w:t>
            </w:r>
            <w:r>
              <w:rPr>
                <w:rStyle w:val="IndexLink"/>
                <w:rtl w:val="true"/>
              </w:rPr>
              <w:t xml:space="preserve">: - </w:t>
            </w:r>
            <w:r>
              <w:rPr>
                <w:rStyle w:val="IndexLink"/>
                <w:rtl w:val="true"/>
              </w:rPr>
              <w:t xml:space="preserve">و هو العمدة </w:t>
            </w:r>
            <w:r>
              <w:rPr>
                <w:rStyle w:val="IndexLink"/>
                <w:rtl w:val="true"/>
              </w:rPr>
              <w:t xml:space="preserve">- </w:t>
            </w:r>
            <w:r>
              <w:rPr>
                <w:rStyle w:val="IndexLink"/>
                <w:rtl w:val="true"/>
              </w:rPr>
              <w:t>الحدیث المشهور المعروف بین المسلمین عن النبیّ‌</w:t>
            </w:r>
            <w:r>
              <w:rPr>
                <w:rStyle w:val="IndexLink"/>
                <w:rtl w:val="true"/>
              </w:rPr>
              <w:tab/>
            </w:r>
            <w:r>
              <w:rPr>
                <w:rStyle w:val="IndexLink"/>
              </w:rPr>
              <w:t>36</w:t>
            </w:r>
          </w:hyperlink>
        </w:p>
        <w:p>
          <w:pPr>
            <w:pStyle w:val="Contents5"/>
            <w:tabs>
              <w:tab w:val="clear" w:pos="7892"/>
              <w:tab w:val="right" w:pos="9026" w:leader="dot"/>
            </w:tabs>
            <w:rPr/>
          </w:pPr>
          <w:hyperlink w:anchor="__RefHeading___Toc9530437_73709187">
            <w:r>
              <w:rPr>
                <w:webHidden/>
                <w:rStyle w:val="IndexLink"/>
                <w:rtl w:val="true"/>
              </w:rPr>
              <w:t>د</w:t>
            </w:r>
            <w:r>
              <w:rPr>
                <w:rStyle w:val="IndexLink"/>
                <w:rtl w:val="true"/>
              </w:rPr>
              <w:t xml:space="preserve">: </w:t>
            </w:r>
            <w:r>
              <w:rPr>
                <w:rStyle w:val="IndexLink"/>
                <w:rtl w:val="true"/>
              </w:rPr>
              <w:t>تعمیم موضوع الفراش</w:t>
            </w:r>
            <w:r>
              <w:rPr>
                <w:rStyle w:val="IndexLink"/>
                <w:rtl w:val="true"/>
              </w:rPr>
              <w:tab/>
            </w:r>
            <w:r>
              <w:rPr>
                <w:rStyle w:val="IndexLink"/>
              </w:rPr>
              <w:t>39</w:t>
            </w:r>
          </w:hyperlink>
        </w:p>
        <w:p>
          <w:pPr>
            <w:pStyle w:val="Contents4"/>
            <w:tabs>
              <w:tab w:val="clear" w:pos="8176"/>
              <w:tab w:val="right" w:pos="9026" w:leader="dot"/>
            </w:tabs>
            <w:rPr/>
          </w:pPr>
          <w:hyperlink w:anchor="__RefHeading___Toc9530439_73709187">
            <w:r>
              <w:rPr>
                <w:webHidden/>
                <w:rStyle w:val="IndexLink"/>
                <w:rtl w:val="true"/>
              </w:rPr>
              <w:t>المبحث الثانی</w:t>
            </w:r>
            <w:r>
              <w:rPr>
                <w:rStyle w:val="IndexLink"/>
                <w:rtl w:val="true"/>
              </w:rPr>
              <w:t xml:space="preserve">: </w:t>
            </w:r>
            <w:r>
              <w:rPr>
                <w:rStyle w:val="IndexLink"/>
                <w:rtl w:val="true"/>
              </w:rPr>
              <w:t>شرائط الإلحاق</w:t>
            </w:r>
            <w:r>
              <w:rPr>
                <w:rStyle w:val="IndexLink"/>
                <w:rtl w:val="true"/>
              </w:rPr>
              <w:tab/>
            </w:r>
            <w:r>
              <w:rPr>
                <w:rStyle w:val="IndexLink"/>
              </w:rPr>
              <w:t>42</w:t>
            </w:r>
          </w:hyperlink>
        </w:p>
        <w:p>
          <w:pPr>
            <w:pStyle w:val="Contents5"/>
            <w:tabs>
              <w:tab w:val="clear" w:pos="7892"/>
              <w:tab w:val="right" w:pos="9026" w:leader="dot"/>
            </w:tabs>
            <w:rPr/>
          </w:pPr>
          <w:hyperlink w:anchor="__RefHeading___Toc9530441_7370918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9530443_73709187">
            <w:r>
              <w:rPr>
                <w:webHidden/>
                <w:rStyle w:val="IndexLink"/>
                <w:rtl w:val="true"/>
              </w:rPr>
              <w:t>الشرط الأوّل</w:t>
            </w:r>
            <w:r>
              <w:rPr>
                <w:rStyle w:val="IndexLink"/>
                <w:rtl w:val="true"/>
              </w:rPr>
              <w:t xml:space="preserve">: </w:t>
            </w:r>
            <w:r>
              <w:rPr>
                <w:rStyle w:val="IndexLink"/>
                <w:rtl w:val="true"/>
              </w:rPr>
              <w:t>الدخول أو مثله</w:t>
            </w:r>
            <w:r>
              <w:rPr>
                <w:rStyle w:val="IndexLink"/>
                <w:rtl w:val="true"/>
              </w:rPr>
              <w:tab/>
            </w:r>
            <w:r>
              <w:rPr>
                <w:rStyle w:val="IndexLink"/>
              </w:rPr>
              <w:t>42</w:t>
            </w:r>
          </w:hyperlink>
        </w:p>
        <w:p>
          <w:pPr>
            <w:pStyle w:val="Contents6"/>
            <w:tabs>
              <w:tab w:val="clear" w:pos="7609"/>
              <w:tab w:val="right" w:pos="9026" w:leader="dot"/>
            </w:tabs>
            <w:rPr/>
          </w:pPr>
          <w:hyperlink w:anchor="__RefHeading___Toc9530445_7370918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9530447_73709187">
            <w:r>
              <w:rPr>
                <w:webHidden/>
                <w:rStyle w:val="IndexLink"/>
                <w:rtl w:val="true"/>
              </w:rPr>
              <w:t>أقوال</w:t>
            </w:r>
            <w:r>
              <w:rPr>
                <w:rStyle w:val="IndexLink"/>
                <w:rtl w:val="true"/>
              </w:rPr>
              <w:t>:</w:t>
              <w:tab/>
            </w:r>
            <w:r>
              <w:rPr>
                <w:rStyle w:val="IndexLink"/>
              </w:rPr>
              <w:t>42</w:t>
            </w:r>
          </w:hyperlink>
        </w:p>
        <w:p>
          <w:pPr>
            <w:pStyle w:val="Contents6"/>
            <w:tabs>
              <w:tab w:val="clear" w:pos="7609"/>
              <w:tab w:val="right" w:pos="9026" w:leader="dot"/>
            </w:tabs>
            <w:rPr/>
          </w:pPr>
          <w:hyperlink w:anchor="__RefHeading___Toc9530449_73709187">
            <w:r>
              <w:rPr>
                <w:webHidden/>
                <w:rStyle w:val="IndexLink"/>
                <w:rtl w:val="true"/>
              </w:rPr>
              <w:t>القول الأوّل</w:t>
            </w:r>
            <w:r>
              <w:rPr>
                <w:rStyle w:val="IndexLink"/>
                <w:rtl w:val="true"/>
              </w:rPr>
              <w:t xml:space="preserve">: </w:t>
            </w:r>
            <w:r>
              <w:rPr>
                <w:rStyle w:val="IndexLink"/>
                <w:rtl w:val="true"/>
              </w:rPr>
              <w:t>أنّه یشترط فی إلحاق الولد بالزوج الدخول بالزوجة</w:t>
            </w:r>
            <w:r>
              <w:rPr>
                <w:rStyle w:val="IndexLink"/>
                <w:rtl w:val="true"/>
              </w:rPr>
              <w:tab/>
            </w:r>
            <w:r>
              <w:rPr>
                <w:rStyle w:val="IndexLink"/>
              </w:rPr>
              <w:t>42</w:t>
            </w:r>
          </w:hyperlink>
        </w:p>
        <w:p>
          <w:pPr>
            <w:pStyle w:val="Contents6"/>
            <w:tabs>
              <w:tab w:val="clear" w:pos="7609"/>
              <w:tab w:val="right" w:pos="9026" w:leader="dot"/>
            </w:tabs>
            <w:rPr/>
          </w:pPr>
          <w:hyperlink w:anchor="__RefHeading___Toc9530451_73709187">
            <w:r>
              <w:rPr>
                <w:webHidden/>
                <w:rStyle w:val="IndexLink"/>
                <w:rtl w:val="true"/>
              </w:rPr>
              <w:t>أدلّة اشتراط الدخول فی اللحوق</w:t>
            </w:r>
            <w:r>
              <w:rPr>
                <w:rStyle w:val="IndexLink"/>
                <w:rtl w:val="true"/>
              </w:rPr>
              <w:tab/>
            </w:r>
            <w:r>
              <w:rPr>
                <w:rStyle w:val="IndexLink"/>
              </w:rPr>
              <w:t>43</w:t>
            </w:r>
          </w:hyperlink>
        </w:p>
        <w:p>
          <w:pPr>
            <w:pStyle w:val="Contents6"/>
            <w:tabs>
              <w:tab w:val="clear" w:pos="7609"/>
              <w:tab w:val="right" w:pos="9026" w:leader="dot"/>
            </w:tabs>
            <w:rPr/>
          </w:pPr>
          <w:hyperlink w:anchor="__RefHeading___Toc9530453_73709187">
            <w:r>
              <w:rPr>
                <w:webHidden/>
                <w:rStyle w:val="IndexLink"/>
                <w:rtl w:val="true"/>
              </w:rPr>
              <w:t>الأوّل</w:t>
            </w:r>
            <w:r>
              <w:rPr>
                <w:rStyle w:val="IndexLink"/>
                <w:rtl w:val="true"/>
              </w:rPr>
              <w:t xml:space="preserve">: </w:t>
            </w:r>
            <w:r>
              <w:rPr>
                <w:rStyle w:val="IndexLink"/>
                <w:rtl w:val="true"/>
              </w:rPr>
              <w:t>الإجماع، کما هو ظاهر کلام بعضهم</w:t>
            </w:r>
            <w:r>
              <w:rPr>
                <w:rStyle w:val="IndexLink"/>
                <w:rtl w:val="true"/>
              </w:rPr>
              <w:tab/>
            </w:r>
            <w:r>
              <w:rPr>
                <w:rStyle w:val="IndexLink"/>
              </w:rPr>
              <w:t>43</w:t>
            </w:r>
          </w:hyperlink>
        </w:p>
        <w:p>
          <w:pPr>
            <w:pStyle w:val="Contents6"/>
            <w:tabs>
              <w:tab w:val="clear" w:pos="7609"/>
              <w:tab w:val="right" w:pos="9026" w:leader="dot"/>
            </w:tabs>
            <w:rPr/>
          </w:pPr>
          <w:hyperlink w:anchor="__RefHeading___Toc9530455_73709187">
            <w:r>
              <w:rPr>
                <w:webHidden/>
                <w:rStyle w:val="IndexLink"/>
                <w:rtl w:val="true"/>
              </w:rPr>
              <w:t>الثانی</w:t>
            </w:r>
            <w:r>
              <w:rPr>
                <w:rStyle w:val="IndexLink"/>
                <w:rtl w:val="true"/>
              </w:rPr>
              <w:t xml:space="preserve">: </w:t>
            </w:r>
            <w:r>
              <w:rPr>
                <w:rStyle w:val="IndexLink"/>
                <w:rtl w:val="true"/>
              </w:rPr>
              <w:t>أنّه اعتبر الشارع الدخول حفظاً لنظام التناسل و التوالد</w:t>
            </w:r>
            <w:r>
              <w:rPr>
                <w:rStyle w:val="IndexLink"/>
                <w:rtl w:val="true"/>
              </w:rPr>
              <w:tab/>
            </w:r>
            <w:r>
              <w:rPr>
                <w:rStyle w:val="IndexLink"/>
              </w:rPr>
              <w:t>44</w:t>
            </w:r>
          </w:hyperlink>
        </w:p>
        <w:p>
          <w:pPr>
            <w:pStyle w:val="Contents6"/>
            <w:tabs>
              <w:tab w:val="clear" w:pos="7609"/>
              <w:tab w:val="right" w:pos="9026" w:leader="dot"/>
            </w:tabs>
            <w:rPr/>
          </w:pPr>
          <w:hyperlink w:anchor="__RefHeading___Toc9530457_73709187">
            <w:r>
              <w:rPr>
                <w:webHidden/>
                <w:rStyle w:val="IndexLink"/>
                <w:rtl w:val="true"/>
              </w:rPr>
              <w:t>الثالث</w:t>
            </w:r>
            <w:r>
              <w:rPr>
                <w:rStyle w:val="IndexLink"/>
                <w:rtl w:val="true"/>
              </w:rPr>
              <w:t xml:space="preserve">: </w:t>
            </w:r>
            <w:r>
              <w:rPr>
                <w:rStyle w:val="IndexLink"/>
                <w:rtl w:val="true"/>
              </w:rPr>
              <w:t>لا منیّ للمرأة بدون الدخول</w:t>
            </w:r>
            <w:r>
              <w:rPr>
                <w:rStyle w:val="IndexLink"/>
                <w:rtl w:val="true"/>
              </w:rPr>
              <w:tab/>
            </w:r>
            <w:r>
              <w:rPr>
                <w:rStyle w:val="IndexLink"/>
              </w:rPr>
              <w:t>45</w:t>
            </w:r>
          </w:hyperlink>
        </w:p>
        <w:p>
          <w:pPr>
            <w:pStyle w:val="Contents6"/>
            <w:tabs>
              <w:tab w:val="clear" w:pos="7609"/>
              <w:tab w:val="right" w:pos="9026" w:leader="dot"/>
            </w:tabs>
            <w:rPr/>
          </w:pPr>
          <w:hyperlink w:anchor="__RefHeading___Toc9530459_73709187">
            <w:r>
              <w:rPr>
                <w:webHidden/>
                <w:rStyle w:val="IndexLink"/>
                <w:rtl w:val="true"/>
              </w:rPr>
              <w:t>الرابع</w:t>
            </w:r>
            <w:r>
              <w:rPr>
                <w:rStyle w:val="IndexLink"/>
                <w:rtl w:val="true"/>
              </w:rPr>
              <w:t xml:space="preserve">: </w:t>
            </w:r>
            <w:r>
              <w:rPr>
                <w:rStyle w:val="IndexLink"/>
                <w:rtl w:val="true"/>
              </w:rPr>
              <w:t>ما ذکره فی الجواهر من أنّه یمکن التولّد من الرجل بالدخول و إن لم ینزل</w:t>
            </w:r>
            <w:r>
              <w:rPr>
                <w:rStyle w:val="IndexLink"/>
                <w:rtl w:val="true"/>
              </w:rPr>
              <w:tab/>
            </w:r>
            <w:r>
              <w:rPr>
                <w:rStyle w:val="IndexLink"/>
              </w:rPr>
              <w:t>45</w:t>
            </w:r>
          </w:hyperlink>
        </w:p>
        <w:p>
          <w:pPr>
            <w:pStyle w:val="Contents6"/>
            <w:tabs>
              <w:tab w:val="clear" w:pos="7609"/>
              <w:tab w:val="right" w:pos="9026" w:leader="dot"/>
            </w:tabs>
            <w:rPr/>
          </w:pPr>
          <w:hyperlink w:anchor="__RefHeading___Toc9530461_73709187">
            <w:r>
              <w:rPr>
                <w:webHidden/>
                <w:rStyle w:val="IndexLink"/>
                <w:rtl w:val="true"/>
              </w:rPr>
              <w:t>الخامس</w:t>
            </w:r>
            <w:r>
              <w:rPr>
                <w:rStyle w:val="IndexLink"/>
                <w:rtl w:val="true"/>
              </w:rPr>
              <w:t xml:space="preserve">: </w:t>
            </w:r>
            <w:r>
              <w:rPr>
                <w:rStyle w:val="IndexLink"/>
                <w:rtl w:val="true"/>
              </w:rPr>
              <w:t>النصوص</w:t>
            </w:r>
            <w:r>
              <w:rPr>
                <w:rStyle w:val="IndexLink"/>
                <w:rtl w:val="true"/>
              </w:rPr>
              <w:tab/>
            </w:r>
            <w:r>
              <w:rPr>
                <w:rStyle w:val="IndexLink"/>
              </w:rPr>
              <w:t>46</w:t>
            </w:r>
          </w:hyperlink>
        </w:p>
        <w:p>
          <w:pPr>
            <w:pStyle w:val="Contents6"/>
            <w:tabs>
              <w:tab w:val="clear" w:pos="7609"/>
              <w:tab w:val="right" w:pos="9026" w:leader="dot"/>
            </w:tabs>
            <w:rPr/>
          </w:pPr>
          <w:hyperlink w:anchor="__RefHeading___Toc9530463_73709187">
            <w:r>
              <w:rPr>
                <w:webHidden/>
                <w:rStyle w:val="IndexLink"/>
                <w:rtl w:val="true"/>
              </w:rPr>
              <w:t>أمّا القسم الأوّل</w:t>
            </w:r>
            <w:r>
              <w:rPr>
                <w:rStyle w:val="IndexLink"/>
                <w:rtl w:val="true"/>
              </w:rPr>
              <w:t xml:space="preserve">: </w:t>
            </w:r>
            <w:r>
              <w:rPr>
                <w:rStyle w:val="IndexLink"/>
                <w:rtl w:val="true"/>
              </w:rPr>
              <w:t>فمنها</w:t>
            </w:r>
            <w:r>
              <w:rPr>
                <w:rStyle w:val="IndexLink"/>
                <w:rtl w:val="true"/>
              </w:rPr>
              <w:t>:</w:t>
              <w:tab/>
            </w:r>
            <w:r>
              <w:rPr>
                <w:rStyle w:val="IndexLink"/>
              </w:rPr>
              <w:t>46</w:t>
            </w:r>
          </w:hyperlink>
        </w:p>
        <w:p>
          <w:pPr>
            <w:pStyle w:val="Contents6"/>
            <w:tabs>
              <w:tab w:val="clear" w:pos="7609"/>
              <w:tab w:val="right" w:pos="9026" w:leader="dot"/>
            </w:tabs>
            <w:rPr/>
          </w:pPr>
          <w:hyperlink w:anchor="__RefHeading___Toc9530465_73709187">
            <w:r>
              <w:rPr>
                <w:webHidden/>
                <w:rStyle w:val="IndexLink"/>
                <w:rtl w:val="true"/>
              </w:rPr>
              <w:t>و أمّا القسم الثانی</w:t>
            </w:r>
            <w:r>
              <w:rPr>
                <w:rStyle w:val="IndexLink"/>
                <w:rtl w:val="true"/>
              </w:rPr>
              <w:t>:</w:t>
              <w:tab/>
            </w:r>
            <w:r>
              <w:rPr>
                <w:rStyle w:val="IndexLink"/>
              </w:rPr>
              <w:t>46</w:t>
            </w:r>
          </w:hyperlink>
        </w:p>
        <w:p>
          <w:pPr>
            <w:pStyle w:val="Contents6"/>
            <w:tabs>
              <w:tab w:val="clear" w:pos="7609"/>
              <w:tab w:val="right" w:pos="9026" w:leader="dot"/>
            </w:tabs>
            <w:rPr/>
          </w:pPr>
          <w:hyperlink w:anchor="__RefHeading___Toc9530467_73709187">
            <w:r>
              <w:rPr>
                <w:webHidden/>
                <w:rStyle w:val="IndexLink"/>
                <w:rtl w:val="true"/>
              </w:rPr>
              <w:t>السادس</w:t>
            </w:r>
            <w:r>
              <w:rPr>
                <w:rStyle w:val="IndexLink"/>
                <w:rtl w:val="true"/>
              </w:rPr>
              <w:t xml:space="preserve">: </w:t>
            </w:r>
            <w:r>
              <w:rPr>
                <w:rStyle w:val="IndexLink"/>
                <w:rtl w:val="true"/>
              </w:rPr>
              <w:t>عموم قوله صلی الله علیه و آله</w:t>
            </w:r>
            <w:r>
              <w:rPr>
                <w:rStyle w:val="IndexLink"/>
                <w:rtl w:val="true"/>
              </w:rPr>
              <w:t>: «</w:t>
            </w:r>
            <w:r>
              <w:rPr>
                <w:rStyle w:val="IndexLink"/>
                <w:rtl w:val="true"/>
              </w:rPr>
              <w:t>الولد للفراش</w:t>
            </w:r>
            <w:r>
              <w:rPr>
                <w:rStyle w:val="IndexLink"/>
                <w:rtl w:val="true"/>
              </w:rPr>
              <w:t>»</w:t>
              <w:tab/>
            </w:r>
            <w:r>
              <w:rPr>
                <w:rStyle w:val="IndexLink"/>
              </w:rPr>
              <w:t>48</w:t>
            </w:r>
          </w:hyperlink>
        </w:p>
        <w:p>
          <w:pPr>
            <w:pStyle w:val="Contents6"/>
            <w:tabs>
              <w:tab w:val="clear" w:pos="7609"/>
              <w:tab w:val="right" w:pos="9026" w:leader="dot"/>
            </w:tabs>
            <w:rPr/>
          </w:pPr>
          <w:hyperlink w:anchor="__RefHeading___Toc9530469_73709187">
            <w:r>
              <w:rPr>
                <w:webHidden/>
                <w:rStyle w:val="IndexLink"/>
                <w:rtl w:val="true"/>
              </w:rPr>
              <w:t>القول الثانی إمکان الوط‌ء</w:t>
            </w:r>
            <w:r>
              <w:rPr>
                <w:rStyle w:val="IndexLink"/>
                <w:rtl w:val="true"/>
              </w:rPr>
              <w:tab/>
            </w:r>
            <w:r>
              <w:rPr>
                <w:rStyle w:val="IndexLink"/>
              </w:rPr>
              <w:t>48</w:t>
            </w:r>
          </w:hyperlink>
        </w:p>
        <w:p>
          <w:pPr>
            <w:pStyle w:val="Contents6"/>
            <w:tabs>
              <w:tab w:val="clear" w:pos="7609"/>
              <w:tab w:val="right" w:pos="9026" w:leader="dot"/>
            </w:tabs>
            <w:rPr/>
          </w:pPr>
          <w:hyperlink w:anchor="__RefHeading___Toc9530471_73709187">
            <w:r>
              <w:rPr>
                <w:webHidden/>
                <w:rStyle w:val="IndexLink"/>
                <w:rtl w:val="true"/>
              </w:rPr>
              <w:t>القول الثالث الإنزال هو الشرط فی الإلحاق</w:t>
            </w:r>
            <w:r>
              <w:rPr>
                <w:rStyle w:val="IndexLink"/>
                <w:rtl w:val="true"/>
              </w:rPr>
              <w:tab/>
            </w:r>
            <w:r>
              <w:rPr>
                <w:rStyle w:val="IndexLink"/>
              </w:rPr>
              <w:t>49</w:t>
            </w:r>
          </w:hyperlink>
        </w:p>
        <w:p>
          <w:pPr>
            <w:pStyle w:val="Contents6"/>
            <w:tabs>
              <w:tab w:val="clear" w:pos="7609"/>
              <w:tab w:val="right" w:pos="9026" w:leader="dot"/>
            </w:tabs>
            <w:rPr/>
          </w:pPr>
          <w:hyperlink w:anchor="__RefHeading___Toc9530473_73709187">
            <w:r>
              <w:rPr>
                <w:webHidden/>
                <w:rStyle w:val="IndexLink"/>
                <w:rtl w:val="true"/>
              </w:rPr>
              <w:t>أدلّة اللحوق مع الإنزال</w:t>
            </w:r>
            <w:r>
              <w:rPr>
                <w:rStyle w:val="IndexLink"/>
                <w:rtl w:val="true"/>
              </w:rPr>
              <w:tab/>
            </w:r>
            <w:r>
              <w:rPr>
                <w:rStyle w:val="IndexLink"/>
              </w:rPr>
              <w:t>51</w:t>
            </w:r>
          </w:hyperlink>
        </w:p>
        <w:p>
          <w:pPr>
            <w:pStyle w:val="Contents6"/>
            <w:tabs>
              <w:tab w:val="clear" w:pos="7609"/>
              <w:tab w:val="right" w:pos="9026" w:leader="dot"/>
            </w:tabs>
            <w:rPr/>
          </w:pPr>
          <w:hyperlink w:anchor="__RefHeading___Toc9530475_73709187">
            <w:r>
              <w:rPr>
                <w:webHidden/>
                <w:rStyle w:val="IndexLink"/>
                <w:rtl w:val="true"/>
              </w:rPr>
              <w:t>الأوّل</w:t>
            </w:r>
            <w:r>
              <w:rPr>
                <w:rStyle w:val="IndexLink"/>
                <w:rtl w:val="true"/>
              </w:rPr>
              <w:t xml:space="preserve">: </w:t>
            </w:r>
            <w:r>
              <w:rPr>
                <w:rStyle w:val="IndexLink"/>
                <w:rtl w:val="true"/>
              </w:rPr>
              <w:t xml:space="preserve">عموم قوله صلی الله علیه و آله </w:t>
            </w:r>
            <w:r>
              <w:rPr>
                <w:rStyle w:val="IndexLink"/>
                <w:rtl w:val="true"/>
              </w:rPr>
              <w:t>«</w:t>
            </w:r>
            <w:r>
              <w:rPr>
                <w:rStyle w:val="IndexLink"/>
                <w:rtl w:val="true"/>
              </w:rPr>
              <w:t>الولد للفراش</w:t>
            </w:r>
            <w:r>
              <w:rPr>
                <w:rStyle w:val="IndexLink"/>
                <w:rtl w:val="true"/>
              </w:rPr>
              <w:t>»</w:t>
              <w:tab/>
            </w:r>
            <w:r>
              <w:rPr>
                <w:rStyle w:val="IndexLink"/>
              </w:rPr>
              <w:t>51</w:t>
            </w:r>
          </w:hyperlink>
        </w:p>
        <w:p>
          <w:pPr>
            <w:pStyle w:val="Contents6"/>
            <w:tabs>
              <w:tab w:val="clear" w:pos="7609"/>
              <w:tab w:val="right" w:pos="9026" w:leader="dot"/>
            </w:tabs>
            <w:rPr/>
          </w:pPr>
          <w:hyperlink w:anchor="__RefHeading___Toc9530477_73709187">
            <w:r>
              <w:rPr>
                <w:webHidden/>
                <w:rStyle w:val="IndexLink"/>
                <w:rtl w:val="true"/>
              </w:rPr>
              <w:t>الثانی</w:t>
            </w:r>
            <w:r>
              <w:rPr>
                <w:rStyle w:val="IndexLink"/>
                <w:rtl w:val="true"/>
              </w:rPr>
              <w:t xml:space="preserve">: </w:t>
            </w:r>
            <w:r>
              <w:rPr>
                <w:rStyle w:val="IndexLink"/>
                <w:rtl w:val="true"/>
              </w:rPr>
              <w:t>النصوص المستفیضة</w:t>
            </w:r>
            <w:r>
              <w:rPr>
                <w:rStyle w:val="IndexLink"/>
                <w:rtl w:val="true"/>
              </w:rPr>
              <w:tab/>
            </w:r>
            <w:r>
              <w:rPr>
                <w:rStyle w:val="IndexLink"/>
              </w:rPr>
              <w:t>51</w:t>
            </w:r>
          </w:hyperlink>
        </w:p>
        <w:p>
          <w:pPr>
            <w:pStyle w:val="Contents6"/>
            <w:tabs>
              <w:tab w:val="clear" w:pos="7609"/>
              <w:tab w:val="right" w:pos="9026" w:leader="dot"/>
            </w:tabs>
            <w:rPr/>
          </w:pPr>
          <w:hyperlink w:anchor="__RefHeading___Toc9530479_73709187">
            <w:r>
              <w:rPr>
                <w:webHidden/>
                <w:rStyle w:val="IndexLink"/>
                <w:rtl w:val="true"/>
              </w:rPr>
              <w:t>الثالث</w:t>
            </w:r>
            <w:r>
              <w:rPr>
                <w:rStyle w:val="IndexLink"/>
                <w:rtl w:val="true"/>
              </w:rPr>
              <w:t xml:space="preserve">: </w:t>
            </w:r>
            <w:r>
              <w:rPr>
                <w:rStyle w:val="IndexLink"/>
                <w:rtl w:val="true"/>
              </w:rPr>
              <w:t>أنّ الضرورة و الوجدان حاکمان بأنّ بالإمناء یتولّد الطفل</w:t>
            </w:r>
            <w:r>
              <w:rPr>
                <w:rStyle w:val="IndexLink"/>
                <w:rtl w:val="true"/>
              </w:rPr>
              <w:tab/>
            </w:r>
            <w:r>
              <w:rPr>
                <w:rStyle w:val="IndexLink"/>
              </w:rPr>
              <w:t>53</w:t>
            </w:r>
          </w:hyperlink>
        </w:p>
        <w:p>
          <w:pPr>
            <w:pStyle w:val="Contents5"/>
            <w:tabs>
              <w:tab w:val="clear" w:pos="7892"/>
              <w:tab w:val="right" w:pos="9026" w:leader="dot"/>
            </w:tabs>
            <w:rPr/>
          </w:pPr>
          <w:hyperlink w:anchor="__RefHeading___Toc9530481_73709187">
            <w:r>
              <w:rPr>
                <w:webHidden/>
                <w:rStyle w:val="IndexLink"/>
                <w:rtl w:val="true"/>
              </w:rPr>
              <w:t>الشرط الثانی</w:t>
            </w:r>
            <w:r>
              <w:rPr>
                <w:rStyle w:val="IndexLink"/>
                <w:rtl w:val="true"/>
              </w:rPr>
              <w:t xml:space="preserve">: </w:t>
            </w:r>
            <w:r>
              <w:rPr>
                <w:rStyle w:val="IndexLink"/>
                <w:rtl w:val="true"/>
              </w:rPr>
              <w:t>مضیّ أقلّ مدّة الحمل</w:t>
            </w:r>
            <w:r>
              <w:rPr>
                <w:rStyle w:val="IndexLink"/>
                <w:rtl w:val="true"/>
              </w:rPr>
              <w:tab/>
            </w:r>
            <w:r>
              <w:rPr>
                <w:rStyle w:val="IndexLink"/>
              </w:rPr>
              <w:t>54</w:t>
            </w:r>
          </w:hyperlink>
        </w:p>
        <w:p>
          <w:pPr>
            <w:pStyle w:val="Contents5"/>
            <w:tabs>
              <w:tab w:val="clear" w:pos="7892"/>
              <w:tab w:val="right" w:pos="9026" w:leader="dot"/>
            </w:tabs>
            <w:rPr/>
          </w:pPr>
          <w:hyperlink w:anchor="__RefHeading___Toc9530483_73709187">
            <w:r>
              <w:rPr>
                <w:webHidden/>
                <w:rStyle w:val="IndexLink"/>
                <w:rtl w:val="true"/>
              </w:rPr>
              <w:t>الشرط الثالث</w:t>
            </w:r>
            <w:r>
              <w:rPr>
                <w:rStyle w:val="IndexLink"/>
                <w:rtl w:val="true"/>
              </w:rPr>
              <w:t xml:space="preserve">: </w:t>
            </w:r>
            <w:r>
              <w:rPr>
                <w:rStyle w:val="IndexLink"/>
                <w:rtl w:val="true"/>
              </w:rPr>
              <w:t>عدم التجاوز عن أقصی مدّة الحمل</w:t>
            </w:r>
            <w:r>
              <w:rPr>
                <w:rStyle w:val="IndexLink"/>
                <w:rtl w:val="true"/>
              </w:rPr>
              <w:tab/>
            </w:r>
            <w:r>
              <w:rPr>
                <w:rStyle w:val="IndexLink"/>
              </w:rPr>
              <w:t>56</w:t>
            </w:r>
          </w:hyperlink>
        </w:p>
        <w:p>
          <w:pPr>
            <w:pStyle w:val="Contents6"/>
            <w:tabs>
              <w:tab w:val="clear" w:pos="7609"/>
              <w:tab w:val="right" w:pos="9026" w:leader="dot"/>
            </w:tabs>
            <w:rPr/>
          </w:pPr>
          <w:hyperlink w:anchor="__RefHeading___Toc9530485_73709187">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9530487_73709187">
            <w:r>
              <w:rPr>
                <w:webHidden/>
                <w:rStyle w:val="IndexLink"/>
                <w:rtl w:val="true"/>
              </w:rPr>
              <w:t>الأمر الأوّل</w:t>
            </w:r>
            <w:r>
              <w:rPr>
                <w:rStyle w:val="IndexLink"/>
                <w:rtl w:val="true"/>
              </w:rPr>
              <w:t xml:space="preserve">: </w:t>
            </w:r>
            <w:r>
              <w:rPr>
                <w:rStyle w:val="IndexLink"/>
                <w:rtl w:val="true"/>
              </w:rPr>
              <w:t>أنّ البحث فی ذلک الشرط فیما إذا کان وضع حمل المرأة علی نحو العادی و الطبیعی</w:t>
            </w:r>
            <w:r>
              <w:rPr>
                <w:rStyle w:val="IndexLink"/>
                <w:rtl w:val="true"/>
              </w:rPr>
              <w:tab/>
            </w:r>
            <w:r>
              <w:rPr>
                <w:rStyle w:val="IndexLink"/>
              </w:rPr>
              <w:t>56</w:t>
            </w:r>
          </w:hyperlink>
        </w:p>
        <w:p>
          <w:pPr>
            <w:pStyle w:val="Contents6"/>
            <w:tabs>
              <w:tab w:val="clear" w:pos="7609"/>
              <w:tab w:val="right" w:pos="9026" w:leader="dot"/>
            </w:tabs>
            <w:rPr/>
          </w:pPr>
          <w:hyperlink w:anchor="__RefHeading___Toc9530489_73709187">
            <w:r>
              <w:rPr>
                <w:webHidden/>
                <w:rStyle w:val="IndexLink"/>
                <w:rtl w:val="true"/>
              </w:rPr>
              <w:t>الأمر الثانی</w:t>
            </w:r>
            <w:r>
              <w:rPr>
                <w:rStyle w:val="IndexLink"/>
                <w:rtl w:val="true"/>
              </w:rPr>
              <w:t xml:space="preserve">: </w:t>
            </w:r>
            <w:r>
              <w:rPr>
                <w:rStyle w:val="IndexLink"/>
                <w:rtl w:val="true"/>
              </w:rPr>
              <w:t>أنّ مبدأ زمان الحمل بحسب ما اختیر من تحقّق الفراش</w:t>
            </w:r>
            <w:r>
              <w:rPr>
                <w:rStyle w:val="IndexLink"/>
                <w:rtl w:val="true"/>
              </w:rPr>
              <w:tab/>
            </w:r>
            <w:r>
              <w:rPr>
                <w:rStyle w:val="IndexLink"/>
              </w:rPr>
              <w:t>56</w:t>
            </w:r>
          </w:hyperlink>
        </w:p>
        <w:p>
          <w:pPr>
            <w:pStyle w:val="Contents6"/>
            <w:tabs>
              <w:tab w:val="clear" w:pos="7609"/>
              <w:tab w:val="right" w:pos="9026" w:leader="dot"/>
            </w:tabs>
            <w:rPr/>
          </w:pPr>
          <w:hyperlink w:anchor="__RefHeading___Toc9530491_73709187">
            <w:r>
              <w:rPr>
                <w:webHidden/>
                <w:rStyle w:val="IndexLink"/>
                <w:rtl w:val="true"/>
              </w:rPr>
              <w:t>الثانی</w:t>
            </w:r>
            <w:r>
              <w:rPr>
                <w:rStyle w:val="IndexLink"/>
                <w:rtl w:val="true"/>
              </w:rPr>
              <w:t xml:space="preserve">: </w:t>
            </w:r>
            <w:r>
              <w:rPr>
                <w:rStyle w:val="IndexLink"/>
                <w:rtl w:val="true"/>
              </w:rPr>
              <w:t>النصوص الکثیرة</w:t>
            </w:r>
            <w:r>
              <w:rPr>
                <w:rStyle w:val="IndexLink"/>
                <w:rtl w:val="true"/>
              </w:rPr>
              <w:t>:</w:t>
              <w:tab/>
            </w:r>
            <w:r>
              <w:rPr>
                <w:rStyle w:val="IndexLink"/>
              </w:rPr>
              <w:t>58</w:t>
            </w:r>
          </w:hyperlink>
        </w:p>
        <w:p>
          <w:pPr>
            <w:pStyle w:val="Contents6"/>
            <w:tabs>
              <w:tab w:val="clear" w:pos="7609"/>
              <w:tab w:val="right" w:pos="9026" w:leader="dot"/>
            </w:tabs>
            <w:rPr/>
          </w:pPr>
          <w:hyperlink w:anchor="__RefHeading___Toc9530493_73709187">
            <w:r>
              <w:rPr>
                <w:webHidden/>
                <w:rStyle w:val="IndexLink"/>
                <w:rtl w:val="true"/>
              </w:rPr>
              <w:t>القول الثانی</w:t>
            </w:r>
            <w:r>
              <w:rPr>
                <w:rStyle w:val="IndexLink"/>
                <w:rtl w:val="true"/>
              </w:rPr>
              <w:t xml:space="preserve">: </w:t>
            </w:r>
            <w:r>
              <w:rPr>
                <w:rStyle w:val="IndexLink"/>
                <w:rtl w:val="true"/>
              </w:rPr>
              <w:t>أنّ أکثر الحمل عشرة أشهر،</w:t>
            </w:r>
            <w:r>
              <w:rPr>
                <w:rStyle w:val="IndexLink"/>
                <w:rtl w:val="true"/>
              </w:rPr>
              <w:tab/>
            </w:r>
            <w:r>
              <w:rPr>
                <w:rStyle w:val="IndexLink"/>
              </w:rPr>
              <w:t>62</w:t>
            </w:r>
          </w:hyperlink>
        </w:p>
        <w:p>
          <w:pPr>
            <w:pStyle w:val="Contents6"/>
            <w:tabs>
              <w:tab w:val="clear" w:pos="7609"/>
              <w:tab w:val="right" w:pos="9026" w:leader="dot"/>
            </w:tabs>
            <w:rPr/>
          </w:pPr>
          <w:hyperlink w:anchor="__RefHeading___Toc9530495_73709187">
            <w:r>
              <w:rPr>
                <w:webHidden/>
                <w:rStyle w:val="IndexLink"/>
                <w:rtl w:val="true"/>
              </w:rPr>
              <w:t>القول الثالث</w:t>
            </w:r>
            <w:r>
              <w:rPr>
                <w:rStyle w:val="IndexLink"/>
                <w:rtl w:val="true"/>
              </w:rPr>
              <w:t xml:space="preserve">: - </w:t>
            </w:r>
            <w:r>
              <w:rPr>
                <w:rStyle w:val="IndexLink"/>
                <w:rtl w:val="true"/>
              </w:rPr>
              <w:t xml:space="preserve">و هو الحقّ </w:t>
            </w:r>
            <w:r>
              <w:rPr>
                <w:rStyle w:val="IndexLink"/>
                <w:rtl w:val="true"/>
              </w:rPr>
              <w:t xml:space="preserve">- </w:t>
            </w:r>
            <w:r>
              <w:rPr>
                <w:rStyle w:val="IndexLink"/>
                <w:rtl w:val="true"/>
              </w:rPr>
              <w:t>أنّ أقصی مدّة الحمل سنةٌ‌</w:t>
            </w:r>
            <w:r>
              <w:rPr>
                <w:rStyle w:val="IndexLink"/>
                <w:rtl w:val="true"/>
              </w:rPr>
              <w:tab/>
            </w:r>
            <w:r>
              <w:rPr>
                <w:rStyle w:val="IndexLink"/>
              </w:rPr>
              <w:t>63</w:t>
            </w:r>
          </w:hyperlink>
        </w:p>
        <w:p>
          <w:pPr>
            <w:pStyle w:val="Contents5"/>
            <w:tabs>
              <w:tab w:val="clear" w:pos="7892"/>
              <w:tab w:val="right" w:pos="9026" w:leader="dot"/>
            </w:tabs>
            <w:rPr/>
          </w:pPr>
          <w:hyperlink w:anchor="__RefHeading___Toc9530497_73709187">
            <w:r>
              <w:rPr>
                <w:webHidden/>
                <w:rStyle w:val="IndexLink"/>
                <w:rtl w:val="true"/>
              </w:rPr>
              <w:t>و ینبغی فی الختام التنبیه علی أمرین</w:t>
            </w:r>
            <w:r>
              <w:rPr>
                <w:rStyle w:val="IndexLink"/>
                <w:rtl w:val="true"/>
              </w:rPr>
              <w:t>:</w:t>
              <w:tab/>
            </w:r>
            <w:r>
              <w:rPr>
                <w:rStyle w:val="IndexLink"/>
              </w:rPr>
              <w:t>67</w:t>
            </w:r>
          </w:hyperlink>
        </w:p>
        <w:p>
          <w:pPr>
            <w:pStyle w:val="Contents6"/>
            <w:tabs>
              <w:tab w:val="clear" w:pos="7609"/>
              <w:tab w:val="right" w:pos="9026" w:leader="dot"/>
            </w:tabs>
            <w:rPr/>
          </w:pPr>
          <w:hyperlink w:anchor="__RefHeading___Toc9530499_7370918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9530501_73709187">
            <w:r>
              <w:rPr>
                <w:webHidden/>
                <w:rStyle w:val="IndexLink"/>
                <w:rtl w:val="true"/>
              </w:rPr>
              <w:t>الأوّل</w:t>
            </w:r>
            <w:r>
              <w:rPr>
                <w:rStyle w:val="IndexLink"/>
                <w:rtl w:val="true"/>
              </w:rPr>
              <w:t xml:space="preserve">: </w:t>
            </w:r>
            <w:r>
              <w:rPr>
                <w:rStyle w:val="IndexLink"/>
                <w:rtl w:val="true"/>
              </w:rPr>
              <w:t>و هو أنّ الاُمور الثلاثة المذکورة معتبرة فی لحوق الولد الکامل الحیّ‌</w:t>
            </w:r>
            <w:r>
              <w:rPr>
                <w:rStyle w:val="IndexLink"/>
                <w:rtl w:val="true"/>
              </w:rPr>
              <w:tab/>
            </w:r>
            <w:r>
              <w:rPr>
                <w:rStyle w:val="IndexLink"/>
              </w:rPr>
              <w:t>68</w:t>
            </w:r>
          </w:hyperlink>
        </w:p>
        <w:p>
          <w:pPr>
            <w:pStyle w:val="Contents6"/>
            <w:tabs>
              <w:tab w:val="clear" w:pos="7609"/>
              <w:tab w:val="right" w:pos="9026" w:leader="dot"/>
            </w:tabs>
            <w:rPr/>
          </w:pPr>
          <w:hyperlink w:anchor="__RefHeading___Toc9530503_73709187">
            <w:r>
              <w:rPr>
                <w:webHidden/>
                <w:rStyle w:val="IndexLink"/>
                <w:rtl w:val="true"/>
              </w:rPr>
              <w:t>الأمر الثانی</w:t>
            </w:r>
            <w:r>
              <w:rPr>
                <w:rStyle w:val="IndexLink"/>
                <w:rtl w:val="true"/>
              </w:rPr>
              <w:t>:</w:t>
              <w:tab/>
            </w:r>
            <w:r>
              <w:rPr>
                <w:rStyle w:val="IndexLink"/>
              </w:rPr>
              <w:t>68</w:t>
            </w:r>
          </w:hyperlink>
        </w:p>
        <w:p>
          <w:pPr>
            <w:pStyle w:val="Contents5"/>
            <w:tabs>
              <w:tab w:val="clear" w:pos="7892"/>
              <w:tab w:val="right" w:pos="9026" w:leader="dot"/>
            </w:tabs>
            <w:rPr/>
          </w:pPr>
          <w:hyperlink w:anchor="__RefHeading___Toc9530505_73709187">
            <w:r>
              <w:rPr>
                <w:webHidden/>
                <w:rStyle w:val="IndexLink"/>
                <w:rtl w:val="true"/>
              </w:rPr>
              <w:t>آثار شرائط الإلحاق</w:t>
            </w:r>
            <w:r>
              <w:rPr>
                <w:rStyle w:val="IndexLink"/>
                <w:rtl w:val="true"/>
              </w:rPr>
              <w:tab/>
            </w:r>
            <w:r>
              <w:rPr>
                <w:rStyle w:val="IndexLink"/>
              </w:rPr>
              <w:t>69</w:t>
            </w:r>
          </w:hyperlink>
        </w:p>
        <w:p>
          <w:pPr>
            <w:pStyle w:val="Contents5"/>
            <w:tabs>
              <w:tab w:val="clear" w:pos="7892"/>
              <w:tab w:val="right" w:pos="9026" w:leader="dot"/>
            </w:tabs>
            <w:rPr/>
          </w:pPr>
          <w:hyperlink w:anchor="__RefHeading___Toc9530507_73709187">
            <w:r>
              <w:rPr>
                <w:webHidden/>
                <w:rStyle w:val="IndexLink"/>
                <w:rtl w:val="true"/>
              </w:rPr>
              <w:t>شرائط إلحاق الولد عند أهل السنّة</w:t>
            </w:r>
            <w:r>
              <w:rPr>
                <w:rStyle w:val="IndexLink"/>
                <w:rtl w:val="true"/>
              </w:rPr>
              <w:tab/>
            </w:r>
            <w:r>
              <w:rPr>
                <w:rStyle w:val="IndexLink"/>
              </w:rPr>
              <w:t>71</w:t>
            </w:r>
          </w:hyperlink>
        </w:p>
        <w:p>
          <w:pPr>
            <w:pStyle w:val="Contents6"/>
            <w:tabs>
              <w:tab w:val="clear" w:pos="7609"/>
              <w:tab w:val="right" w:pos="9026" w:leader="dot"/>
            </w:tabs>
            <w:rPr/>
          </w:pPr>
          <w:hyperlink w:anchor="__RefHeading___Toc9530509_73709187">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9530511_73709187">
            <w:r>
              <w:rPr>
                <w:webHidden/>
                <w:rStyle w:val="IndexLink"/>
                <w:rtl w:val="true"/>
              </w:rPr>
              <w:t xml:space="preserve">أ </w:t>
            </w:r>
            <w:r>
              <w:rPr>
                <w:rStyle w:val="IndexLink"/>
                <w:rtl w:val="true"/>
              </w:rPr>
              <w:t xml:space="preserve">- </w:t>
            </w:r>
            <w:r>
              <w:rPr>
                <w:rStyle w:val="IndexLink"/>
                <w:rtl w:val="true"/>
              </w:rPr>
              <w:t>الشافعیة</w:t>
            </w:r>
            <w:r>
              <w:rPr>
                <w:rStyle w:val="IndexLink"/>
                <w:rtl w:val="true"/>
              </w:rPr>
              <w:tab/>
            </w:r>
            <w:r>
              <w:rPr>
                <w:rStyle w:val="IndexLink"/>
              </w:rPr>
              <w:t>71</w:t>
            </w:r>
          </w:hyperlink>
        </w:p>
        <w:p>
          <w:pPr>
            <w:pStyle w:val="Contents6"/>
            <w:tabs>
              <w:tab w:val="clear" w:pos="7609"/>
              <w:tab w:val="right" w:pos="9026" w:leader="dot"/>
            </w:tabs>
            <w:rPr/>
          </w:pPr>
          <w:hyperlink w:anchor="__RefHeading___Toc9530513_73709187">
            <w:r>
              <w:rPr>
                <w:webHidden/>
                <w:rStyle w:val="IndexLink"/>
                <w:rtl w:val="true"/>
              </w:rPr>
              <w:t xml:space="preserve">ب </w:t>
            </w:r>
            <w:r>
              <w:rPr>
                <w:rStyle w:val="IndexLink"/>
                <w:rtl w:val="true"/>
              </w:rPr>
              <w:t xml:space="preserve">- </w:t>
            </w:r>
            <w:r>
              <w:rPr>
                <w:rStyle w:val="IndexLink"/>
                <w:rtl w:val="true"/>
              </w:rPr>
              <w:t>الحنابلة</w:t>
            </w:r>
            <w:r>
              <w:rPr>
                <w:rStyle w:val="IndexLink"/>
                <w:rtl w:val="true"/>
              </w:rPr>
              <w:tab/>
            </w:r>
            <w:r>
              <w:rPr>
                <w:rStyle w:val="IndexLink"/>
              </w:rPr>
              <w:t>72</w:t>
            </w:r>
          </w:hyperlink>
        </w:p>
        <w:p>
          <w:pPr>
            <w:pStyle w:val="Contents6"/>
            <w:tabs>
              <w:tab w:val="clear" w:pos="7609"/>
              <w:tab w:val="right" w:pos="9026" w:leader="dot"/>
            </w:tabs>
            <w:rPr/>
          </w:pPr>
          <w:hyperlink w:anchor="__RefHeading___Toc9530515_73709187">
            <w:r>
              <w:rPr>
                <w:webHidden/>
                <w:rStyle w:val="IndexLink"/>
                <w:rtl w:val="true"/>
              </w:rPr>
              <w:t xml:space="preserve">ج </w:t>
            </w:r>
            <w:r>
              <w:rPr>
                <w:rStyle w:val="IndexLink"/>
                <w:rtl w:val="true"/>
              </w:rPr>
              <w:t xml:space="preserve">- </w:t>
            </w:r>
            <w:r>
              <w:rPr>
                <w:rStyle w:val="IndexLink"/>
                <w:rtl w:val="true"/>
              </w:rPr>
              <w:t>المالکیة</w:t>
            </w:r>
            <w:r>
              <w:rPr>
                <w:rStyle w:val="IndexLink"/>
                <w:rtl w:val="true"/>
              </w:rPr>
              <w:tab/>
            </w:r>
            <w:r>
              <w:rPr>
                <w:rStyle w:val="IndexLink"/>
              </w:rPr>
              <w:t>73</w:t>
            </w:r>
          </w:hyperlink>
        </w:p>
        <w:p>
          <w:pPr>
            <w:pStyle w:val="Contents6"/>
            <w:tabs>
              <w:tab w:val="clear" w:pos="7609"/>
              <w:tab w:val="right" w:pos="9026" w:leader="dot"/>
            </w:tabs>
            <w:rPr/>
          </w:pPr>
          <w:hyperlink w:anchor="__RefHeading___Toc9530517_73709187">
            <w:r>
              <w:rPr>
                <w:webHidden/>
                <w:rStyle w:val="IndexLink"/>
                <w:rtl w:val="true"/>
              </w:rPr>
              <w:t xml:space="preserve">د </w:t>
            </w:r>
            <w:r>
              <w:rPr>
                <w:rStyle w:val="IndexLink"/>
                <w:rtl w:val="true"/>
              </w:rPr>
              <w:t xml:space="preserve">- </w:t>
            </w:r>
            <w:r>
              <w:rPr>
                <w:rStyle w:val="IndexLink"/>
                <w:rtl w:val="true"/>
              </w:rPr>
              <w:t>الحنفیّة</w:t>
            </w:r>
            <w:r>
              <w:rPr>
                <w:rStyle w:val="IndexLink"/>
                <w:rtl w:val="true"/>
              </w:rPr>
              <w:tab/>
            </w:r>
            <w:r>
              <w:rPr>
                <w:rStyle w:val="IndexLink"/>
              </w:rPr>
              <w:t>73</w:t>
            </w:r>
          </w:hyperlink>
        </w:p>
        <w:p>
          <w:pPr>
            <w:pStyle w:val="Contents4"/>
            <w:tabs>
              <w:tab w:val="clear" w:pos="8176"/>
              <w:tab w:val="right" w:pos="9026" w:leader="dot"/>
            </w:tabs>
            <w:rPr/>
          </w:pPr>
          <w:hyperlink w:anchor="__RefHeading___Toc9530519_73709187">
            <w:r>
              <w:rPr>
                <w:webHidden/>
                <w:rStyle w:val="IndexLink"/>
                <w:rtl w:val="true"/>
              </w:rPr>
              <w:t>المبحث الثالث</w:t>
            </w:r>
            <w:r>
              <w:rPr>
                <w:rStyle w:val="IndexLink"/>
                <w:rtl w:val="true"/>
              </w:rPr>
              <w:t xml:space="preserve">: </w:t>
            </w:r>
            <w:r>
              <w:rPr>
                <w:rStyle w:val="IndexLink"/>
                <w:rtl w:val="true"/>
              </w:rPr>
              <w:t>الفروع التی تنشأ من الإخلال بشرائط الإلحاق</w:t>
            </w:r>
            <w:r>
              <w:rPr>
                <w:rStyle w:val="IndexLink"/>
                <w:rtl w:val="true"/>
              </w:rPr>
              <w:tab/>
            </w:r>
            <w:r>
              <w:rPr>
                <w:rStyle w:val="IndexLink"/>
              </w:rPr>
              <w:t>75</w:t>
            </w:r>
          </w:hyperlink>
        </w:p>
        <w:p>
          <w:pPr>
            <w:pStyle w:val="Contents5"/>
            <w:tabs>
              <w:tab w:val="clear" w:pos="7892"/>
              <w:tab w:val="right" w:pos="9026" w:leader="dot"/>
            </w:tabs>
            <w:rPr/>
          </w:pPr>
          <w:hyperlink w:anchor="__RefHeading___Toc9530521_73709187">
            <w:r>
              <w:rPr>
                <w:webHidden/>
                <w:rStyle w:val="IndexLink"/>
                <w:rtl w:val="true"/>
              </w:rPr>
              <w:t>الفرع الأوّل</w:t>
            </w:r>
            <w:r>
              <w:rPr>
                <w:rStyle w:val="IndexLink"/>
                <w:rtl w:val="true"/>
              </w:rPr>
              <w:t xml:space="preserve">: </w:t>
            </w:r>
            <w:r>
              <w:rPr>
                <w:rStyle w:val="IndexLink"/>
                <w:rtl w:val="true"/>
              </w:rPr>
              <w:t>لو دخل الزوج بزوجته و جاءت بولدٍ لأقلّ من ستّة أشهر</w:t>
            </w:r>
            <w:r>
              <w:rPr>
                <w:rStyle w:val="IndexLink"/>
                <w:rtl w:val="true"/>
              </w:rPr>
              <w:tab/>
            </w:r>
            <w:r>
              <w:rPr>
                <w:rStyle w:val="IndexLink"/>
              </w:rPr>
              <w:t>75</w:t>
            </w:r>
          </w:hyperlink>
        </w:p>
        <w:p>
          <w:pPr>
            <w:pStyle w:val="Contents6"/>
            <w:tabs>
              <w:tab w:val="clear" w:pos="7609"/>
              <w:tab w:val="right" w:pos="9026" w:leader="dot"/>
            </w:tabs>
            <w:rPr/>
          </w:pPr>
          <w:hyperlink w:anchor="__RefHeading___Toc9530523_7370918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9530525_73709187">
            <w:r>
              <w:rPr>
                <w:webHidden/>
                <w:rStyle w:val="IndexLink"/>
                <w:rtl w:val="true"/>
              </w:rPr>
              <w:t>آراء فقهاء أهل السنّة</w:t>
            </w:r>
            <w:r>
              <w:rPr>
                <w:rStyle w:val="IndexLink"/>
                <w:rtl w:val="true"/>
              </w:rPr>
              <w:tab/>
            </w:r>
            <w:r>
              <w:rPr>
                <w:rStyle w:val="IndexLink"/>
              </w:rPr>
              <w:t>78</w:t>
            </w:r>
          </w:hyperlink>
        </w:p>
        <w:p>
          <w:pPr>
            <w:pStyle w:val="Contents5"/>
            <w:tabs>
              <w:tab w:val="clear" w:pos="7892"/>
              <w:tab w:val="right" w:pos="9026" w:leader="dot"/>
            </w:tabs>
            <w:rPr/>
          </w:pPr>
          <w:hyperlink w:anchor="__RefHeading___Toc9530527_73709187">
            <w:r>
              <w:rPr>
                <w:webHidden/>
                <w:rStyle w:val="IndexLink"/>
                <w:rtl w:val="true"/>
              </w:rPr>
              <w:t>الفرع الثانی</w:t>
            </w:r>
            <w:r>
              <w:rPr>
                <w:rStyle w:val="IndexLink"/>
                <w:rtl w:val="true"/>
              </w:rPr>
              <w:t xml:space="preserve">: </w:t>
            </w:r>
            <w:r>
              <w:rPr>
                <w:rStyle w:val="IndexLink"/>
                <w:rtl w:val="true"/>
              </w:rPr>
              <w:t>إذا اختلف الزوجان فی الدخول و عدمه، فادّعته المرأة لیلحق به الولد، و أنکره الزوج</w:t>
            </w:r>
            <w:r>
              <w:rPr>
                <w:rStyle w:val="IndexLink"/>
                <w:rtl w:val="true"/>
              </w:rPr>
              <w:tab/>
            </w:r>
            <w:r>
              <w:rPr>
                <w:rStyle w:val="IndexLink"/>
              </w:rPr>
              <w:t>79</w:t>
            </w:r>
          </w:hyperlink>
        </w:p>
        <w:p>
          <w:pPr>
            <w:pStyle w:val="Contents6"/>
            <w:tabs>
              <w:tab w:val="clear" w:pos="7609"/>
              <w:tab w:val="right" w:pos="9026" w:leader="dot"/>
            </w:tabs>
            <w:rPr/>
          </w:pPr>
          <w:hyperlink w:anchor="__RefHeading___Toc9530529_7370918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9530531_73709187">
            <w:r>
              <w:rPr>
                <w:webHidden/>
                <w:rStyle w:val="IndexLink"/>
                <w:rtl w:val="true"/>
              </w:rPr>
              <w:t>رأی بعض أهل السنّة فی المسألة</w:t>
            </w:r>
            <w:r>
              <w:rPr>
                <w:rStyle w:val="IndexLink"/>
                <w:rtl w:val="true"/>
              </w:rPr>
              <w:tab/>
            </w:r>
            <w:r>
              <w:rPr>
                <w:rStyle w:val="IndexLink"/>
              </w:rPr>
              <w:t>81</w:t>
            </w:r>
          </w:hyperlink>
        </w:p>
        <w:p>
          <w:pPr>
            <w:pStyle w:val="Contents5"/>
            <w:tabs>
              <w:tab w:val="clear" w:pos="7892"/>
              <w:tab w:val="right" w:pos="9026" w:leader="dot"/>
            </w:tabs>
            <w:rPr/>
          </w:pPr>
          <w:hyperlink w:anchor="__RefHeading___Toc9530533_73709187">
            <w:r>
              <w:rPr>
                <w:webHidden/>
                <w:rStyle w:val="IndexLink"/>
                <w:rtl w:val="true"/>
              </w:rPr>
              <w:t>الفرع الثالث</w:t>
            </w:r>
            <w:r>
              <w:rPr>
                <w:rStyle w:val="IndexLink"/>
                <w:rtl w:val="true"/>
              </w:rPr>
              <w:t xml:space="preserve">: </w:t>
            </w:r>
            <w:r>
              <w:rPr>
                <w:rStyle w:val="IndexLink"/>
                <w:rtl w:val="true"/>
              </w:rPr>
              <w:t>لو طلّق زوجته المدخول بها فاعتدّت و تزوّجت ثمّ أتت بولد،</w:t>
            </w:r>
            <w:r>
              <w:rPr>
                <w:rStyle w:val="IndexLink"/>
                <w:rtl w:val="true"/>
              </w:rPr>
              <w:tab/>
            </w:r>
            <w:r>
              <w:rPr>
                <w:rStyle w:val="IndexLink"/>
              </w:rPr>
              <w:t>82</w:t>
            </w:r>
          </w:hyperlink>
        </w:p>
        <w:p>
          <w:pPr>
            <w:pStyle w:val="Contents6"/>
            <w:tabs>
              <w:tab w:val="clear" w:pos="7609"/>
              <w:tab w:val="right" w:pos="9026" w:leader="dot"/>
            </w:tabs>
            <w:rPr/>
          </w:pPr>
          <w:hyperlink w:anchor="__RefHeading___Toc9530535_73709187">
            <w:r>
              <w:rPr>
                <w:webHidden/>
                <w:rStyle w:val="IndexLink"/>
                <w:rtl w:val="true"/>
              </w:rPr>
              <w:t>فیمکن أن یتصوّر لها صور نذکرها علی الترتیب التالی</w:t>
            </w:r>
            <w:r>
              <w:rPr>
                <w:rStyle w:val="IndexLink"/>
                <w:rtl w:val="true"/>
              </w:rPr>
              <w:t>:</w:t>
              <w:tab/>
            </w:r>
            <w:r>
              <w:rPr>
                <w:rStyle w:val="IndexLink"/>
              </w:rPr>
              <w:t>82</w:t>
            </w:r>
          </w:hyperlink>
        </w:p>
        <w:p>
          <w:pPr>
            <w:pStyle w:val="Contents6"/>
            <w:tabs>
              <w:tab w:val="clear" w:pos="7609"/>
              <w:tab w:val="right" w:pos="9026" w:leader="dot"/>
            </w:tabs>
            <w:rPr/>
          </w:pPr>
          <w:hyperlink w:anchor="__RefHeading___Toc9530537_73709187">
            <w:r>
              <w:rPr>
                <w:webHidden/>
                <w:rStyle w:val="IndexLink"/>
                <w:rtl w:val="true"/>
              </w:rPr>
              <w:t>الصورة الأولی</w:t>
            </w:r>
            <w:r>
              <w:rPr>
                <w:rStyle w:val="IndexLink"/>
                <w:rtl w:val="true"/>
              </w:rPr>
              <w:t xml:space="preserve">: </w:t>
            </w:r>
            <w:r>
              <w:rPr>
                <w:rStyle w:val="IndexLink"/>
                <w:rtl w:val="true"/>
              </w:rPr>
              <w:t>إذا لم یمکن لحوقه بالزوج الثانی و أمکن لحوقه بالأوّل</w:t>
            </w:r>
            <w:r>
              <w:rPr>
                <w:rStyle w:val="IndexLink"/>
                <w:rtl w:val="true"/>
              </w:rPr>
              <w:tab/>
            </w:r>
            <w:r>
              <w:rPr>
                <w:rStyle w:val="IndexLink"/>
              </w:rPr>
              <w:t>82</w:t>
            </w:r>
          </w:hyperlink>
        </w:p>
        <w:p>
          <w:pPr>
            <w:pStyle w:val="Contents6"/>
            <w:tabs>
              <w:tab w:val="clear" w:pos="7609"/>
              <w:tab w:val="right" w:pos="9026" w:leader="dot"/>
            </w:tabs>
            <w:rPr/>
          </w:pPr>
          <w:hyperlink w:anchor="__RefHeading___Toc9530539_73709187">
            <w:r>
              <w:rPr>
                <w:webHidden/>
                <w:rStyle w:val="IndexLink"/>
                <w:rtl w:val="true"/>
              </w:rPr>
              <w:t>الصورة الثانیة</w:t>
            </w:r>
            <w:r>
              <w:rPr>
                <w:rStyle w:val="IndexLink"/>
                <w:rtl w:val="true"/>
              </w:rPr>
              <w:t xml:space="preserve">: </w:t>
            </w:r>
            <w:r>
              <w:rPr>
                <w:rStyle w:val="IndexLink"/>
                <w:rtl w:val="true"/>
              </w:rPr>
              <w:t>عکس الاُولی</w:t>
            </w:r>
            <w:r>
              <w:rPr>
                <w:rStyle w:val="IndexLink"/>
                <w:rtl w:val="true"/>
              </w:rPr>
              <w:tab/>
            </w:r>
            <w:r>
              <w:rPr>
                <w:rStyle w:val="IndexLink"/>
              </w:rPr>
              <w:t>83</w:t>
            </w:r>
          </w:hyperlink>
        </w:p>
        <w:p>
          <w:pPr>
            <w:pStyle w:val="Contents6"/>
            <w:tabs>
              <w:tab w:val="clear" w:pos="7609"/>
              <w:tab w:val="right" w:pos="9026" w:leader="dot"/>
            </w:tabs>
            <w:rPr/>
          </w:pPr>
          <w:hyperlink w:anchor="__RefHeading___Toc9530541_73709187">
            <w:r>
              <w:rPr>
                <w:webHidden/>
                <w:rStyle w:val="IndexLink"/>
                <w:rtl w:val="true"/>
              </w:rPr>
              <w:t>الصورة الثالثة</w:t>
            </w:r>
            <w:r>
              <w:rPr>
                <w:rStyle w:val="IndexLink"/>
                <w:rtl w:val="true"/>
              </w:rPr>
              <w:t xml:space="preserve">: </w:t>
            </w:r>
            <w:r>
              <w:rPr>
                <w:rStyle w:val="IndexLink"/>
                <w:rtl w:val="true"/>
              </w:rPr>
              <w:t>ما لو أمکن إلحاقه بکلیهما</w:t>
            </w:r>
            <w:r>
              <w:rPr>
                <w:rStyle w:val="IndexLink"/>
                <w:rtl w:val="true"/>
              </w:rPr>
              <w:tab/>
            </w:r>
            <w:r>
              <w:rPr>
                <w:rStyle w:val="IndexLink"/>
              </w:rPr>
              <w:t>83</w:t>
            </w:r>
          </w:hyperlink>
        </w:p>
        <w:p>
          <w:pPr>
            <w:pStyle w:val="Contents6"/>
            <w:tabs>
              <w:tab w:val="clear" w:pos="7609"/>
              <w:tab w:val="right" w:pos="9026" w:leader="dot"/>
            </w:tabs>
            <w:rPr/>
          </w:pPr>
          <w:hyperlink w:anchor="__RefHeading___Toc9530543_73709187">
            <w:r>
              <w:rPr>
                <w:webHidden/>
                <w:rStyle w:val="IndexLink"/>
                <w:rtl w:val="true"/>
              </w:rPr>
              <w:t>الصورة الرابعة</w:t>
            </w:r>
            <w:r>
              <w:rPr>
                <w:rStyle w:val="IndexLink"/>
                <w:rtl w:val="true"/>
              </w:rPr>
              <w:t xml:space="preserve">: </w:t>
            </w:r>
            <w:r>
              <w:rPr>
                <w:rStyle w:val="IndexLink"/>
                <w:rtl w:val="true"/>
              </w:rPr>
              <w:t>أن لا یمکن الإلحاق بأحدهما</w:t>
            </w:r>
            <w:r>
              <w:rPr>
                <w:rStyle w:val="IndexLink"/>
                <w:rtl w:val="true"/>
              </w:rPr>
              <w:tab/>
            </w:r>
            <w:r>
              <w:rPr>
                <w:rStyle w:val="IndexLink"/>
              </w:rPr>
              <w:t>86</w:t>
            </w:r>
          </w:hyperlink>
        </w:p>
        <w:p>
          <w:pPr>
            <w:pStyle w:val="Contents6"/>
            <w:tabs>
              <w:tab w:val="clear" w:pos="7609"/>
              <w:tab w:val="right" w:pos="9026" w:leader="dot"/>
            </w:tabs>
            <w:rPr/>
          </w:pPr>
          <w:hyperlink w:anchor="__RefHeading___Toc9530545_73709187">
            <w:r>
              <w:rPr>
                <w:webHidden/>
                <w:rStyle w:val="IndexLink"/>
                <w:rtl w:val="true"/>
              </w:rPr>
              <w:t>الصورة الخامسة</w:t>
            </w:r>
            <w:r>
              <w:rPr>
                <w:rStyle w:val="IndexLink"/>
                <w:rtl w:val="true"/>
              </w:rPr>
              <w:t xml:space="preserve">: </w:t>
            </w:r>
            <w:r>
              <w:rPr>
                <w:rStyle w:val="IndexLink"/>
                <w:rtl w:val="true"/>
              </w:rPr>
              <w:t>قال فی المبسوط</w:t>
            </w:r>
            <w:r>
              <w:rPr>
                <w:rStyle w:val="IndexLink"/>
                <w:rtl w:val="true"/>
              </w:rPr>
              <w:t>: «</w:t>
            </w:r>
            <w:r>
              <w:rPr>
                <w:rStyle w:val="IndexLink"/>
                <w:rtl w:val="true"/>
              </w:rPr>
              <w:t>و إن أتت بولدٍ لأکثر من تسعة أشهر من وقت الطلاق</w:t>
            </w:r>
            <w:r>
              <w:rPr>
                <w:rStyle w:val="IndexLink"/>
                <w:rtl w:val="true"/>
              </w:rPr>
              <w:tab/>
            </w:r>
            <w:r>
              <w:rPr>
                <w:rStyle w:val="IndexLink"/>
              </w:rPr>
              <w:t>87</w:t>
            </w:r>
          </w:hyperlink>
        </w:p>
        <w:p>
          <w:pPr>
            <w:pStyle w:val="Contents6"/>
            <w:tabs>
              <w:tab w:val="clear" w:pos="7609"/>
              <w:tab w:val="right" w:pos="9026" w:leader="dot"/>
            </w:tabs>
            <w:rPr/>
          </w:pPr>
          <w:hyperlink w:anchor="__RefHeading___Toc9530547_73709187">
            <w:r>
              <w:rPr>
                <w:webHidden/>
                <w:rStyle w:val="IndexLink"/>
                <w:rtl w:val="true"/>
              </w:rPr>
              <w:t>آراء بعض أهل السنّة فی الفرع الثالث</w:t>
            </w:r>
            <w:r>
              <w:rPr>
                <w:rStyle w:val="IndexLink"/>
                <w:rtl w:val="true"/>
              </w:rPr>
              <w:tab/>
            </w:r>
            <w:r>
              <w:rPr>
                <w:rStyle w:val="IndexLink"/>
              </w:rPr>
              <w:t>88</w:t>
            </w:r>
          </w:hyperlink>
        </w:p>
        <w:p>
          <w:pPr>
            <w:pStyle w:val="Contents4"/>
            <w:tabs>
              <w:tab w:val="clear" w:pos="8176"/>
              <w:tab w:val="right" w:pos="9026" w:leader="dot"/>
            </w:tabs>
            <w:rPr/>
          </w:pPr>
          <w:hyperlink w:anchor="__RefHeading___Toc9530549_73709187">
            <w:r>
              <w:rPr>
                <w:webHidden/>
                <w:rStyle w:val="IndexLink"/>
                <w:rtl w:val="true"/>
              </w:rPr>
              <w:t>المبحث الرابع</w:t>
            </w:r>
            <w:r>
              <w:rPr>
                <w:rStyle w:val="IndexLink"/>
                <w:rtl w:val="true"/>
              </w:rPr>
              <w:t xml:space="preserve">: </w:t>
            </w:r>
            <w:r>
              <w:rPr>
                <w:rStyle w:val="IndexLink"/>
                <w:rtl w:val="true"/>
              </w:rPr>
              <w:t>حکم ولد الشبهة</w:t>
            </w:r>
            <w:r>
              <w:rPr>
                <w:rStyle w:val="IndexLink"/>
                <w:rtl w:val="true"/>
              </w:rPr>
              <w:tab/>
            </w:r>
            <w:r>
              <w:rPr>
                <w:rStyle w:val="IndexLink"/>
              </w:rPr>
              <w:t>90</w:t>
            </w:r>
          </w:hyperlink>
        </w:p>
        <w:p>
          <w:pPr>
            <w:pStyle w:val="Contents5"/>
            <w:tabs>
              <w:tab w:val="clear" w:pos="7892"/>
              <w:tab w:val="right" w:pos="9026" w:leader="dot"/>
            </w:tabs>
            <w:rPr/>
          </w:pPr>
          <w:hyperlink w:anchor="__RefHeading___Toc9530551_73709187">
            <w:r>
              <w:rPr>
                <w:webHidden/>
                <w:rStyle w:val="IndexLink"/>
                <w:rtl w:val="true"/>
              </w:rPr>
              <w:t>تمهید</w:t>
            </w:r>
            <w:r>
              <w:rPr>
                <w:rStyle w:val="IndexLink"/>
                <w:rtl w:val="true"/>
              </w:rPr>
              <w:t>:</w:t>
              <w:tab/>
            </w:r>
            <w:r>
              <w:rPr>
                <w:rStyle w:val="IndexLink"/>
              </w:rPr>
              <w:t>90</w:t>
            </w:r>
          </w:hyperlink>
        </w:p>
        <w:p>
          <w:pPr>
            <w:pStyle w:val="Contents5"/>
            <w:tabs>
              <w:tab w:val="clear" w:pos="7892"/>
              <w:tab w:val="right" w:pos="9026" w:leader="dot"/>
            </w:tabs>
            <w:rPr/>
          </w:pPr>
          <w:hyperlink w:anchor="__RefHeading___Toc9530553_73709187">
            <w:r>
              <w:rPr>
                <w:webHidden/>
                <w:rStyle w:val="IndexLink"/>
                <w:rtl w:val="true"/>
              </w:rPr>
              <w:t>وط‌ء الشبهة عند الفقهاء</w:t>
            </w:r>
            <w:r>
              <w:rPr>
                <w:rStyle w:val="IndexLink"/>
                <w:rtl w:val="true"/>
              </w:rPr>
              <w:tab/>
            </w:r>
            <w:r>
              <w:rPr>
                <w:rStyle w:val="IndexLink"/>
              </w:rPr>
              <w:t>90</w:t>
            </w:r>
          </w:hyperlink>
        </w:p>
        <w:p>
          <w:pPr>
            <w:pStyle w:val="Contents6"/>
            <w:tabs>
              <w:tab w:val="clear" w:pos="7609"/>
              <w:tab w:val="right" w:pos="9026" w:leader="dot"/>
            </w:tabs>
            <w:rPr/>
          </w:pPr>
          <w:hyperlink w:anchor="__RefHeading___Toc9530555_7370918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9530557_73709187">
            <w:r>
              <w:rPr>
                <w:webHidden/>
                <w:rStyle w:val="IndexLink"/>
                <w:rtl w:val="true"/>
              </w:rPr>
              <w:t>أ</w:t>
            </w:r>
            <w:r>
              <w:rPr>
                <w:rStyle w:val="IndexLink"/>
                <w:rtl w:val="true"/>
              </w:rPr>
              <w:t xml:space="preserve">: </w:t>
            </w:r>
            <w:r>
              <w:rPr>
                <w:rStyle w:val="IndexLink"/>
                <w:rtl w:val="true"/>
              </w:rPr>
              <w:t>عدم العلم بالتحریم</w:t>
            </w:r>
            <w:r>
              <w:rPr>
                <w:rStyle w:val="IndexLink"/>
                <w:rtl w:val="true"/>
              </w:rPr>
              <w:t>:</w:t>
              <w:tab/>
            </w:r>
            <w:r>
              <w:rPr>
                <w:rStyle w:val="IndexLink"/>
              </w:rPr>
              <w:t>91</w:t>
            </w:r>
          </w:hyperlink>
        </w:p>
        <w:p>
          <w:pPr>
            <w:pStyle w:val="Contents6"/>
            <w:tabs>
              <w:tab w:val="clear" w:pos="7609"/>
              <w:tab w:val="right" w:pos="9026" w:leader="dot"/>
            </w:tabs>
            <w:rPr/>
          </w:pPr>
          <w:hyperlink w:anchor="__RefHeading___Toc9530559_73709187">
            <w:r>
              <w:rPr>
                <w:webHidden/>
                <w:rStyle w:val="IndexLink"/>
                <w:rtl w:val="true"/>
              </w:rPr>
              <w:t>ب</w:t>
            </w:r>
            <w:r>
              <w:rPr>
                <w:rStyle w:val="IndexLink"/>
                <w:rtl w:val="true"/>
              </w:rPr>
              <w:t xml:space="preserve">: </w:t>
            </w:r>
            <w:r>
              <w:rPr>
                <w:rStyle w:val="IndexLink"/>
                <w:rtl w:val="true"/>
              </w:rPr>
              <w:t>ظنّ الحلیّة</w:t>
            </w:r>
            <w:r>
              <w:rPr>
                <w:rStyle w:val="IndexLink"/>
                <w:rtl w:val="true"/>
              </w:rPr>
              <w:tab/>
            </w:r>
            <w:r>
              <w:rPr>
                <w:rStyle w:val="IndexLink"/>
              </w:rPr>
              <w:t>92</w:t>
            </w:r>
          </w:hyperlink>
        </w:p>
        <w:p>
          <w:pPr>
            <w:pStyle w:val="Contents6"/>
            <w:tabs>
              <w:tab w:val="clear" w:pos="7609"/>
              <w:tab w:val="right" w:pos="9026" w:leader="dot"/>
            </w:tabs>
            <w:rPr/>
          </w:pPr>
          <w:hyperlink w:anchor="__RefHeading___Toc9530561_73709187">
            <w:r>
              <w:rPr>
                <w:webHidden/>
                <w:rStyle w:val="IndexLink"/>
                <w:rtl w:val="true"/>
              </w:rPr>
              <w:t>ج</w:t>
            </w:r>
            <w:r>
              <w:rPr>
                <w:rStyle w:val="IndexLink"/>
                <w:rtl w:val="true"/>
              </w:rPr>
              <w:t xml:space="preserve">: </w:t>
            </w:r>
            <w:r>
              <w:rPr>
                <w:rStyle w:val="IndexLink"/>
                <w:rtl w:val="true"/>
              </w:rPr>
              <w:t>الاعتقاد بالحلّیة</w:t>
            </w:r>
            <w:r>
              <w:rPr>
                <w:rStyle w:val="IndexLink"/>
                <w:rtl w:val="true"/>
              </w:rPr>
              <w:tab/>
            </w:r>
            <w:r>
              <w:rPr>
                <w:rStyle w:val="IndexLink"/>
              </w:rPr>
              <w:t>95</w:t>
            </w:r>
          </w:hyperlink>
        </w:p>
        <w:p>
          <w:pPr>
            <w:pStyle w:val="Contents5"/>
            <w:tabs>
              <w:tab w:val="clear" w:pos="7892"/>
              <w:tab w:val="right" w:pos="9026" w:leader="dot"/>
            </w:tabs>
            <w:rPr/>
          </w:pPr>
          <w:hyperlink w:anchor="__RefHeading___Toc9530563_73709187">
            <w:r>
              <w:rPr>
                <w:webHidden/>
                <w:rStyle w:val="IndexLink"/>
                <w:rtl w:val="true"/>
              </w:rPr>
              <w:t>إلحاق الولد فی الشبهة</w:t>
            </w:r>
            <w:r>
              <w:rPr>
                <w:rStyle w:val="IndexLink"/>
                <w:rtl w:val="true"/>
              </w:rPr>
              <w:tab/>
            </w:r>
            <w:r>
              <w:rPr>
                <w:rStyle w:val="IndexLink"/>
              </w:rPr>
              <w:t>100</w:t>
            </w:r>
          </w:hyperlink>
        </w:p>
        <w:p>
          <w:pPr>
            <w:pStyle w:val="Contents6"/>
            <w:tabs>
              <w:tab w:val="clear" w:pos="7609"/>
              <w:tab w:val="right" w:pos="9026" w:leader="dot"/>
            </w:tabs>
            <w:rPr/>
          </w:pPr>
          <w:hyperlink w:anchor="__RefHeading___Toc9530565_73709187">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530567_73709187">
            <w:r>
              <w:rPr>
                <w:webHidden/>
                <w:rStyle w:val="IndexLink"/>
                <w:rtl w:val="true"/>
              </w:rPr>
              <w:t>هنا فرعان ینبغی ذکرهما</w:t>
            </w:r>
            <w:r>
              <w:rPr>
                <w:rStyle w:val="IndexLink"/>
                <w:rtl w:val="true"/>
              </w:rPr>
              <w:tab/>
            </w:r>
            <w:r>
              <w:rPr>
                <w:rStyle w:val="IndexLink"/>
              </w:rPr>
              <w:t>102</w:t>
            </w:r>
          </w:hyperlink>
        </w:p>
        <w:p>
          <w:pPr>
            <w:pStyle w:val="Contents6"/>
            <w:tabs>
              <w:tab w:val="clear" w:pos="7609"/>
              <w:tab w:val="right" w:pos="9026" w:leader="dot"/>
            </w:tabs>
            <w:rPr/>
          </w:pPr>
          <w:hyperlink w:anchor="__RefHeading___Toc9530569_73709187">
            <w:r>
              <w:rPr>
                <w:webHidden/>
                <w:rStyle w:val="IndexLink"/>
                <w:rtl w:val="true"/>
              </w:rPr>
              <w:t>الأوّل</w:t>
            </w:r>
            <w:r>
              <w:rPr>
                <w:rStyle w:val="IndexLink"/>
                <w:rtl w:val="true"/>
              </w:rPr>
              <w:t xml:space="preserve">: </w:t>
            </w:r>
            <w:r>
              <w:rPr>
                <w:rStyle w:val="IndexLink"/>
                <w:rtl w:val="true"/>
              </w:rPr>
              <w:t>لو طلّقها ثمّ بعد تمام العدّة وطئت بشبهة ثمّ أتت بولدٍ</w:t>
            </w:r>
            <w:r>
              <w:rPr>
                <w:rStyle w:val="IndexLink"/>
                <w:rtl w:val="true"/>
              </w:rPr>
              <w:tab/>
            </w:r>
            <w:r>
              <w:rPr>
                <w:rStyle w:val="IndexLink"/>
              </w:rPr>
              <w:t>102</w:t>
            </w:r>
          </w:hyperlink>
        </w:p>
        <w:p>
          <w:pPr>
            <w:pStyle w:val="Contents6"/>
            <w:tabs>
              <w:tab w:val="clear" w:pos="7609"/>
              <w:tab w:val="right" w:pos="9026" w:leader="dot"/>
            </w:tabs>
            <w:rPr/>
          </w:pPr>
          <w:hyperlink w:anchor="__RefHeading___Toc9530571_73709187">
            <w:r>
              <w:rPr>
                <w:webHidden/>
                <w:rStyle w:val="IndexLink"/>
                <w:rtl w:val="true"/>
              </w:rPr>
              <w:t>الثانی</w:t>
            </w:r>
            <w:r>
              <w:rPr>
                <w:rStyle w:val="IndexLink"/>
                <w:rtl w:val="true"/>
              </w:rPr>
              <w:t xml:space="preserve">: </w:t>
            </w:r>
            <w:r>
              <w:rPr>
                <w:rStyle w:val="IndexLink"/>
                <w:rtl w:val="true"/>
              </w:rPr>
              <w:t>إذا کانت تحت زوج و وطأها شخص آخر بشبهة ثمّ أتت بولد</w:t>
            </w:r>
            <w:r>
              <w:rPr>
                <w:rStyle w:val="IndexLink"/>
                <w:rtl w:val="true"/>
              </w:rPr>
              <w:tab/>
            </w:r>
            <w:r>
              <w:rPr>
                <w:rStyle w:val="IndexLink"/>
              </w:rPr>
              <w:t>103</w:t>
            </w:r>
          </w:hyperlink>
        </w:p>
        <w:p>
          <w:pPr>
            <w:pStyle w:val="Contents5"/>
            <w:tabs>
              <w:tab w:val="clear" w:pos="7892"/>
              <w:tab w:val="right" w:pos="9026" w:leader="dot"/>
            </w:tabs>
            <w:rPr/>
          </w:pPr>
          <w:hyperlink w:anchor="__RefHeading___Toc9530573_73709187">
            <w:r>
              <w:rPr>
                <w:webHidden/>
                <w:rStyle w:val="IndexLink"/>
                <w:rtl w:val="true"/>
              </w:rPr>
              <w:t>آراء أهل السنّة فی إلحاق الولد عند الشبهة</w:t>
            </w:r>
            <w:r>
              <w:rPr>
                <w:rStyle w:val="IndexLink"/>
                <w:rtl w:val="true"/>
              </w:rPr>
              <w:tab/>
            </w:r>
            <w:r>
              <w:rPr>
                <w:rStyle w:val="IndexLink"/>
              </w:rPr>
              <w:t>104</w:t>
            </w:r>
          </w:hyperlink>
        </w:p>
        <w:p>
          <w:pPr>
            <w:pStyle w:val="Contents5"/>
            <w:tabs>
              <w:tab w:val="clear" w:pos="7892"/>
              <w:tab w:val="right" w:pos="9026" w:leader="dot"/>
            </w:tabs>
            <w:rPr/>
          </w:pPr>
          <w:hyperlink w:anchor="__RefHeading___Toc9530575_73709187">
            <w:r>
              <w:rPr>
                <w:webHidden/>
                <w:rStyle w:val="IndexLink"/>
                <w:rtl w:val="true"/>
              </w:rPr>
              <w:t>إیضاح</w:t>
            </w:r>
            <w:r>
              <w:rPr>
                <w:rStyle w:val="IndexLink"/>
                <w:rtl w:val="true"/>
              </w:rPr>
              <w:t>:</w:t>
              <w:tab/>
            </w:r>
            <w:r>
              <w:rPr>
                <w:rStyle w:val="IndexLink"/>
              </w:rPr>
              <w:t>105</w:t>
            </w:r>
          </w:hyperlink>
        </w:p>
        <w:p>
          <w:pPr>
            <w:pStyle w:val="Contents6"/>
            <w:tabs>
              <w:tab w:val="clear" w:pos="7609"/>
              <w:tab w:val="right" w:pos="9026" w:leader="dot"/>
            </w:tabs>
            <w:rPr/>
          </w:pPr>
          <w:hyperlink w:anchor="__RefHeading___Toc9530577_73709187">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9530579_73709187">
            <w:r>
              <w:rPr>
                <w:webHidden/>
                <w:rStyle w:val="IndexLink"/>
                <w:rtl w:val="true"/>
              </w:rPr>
              <w:t>رأی أهل السنة فی المسألة</w:t>
            </w:r>
            <w:r>
              <w:rPr>
                <w:rStyle w:val="IndexLink"/>
                <w:rtl w:val="true"/>
              </w:rPr>
              <w:tab/>
            </w:r>
            <w:r>
              <w:rPr>
                <w:rStyle w:val="IndexLink"/>
              </w:rPr>
              <w:t>106</w:t>
            </w:r>
          </w:hyperlink>
        </w:p>
        <w:p>
          <w:pPr>
            <w:pStyle w:val="Contents4"/>
            <w:tabs>
              <w:tab w:val="clear" w:pos="8176"/>
              <w:tab w:val="right" w:pos="9026" w:leader="dot"/>
            </w:tabs>
            <w:rPr/>
          </w:pPr>
          <w:hyperlink w:anchor="__RefHeading___Toc9530581_73709187">
            <w:r>
              <w:rPr>
                <w:webHidden/>
                <w:rStyle w:val="IndexLink"/>
                <w:rtl w:val="true"/>
              </w:rPr>
              <w:t>المبحث الخامس</w:t>
            </w:r>
            <w:r>
              <w:rPr>
                <w:rStyle w:val="IndexLink"/>
                <w:rtl w:val="true"/>
              </w:rPr>
              <w:t xml:space="preserve">: </w:t>
            </w:r>
            <w:r>
              <w:rPr>
                <w:rStyle w:val="IndexLink"/>
                <w:rtl w:val="true"/>
              </w:rPr>
              <w:t>عدم ثبوت النسب بالزنا</w:t>
            </w:r>
            <w:r>
              <w:rPr>
                <w:rStyle w:val="IndexLink"/>
                <w:rtl w:val="true"/>
              </w:rPr>
              <w:tab/>
            </w:r>
            <w:r>
              <w:rPr>
                <w:rStyle w:val="IndexLink"/>
              </w:rPr>
              <w:t>108</w:t>
            </w:r>
          </w:hyperlink>
        </w:p>
        <w:p>
          <w:pPr>
            <w:pStyle w:val="Contents5"/>
            <w:tabs>
              <w:tab w:val="clear" w:pos="7892"/>
              <w:tab w:val="right" w:pos="9026" w:leader="dot"/>
            </w:tabs>
            <w:rPr/>
          </w:pPr>
          <w:hyperlink w:anchor="__RefHeading___Toc9530583_7370918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9530585_73709187">
            <w:r>
              <w:rPr>
                <w:webHidden/>
                <w:rStyle w:val="IndexLink"/>
                <w:rtl w:val="true"/>
              </w:rPr>
              <w:t>إیضاح</w:t>
            </w:r>
            <w:r>
              <w:rPr>
                <w:rStyle w:val="IndexLink"/>
                <w:rtl w:val="true"/>
              </w:rPr>
              <w:t>:</w:t>
              <w:tab/>
            </w:r>
            <w:r>
              <w:rPr>
                <w:rStyle w:val="IndexLink"/>
              </w:rPr>
              <w:t>112</w:t>
            </w:r>
          </w:hyperlink>
        </w:p>
        <w:p>
          <w:pPr>
            <w:pStyle w:val="Contents5"/>
            <w:tabs>
              <w:tab w:val="clear" w:pos="7892"/>
              <w:tab w:val="right" w:pos="9026" w:leader="dot"/>
            </w:tabs>
            <w:rPr/>
          </w:pPr>
          <w:hyperlink w:anchor="__RefHeading___Toc9530587_73709187">
            <w:r>
              <w:rPr>
                <w:webHidden/>
                <w:rStyle w:val="IndexLink"/>
                <w:rtl w:val="true"/>
              </w:rPr>
              <w:t>نسب ولد الزنا عند أهل السنّة</w:t>
            </w:r>
            <w:r>
              <w:rPr>
                <w:rStyle w:val="IndexLink"/>
                <w:rtl w:val="true"/>
              </w:rPr>
              <w:tab/>
            </w:r>
            <w:r>
              <w:rPr>
                <w:rStyle w:val="IndexLink"/>
              </w:rPr>
              <w:t>112</w:t>
            </w:r>
          </w:hyperlink>
        </w:p>
        <w:p>
          <w:pPr>
            <w:pStyle w:val="Contents4"/>
            <w:tabs>
              <w:tab w:val="clear" w:pos="8176"/>
              <w:tab w:val="right" w:pos="9026" w:leader="dot"/>
            </w:tabs>
            <w:rPr/>
          </w:pPr>
          <w:hyperlink w:anchor="__RefHeading___Toc9530589_73709187">
            <w:r>
              <w:rPr>
                <w:webHidden/>
                <w:rStyle w:val="IndexLink"/>
                <w:rtl w:val="true"/>
              </w:rPr>
              <w:t>المبحث السادس</w:t>
            </w:r>
            <w:r>
              <w:rPr>
                <w:rStyle w:val="IndexLink"/>
                <w:rtl w:val="true"/>
              </w:rPr>
              <w:t xml:space="preserve">: </w:t>
            </w:r>
            <w:r>
              <w:rPr>
                <w:rStyle w:val="IndexLink"/>
                <w:rtl w:val="true"/>
              </w:rPr>
              <w:t>إلحاق ولد الملاعنة باُمّه</w:t>
            </w:r>
            <w:r>
              <w:rPr>
                <w:rStyle w:val="IndexLink"/>
                <w:rtl w:val="true"/>
              </w:rPr>
              <w:tab/>
            </w:r>
            <w:r>
              <w:rPr>
                <w:rStyle w:val="IndexLink"/>
              </w:rPr>
              <w:t>114</w:t>
            </w:r>
          </w:hyperlink>
        </w:p>
        <w:p>
          <w:pPr>
            <w:pStyle w:val="Contents5"/>
            <w:tabs>
              <w:tab w:val="clear" w:pos="7892"/>
              <w:tab w:val="right" w:pos="9026" w:leader="dot"/>
            </w:tabs>
            <w:rPr/>
          </w:pPr>
          <w:hyperlink w:anchor="__RefHeading___Toc9530591_7370918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9530593_73709187">
            <w:r>
              <w:rPr>
                <w:webHidden/>
                <w:rStyle w:val="IndexLink"/>
                <w:rtl w:val="true"/>
              </w:rPr>
              <w:t>رأی أهل السنّة فی إلحاق ولد الملاعنة بالاُمّ‌</w:t>
            </w:r>
            <w:r>
              <w:rPr>
                <w:rStyle w:val="IndexLink"/>
                <w:rtl w:val="true"/>
              </w:rPr>
              <w:tab/>
            </w:r>
            <w:r>
              <w:rPr>
                <w:rStyle w:val="IndexLink"/>
              </w:rPr>
              <w:t>116</w:t>
            </w:r>
          </w:hyperlink>
        </w:p>
        <w:p>
          <w:pPr>
            <w:pStyle w:val="Contents5"/>
            <w:tabs>
              <w:tab w:val="clear" w:pos="7892"/>
              <w:tab w:val="right" w:pos="9026" w:leader="dot"/>
            </w:tabs>
            <w:rPr/>
          </w:pPr>
          <w:hyperlink w:anchor="__RefHeading___Toc9530595_73709187">
            <w:r>
              <w:rPr>
                <w:webHidden/>
                <w:rStyle w:val="IndexLink"/>
                <w:rtl w:val="true"/>
              </w:rPr>
              <w:t>فرعان</w:t>
            </w:r>
            <w:r>
              <w:rPr>
                <w:rStyle w:val="IndexLink"/>
                <w:rtl w:val="true"/>
              </w:rPr>
              <w:tab/>
            </w:r>
            <w:r>
              <w:rPr>
                <w:rStyle w:val="IndexLink"/>
              </w:rPr>
              <w:t>117</w:t>
            </w:r>
          </w:hyperlink>
        </w:p>
        <w:p>
          <w:pPr>
            <w:pStyle w:val="Contents6"/>
            <w:tabs>
              <w:tab w:val="clear" w:pos="7609"/>
              <w:tab w:val="right" w:pos="9026" w:leader="dot"/>
            </w:tabs>
            <w:rPr/>
          </w:pPr>
          <w:hyperlink w:anchor="__RefHeading___Toc9530597_73709187">
            <w:r>
              <w:rPr>
                <w:webHidden/>
                <w:rStyle w:val="IndexLink"/>
                <w:rtl w:val="true"/>
              </w:rPr>
              <w:t>الأوّل</w:t>
            </w:r>
            <w:r>
              <w:rPr>
                <w:rStyle w:val="IndexLink"/>
                <w:rtl w:val="true"/>
              </w:rPr>
              <w:t xml:space="preserve">: </w:t>
            </w:r>
            <w:r>
              <w:rPr>
                <w:rStyle w:val="IndexLink"/>
                <w:rtl w:val="true"/>
              </w:rPr>
              <w:t>لا یجوز للرجل أن ینکر ولدیّة مَن تولّد فی فراشه مع إمکان لحوقه به</w:t>
            </w:r>
            <w:r>
              <w:rPr>
                <w:rStyle w:val="IndexLink"/>
                <w:rtl w:val="true"/>
              </w:rPr>
              <w:tab/>
            </w:r>
            <w:r>
              <w:rPr>
                <w:rStyle w:val="IndexLink"/>
              </w:rPr>
              <w:t>117</w:t>
            </w:r>
          </w:hyperlink>
        </w:p>
        <w:p>
          <w:pPr>
            <w:pStyle w:val="Contents6"/>
            <w:tabs>
              <w:tab w:val="clear" w:pos="7609"/>
              <w:tab w:val="right" w:pos="9026" w:leader="dot"/>
            </w:tabs>
            <w:rPr/>
          </w:pPr>
          <w:hyperlink w:anchor="__RefHeading___Toc9530599_73709187">
            <w:r>
              <w:rPr>
                <w:webHidden/>
                <w:rStyle w:val="IndexLink"/>
                <w:rtl w:val="true"/>
              </w:rPr>
              <w:t>الثانی</w:t>
            </w:r>
            <w:r>
              <w:rPr>
                <w:rStyle w:val="IndexLink"/>
                <w:rtl w:val="true"/>
              </w:rPr>
              <w:t xml:space="preserve">: </w:t>
            </w:r>
            <w:r>
              <w:rPr>
                <w:rStyle w:val="IndexLink"/>
                <w:rtl w:val="true"/>
              </w:rPr>
              <w:t>إنّما یشرع اللعان لنفی الولد إذا کانت المرأة منکوحة بالعقد الدائم</w:t>
            </w:r>
            <w:r>
              <w:rPr>
                <w:rStyle w:val="IndexLink"/>
                <w:rtl w:val="true"/>
              </w:rPr>
              <w:tab/>
            </w:r>
            <w:r>
              <w:rPr>
                <w:rStyle w:val="IndexLink"/>
              </w:rPr>
              <w:t>117</w:t>
            </w:r>
          </w:hyperlink>
        </w:p>
        <w:p>
          <w:pPr>
            <w:pStyle w:val="Contents4"/>
            <w:tabs>
              <w:tab w:val="clear" w:pos="8176"/>
              <w:tab w:val="right" w:pos="9026" w:leader="dot"/>
            </w:tabs>
            <w:rPr/>
          </w:pPr>
          <w:hyperlink w:anchor="__RefHeading___Toc9530601_73709187">
            <w:r>
              <w:rPr>
                <w:webHidden/>
                <w:rStyle w:val="IndexLink"/>
                <w:rtl w:val="true"/>
              </w:rPr>
              <w:t>المبحث السابع</w:t>
            </w:r>
            <w:r>
              <w:rPr>
                <w:rStyle w:val="IndexLink"/>
                <w:rtl w:val="true"/>
              </w:rPr>
              <w:t xml:space="preserve">: </w:t>
            </w:r>
            <w:r>
              <w:rPr>
                <w:rStyle w:val="IndexLink"/>
                <w:rtl w:val="true"/>
              </w:rPr>
              <w:t>حکم التلقیح و أطفال الأنابیب</w:t>
            </w:r>
            <w:r>
              <w:rPr>
                <w:rStyle w:val="IndexLink"/>
                <w:rtl w:val="true"/>
              </w:rPr>
              <w:tab/>
            </w:r>
            <w:r>
              <w:rPr>
                <w:rStyle w:val="IndexLink"/>
              </w:rPr>
              <w:t>118</w:t>
            </w:r>
          </w:hyperlink>
        </w:p>
        <w:p>
          <w:pPr>
            <w:pStyle w:val="Contents5"/>
            <w:tabs>
              <w:tab w:val="clear" w:pos="7892"/>
              <w:tab w:val="right" w:pos="9026" w:leader="dot"/>
            </w:tabs>
            <w:rPr/>
          </w:pPr>
          <w:hyperlink w:anchor="__RefHeading___Toc9530603_73709187">
            <w:r>
              <w:rPr>
                <w:webHidden/>
                <w:rStyle w:val="IndexLink"/>
                <w:rtl w:val="true"/>
              </w:rPr>
              <w:t>تمهید</w:t>
            </w:r>
            <w:r>
              <w:rPr>
                <w:rStyle w:val="IndexLink"/>
                <w:rtl w:val="true"/>
              </w:rPr>
              <w:t>:</w:t>
              <w:tab/>
            </w:r>
            <w:r>
              <w:rPr>
                <w:rStyle w:val="IndexLink"/>
              </w:rPr>
              <w:t>118</w:t>
            </w:r>
          </w:hyperlink>
        </w:p>
        <w:p>
          <w:pPr>
            <w:pStyle w:val="Contents5"/>
            <w:tabs>
              <w:tab w:val="clear" w:pos="7892"/>
              <w:tab w:val="right" w:pos="9026" w:leader="dot"/>
            </w:tabs>
            <w:rPr/>
          </w:pPr>
          <w:hyperlink w:anchor="__RefHeading___Toc9530605_73709187">
            <w:r>
              <w:rPr>
                <w:webHidden/>
                <w:rStyle w:val="IndexLink"/>
                <w:rtl w:val="true"/>
              </w:rPr>
              <w:t>التلقیح لغةً و اصطلاحاً</w:t>
            </w:r>
            <w:r>
              <w:rPr>
                <w:rStyle w:val="IndexLink"/>
                <w:rtl w:val="true"/>
              </w:rPr>
              <w:tab/>
            </w:r>
            <w:r>
              <w:rPr>
                <w:rStyle w:val="IndexLink"/>
              </w:rPr>
              <w:t>119</w:t>
            </w:r>
          </w:hyperlink>
        </w:p>
        <w:p>
          <w:pPr>
            <w:pStyle w:val="Contents6"/>
            <w:tabs>
              <w:tab w:val="clear" w:pos="7609"/>
              <w:tab w:val="right" w:pos="9026" w:leader="dot"/>
            </w:tabs>
            <w:rPr/>
          </w:pPr>
          <w:hyperlink w:anchor="__RefHeading___Toc9530607_7370918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9530609_73709187">
            <w:r>
              <w:rPr>
                <w:webHidden/>
                <w:rStyle w:val="IndexLink"/>
                <w:rtl w:val="true"/>
              </w:rPr>
              <w:t>التلقیح الطبیعی</w:t>
            </w:r>
            <w:r>
              <w:rPr>
                <w:rStyle w:val="IndexLink"/>
                <w:rtl w:val="true"/>
              </w:rPr>
              <w:t>:</w:t>
              <w:tab/>
            </w:r>
            <w:r>
              <w:rPr>
                <w:rStyle w:val="IndexLink"/>
              </w:rPr>
              <w:t>120</w:t>
            </w:r>
          </w:hyperlink>
        </w:p>
        <w:p>
          <w:pPr>
            <w:pStyle w:val="Contents6"/>
            <w:tabs>
              <w:tab w:val="clear" w:pos="7609"/>
              <w:tab w:val="right" w:pos="9026" w:leader="dot"/>
            </w:tabs>
            <w:rPr/>
          </w:pPr>
          <w:hyperlink w:anchor="__RefHeading___Toc9530611_73709187">
            <w:r>
              <w:rPr>
                <w:webHidden/>
                <w:rStyle w:val="IndexLink"/>
                <w:rtl w:val="true"/>
              </w:rPr>
              <w:t>التلقیح الصناعی</w:t>
            </w:r>
            <w:r>
              <w:rPr>
                <w:rStyle w:val="IndexLink"/>
                <w:rtl w:val="true"/>
              </w:rPr>
              <w:t>:</w:t>
              <w:tab/>
            </w:r>
            <w:r>
              <w:rPr>
                <w:rStyle w:val="IndexLink"/>
              </w:rPr>
              <w:t>120</w:t>
            </w:r>
          </w:hyperlink>
        </w:p>
        <w:p>
          <w:pPr>
            <w:pStyle w:val="Contents6"/>
            <w:tabs>
              <w:tab w:val="clear" w:pos="7609"/>
              <w:tab w:val="right" w:pos="9026" w:leader="dot"/>
            </w:tabs>
            <w:rPr/>
          </w:pPr>
          <w:hyperlink w:anchor="__RefHeading___Toc9530613_73709187">
            <w:r>
              <w:rPr>
                <w:webHidden/>
                <w:rStyle w:val="IndexLink"/>
                <w:rtl w:val="true"/>
              </w:rPr>
              <w:t>أ</w:t>
            </w:r>
            <w:r>
              <w:rPr>
                <w:rStyle w:val="IndexLink"/>
                <w:rtl w:val="true"/>
              </w:rPr>
              <w:t xml:space="preserve">: </w:t>
            </w:r>
            <w:r>
              <w:rPr>
                <w:rStyle w:val="IndexLink"/>
                <w:rtl w:val="true"/>
              </w:rPr>
              <w:t>التلقیح الداخلی</w:t>
            </w:r>
            <w:r>
              <w:rPr>
                <w:rStyle w:val="IndexLink"/>
                <w:rtl w:val="true"/>
              </w:rPr>
              <w:t>:</w:t>
              <w:tab/>
            </w:r>
            <w:r>
              <w:rPr>
                <w:rStyle w:val="IndexLink"/>
              </w:rPr>
              <w:t>120</w:t>
            </w:r>
          </w:hyperlink>
        </w:p>
        <w:p>
          <w:pPr>
            <w:pStyle w:val="Contents6"/>
            <w:tabs>
              <w:tab w:val="clear" w:pos="7609"/>
              <w:tab w:val="right" w:pos="9026" w:leader="dot"/>
            </w:tabs>
            <w:rPr/>
          </w:pPr>
          <w:hyperlink w:anchor="__RefHeading___Toc9530615_73709187">
            <w:r>
              <w:rPr>
                <w:webHidden/>
                <w:rStyle w:val="IndexLink"/>
                <w:rtl w:val="true"/>
              </w:rPr>
              <w:t>ب</w:t>
            </w:r>
            <w:r>
              <w:rPr>
                <w:rStyle w:val="IndexLink"/>
                <w:rtl w:val="true"/>
              </w:rPr>
              <w:t xml:space="preserve">: </w:t>
            </w:r>
            <w:r>
              <w:rPr>
                <w:rStyle w:val="IndexLink"/>
                <w:rtl w:val="true"/>
              </w:rPr>
              <w:t>التلقیح الخارجی</w:t>
            </w:r>
            <w:r>
              <w:rPr>
                <w:rStyle w:val="IndexLink"/>
                <w:rtl w:val="true"/>
              </w:rPr>
              <w:t>:</w:t>
              <w:tab/>
            </w:r>
            <w:r>
              <w:rPr>
                <w:rStyle w:val="IndexLink"/>
              </w:rPr>
              <w:t>121</w:t>
            </w:r>
          </w:hyperlink>
        </w:p>
        <w:p>
          <w:pPr>
            <w:pStyle w:val="Contents5"/>
            <w:tabs>
              <w:tab w:val="clear" w:pos="7892"/>
              <w:tab w:val="right" w:pos="9026" w:leader="dot"/>
            </w:tabs>
            <w:rPr/>
          </w:pPr>
          <w:hyperlink w:anchor="__RefHeading___Toc9530617_73709187">
            <w:r>
              <w:rPr>
                <w:webHidden/>
                <w:rStyle w:val="IndexLink"/>
                <w:rtl w:val="true"/>
              </w:rPr>
              <w:t>صور التلقیح</w:t>
            </w:r>
            <w:r>
              <w:rPr>
                <w:rStyle w:val="IndexLink"/>
                <w:rtl w:val="true"/>
              </w:rPr>
              <w:tab/>
            </w:r>
            <w:r>
              <w:rPr>
                <w:rStyle w:val="IndexLink"/>
              </w:rPr>
              <w:t>121</w:t>
            </w:r>
          </w:hyperlink>
        </w:p>
        <w:p>
          <w:pPr>
            <w:pStyle w:val="Contents6"/>
            <w:tabs>
              <w:tab w:val="clear" w:pos="7609"/>
              <w:tab w:val="right" w:pos="9026" w:leader="dot"/>
            </w:tabs>
            <w:rPr/>
          </w:pPr>
          <w:hyperlink w:anchor="__RefHeading___Toc9530619_73709187">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9530621_73709187">
            <w:r>
              <w:rPr>
                <w:webHidden/>
                <w:rStyle w:val="IndexLink"/>
                <w:rtl w:val="true"/>
              </w:rPr>
              <w:t>الصورة الاُولی</w:t>
            </w:r>
            <w:r>
              <w:rPr>
                <w:rStyle w:val="IndexLink"/>
                <w:rtl w:val="true"/>
              </w:rPr>
              <w:t xml:space="preserve">: </w:t>
            </w:r>
            <w:r>
              <w:rPr>
                <w:rStyle w:val="IndexLink"/>
                <w:rtl w:val="true"/>
              </w:rPr>
              <w:t>أن تؤخذ البییضة من المرأة عند خروجها من المبیض</w:t>
            </w:r>
            <w:r>
              <w:rPr>
                <w:rStyle w:val="IndexLink"/>
                <w:rtl w:val="true"/>
              </w:rPr>
              <w:tab/>
            </w:r>
            <w:r>
              <w:rPr>
                <w:rStyle w:val="IndexLink"/>
              </w:rPr>
              <w:t>121</w:t>
            </w:r>
          </w:hyperlink>
        </w:p>
        <w:p>
          <w:pPr>
            <w:pStyle w:val="Contents6"/>
            <w:tabs>
              <w:tab w:val="clear" w:pos="7609"/>
              <w:tab w:val="right" w:pos="9026" w:leader="dot"/>
            </w:tabs>
            <w:rPr/>
          </w:pPr>
          <w:hyperlink w:anchor="__RefHeading___Toc9530623_73709187">
            <w:r>
              <w:rPr>
                <w:webHidden/>
                <w:rStyle w:val="IndexLink"/>
                <w:rtl w:val="true"/>
              </w:rPr>
              <w:t>الصورة الثانیة</w:t>
            </w:r>
            <w:r>
              <w:rPr>
                <w:rStyle w:val="IndexLink"/>
                <w:rtl w:val="true"/>
              </w:rPr>
              <w:t xml:space="preserve">: </w:t>
            </w:r>
            <w:r>
              <w:rPr>
                <w:rStyle w:val="IndexLink"/>
                <w:rtl w:val="true"/>
              </w:rPr>
              <w:t>أن ینتقل منیّ الرجل فی رحم زوجته بواسطة الآلات الطبّیة الحدیثة</w:t>
            </w:r>
            <w:r>
              <w:rPr>
                <w:rStyle w:val="IndexLink"/>
                <w:rtl w:val="true"/>
              </w:rPr>
              <w:tab/>
            </w:r>
            <w:r>
              <w:rPr>
                <w:rStyle w:val="IndexLink"/>
              </w:rPr>
              <w:t>122</w:t>
            </w:r>
          </w:hyperlink>
        </w:p>
        <w:p>
          <w:pPr>
            <w:pStyle w:val="Contents6"/>
            <w:tabs>
              <w:tab w:val="clear" w:pos="7609"/>
              <w:tab w:val="right" w:pos="9026" w:leader="dot"/>
            </w:tabs>
            <w:rPr/>
          </w:pPr>
          <w:hyperlink w:anchor="__RefHeading___Toc9530625_73709187">
            <w:r>
              <w:rPr>
                <w:webHidden/>
                <w:rStyle w:val="IndexLink"/>
                <w:rtl w:val="true"/>
              </w:rPr>
              <w:t>الصورة الثالثة</w:t>
            </w:r>
            <w:r>
              <w:rPr>
                <w:rStyle w:val="IndexLink"/>
                <w:rtl w:val="true"/>
              </w:rPr>
              <w:t xml:space="preserve">: </w:t>
            </w:r>
            <w:r>
              <w:rPr>
                <w:rStyle w:val="IndexLink"/>
                <w:rtl w:val="true"/>
              </w:rPr>
              <w:t>نقل نطفة الزوجین إلی زوجة اخری لهذا الزوج</w:t>
            </w:r>
            <w:r>
              <w:rPr>
                <w:rStyle w:val="IndexLink"/>
                <w:rtl w:val="true"/>
              </w:rPr>
              <w:tab/>
            </w:r>
            <w:r>
              <w:rPr>
                <w:rStyle w:val="IndexLink"/>
              </w:rPr>
              <w:t>122</w:t>
            </w:r>
          </w:hyperlink>
        </w:p>
        <w:p>
          <w:pPr>
            <w:pStyle w:val="Contents6"/>
            <w:tabs>
              <w:tab w:val="clear" w:pos="7609"/>
              <w:tab w:val="right" w:pos="9026" w:leader="dot"/>
            </w:tabs>
            <w:rPr/>
          </w:pPr>
          <w:hyperlink w:anchor="__RefHeading___Toc9530627_73709187">
            <w:r>
              <w:rPr>
                <w:webHidden/>
                <w:rStyle w:val="IndexLink"/>
                <w:rtl w:val="true"/>
              </w:rPr>
              <w:t>الصورة الرابعة</w:t>
            </w:r>
            <w:r>
              <w:rPr>
                <w:rStyle w:val="IndexLink"/>
                <w:rtl w:val="true"/>
              </w:rPr>
              <w:t xml:space="preserve">: </w:t>
            </w:r>
            <w:r>
              <w:rPr>
                <w:rStyle w:val="IndexLink"/>
                <w:rtl w:val="true"/>
              </w:rPr>
              <w:t>أن یجعل منیّ الرجل الأجنبی فی رحم المرأة الأجنبیّة،</w:t>
            </w:r>
            <w:r>
              <w:rPr>
                <w:rStyle w:val="IndexLink"/>
                <w:rtl w:val="true"/>
              </w:rPr>
              <w:tab/>
            </w:r>
            <w:r>
              <w:rPr>
                <w:rStyle w:val="IndexLink"/>
              </w:rPr>
              <w:t>122</w:t>
            </w:r>
          </w:hyperlink>
        </w:p>
        <w:p>
          <w:pPr>
            <w:pStyle w:val="Contents6"/>
            <w:tabs>
              <w:tab w:val="clear" w:pos="7609"/>
              <w:tab w:val="right" w:pos="9026" w:leader="dot"/>
            </w:tabs>
            <w:rPr/>
          </w:pPr>
          <w:hyperlink w:anchor="__RefHeading___Toc9530629_73709187">
            <w:r>
              <w:rPr>
                <w:webHidden/>
                <w:rStyle w:val="IndexLink"/>
                <w:rtl w:val="true"/>
              </w:rPr>
              <w:t>الصورة الخامسة</w:t>
            </w:r>
            <w:r>
              <w:rPr>
                <w:rStyle w:val="IndexLink"/>
                <w:rtl w:val="true"/>
              </w:rPr>
              <w:t xml:space="preserve">: </w:t>
            </w:r>
            <w:r>
              <w:rPr>
                <w:rStyle w:val="IndexLink"/>
                <w:rtl w:val="true"/>
              </w:rPr>
              <w:t>أن تکون النطفة أی البویضة و الحویمن من زوجین عادةً،</w:t>
            </w:r>
            <w:r>
              <w:rPr>
                <w:rStyle w:val="IndexLink"/>
                <w:rtl w:val="true"/>
              </w:rPr>
              <w:tab/>
            </w:r>
            <w:r>
              <w:rPr>
                <w:rStyle w:val="IndexLink"/>
              </w:rPr>
              <w:t>123</w:t>
            </w:r>
          </w:hyperlink>
        </w:p>
        <w:p>
          <w:pPr>
            <w:pStyle w:val="Contents6"/>
            <w:tabs>
              <w:tab w:val="clear" w:pos="7609"/>
              <w:tab w:val="right" w:pos="9026" w:leader="dot"/>
            </w:tabs>
            <w:rPr/>
          </w:pPr>
          <w:hyperlink w:anchor="__RefHeading___Toc9530631_73709187">
            <w:r>
              <w:rPr>
                <w:webHidden/>
                <w:rStyle w:val="IndexLink"/>
                <w:rtl w:val="true"/>
              </w:rPr>
              <w:t>الصورة السادسة</w:t>
            </w:r>
            <w:r>
              <w:rPr>
                <w:rStyle w:val="IndexLink"/>
                <w:rtl w:val="true"/>
              </w:rPr>
              <w:t xml:space="preserve">: </w:t>
            </w:r>
            <w:r>
              <w:rPr>
                <w:rStyle w:val="IndexLink"/>
                <w:rtl w:val="true"/>
              </w:rPr>
              <w:t>تلقیح منیّ حیوان فی رحم امرأة أو بالعکس</w:t>
            </w:r>
            <w:r>
              <w:rPr>
                <w:rStyle w:val="IndexLink"/>
                <w:rtl w:val="true"/>
              </w:rPr>
              <w:tab/>
            </w:r>
            <w:r>
              <w:rPr>
                <w:rStyle w:val="IndexLink"/>
              </w:rPr>
              <w:t>124</w:t>
            </w:r>
          </w:hyperlink>
        </w:p>
        <w:p>
          <w:pPr>
            <w:pStyle w:val="Contents5"/>
            <w:tabs>
              <w:tab w:val="clear" w:pos="7892"/>
              <w:tab w:val="right" w:pos="9026" w:leader="dot"/>
            </w:tabs>
            <w:rPr/>
          </w:pPr>
          <w:hyperlink w:anchor="__RefHeading___Toc9530633_73709187">
            <w:r>
              <w:rPr>
                <w:webHidden/>
                <w:rStyle w:val="IndexLink"/>
                <w:rtl w:val="true"/>
              </w:rPr>
              <w:t>الحکم التکلیفی فی التلقیح الصناعی</w:t>
            </w:r>
            <w:r>
              <w:rPr>
                <w:rStyle w:val="IndexLink"/>
                <w:rtl w:val="true"/>
              </w:rPr>
              <w:tab/>
            </w:r>
            <w:r>
              <w:rPr>
                <w:rStyle w:val="IndexLink"/>
              </w:rPr>
              <w:t>124</w:t>
            </w:r>
          </w:hyperlink>
        </w:p>
        <w:p>
          <w:pPr>
            <w:pStyle w:val="Contents6"/>
            <w:tabs>
              <w:tab w:val="clear" w:pos="7609"/>
              <w:tab w:val="right" w:pos="9026" w:leader="dot"/>
            </w:tabs>
            <w:rPr/>
          </w:pPr>
          <w:hyperlink w:anchor="__RefHeading___Toc9530635_73709187">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9530637_73709187">
            <w:r>
              <w:rPr>
                <w:webHidden/>
                <w:rStyle w:val="IndexLink"/>
                <w:rtl w:val="true"/>
              </w:rPr>
              <w:t>المحاذیر المترتّبة علی التلقیح الصناعی</w:t>
            </w:r>
            <w:r>
              <w:rPr>
                <w:rStyle w:val="IndexLink"/>
                <w:rtl w:val="true"/>
              </w:rPr>
              <w:tab/>
            </w:r>
            <w:r>
              <w:rPr>
                <w:rStyle w:val="IndexLink"/>
              </w:rPr>
              <w:t>126</w:t>
            </w:r>
          </w:hyperlink>
        </w:p>
        <w:p>
          <w:pPr>
            <w:pStyle w:val="Contents6"/>
            <w:tabs>
              <w:tab w:val="clear" w:pos="7609"/>
              <w:tab w:val="right" w:pos="9026" w:leader="dot"/>
            </w:tabs>
            <w:rPr/>
          </w:pPr>
          <w:hyperlink w:anchor="__RefHeading___Toc9530639_73709187">
            <w:r>
              <w:rPr>
                <w:webHidden/>
                <w:rStyle w:val="IndexLink"/>
                <w:rtl w:val="true"/>
              </w:rPr>
              <w:t>أدلّة هذا الحکم</w:t>
            </w:r>
            <w:r>
              <w:rPr>
                <w:rStyle w:val="IndexLink"/>
                <w:rtl w:val="true"/>
              </w:rPr>
              <w:tab/>
            </w:r>
            <w:r>
              <w:rPr>
                <w:rStyle w:val="IndexLink"/>
              </w:rPr>
              <w:t>128</w:t>
            </w:r>
          </w:hyperlink>
        </w:p>
        <w:p>
          <w:pPr>
            <w:pStyle w:val="Contents6"/>
            <w:tabs>
              <w:tab w:val="clear" w:pos="7609"/>
              <w:tab w:val="right" w:pos="9026" w:leader="dot"/>
            </w:tabs>
            <w:rPr/>
          </w:pPr>
          <w:hyperlink w:anchor="__RefHeading___Toc9530641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128</w:t>
            </w:r>
          </w:hyperlink>
        </w:p>
        <w:p>
          <w:pPr>
            <w:pStyle w:val="Contents6"/>
            <w:tabs>
              <w:tab w:val="clear" w:pos="7609"/>
              <w:tab w:val="right" w:pos="9026" w:leader="dot"/>
            </w:tabs>
            <w:rPr/>
          </w:pPr>
          <w:hyperlink w:anchor="__RefHeading___Toc9530643_73709187">
            <w:r>
              <w:rPr>
                <w:webHidden/>
                <w:rStyle w:val="IndexLink"/>
                <w:rtl w:val="true"/>
              </w:rPr>
              <w:t>الثانی</w:t>
            </w:r>
            <w:r>
              <w:rPr>
                <w:rStyle w:val="IndexLink"/>
                <w:rtl w:val="true"/>
              </w:rPr>
              <w:t xml:space="preserve">: </w:t>
            </w:r>
            <w:r>
              <w:rPr>
                <w:rStyle w:val="IndexLink"/>
                <w:rtl w:val="true"/>
              </w:rPr>
              <w:t>النصوص</w:t>
            </w:r>
            <w:r>
              <w:rPr>
                <w:rStyle w:val="IndexLink"/>
                <w:rtl w:val="true"/>
              </w:rPr>
              <w:t>:</w:t>
              <w:tab/>
            </w:r>
            <w:r>
              <w:rPr>
                <w:rStyle w:val="IndexLink"/>
              </w:rPr>
              <w:t>132</w:t>
            </w:r>
          </w:hyperlink>
        </w:p>
        <w:p>
          <w:pPr>
            <w:pStyle w:val="Contents6"/>
            <w:tabs>
              <w:tab w:val="clear" w:pos="7609"/>
              <w:tab w:val="right" w:pos="9026" w:leader="dot"/>
            </w:tabs>
            <w:rPr/>
          </w:pPr>
          <w:hyperlink w:anchor="__RefHeading___Toc9530645_73709187">
            <w:r>
              <w:rPr>
                <w:webHidden/>
                <w:rStyle w:val="IndexLink"/>
                <w:rtl w:val="true"/>
              </w:rPr>
              <w:t>الثالث</w:t>
            </w:r>
            <w:r>
              <w:rPr>
                <w:rStyle w:val="IndexLink"/>
                <w:rtl w:val="true"/>
              </w:rPr>
              <w:t xml:space="preserve">: </w:t>
            </w:r>
            <w:r>
              <w:rPr>
                <w:rStyle w:val="IndexLink"/>
                <w:rtl w:val="true"/>
              </w:rPr>
              <w:t>التسالم بین الأصحاب</w:t>
            </w:r>
            <w:r>
              <w:rPr>
                <w:rStyle w:val="IndexLink"/>
                <w:rtl w:val="true"/>
              </w:rPr>
              <w:tab/>
            </w:r>
            <w:r>
              <w:rPr>
                <w:rStyle w:val="IndexLink"/>
              </w:rPr>
              <w:t>139</w:t>
            </w:r>
          </w:hyperlink>
        </w:p>
        <w:p>
          <w:pPr>
            <w:pStyle w:val="Contents6"/>
            <w:tabs>
              <w:tab w:val="clear" w:pos="7609"/>
              <w:tab w:val="right" w:pos="9026" w:leader="dot"/>
            </w:tabs>
            <w:rPr/>
          </w:pPr>
          <w:hyperlink w:anchor="__RefHeading___Toc9530647_73709187">
            <w:r>
              <w:rPr>
                <w:webHidden/>
                <w:rStyle w:val="IndexLink"/>
                <w:rtl w:val="true"/>
              </w:rPr>
              <w:t>الرابع</w:t>
            </w:r>
            <w:r>
              <w:rPr>
                <w:rStyle w:val="IndexLink"/>
                <w:rtl w:val="true"/>
              </w:rPr>
              <w:t xml:space="preserve">: </w:t>
            </w:r>
            <w:r>
              <w:rPr>
                <w:rStyle w:val="IndexLink"/>
                <w:rtl w:val="true"/>
              </w:rPr>
              <w:t>السیرة</w:t>
            </w:r>
            <w:r>
              <w:rPr>
                <w:rStyle w:val="IndexLink"/>
                <w:rtl w:val="true"/>
              </w:rPr>
              <w:tab/>
            </w:r>
            <w:r>
              <w:rPr>
                <w:rStyle w:val="IndexLink"/>
              </w:rPr>
              <w:t>139</w:t>
            </w:r>
          </w:hyperlink>
        </w:p>
        <w:p>
          <w:pPr>
            <w:pStyle w:val="Contents6"/>
            <w:tabs>
              <w:tab w:val="clear" w:pos="7609"/>
              <w:tab w:val="right" w:pos="9026" w:leader="dot"/>
            </w:tabs>
            <w:rPr/>
          </w:pPr>
          <w:hyperlink w:anchor="__RefHeading___Toc9530649_73709187">
            <w:r>
              <w:rPr>
                <w:webHidden/>
                <w:rStyle w:val="IndexLink"/>
                <w:rtl w:val="true"/>
              </w:rPr>
              <w:t>الخامس</w:t>
            </w:r>
            <w:r>
              <w:rPr>
                <w:rStyle w:val="IndexLink"/>
                <w:rtl w:val="true"/>
              </w:rPr>
              <w:t xml:space="preserve">: </w:t>
            </w:r>
            <w:r>
              <w:rPr>
                <w:rStyle w:val="IndexLink"/>
                <w:rtl w:val="true"/>
              </w:rPr>
              <w:t>اختلاط الأنساب</w:t>
            </w:r>
            <w:r>
              <w:rPr>
                <w:rStyle w:val="IndexLink"/>
                <w:rtl w:val="true"/>
              </w:rPr>
              <w:tab/>
            </w:r>
            <w:r>
              <w:rPr>
                <w:rStyle w:val="IndexLink"/>
              </w:rPr>
              <w:t>139</w:t>
            </w:r>
          </w:hyperlink>
        </w:p>
        <w:p>
          <w:pPr>
            <w:pStyle w:val="Contents5"/>
            <w:tabs>
              <w:tab w:val="clear" w:pos="7892"/>
              <w:tab w:val="right" w:pos="9026" w:leader="dot"/>
            </w:tabs>
            <w:rPr/>
          </w:pPr>
          <w:hyperlink w:anchor="__RefHeading___Toc9530651_73709187">
            <w:r>
              <w:rPr>
                <w:webHidden/>
                <w:rStyle w:val="IndexLink"/>
                <w:rtl w:val="true"/>
              </w:rPr>
              <w:t>الحکم الوضعی فی التلقیح الصناعی</w:t>
            </w:r>
            <w:r>
              <w:rPr>
                <w:rStyle w:val="IndexLink"/>
                <w:rtl w:val="true"/>
              </w:rPr>
              <w:tab/>
            </w:r>
            <w:r>
              <w:rPr>
                <w:rStyle w:val="IndexLink"/>
              </w:rPr>
              <w:t>142</w:t>
            </w:r>
          </w:hyperlink>
        </w:p>
        <w:p>
          <w:pPr>
            <w:pStyle w:val="Contents6"/>
            <w:tabs>
              <w:tab w:val="clear" w:pos="7609"/>
              <w:tab w:val="right" w:pos="9026" w:leader="dot"/>
            </w:tabs>
            <w:rPr/>
          </w:pPr>
          <w:hyperlink w:anchor="__RefHeading___Toc9530653_73709187">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9530655_73709187">
            <w:r>
              <w:rPr>
                <w:webHidden/>
                <w:rStyle w:val="IndexLink"/>
                <w:rtl w:val="true"/>
              </w:rPr>
              <w:t>و یمکن أن یقسّم إلی أربع صور</w:t>
            </w:r>
            <w:r>
              <w:rPr>
                <w:rStyle w:val="IndexLink"/>
                <w:rtl w:val="true"/>
              </w:rPr>
              <w:t>:</w:t>
              <w:tab/>
            </w:r>
            <w:r>
              <w:rPr>
                <w:rStyle w:val="IndexLink"/>
              </w:rPr>
              <w:t>142</w:t>
            </w:r>
          </w:hyperlink>
        </w:p>
        <w:p>
          <w:pPr>
            <w:pStyle w:val="Contents6"/>
            <w:tabs>
              <w:tab w:val="clear" w:pos="7609"/>
              <w:tab w:val="right" w:pos="9026" w:leader="dot"/>
            </w:tabs>
            <w:rPr/>
          </w:pPr>
          <w:hyperlink w:anchor="__RefHeading___Toc9530657_73709187">
            <w:r>
              <w:rPr>
                <w:webHidden/>
                <w:rStyle w:val="IndexLink"/>
                <w:rtl w:val="true"/>
              </w:rPr>
              <w:t>الاُولی</w:t>
            </w:r>
            <w:r>
              <w:rPr>
                <w:rStyle w:val="IndexLink"/>
                <w:rtl w:val="true"/>
              </w:rPr>
              <w:t xml:space="preserve">: </w:t>
            </w:r>
            <w:r>
              <w:rPr>
                <w:rStyle w:val="IndexLink"/>
                <w:rtl w:val="true"/>
              </w:rPr>
              <w:t>إذا علم استناد الولد إلی ماء الزوج</w:t>
            </w:r>
            <w:r>
              <w:rPr>
                <w:rStyle w:val="IndexLink"/>
                <w:rtl w:val="true"/>
              </w:rPr>
              <w:tab/>
            </w:r>
            <w:r>
              <w:rPr>
                <w:rStyle w:val="IndexLink"/>
              </w:rPr>
              <w:t>142</w:t>
            </w:r>
          </w:hyperlink>
        </w:p>
        <w:p>
          <w:pPr>
            <w:pStyle w:val="Contents6"/>
            <w:tabs>
              <w:tab w:val="clear" w:pos="7609"/>
              <w:tab w:val="right" w:pos="9026" w:leader="dot"/>
            </w:tabs>
            <w:rPr/>
          </w:pPr>
          <w:hyperlink w:anchor="__RefHeading___Toc9530659_73709187">
            <w:r>
              <w:rPr>
                <w:webHidden/>
                <w:rStyle w:val="IndexLink"/>
                <w:rtl w:val="true"/>
              </w:rPr>
              <w:t>الثانیة</w:t>
            </w:r>
            <w:r>
              <w:rPr>
                <w:rStyle w:val="IndexLink"/>
                <w:rtl w:val="true"/>
              </w:rPr>
              <w:t xml:space="preserve">: </w:t>
            </w:r>
            <w:r>
              <w:rPr>
                <w:rStyle w:val="IndexLink"/>
                <w:rtl w:val="true"/>
              </w:rPr>
              <w:t>إذا شکّ فی استناد الولد إلی الزوج و اشتبه الحال</w:t>
            </w:r>
            <w:r>
              <w:rPr>
                <w:rStyle w:val="IndexLink"/>
                <w:rtl w:val="true"/>
              </w:rPr>
              <w:tab/>
            </w:r>
            <w:r>
              <w:rPr>
                <w:rStyle w:val="IndexLink"/>
              </w:rPr>
              <w:t>142</w:t>
            </w:r>
          </w:hyperlink>
        </w:p>
        <w:p>
          <w:pPr>
            <w:pStyle w:val="Contents6"/>
            <w:tabs>
              <w:tab w:val="clear" w:pos="7609"/>
              <w:tab w:val="right" w:pos="9026" w:leader="dot"/>
            </w:tabs>
            <w:rPr/>
          </w:pPr>
          <w:hyperlink w:anchor="__RefHeading___Toc9530661_73709187">
            <w:r>
              <w:rPr>
                <w:webHidden/>
                <w:rStyle w:val="IndexLink"/>
                <w:rtl w:val="true"/>
              </w:rPr>
              <w:t>الثالثة</w:t>
            </w:r>
            <w:r>
              <w:rPr>
                <w:rStyle w:val="IndexLink"/>
                <w:rtl w:val="true"/>
              </w:rPr>
              <w:t xml:space="preserve">: </w:t>
            </w:r>
            <w:r>
              <w:rPr>
                <w:rStyle w:val="IndexLink"/>
                <w:rtl w:val="true"/>
              </w:rPr>
              <w:t xml:space="preserve">إذا انتقلت البویضة الملقّحة </w:t>
            </w:r>
            <w:r>
              <w:rPr>
                <w:rStyle w:val="IndexLink"/>
                <w:rtl w:val="true"/>
              </w:rPr>
              <w:t xml:space="preserve">- </w:t>
            </w:r>
            <w:r>
              <w:rPr>
                <w:rStyle w:val="IndexLink"/>
                <w:rtl w:val="true"/>
              </w:rPr>
              <w:t>سواء کانت من الزوجین أو من الحیوان</w:t>
            </w:r>
            <w:r>
              <w:rPr>
                <w:rStyle w:val="IndexLink"/>
                <w:rtl w:val="true"/>
              </w:rPr>
              <w:tab/>
            </w:r>
            <w:r>
              <w:rPr>
                <w:rStyle w:val="IndexLink"/>
              </w:rPr>
              <w:t>142</w:t>
            </w:r>
          </w:hyperlink>
        </w:p>
        <w:p>
          <w:pPr>
            <w:pStyle w:val="Contents6"/>
            <w:tabs>
              <w:tab w:val="clear" w:pos="7609"/>
              <w:tab w:val="right" w:pos="9026" w:leader="dot"/>
            </w:tabs>
            <w:rPr/>
          </w:pPr>
          <w:hyperlink w:anchor="__RefHeading___Toc9530663_73709187">
            <w:r>
              <w:rPr>
                <w:webHidden/>
                <w:rStyle w:val="IndexLink"/>
                <w:rtl w:val="true"/>
              </w:rPr>
              <w:t>وجوه بل أقوال</w:t>
            </w:r>
            <w:r>
              <w:rPr>
                <w:rStyle w:val="IndexLink"/>
                <w:rtl w:val="true"/>
              </w:rPr>
              <w:t>:</w:t>
              <w:tab/>
            </w:r>
            <w:r>
              <w:rPr>
                <w:rStyle w:val="IndexLink"/>
              </w:rPr>
              <w:t>143</w:t>
            </w:r>
          </w:hyperlink>
        </w:p>
        <w:p>
          <w:pPr>
            <w:pStyle w:val="Contents6"/>
            <w:tabs>
              <w:tab w:val="clear" w:pos="7609"/>
              <w:tab w:val="right" w:pos="9026" w:leader="dot"/>
            </w:tabs>
            <w:rPr/>
          </w:pPr>
          <w:hyperlink w:anchor="__RefHeading___Toc9530665_73709187">
            <w:r>
              <w:rPr>
                <w:webHidden/>
                <w:rStyle w:val="IndexLink"/>
                <w:rtl w:val="true"/>
              </w:rPr>
              <w:t>الأوّل</w:t>
            </w:r>
            <w:r>
              <w:rPr>
                <w:rStyle w:val="IndexLink"/>
                <w:rtl w:val="true"/>
              </w:rPr>
              <w:t xml:space="preserve">: </w:t>
            </w:r>
            <w:r>
              <w:rPr>
                <w:rStyle w:val="IndexLink"/>
                <w:rtl w:val="true"/>
              </w:rPr>
              <w:t>ما نسب إلی السیّد الخوئی قدس سره</w:t>
            </w:r>
            <w:r>
              <w:rPr>
                <w:rStyle w:val="IndexLink"/>
                <w:rtl w:val="true"/>
              </w:rPr>
              <w:tab/>
            </w:r>
            <w:r>
              <w:rPr>
                <w:rStyle w:val="IndexLink"/>
              </w:rPr>
              <w:t>143</w:t>
            </w:r>
          </w:hyperlink>
        </w:p>
        <w:p>
          <w:pPr>
            <w:pStyle w:val="Contents6"/>
            <w:tabs>
              <w:tab w:val="clear" w:pos="7609"/>
              <w:tab w:val="right" w:pos="9026" w:leader="dot"/>
            </w:tabs>
            <w:rPr/>
          </w:pPr>
          <w:hyperlink w:anchor="__RefHeading___Toc9530667_73709187">
            <w:r>
              <w:rPr>
                <w:webHidden/>
                <w:rStyle w:val="IndexLink"/>
                <w:rtl w:val="true"/>
              </w:rPr>
              <w:t xml:space="preserve">القول الثانی </w:t>
            </w:r>
            <w:r>
              <w:rPr>
                <w:rStyle w:val="IndexLink"/>
                <w:rtl w:val="true"/>
              </w:rPr>
              <w:t xml:space="preserve">- </w:t>
            </w:r>
            <w:r>
              <w:rPr>
                <w:rStyle w:val="IndexLink"/>
                <w:rtl w:val="true"/>
              </w:rPr>
              <w:t xml:space="preserve">و هو الأقوی </w:t>
            </w:r>
            <w:r>
              <w:rPr>
                <w:rStyle w:val="IndexLink"/>
                <w:rtl w:val="true"/>
              </w:rPr>
              <w:t xml:space="preserve">-: </w:t>
            </w:r>
            <w:r>
              <w:rPr>
                <w:rStyle w:val="IndexLink"/>
                <w:rtl w:val="true"/>
              </w:rPr>
              <w:t>ما ذهب إلیه الإمام الخمینی قدس سره</w:t>
            </w:r>
            <w:r>
              <w:rPr>
                <w:rStyle w:val="IndexLink"/>
                <w:rtl w:val="true"/>
              </w:rPr>
              <w:tab/>
            </w:r>
            <w:r>
              <w:rPr>
                <w:rStyle w:val="IndexLink"/>
              </w:rPr>
              <w:t>144</w:t>
            </w:r>
          </w:hyperlink>
        </w:p>
        <w:p>
          <w:pPr>
            <w:pStyle w:val="Contents6"/>
            <w:tabs>
              <w:tab w:val="clear" w:pos="7609"/>
              <w:tab w:val="right" w:pos="9026" w:leader="dot"/>
            </w:tabs>
            <w:rPr/>
          </w:pPr>
          <w:hyperlink w:anchor="__RefHeading___Toc9530669_73709187">
            <w:r>
              <w:rPr>
                <w:webHidden/>
                <w:rStyle w:val="IndexLink"/>
                <w:rtl w:val="true"/>
              </w:rPr>
              <w:t xml:space="preserve">القول الثالث </w:t>
            </w:r>
            <w:r>
              <w:rPr>
                <w:rStyle w:val="IndexLink"/>
                <w:rtl w:val="true"/>
              </w:rPr>
              <w:t xml:space="preserve">- </w:t>
            </w:r>
            <w:r>
              <w:rPr>
                <w:rStyle w:val="IndexLink"/>
                <w:rtl w:val="true"/>
              </w:rPr>
              <w:t xml:space="preserve">و هو الأولی </w:t>
            </w:r>
            <w:r>
              <w:rPr>
                <w:rStyle w:val="IndexLink"/>
                <w:rtl w:val="true"/>
              </w:rPr>
              <w:t xml:space="preserve">-: </w:t>
            </w:r>
            <w:r>
              <w:rPr>
                <w:rStyle w:val="IndexLink"/>
                <w:rtl w:val="true"/>
              </w:rPr>
              <w:t>ما یظهر من کلمات الشیخ الأراکی قدس سره</w:t>
            </w:r>
            <w:r>
              <w:rPr>
                <w:rStyle w:val="IndexLink"/>
                <w:rtl w:val="true"/>
              </w:rPr>
              <w:tab/>
            </w:r>
            <w:r>
              <w:rPr>
                <w:rStyle w:val="IndexLink"/>
              </w:rPr>
              <w:t>145</w:t>
            </w:r>
          </w:hyperlink>
        </w:p>
        <w:p>
          <w:pPr>
            <w:pStyle w:val="Contents6"/>
            <w:tabs>
              <w:tab w:val="clear" w:pos="7609"/>
              <w:tab w:val="right" w:pos="9026" w:leader="dot"/>
            </w:tabs>
            <w:rPr/>
          </w:pPr>
          <w:hyperlink w:anchor="__RefHeading___Toc9530671_73709187">
            <w:r>
              <w:rPr>
                <w:webHidden/>
                <w:rStyle w:val="IndexLink"/>
                <w:rtl w:val="true"/>
              </w:rPr>
              <w:t xml:space="preserve">الصورة الرابعة </w:t>
            </w:r>
            <w:r>
              <w:rPr>
                <w:rStyle w:val="IndexLink"/>
                <w:rtl w:val="true"/>
              </w:rPr>
              <w:t xml:space="preserve">- </w:t>
            </w:r>
            <w:r>
              <w:rPr>
                <w:rStyle w:val="IndexLink"/>
                <w:rtl w:val="true"/>
              </w:rPr>
              <w:t xml:space="preserve">و هی العمدة و أکثرها وقوعاً فی الخارج </w:t>
            </w:r>
            <w:r>
              <w:rPr>
                <w:rStyle w:val="IndexLink"/>
                <w:rtl w:val="true"/>
              </w:rPr>
              <w:t xml:space="preserve">-: </w:t>
            </w:r>
            <w:r>
              <w:rPr>
                <w:rStyle w:val="IndexLink"/>
                <w:rtl w:val="true"/>
              </w:rPr>
              <w:t>إذا علم أنّ الولد کان من ماء الأجنبی</w:t>
            </w:r>
            <w:r>
              <w:rPr>
                <w:rStyle w:val="IndexLink"/>
                <w:rtl w:val="true"/>
              </w:rPr>
              <w:tab/>
            </w:r>
            <w:r>
              <w:rPr>
                <w:rStyle w:val="IndexLink"/>
              </w:rPr>
              <w:t>147</w:t>
            </w:r>
          </w:hyperlink>
        </w:p>
        <w:p>
          <w:pPr>
            <w:pStyle w:val="Contents6"/>
            <w:tabs>
              <w:tab w:val="clear" w:pos="7609"/>
              <w:tab w:val="right" w:pos="9026" w:leader="dot"/>
            </w:tabs>
            <w:rPr/>
          </w:pPr>
          <w:hyperlink w:anchor="__RefHeading___Toc9530673_73709187">
            <w:r>
              <w:rPr>
                <w:webHidden/>
                <w:rStyle w:val="IndexLink"/>
                <w:rtl w:val="true"/>
              </w:rPr>
              <w:t>أدلّة هذا الحکم</w:t>
            </w:r>
            <w:r>
              <w:rPr>
                <w:rStyle w:val="IndexLink"/>
                <w:rtl w:val="true"/>
              </w:rPr>
              <w:tab/>
            </w:r>
            <w:r>
              <w:rPr>
                <w:rStyle w:val="IndexLink"/>
              </w:rPr>
              <w:t>148</w:t>
            </w:r>
          </w:hyperlink>
        </w:p>
        <w:p>
          <w:pPr>
            <w:pStyle w:val="Contents6"/>
            <w:tabs>
              <w:tab w:val="clear" w:pos="7609"/>
              <w:tab w:val="right" w:pos="9026" w:leader="dot"/>
            </w:tabs>
            <w:rPr/>
          </w:pPr>
          <w:hyperlink w:anchor="__RefHeading___Toc9530675_73709187">
            <w:r>
              <w:rPr>
                <w:webHidden/>
                <w:rStyle w:val="IndexLink"/>
                <w:rtl w:val="true"/>
              </w:rPr>
              <w:t xml:space="preserve">أ </w:t>
            </w:r>
            <w:r>
              <w:rPr>
                <w:rStyle w:val="IndexLink"/>
                <w:rtl w:val="true"/>
              </w:rPr>
              <w:t xml:space="preserve">- </w:t>
            </w:r>
            <w:r>
              <w:rPr>
                <w:rStyle w:val="IndexLink"/>
                <w:rtl w:val="true"/>
              </w:rPr>
              <w:t>ما تدلّ علی إلحاق الولد بصاحب الماء و المرأة التی ولدته فی باب المساحقة لوحدة الملاک</w:t>
            </w:r>
            <w:r>
              <w:rPr>
                <w:rStyle w:val="IndexLink"/>
                <w:rtl w:val="true"/>
              </w:rPr>
              <w:tab/>
            </w:r>
            <w:r>
              <w:rPr>
                <w:rStyle w:val="IndexLink"/>
              </w:rPr>
              <w:t>148</w:t>
            </w:r>
          </w:hyperlink>
        </w:p>
        <w:p>
          <w:pPr>
            <w:pStyle w:val="Contents6"/>
            <w:tabs>
              <w:tab w:val="clear" w:pos="7609"/>
              <w:tab w:val="right" w:pos="9026" w:leader="dot"/>
            </w:tabs>
            <w:rPr/>
          </w:pPr>
          <w:hyperlink w:anchor="__RefHeading___Toc9530677_73709187">
            <w:r>
              <w:rPr>
                <w:webHidden/>
                <w:rStyle w:val="IndexLink"/>
                <w:rtl w:val="true"/>
              </w:rPr>
              <w:t>و ثانیاً</w:t>
            </w:r>
            <w:r>
              <w:rPr>
                <w:rStyle w:val="IndexLink"/>
                <w:rtl w:val="true"/>
              </w:rPr>
              <w:t xml:space="preserve">: </w:t>
            </w:r>
            <w:r>
              <w:rPr>
                <w:rStyle w:val="IndexLink"/>
                <w:rtl w:val="true"/>
              </w:rPr>
              <w:t>النصوص المستفیضة</w:t>
            </w:r>
            <w:r>
              <w:rPr>
                <w:rStyle w:val="IndexLink"/>
                <w:rtl w:val="true"/>
              </w:rPr>
              <w:t>:</w:t>
              <w:tab/>
            </w:r>
            <w:r>
              <w:rPr>
                <w:rStyle w:val="IndexLink"/>
              </w:rPr>
              <w:t>151</w:t>
            </w:r>
          </w:hyperlink>
        </w:p>
        <w:p>
          <w:pPr>
            <w:pStyle w:val="Contents6"/>
            <w:tabs>
              <w:tab w:val="clear" w:pos="7609"/>
              <w:tab w:val="right" w:pos="9026" w:leader="dot"/>
            </w:tabs>
            <w:rPr/>
          </w:pPr>
          <w:hyperlink w:anchor="__RefHeading___Toc9530679_73709187">
            <w:r>
              <w:rPr>
                <w:webHidden/>
                <w:rStyle w:val="IndexLink"/>
                <w:rtl w:val="true"/>
              </w:rPr>
              <w:t>ب</w:t>
            </w:r>
            <w:r>
              <w:rPr>
                <w:rStyle w:val="IndexLink"/>
                <w:rtl w:val="true"/>
              </w:rPr>
              <w:t xml:space="preserve">: </w:t>
            </w:r>
            <w:r>
              <w:rPr>
                <w:rStyle w:val="IndexLink"/>
                <w:rtl w:val="true"/>
              </w:rPr>
              <w:t>کذلک یمکن استفادة هذا الحکم من النصوص</w:t>
            </w:r>
            <w:r>
              <w:rPr>
                <w:rStyle w:val="IndexLink"/>
                <w:rtl w:val="true"/>
              </w:rPr>
              <w:tab/>
            </w:r>
            <w:r>
              <w:rPr>
                <w:rStyle w:val="IndexLink"/>
              </w:rPr>
              <w:t>152</w:t>
            </w:r>
          </w:hyperlink>
        </w:p>
        <w:p>
          <w:pPr>
            <w:pStyle w:val="Contents6"/>
            <w:tabs>
              <w:tab w:val="clear" w:pos="7609"/>
              <w:tab w:val="right" w:pos="9026" w:leader="dot"/>
            </w:tabs>
            <w:rPr/>
          </w:pPr>
          <w:hyperlink w:anchor="__RefHeading___Toc9530681_73709187">
            <w:r>
              <w:rPr>
                <w:webHidden/>
                <w:rStyle w:val="IndexLink"/>
                <w:rtl w:val="true"/>
              </w:rPr>
              <w:t>ج</w:t>
            </w:r>
            <w:r>
              <w:rPr>
                <w:rStyle w:val="IndexLink"/>
                <w:rtl w:val="true"/>
              </w:rPr>
              <w:t xml:space="preserve">: </w:t>
            </w:r>
            <w:r>
              <w:rPr>
                <w:rStyle w:val="IndexLink"/>
                <w:rtl w:val="true"/>
              </w:rPr>
              <w:t>و کذا یمکن أن یستفاد هذا من ظاهر قوله تعالی</w:t>
            </w:r>
            <w:r>
              <w:rPr>
                <w:rStyle w:val="IndexLink"/>
                <w:rtl w:val="true"/>
              </w:rPr>
              <w:tab/>
            </w:r>
            <w:r>
              <w:rPr>
                <w:rStyle w:val="IndexLink"/>
              </w:rPr>
              <w:t>153</w:t>
            </w:r>
          </w:hyperlink>
        </w:p>
        <w:p>
          <w:pPr>
            <w:pStyle w:val="Contents6"/>
            <w:tabs>
              <w:tab w:val="clear" w:pos="7609"/>
              <w:tab w:val="right" w:pos="9026" w:leader="dot"/>
            </w:tabs>
            <w:rPr/>
          </w:pPr>
          <w:hyperlink w:anchor="__RefHeading___Toc9530683_73709187">
            <w:r>
              <w:rPr>
                <w:webHidden/>
                <w:rStyle w:val="IndexLink"/>
                <w:rtl w:val="true"/>
              </w:rPr>
              <w:t>د</w:t>
            </w:r>
            <w:r>
              <w:rPr>
                <w:rStyle w:val="IndexLink"/>
                <w:rtl w:val="true"/>
              </w:rPr>
              <w:t xml:space="preserve">: </w:t>
            </w:r>
            <w:r>
              <w:rPr>
                <w:rStyle w:val="IndexLink"/>
                <w:rtl w:val="true"/>
              </w:rPr>
              <w:t>إنّ ولد التلقیح تشمله عمومات أحکام الأولاد</w:t>
            </w:r>
            <w:r>
              <w:rPr>
                <w:rStyle w:val="IndexLink"/>
                <w:rtl w:val="true"/>
              </w:rPr>
              <w:tab/>
            </w:r>
            <w:r>
              <w:rPr>
                <w:rStyle w:val="IndexLink"/>
              </w:rPr>
              <w:t>153</w:t>
            </w:r>
          </w:hyperlink>
        </w:p>
        <w:p>
          <w:pPr>
            <w:pStyle w:val="Contents6"/>
            <w:tabs>
              <w:tab w:val="clear" w:pos="7609"/>
              <w:tab w:val="right" w:pos="9026" w:leader="dot"/>
            </w:tabs>
            <w:rPr/>
          </w:pPr>
          <w:hyperlink w:anchor="__RefHeading___Toc9530685_73709187">
            <w:r>
              <w:rPr>
                <w:webHidden/>
                <w:rStyle w:val="IndexLink"/>
                <w:rtl w:val="true"/>
              </w:rPr>
              <w:t>ه</w:t>
            </w:r>
            <w:r>
              <w:rPr>
                <w:rStyle w:val="IndexLink"/>
                <w:rtl w:val="true"/>
              </w:rPr>
              <w:t xml:space="preserve">: </w:t>
            </w:r>
            <w:r>
              <w:rPr>
                <w:rStyle w:val="IndexLink"/>
                <w:rtl w:val="true"/>
              </w:rPr>
              <w:t>التغلیب و ترجیح النسب</w:t>
            </w:r>
            <w:r>
              <w:rPr>
                <w:rStyle w:val="IndexLink"/>
                <w:rtl w:val="true"/>
              </w:rPr>
              <w:tab/>
            </w:r>
            <w:r>
              <w:rPr>
                <w:rStyle w:val="IndexLink"/>
              </w:rPr>
              <w:t>154</w:t>
            </w:r>
          </w:hyperlink>
        </w:p>
        <w:p>
          <w:pPr>
            <w:pStyle w:val="Contents6"/>
            <w:tabs>
              <w:tab w:val="clear" w:pos="7609"/>
              <w:tab w:val="right" w:pos="9026" w:leader="dot"/>
            </w:tabs>
            <w:rPr/>
          </w:pPr>
          <w:hyperlink w:anchor="__RefHeading___Toc9530687_73709187">
            <w:r>
              <w:rPr>
                <w:webHidden/>
                <w:rStyle w:val="IndexLink"/>
                <w:rtl w:val="true"/>
              </w:rPr>
              <w:t>تنبیهات</w:t>
            </w:r>
            <w:r>
              <w:rPr>
                <w:rStyle w:val="IndexLink"/>
                <w:rtl w:val="true"/>
              </w:rPr>
              <w:t>:</w:t>
              <w:tab/>
            </w:r>
            <w:r>
              <w:rPr>
                <w:rStyle w:val="IndexLink"/>
              </w:rPr>
              <w:t>154</w:t>
            </w:r>
          </w:hyperlink>
        </w:p>
        <w:p>
          <w:pPr>
            <w:pStyle w:val="Contents6"/>
            <w:tabs>
              <w:tab w:val="clear" w:pos="7609"/>
              <w:tab w:val="right" w:pos="9026" w:leader="dot"/>
            </w:tabs>
            <w:rPr/>
          </w:pPr>
          <w:hyperlink w:anchor="__RefHeading___Toc9530689_73709187">
            <w:r>
              <w:rPr>
                <w:webHidden/>
                <w:rStyle w:val="IndexLink"/>
                <w:rtl w:val="true"/>
              </w:rPr>
              <w:t>الأوّل</w:t>
            </w:r>
            <w:r>
              <w:rPr>
                <w:rStyle w:val="IndexLink"/>
                <w:rtl w:val="true"/>
              </w:rPr>
              <w:t xml:space="preserve">: </w:t>
            </w:r>
            <w:r>
              <w:rPr>
                <w:rStyle w:val="IndexLink"/>
                <w:rtl w:val="true"/>
              </w:rPr>
              <w:t>قد أشرنا فی الصورة الثالثة أنّ من مسائل التلقیح مسألة الرحم البشریة المستأجرة</w:t>
            </w:r>
            <w:r>
              <w:rPr>
                <w:rStyle w:val="IndexLink"/>
                <w:rtl w:val="true"/>
              </w:rPr>
              <w:tab/>
            </w:r>
            <w:r>
              <w:rPr>
                <w:rStyle w:val="IndexLink"/>
              </w:rPr>
              <w:t>154</w:t>
            </w:r>
          </w:hyperlink>
        </w:p>
        <w:p>
          <w:pPr>
            <w:pStyle w:val="Contents6"/>
            <w:tabs>
              <w:tab w:val="clear" w:pos="7609"/>
              <w:tab w:val="right" w:pos="9026" w:leader="dot"/>
            </w:tabs>
            <w:rPr/>
          </w:pPr>
          <w:hyperlink w:anchor="__RefHeading___Toc9530691_73709187">
            <w:r>
              <w:rPr>
                <w:webHidden/>
                <w:rStyle w:val="IndexLink"/>
                <w:rtl w:val="true"/>
              </w:rPr>
              <w:t>الثانی</w:t>
            </w:r>
            <w:r>
              <w:rPr>
                <w:rStyle w:val="IndexLink"/>
                <w:rtl w:val="true"/>
              </w:rPr>
              <w:t xml:space="preserve">: </w:t>
            </w:r>
            <w:r>
              <w:rPr>
                <w:rStyle w:val="IndexLink"/>
                <w:rtl w:val="true"/>
              </w:rPr>
              <w:t>إذا حکمنا بإلحاق الولد الذی انخلق من طریق عملیّة التلقیح بالرجل، یترتّب علیه فی الجملة أحکام الأب</w:t>
            </w:r>
            <w:r>
              <w:rPr>
                <w:rStyle w:val="IndexLink"/>
                <w:rtl w:val="true"/>
              </w:rPr>
              <w:tab/>
            </w:r>
            <w:r>
              <w:rPr>
                <w:rStyle w:val="IndexLink"/>
              </w:rPr>
              <w:t>156</w:t>
            </w:r>
          </w:hyperlink>
        </w:p>
        <w:p>
          <w:pPr>
            <w:pStyle w:val="Contents6"/>
            <w:tabs>
              <w:tab w:val="clear" w:pos="7609"/>
              <w:tab w:val="right" w:pos="9026" w:leader="dot"/>
            </w:tabs>
            <w:rPr/>
          </w:pPr>
          <w:hyperlink w:anchor="__RefHeading___Toc9530693_73709187">
            <w:r>
              <w:rPr>
                <w:webHidden/>
                <w:rStyle w:val="IndexLink"/>
                <w:rtl w:val="true"/>
              </w:rPr>
              <w:t>الثالث</w:t>
            </w:r>
            <w:r>
              <w:rPr>
                <w:rStyle w:val="IndexLink"/>
                <w:rtl w:val="true"/>
              </w:rPr>
              <w:t xml:space="preserve">: </w:t>
            </w:r>
            <w:r>
              <w:rPr>
                <w:rStyle w:val="IndexLink"/>
                <w:rtl w:val="true"/>
              </w:rPr>
              <w:t>ینبغی أن لا یترک الاحتیاط فی کلّ مسائل التلقیح و الأحکام المترتّبة علیه</w:t>
            </w:r>
            <w:r>
              <w:rPr>
                <w:rStyle w:val="IndexLink"/>
                <w:rtl w:val="true"/>
              </w:rPr>
              <w:tab/>
            </w:r>
            <w:r>
              <w:rPr>
                <w:rStyle w:val="IndexLink"/>
              </w:rPr>
              <w:t>157</w:t>
            </w:r>
          </w:hyperlink>
        </w:p>
        <w:p>
          <w:pPr>
            <w:pStyle w:val="Contents5"/>
            <w:tabs>
              <w:tab w:val="clear" w:pos="7892"/>
              <w:tab w:val="right" w:pos="9026" w:leader="dot"/>
            </w:tabs>
            <w:rPr/>
          </w:pPr>
          <w:hyperlink w:anchor="__RefHeading___Toc9530695_73709187">
            <w:r>
              <w:rPr>
                <w:webHidden/>
                <w:rStyle w:val="IndexLink"/>
                <w:rtl w:val="true"/>
              </w:rPr>
              <w:t>حکم التلقیح الصناعی و أطفال الأنابیب عند أهل السنّة</w:t>
            </w:r>
            <w:r>
              <w:rPr>
                <w:rStyle w:val="IndexLink"/>
                <w:rtl w:val="true"/>
              </w:rPr>
              <w:tab/>
            </w:r>
            <w:r>
              <w:rPr>
                <w:rStyle w:val="IndexLink"/>
              </w:rPr>
              <w:t>157</w:t>
            </w:r>
          </w:hyperlink>
        </w:p>
        <w:p>
          <w:pPr>
            <w:pStyle w:val="Contents6"/>
            <w:tabs>
              <w:tab w:val="clear" w:pos="7609"/>
              <w:tab w:val="right" w:pos="9026" w:leader="dot"/>
            </w:tabs>
            <w:rPr/>
          </w:pPr>
          <w:hyperlink w:anchor="__RefHeading___Toc9530697_7370918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9530699_73709187">
            <w:r>
              <w:rPr>
                <w:webHidden/>
                <w:rStyle w:val="IndexLink"/>
                <w:rtl w:val="true"/>
              </w:rPr>
              <w:t>الصور المحرّمة من التلقیح الصناعی عند أهل السّنة</w:t>
            </w:r>
            <w:r>
              <w:rPr>
                <w:rStyle w:val="IndexLink"/>
                <w:rtl w:val="true"/>
              </w:rPr>
              <w:tab/>
            </w:r>
            <w:r>
              <w:rPr>
                <w:rStyle w:val="IndexLink"/>
              </w:rPr>
              <w:t>158</w:t>
            </w:r>
          </w:hyperlink>
        </w:p>
        <w:p>
          <w:pPr>
            <w:pStyle w:val="Contents6"/>
            <w:tabs>
              <w:tab w:val="clear" w:pos="7609"/>
              <w:tab w:val="right" w:pos="9026" w:leader="dot"/>
            </w:tabs>
            <w:rPr/>
          </w:pPr>
          <w:hyperlink w:anchor="__RefHeading___Toc9530701_73709187">
            <w:r>
              <w:rPr>
                <w:webHidden/>
                <w:rStyle w:val="IndexLink"/>
                <w:rtl w:val="true"/>
              </w:rPr>
              <w:t>صور التلقیح المباحة عند أهل السّنة</w:t>
            </w:r>
            <w:r>
              <w:rPr>
                <w:rStyle w:val="IndexLink"/>
                <w:rtl w:val="true"/>
              </w:rPr>
              <w:t>:</w:t>
              <w:tab/>
            </w:r>
            <w:r>
              <w:rPr>
                <w:rStyle w:val="IndexLink"/>
              </w:rPr>
              <w:t>161</w:t>
            </w:r>
          </w:hyperlink>
        </w:p>
        <w:p>
          <w:pPr>
            <w:pStyle w:val="Contents6"/>
            <w:tabs>
              <w:tab w:val="clear" w:pos="7609"/>
              <w:tab w:val="right" w:pos="9026" w:leader="dot"/>
            </w:tabs>
            <w:rPr/>
          </w:pPr>
          <w:hyperlink w:anchor="__RefHeading___Toc9530703_73709187">
            <w:r>
              <w:rPr>
                <w:webHidden/>
                <w:rStyle w:val="IndexLink"/>
                <w:rtl w:val="true"/>
              </w:rPr>
              <w:t>و استندوا للجواز بأُمورٍ</w:t>
            </w:r>
            <w:r>
              <w:rPr>
                <w:rStyle w:val="IndexLink"/>
                <w:rtl w:val="true"/>
              </w:rPr>
              <w:t>:</w:t>
              <w:tab/>
            </w:r>
            <w:r>
              <w:rPr>
                <w:rStyle w:val="IndexLink"/>
              </w:rPr>
              <w:t>162</w:t>
            </w:r>
          </w:hyperlink>
        </w:p>
        <w:p>
          <w:pPr>
            <w:pStyle w:val="Contents6"/>
            <w:tabs>
              <w:tab w:val="clear" w:pos="7609"/>
              <w:tab w:val="right" w:pos="9026" w:leader="dot"/>
            </w:tabs>
            <w:rPr/>
          </w:pPr>
          <w:hyperlink w:anchor="__RefHeading___Toc9530705_73709187">
            <w:r>
              <w:rPr>
                <w:webHidden/>
                <w:rStyle w:val="IndexLink"/>
                <w:rtl w:val="true"/>
              </w:rPr>
              <w:t>الأوّل</w:t>
            </w:r>
            <w:r>
              <w:rPr>
                <w:rStyle w:val="IndexLink"/>
                <w:rtl w:val="true"/>
              </w:rPr>
              <w:t xml:space="preserve">: </w:t>
            </w:r>
            <w:r>
              <w:rPr>
                <w:rStyle w:val="IndexLink"/>
                <w:rtl w:val="true"/>
              </w:rPr>
              <w:t>قیاس التلقیح الاصطناعی</w:t>
            </w:r>
            <w:r>
              <w:rPr>
                <w:rStyle w:val="IndexLink"/>
                <w:rtl w:val="true"/>
              </w:rPr>
              <w:t xml:space="preserve">... </w:t>
            </w:r>
            <w:r>
              <w:rPr>
                <w:rStyle w:val="IndexLink"/>
                <w:rtl w:val="true"/>
              </w:rPr>
              <w:t>علی التلقیح الطبیعی</w:t>
            </w:r>
            <w:r>
              <w:rPr>
                <w:rStyle w:val="IndexLink"/>
                <w:rtl w:val="true"/>
              </w:rPr>
              <w:tab/>
            </w:r>
            <w:r>
              <w:rPr>
                <w:rStyle w:val="IndexLink"/>
              </w:rPr>
              <w:t>162</w:t>
            </w:r>
          </w:hyperlink>
        </w:p>
        <w:p>
          <w:pPr>
            <w:pStyle w:val="Contents6"/>
            <w:tabs>
              <w:tab w:val="clear" w:pos="7609"/>
              <w:tab w:val="right" w:pos="9026" w:leader="dot"/>
            </w:tabs>
            <w:rPr/>
          </w:pPr>
          <w:hyperlink w:anchor="__RefHeading___Toc9530707_73709187">
            <w:r>
              <w:rPr>
                <w:webHidden/>
                <w:rStyle w:val="IndexLink"/>
                <w:rtl w:val="true"/>
              </w:rPr>
              <w:t>الثانی</w:t>
            </w:r>
            <w:r>
              <w:rPr>
                <w:rStyle w:val="IndexLink"/>
                <w:rtl w:val="true"/>
              </w:rPr>
              <w:t xml:space="preserve">: </w:t>
            </w:r>
            <w:r>
              <w:rPr>
                <w:rStyle w:val="IndexLink"/>
                <w:rtl w:val="true"/>
              </w:rPr>
              <w:t>أنّ من مقاصد الشریعة الإسلامیّة إبقاء النسل و حفظه</w:t>
            </w:r>
            <w:r>
              <w:rPr>
                <w:rStyle w:val="IndexLink"/>
                <w:rtl w:val="true"/>
              </w:rPr>
              <w:tab/>
            </w:r>
            <w:r>
              <w:rPr>
                <w:rStyle w:val="IndexLink"/>
              </w:rPr>
              <w:t>162</w:t>
            </w:r>
          </w:hyperlink>
        </w:p>
        <w:p>
          <w:pPr>
            <w:pStyle w:val="Contents6"/>
            <w:tabs>
              <w:tab w:val="clear" w:pos="7609"/>
              <w:tab w:val="right" w:pos="9026" w:leader="dot"/>
            </w:tabs>
            <w:rPr/>
          </w:pPr>
          <w:hyperlink w:anchor="__RefHeading___Toc9530709_73709187">
            <w:r>
              <w:rPr>
                <w:webHidden/>
                <w:rStyle w:val="IndexLink"/>
                <w:rtl w:val="true"/>
              </w:rPr>
              <w:t>الثالث</w:t>
            </w:r>
            <w:r>
              <w:rPr>
                <w:rStyle w:val="IndexLink"/>
                <w:rtl w:val="true"/>
              </w:rPr>
              <w:t xml:space="preserve">: </w:t>
            </w:r>
            <w:r>
              <w:rPr>
                <w:rStyle w:val="IndexLink"/>
                <w:rtl w:val="true"/>
              </w:rPr>
              <w:t>أنّ من مقاصد الشریعة الإسلامیّة حفظ النسل</w:t>
            </w:r>
            <w:r>
              <w:rPr>
                <w:rStyle w:val="IndexLink"/>
                <w:rtl w:val="true"/>
              </w:rPr>
              <w:tab/>
            </w:r>
            <w:r>
              <w:rPr>
                <w:rStyle w:val="IndexLink"/>
              </w:rPr>
              <w:t>162</w:t>
            </w:r>
          </w:hyperlink>
        </w:p>
        <w:p>
          <w:pPr>
            <w:pStyle w:val="Contents6"/>
            <w:tabs>
              <w:tab w:val="clear" w:pos="7609"/>
              <w:tab w:val="right" w:pos="9026" w:leader="dot"/>
            </w:tabs>
            <w:rPr/>
          </w:pPr>
          <w:hyperlink w:anchor="__RefHeading___Toc9530711_73709187">
            <w:r>
              <w:rPr>
                <w:webHidden/>
                <w:rStyle w:val="IndexLink"/>
                <w:rtl w:val="true"/>
              </w:rPr>
              <w:t>الرابع</w:t>
            </w:r>
            <w:r>
              <w:rPr>
                <w:rStyle w:val="IndexLink"/>
                <w:rtl w:val="true"/>
              </w:rPr>
              <w:t xml:space="preserve">: </w:t>
            </w:r>
            <w:r>
              <w:rPr>
                <w:rStyle w:val="IndexLink"/>
                <w:rtl w:val="true"/>
              </w:rPr>
              <w:t>أنّ فیه تحقیقاً للاستقرار</w:t>
            </w:r>
            <w:r>
              <w:rPr>
                <w:rStyle w:val="IndexLink"/>
                <w:rtl w:val="true"/>
              </w:rPr>
              <w:tab/>
            </w:r>
            <w:r>
              <w:rPr>
                <w:rStyle w:val="IndexLink"/>
              </w:rPr>
              <w:t>163</w:t>
            </w:r>
          </w:hyperlink>
        </w:p>
        <w:p>
          <w:pPr>
            <w:pStyle w:val="Contents6"/>
            <w:tabs>
              <w:tab w:val="clear" w:pos="7609"/>
              <w:tab w:val="right" w:pos="9026" w:leader="dot"/>
            </w:tabs>
            <w:rPr/>
          </w:pPr>
          <w:hyperlink w:anchor="__RefHeading___Toc9530713_73709187">
            <w:r>
              <w:rPr>
                <w:webHidden/>
                <w:rStyle w:val="IndexLink"/>
                <w:rtl w:val="true"/>
              </w:rPr>
              <w:t>الخامس</w:t>
            </w:r>
            <w:r>
              <w:rPr>
                <w:rStyle w:val="IndexLink"/>
                <w:rtl w:val="true"/>
              </w:rPr>
              <w:t xml:space="preserve">: </w:t>
            </w:r>
            <w:r>
              <w:rPr>
                <w:rStyle w:val="IndexLink"/>
                <w:rtl w:val="true"/>
              </w:rPr>
              <w:t>حصول الطمأنینة التامّة لکلا الزوجین</w:t>
            </w:r>
            <w:r>
              <w:rPr>
                <w:rStyle w:val="IndexLink"/>
                <w:rtl w:val="true"/>
              </w:rPr>
              <w:tab/>
            </w:r>
            <w:r>
              <w:rPr>
                <w:rStyle w:val="IndexLink"/>
              </w:rPr>
              <w:t>163</w:t>
            </w:r>
          </w:hyperlink>
        </w:p>
        <w:p>
          <w:pPr>
            <w:pStyle w:val="Contents6"/>
            <w:tabs>
              <w:tab w:val="clear" w:pos="7609"/>
              <w:tab w:val="right" w:pos="9026" w:leader="dot"/>
            </w:tabs>
            <w:rPr/>
          </w:pPr>
          <w:hyperlink w:anchor="__RefHeading___Toc9530715_73709187">
            <w:r>
              <w:rPr>
                <w:webHidden/>
                <w:rStyle w:val="IndexLink"/>
                <w:rtl w:val="true"/>
              </w:rPr>
              <w:t>نسب المولود بالتلقیح الصناعی عند أهل السنّة</w:t>
            </w:r>
            <w:r>
              <w:rPr>
                <w:rStyle w:val="IndexLink"/>
                <w:rtl w:val="true"/>
              </w:rPr>
              <w:tab/>
            </w:r>
            <w:r>
              <w:rPr>
                <w:rStyle w:val="IndexLink"/>
              </w:rPr>
              <w:t>163</w:t>
            </w:r>
          </w:hyperlink>
        </w:p>
        <w:p>
          <w:pPr>
            <w:pStyle w:val="Contents4"/>
            <w:tabs>
              <w:tab w:val="clear" w:pos="8176"/>
              <w:tab w:val="right" w:pos="9026" w:leader="dot"/>
            </w:tabs>
            <w:rPr/>
          </w:pPr>
          <w:hyperlink w:anchor="__RefHeading___Toc9530717_73709187">
            <w:r>
              <w:rPr>
                <w:webHidden/>
                <w:rStyle w:val="IndexLink"/>
                <w:rtl w:val="true"/>
              </w:rPr>
              <w:t>المبحث الثامن</w:t>
            </w:r>
            <w:r>
              <w:rPr>
                <w:rStyle w:val="IndexLink"/>
                <w:rtl w:val="true"/>
              </w:rPr>
              <w:t xml:space="preserve">: </w:t>
            </w:r>
            <w:r>
              <w:rPr>
                <w:rStyle w:val="IndexLink"/>
                <w:rtl w:val="true"/>
              </w:rPr>
              <w:t>الإقرار بالنسب</w:t>
            </w:r>
            <w:r>
              <w:rPr>
                <w:rStyle w:val="IndexLink"/>
                <w:rtl w:val="true"/>
              </w:rPr>
              <w:tab/>
            </w:r>
            <w:r>
              <w:rPr>
                <w:rStyle w:val="IndexLink"/>
              </w:rPr>
              <w:t>165</w:t>
            </w:r>
          </w:hyperlink>
        </w:p>
        <w:p>
          <w:pPr>
            <w:pStyle w:val="Contents5"/>
            <w:tabs>
              <w:tab w:val="clear" w:pos="7892"/>
              <w:tab w:val="right" w:pos="9026" w:leader="dot"/>
            </w:tabs>
            <w:rPr/>
          </w:pPr>
          <w:hyperlink w:anchor="__RefHeading___Toc9530719_7370918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9530721_73709187">
            <w:r>
              <w:rPr>
                <w:webHidden/>
                <w:rStyle w:val="IndexLink"/>
                <w:rtl w:val="true"/>
              </w:rPr>
              <w:t>أدلّة جواز الإقرار بالنسب</w:t>
            </w:r>
            <w:r>
              <w:rPr>
                <w:rStyle w:val="IndexLink"/>
                <w:rtl w:val="true"/>
              </w:rPr>
              <w:tab/>
            </w:r>
            <w:r>
              <w:rPr>
                <w:rStyle w:val="IndexLink"/>
              </w:rPr>
              <w:t>166</w:t>
            </w:r>
          </w:hyperlink>
        </w:p>
        <w:p>
          <w:pPr>
            <w:pStyle w:val="Contents6"/>
            <w:tabs>
              <w:tab w:val="clear" w:pos="7609"/>
              <w:tab w:val="right" w:pos="9026" w:leader="dot"/>
            </w:tabs>
            <w:rPr/>
          </w:pPr>
          <w:hyperlink w:anchor="__RefHeading___Toc9530723_7370918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9530725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166</w:t>
            </w:r>
          </w:hyperlink>
        </w:p>
        <w:p>
          <w:pPr>
            <w:pStyle w:val="Contents6"/>
            <w:tabs>
              <w:tab w:val="clear" w:pos="7609"/>
              <w:tab w:val="right" w:pos="9026" w:leader="dot"/>
            </w:tabs>
            <w:rPr/>
          </w:pPr>
          <w:hyperlink w:anchor="__RefHeading___Toc9530727_73709187">
            <w:r>
              <w:rPr>
                <w:webHidden/>
                <w:rStyle w:val="IndexLink"/>
                <w:rtl w:val="true"/>
              </w:rPr>
              <w:t>الثانی</w:t>
            </w:r>
            <w:r>
              <w:rPr>
                <w:rStyle w:val="IndexLink"/>
                <w:rtl w:val="true"/>
              </w:rPr>
              <w:t xml:space="preserve">: </w:t>
            </w:r>
            <w:r>
              <w:rPr>
                <w:rStyle w:val="IndexLink"/>
                <w:rtl w:val="true"/>
              </w:rPr>
              <w:t>عموم قاعدة إقرار العقلاء علی أنفسهم جائز</w:t>
            </w:r>
            <w:r>
              <w:rPr>
                <w:rStyle w:val="IndexLink"/>
                <w:rtl w:val="true"/>
              </w:rPr>
              <w:tab/>
            </w:r>
            <w:r>
              <w:rPr>
                <w:rStyle w:val="IndexLink"/>
              </w:rPr>
              <w:t>166</w:t>
            </w:r>
          </w:hyperlink>
        </w:p>
        <w:p>
          <w:pPr>
            <w:pStyle w:val="Contents6"/>
            <w:tabs>
              <w:tab w:val="clear" w:pos="7609"/>
              <w:tab w:val="right" w:pos="9026" w:leader="dot"/>
            </w:tabs>
            <w:rPr/>
          </w:pPr>
          <w:hyperlink w:anchor="__RefHeading___Toc9530729_73709187">
            <w:r>
              <w:rPr>
                <w:webHidden/>
                <w:rStyle w:val="IndexLink"/>
                <w:rtl w:val="true"/>
              </w:rPr>
              <w:t>الثالث</w:t>
            </w:r>
            <w:r>
              <w:rPr>
                <w:rStyle w:val="IndexLink"/>
                <w:rtl w:val="true"/>
              </w:rPr>
              <w:t xml:space="preserve">: - </w:t>
            </w:r>
            <w:r>
              <w:rPr>
                <w:rStyle w:val="IndexLink"/>
                <w:rtl w:val="true"/>
              </w:rPr>
              <w:t xml:space="preserve">و هو العمدة، النصوص </w:t>
            </w:r>
            <w:r>
              <w:rPr>
                <w:rStyle w:val="IndexLink"/>
                <w:rtl w:val="true"/>
              </w:rPr>
              <w:t>-:</w:t>
              <w:tab/>
            </w:r>
            <w:r>
              <w:rPr>
                <w:rStyle w:val="IndexLink"/>
              </w:rPr>
              <w:t>167</w:t>
            </w:r>
          </w:hyperlink>
        </w:p>
        <w:p>
          <w:pPr>
            <w:pStyle w:val="Contents5"/>
            <w:tabs>
              <w:tab w:val="clear" w:pos="7892"/>
              <w:tab w:val="right" w:pos="9026" w:leader="dot"/>
            </w:tabs>
            <w:rPr/>
          </w:pPr>
          <w:hyperlink w:anchor="__RefHeading___Toc9530731_73709187">
            <w:r>
              <w:rPr>
                <w:webHidden/>
                <w:rStyle w:val="IndexLink"/>
                <w:rtl w:val="true"/>
              </w:rPr>
              <w:t>شرائط نفوذ الإقرار بالنسب</w:t>
            </w:r>
            <w:r>
              <w:rPr>
                <w:rStyle w:val="IndexLink"/>
                <w:rtl w:val="true"/>
              </w:rPr>
              <w:tab/>
            </w:r>
            <w:r>
              <w:rPr>
                <w:rStyle w:val="IndexLink"/>
              </w:rPr>
              <w:t>168</w:t>
            </w:r>
          </w:hyperlink>
        </w:p>
        <w:p>
          <w:pPr>
            <w:pStyle w:val="Contents5"/>
            <w:tabs>
              <w:tab w:val="clear" w:pos="7892"/>
              <w:tab w:val="right" w:pos="9026" w:leader="dot"/>
            </w:tabs>
            <w:rPr/>
          </w:pPr>
          <w:hyperlink w:anchor="__RefHeading___Toc9530733_73709187">
            <w:r>
              <w:rPr>
                <w:webHidden/>
                <w:rStyle w:val="IndexLink"/>
                <w:rtl w:val="true"/>
              </w:rPr>
              <w:t>عدم اعتبار تصدیق الصغیر</w:t>
            </w:r>
            <w:r>
              <w:rPr>
                <w:rStyle w:val="IndexLink"/>
                <w:rtl w:val="true"/>
              </w:rPr>
              <w:tab/>
            </w:r>
            <w:r>
              <w:rPr>
                <w:rStyle w:val="IndexLink"/>
              </w:rPr>
              <w:t>170</w:t>
            </w:r>
          </w:hyperlink>
        </w:p>
        <w:p>
          <w:pPr>
            <w:pStyle w:val="Contents5"/>
            <w:tabs>
              <w:tab w:val="clear" w:pos="7892"/>
              <w:tab w:val="right" w:pos="9026" w:leader="dot"/>
            </w:tabs>
            <w:rPr/>
          </w:pPr>
          <w:hyperlink w:anchor="__RefHeading___Toc9530735_73709187">
            <w:r>
              <w:rPr>
                <w:webHidden/>
                <w:rStyle w:val="IndexLink"/>
                <w:rtl w:val="true"/>
              </w:rPr>
              <w:t>عدم الفرق فی الإقرار بین الأب و الاُمّ‌</w:t>
            </w:r>
            <w:r>
              <w:rPr>
                <w:rStyle w:val="IndexLink"/>
                <w:rtl w:val="true"/>
              </w:rPr>
              <w:tab/>
            </w:r>
            <w:r>
              <w:rPr>
                <w:rStyle w:val="IndexLink"/>
              </w:rPr>
              <w:t>172</w:t>
            </w:r>
          </w:hyperlink>
        </w:p>
        <w:p>
          <w:pPr>
            <w:pStyle w:val="Contents5"/>
            <w:tabs>
              <w:tab w:val="clear" w:pos="7892"/>
              <w:tab w:val="right" w:pos="9026" w:leader="dot"/>
            </w:tabs>
            <w:rPr/>
          </w:pPr>
          <w:hyperlink w:anchor="__RefHeading___Toc9530737_73709187">
            <w:r>
              <w:rPr>
                <w:webHidden/>
                <w:rStyle w:val="IndexLink"/>
                <w:rtl w:val="true"/>
              </w:rPr>
              <w:t>أدلّة اختصاص الإقرار بالأب</w:t>
            </w:r>
            <w:r>
              <w:rPr>
                <w:rStyle w:val="IndexLink"/>
                <w:rtl w:val="true"/>
              </w:rPr>
              <w:tab/>
            </w:r>
            <w:r>
              <w:rPr>
                <w:rStyle w:val="IndexLink"/>
              </w:rPr>
              <w:t>173</w:t>
            </w:r>
          </w:hyperlink>
        </w:p>
        <w:p>
          <w:pPr>
            <w:pStyle w:val="Contents6"/>
            <w:tabs>
              <w:tab w:val="clear" w:pos="7609"/>
              <w:tab w:val="right" w:pos="9026" w:leader="dot"/>
            </w:tabs>
            <w:rPr/>
          </w:pPr>
          <w:hyperlink w:anchor="__RefHeading___Toc9530739_73709187">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9530741_73709187">
            <w:r>
              <w:rPr>
                <w:webHidden/>
                <w:rStyle w:val="IndexLink"/>
                <w:rtl w:val="true"/>
              </w:rPr>
              <w:t>الأوّل</w:t>
            </w:r>
            <w:r>
              <w:rPr>
                <w:rStyle w:val="IndexLink"/>
                <w:rtl w:val="true"/>
              </w:rPr>
              <w:t xml:space="preserve">: </w:t>
            </w:r>
            <w:r>
              <w:rPr>
                <w:rStyle w:val="IndexLink"/>
                <w:rtl w:val="true"/>
              </w:rPr>
              <w:t>أنّ ثبوت نسب غیر معلوم الثبوت علی خلاف الأصل</w:t>
            </w:r>
            <w:r>
              <w:rPr>
                <w:rStyle w:val="IndexLink"/>
                <w:rtl w:val="true"/>
              </w:rPr>
              <w:tab/>
            </w:r>
            <w:r>
              <w:rPr>
                <w:rStyle w:val="IndexLink"/>
              </w:rPr>
              <w:t>173</w:t>
            </w:r>
          </w:hyperlink>
        </w:p>
        <w:p>
          <w:pPr>
            <w:pStyle w:val="Contents6"/>
            <w:tabs>
              <w:tab w:val="clear" w:pos="7609"/>
              <w:tab w:val="right" w:pos="9026" w:leader="dot"/>
            </w:tabs>
            <w:rPr/>
          </w:pPr>
          <w:hyperlink w:anchor="__RefHeading___Toc9530743_73709187">
            <w:r>
              <w:rPr>
                <w:webHidden/>
                <w:rStyle w:val="IndexLink"/>
                <w:rtl w:val="true"/>
              </w:rPr>
              <w:t>الثانی</w:t>
            </w:r>
            <w:r>
              <w:rPr>
                <w:rStyle w:val="IndexLink"/>
                <w:rtl w:val="true"/>
              </w:rPr>
              <w:t xml:space="preserve">: </w:t>
            </w:r>
            <w:r>
              <w:rPr>
                <w:rStyle w:val="IndexLink"/>
                <w:rtl w:val="true"/>
              </w:rPr>
              <w:t>النصوص التی تدلّ علی نفوذ الإقرار، وردت فی الرجل</w:t>
            </w:r>
            <w:r>
              <w:rPr>
                <w:rStyle w:val="IndexLink"/>
                <w:rtl w:val="true"/>
              </w:rPr>
              <w:tab/>
            </w:r>
            <w:r>
              <w:rPr>
                <w:rStyle w:val="IndexLink"/>
              </w:rPr>
              <w:t>173</w:t>
            </w:r>
          </w:hyperlink>
        </w:p>
        <w:p>
          <w:pPr>
            <w:pStyle w:val="Contents6"/>
            <w:tabs>
              <w:tab w:val="clear" w:pos="7609"/>
              <w:tab w:val="right" w:pos="9026" w:leader="dot"/>
            </w:tabs>
            <w:rPr/>
          </w:pPr>
          <w:hyperlink w:anchor="__RefHeading___Toc9530745_73709187">
            <w:r>
              <w:rPr>
                <w:webHidden/>
                <w:rStyle w:val="IndexLink"/>
                <w:rtl w:val="true"/>
              </w:rPr>
              <w:t>الثالث</w:t>
            </w:r>
            <w:r>
              <w:rPr>
                <w:rStyle w:val="IndexLink"/>
                <w:rtl w:val="true"/>
              </w:rPr>
              <w:t xml:space="preserve">: </w:t>
            </w:r>
            <w:r>
              <w:rPr>
                <w:rStyle w:val="IndexLink"/>
                <w:rtl w:val="true"/>
              </w:rPr>
              <w:t>موثّقة إسحاق بن عمّار</w:t>
            </w:r>
            <w:r>
              <w:rPr>
                <w:rStyle w:val="IndexLink"/>
                <w:rtl w:val="true"/>
              </w:rPr>
              <w:tab/>
            </w:r>
            <w:r>
              <w:rPr>
                <w:rStyle w:val="IndexLink"/>
              </w:rPr>
              <w:t>174</w:t>
            </w:r>
          </w:hyperlink>
        </w:p>
        <w:p>
          <w:pPr>
            <w:pStyle w:val="Contents5"/>
            <w:tabs>
              <w:tab w:val="clear" w:pos="7892"/>
              <w:tab w:val="right" w:pos="9026" w:leader="dot"/>
            </w:tabs>
            <w:rPr/>
          </w:pPr>
          <w:hyperlink w:anchor="__RefHeading___Toc9530747_73709187">
            <w:r>
              <w:rPr>
                <w:webHidden/>
                <w:rStyle w:val="IndexLink"/>
                <w:rtl w:val="true"/>
              </w:rPr>
              <w:t>عدم الفرق فی الإقرار بین الأب و الاُمّ‌</w:t>
            </w:r>
            <w:r>
              <w:rPr>
                <w:rStyle w:val="IndexLink"/>
                <w:rtl w:val="true"/>
              </w:rPr>
              <w:tab/>
            </w:r>
            <w:r>
              <w:rPr>
                <w:rStyle w:val="IndexLink"/>
              </w:rPr>
              <w:t>174</w:t>
            </w:r>
          </w:hyperlink>
        </w:p>
        <w:p>
          <w:pPr>
            <w:pStyle w:val="Contents5"/>
            <w:tabs>
              <w:tab w:val="clear" w:pos="7892"/>
              <w:tab w:val="right" w:pos="9026" w:leader="dot"/>
            </w:tabs>
            <w:rPr/>
          </w:pPr>
          <w:hyperlink w:anchor="__RefHeading___Toc9530749_73709187">
            <w:r>
              <w:rPr>
                <w:webHidden/>
                <w:rStyle w:val="IndexLink"/>
                <w:rtl w:val="true"/>
              </w:rPr>
              <w:t>آراء أهل السنّة فی الإقرار بالولد</w:t>
            </w:r>
            <w:r>
              <w:rPr>
                <w:rStyle w:val="IndexLink"/>
                <w:rtl w:val="true"/>
              </w:rPr>
              <w:tab/>
            </w:r>
            <w:r>
              <w:rPr>
                <w:rStyle w:val="IndexLink"/>
              </w:rPr>
              <w:t>175</w:t>
            </w:r>
          </w:hyperlink>
        </w:p>
        <w:p>
          <w:pPr>
            <w:pStyle w:val="Contents5"/>
            <w:tabs>
              <w:tab w:val="clear" w:pos="7892"/>
              <w:tab w:val="right" w:pos="9026" w:leader="dot"/>
            </w:tabs>
            <w:rPr/>
          </w:pPr>
          <w:hyperlink w:anchor="__RefHeading___Toc9530751_73709187">
            <w:r>
              <w:rPr>
                <w:webHidden/>
                <w:rStyle w:val="IndexLink"/>
                <w:rtl w:val="true"/>
              </w:rPr>
              <w:t>فرعان ینبغی ذکرهما فی مبحث الإقرار</w:t>
            </w:r>
            <w:r>
              <w:rPr>
                <w:rStyle w:val="IndexLink"/>
                <w:rtl w:val="true"/>
              </w:rPr>
              <w:t>:</w:t>
              <w:tab/>
            </w:r>
            <w:r>
              <w:rPr>
                <w:rStyle w:val="IndexLink"/>
              </w:rPr>
              <w:t>177</w:t>
            </w:r>
          </w:hyperlink>
        </w:p>
        <w:p>
          <w:pPr>
            <w:pStyle w:val="Contents6"/>
            <w:tabs>
              <w:tab w:val="clear" w:pos="7609"/>
              <w:tab w:val="right" w:pos="9026" w:leader="dot"/>
            </w:tabs>
            <w:rPr/>
          </w:pPr>
          <w:hyperlink w:anchor="__RefHeading___Toc9530753_73709187">
            <w:r>
              <w:rPr>
                <w:webHidden/>
                <w:rStyle w:val="IndexLink"/>
                <w:rtl w:val="true"/>
              </w:rPr>
              <w:t>الأوّل</w:t>
            </w:r>
            <w:r>
              <w:rPr>
                <w:rStyle w:val="IndexLink"/>
                <w:rtl w:val="true"/>
              </w:rPr>
              <w:t xml:space="preserve">: </w:t>
            </w:r>
            <w:r>
              <w:rPr>
                <w:rStyle w:val="IndexLink"/>
                <w:rtl w:val="true"/>
              </w:rPr>
              <w:t>اتّفق الفقهاء فی أنّه إذا أقرّ الرجل بولد لم یقبل إنکاره بعده حتّی باللعان و الزم الولد</w:t>
            </w:r>
            <w:r>
              <w:rPr>
                <w:rStyle w:val="IndexLink"/>
                <w:rtl w:val="true"/>
              </w:rPr>
              <w:tab/>
            </w:r>
            <w:r>
              <w:rPr>
                <w:rStyle w:val="IndexLink"/>
              </w:rPr>
              <w:t>177</w:t>
            </w:r>
          </w:hyperlink>
        </w:p>
        <w:p>
          <w:pPr>
            <w:pStyle w:val="Contents6"/>
            <w:tabs>
              <w:tab w:val="clear" w:pos="7609"/>
              <w:tab w:val="right" w:pos="9026" w:leader="dot"/>
            </w:tabs>
            <w:rPr/>
          </w:pPr>
          <w:hyperlink w:anchor="__RefHeading___Toc9530755_73709187">
            <w:r>
              <w:rPr>
                <w:webHidden/>
                <w:rStyle w:val="IndexLink"/>
                <w:rtl w:val="true"/>
              </w:rPr>
              <w:t>أدلّة عدم قبول الإنکار بعد الإقرار</w:t>
            </w:r>
            <w:r>
              <w:rPr>
                <w:rStyle w:val="IndexLink"/>
                <w:rtl w:val="true"/>
              </w:rPr>
              <w:tab/>
            </w:r>
            <w:r>
              <w:rPr>
                <w:rStyle w:val="IndexLink"/>
              </w:rPr>
              <w:t>178</w:t>
            </w:r>
          </w:hyperlink>
        </w:p>
        <w:p>
          <w:pPr>
            <w:pStyle w:val="Contents6"/>
            <w:tabs>
              <w:tab w:val="clear" w:pos="7609"/>
              <w:tab w:val="right" w:pos="9026" w:leader="dot"/>
            </w:tabs>
            <w:rPr/>
          </w:pPr>
          <w:hyperlink w:anchor="__RefHeading___Toc9530757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178</w:t>
            </w:r>
          </w:hyperlink>
        </w:p>
        <w:p>
          <w:pPr>
            <w:pStyle w:val="Contents6"/>
            <w:tabs>
              <w:tab w:val="clear" w:pos="7609"/>
              <w:tab w:val="right" w:pos="9026" w:leader="dot"/>
            </w:tabs>
            <w:rPr/>
          </w:pPr>
          <w:hyperlink w:anchor="__RefHeading___Toc9530759_73709187">
            <w:r>
              <w:rPr>
                <w:webHidden/>
                <w:rStyle w:val="IndexLink"/>
                <w:rtl w:val="true"/>
              </w:rPr>
              <w:t>الثانی</w:t>
            </w:r>
            <w:r>
              <w:rPr>
                <w:rStyle w:val="IndexLink"/>
                <w:rtl w:val="true"/>
              </w:rPr>
              <w:t xml:space="preserve">: </w:t>
            </w:r>
            <w:r>
              <w:rPr>
                <w:rStyle w:val="IndexLink"/>
                <w:rtl w:val="true"/>
              </w:rPr>
              <w:t>عموم قاعدة إقرار العقلاء علی أنفسهم</w:t>
            </w:r>
            <w:r>
              <w:rPr>
                <w:rStyle w:val="IndexLink"/>
                <w:rtl w:val="true"/>
              </w:rPr>
              <w:tab/>
            </w:r>
            <w:r>
              <w:rPr>
                <w:rStyle w:val="IndexLink"/>
              </w:rPr>
              <w:t>178</w:t>
            </w:r>
          </w:hyperlink>
        </w:p>
        <w:p>
          <w:pPr>
            <w:pStyle w:val="Contents6"/>
            <w:tabs>
              <w:tab w:val="clear" w:pos="7609"/>
              <w:tab w:val="right" w:pos="9026" w:leader="dot"/>
            </w:tabs>
            <w:rPr/>
          </w:pPr>
          <w:hyperlink w:anchor="__RefHeading___Toc9530761_73709187">
            <w:r>
              <w:rPr>
                <w:webHidden/>
                <w:rStyle w:val="IndexLink"/>
                <w:rtl w:val="true"/>
              </w:rPr>
              <w:t>الثالث</w:t>
            </w:r>
            <w:r>
              <w:rPr>
                <w:rStyle w:val="IndexLink"/>
                <w:rtl w:val="true"/>
              </w:rPr>
              <w:t xml:space="preserve">: </w:t>
            </w:r>
            <w:r>
              <w:rPr>
                <w:rStyle w:val="IndexLink"/>
                <w:rtl w:val="true"/>
              </w:rPr>
              <w:t>النصوص المعتبرة</w:t>
            </w:r>
            <w:r>
              <w:rPr>
                <w:rStyle w:val="IndexLink"/>
                <w:rtl w:val="true"/>
              </w:rPr>
              <w:t>:</w:t>
              <w:tab/>
            </w:r>
            <w:r>
              <w:rPr>
                <w:rStyle w:val="IndexLink"/>
              </w:rPr>
              <w:t>178</w:t>
            </w:r>
          </w:hyperlink>
        </w:p>
        <w:p>
          <w:pPr>
            <w:pStyle w:val="Contents6"/>
            <w:tabs>
              <w:tab w:val="clear" w:pos="7609"/>
              <w:tab w:val="right" w:pos="9026" w:leader="dot"/>
            </w:tabs>
            <w:rPr/>
          </w:pPr>
          <w:hyperlink w:anchor="__RefHeading___Toc9530763_73709187">
            <w:r>
              <w:rPr>
                <w:webHidden/>
                <w:rStyle w:val="IndexLink"/>
                <w:rtl w:val="true"/>
              </w:rPr>
              <w:t>الفرع الثانی</w:t>
            </w:r>
            <w:r>
              <w:rPr>
                <w:rStyle w:val="IndexLink"/>
                <w:rtl w:val="true"/>
              </w:rPr>
              <w:t xml:space="preserve">: </w:t>
            </w:r>
            <w:r>
              <w:rPr>
                <w:rStyle w:val="IndexLink"/>
                <w:rtl w:val="true"/>
              </w:rPr>
              <w:t>قال الشیخ فی النهایة</w:t>
            </w:r>
            <w:r>
              <w:rPr>
                <w:rStyle w:val="IndexLink"/>
                <w:rtl w:val="true"/>
              </w:rPr>
              <w:t>: «</w:t>
            </w:r>
            <w:r>
              <w:rPr>
                <w:rStyle w:val="IndexLink"/>
                <w:rtl w:val="true"/>
              </w:rPr>
              <w:t xml:space="preserve">إن اعترف به </w:t>
            </w:r>
            <w:r>
              <w:rPr>
                <w:rStyle w:val="IndexLink"/>
                <w:rtl w:val="true"/>
              </w:rPr>
              <w:t xml:space="preserve">- </w:t>
            </w:r>
            <w:r>
              <w:rPr>
                <w:rStyle w:val="IndexLink"/>
                <w:rtl w:val="true"/>
              </w:rPr>
              <w:t xml:space="preserve">أی بالولد </w:t>
            </w:r>
            <w:r>
              <w:rPr>
                <w:rStyle w:val="IndexLink"/>
                <w:rtl w:val="true"/>
              </w:rPr>
              <w:t xml:space="preserve">- </w:t>
            </w:r>
            <w:r>
              <w:rPr>
                <w:rStyle w:val="IndexLink"/>
                <w:rtl w:val="true"/>
              </w:rPr>
              <w:t>بعد مضیّ اللعان الحق به</w:t>
            </w:r>
            <w:r>
              <w:rPr>
                <w:rStyle w:val="IndexLink"/>
                <w:rtl w:val="true"/>
              </w:rPr>
              <w:tab/>
            </w:r>
            <w:r>
              <w:rPr>
                <w:rStyle w:val="IndexLink"/>
              </w:rPr>
              <w:t>179</w:t>
            </w:r>
          </w:hyperlink>
        </w:p>
        <w:p>
          <w:pPr>
            <w:pStyle w:val="Contents6"/>
            <w:tabs>
              <w:tab w:val="clear" w:pos="7609"/>
              <w:tab w:val="right" w:pos="9026" w:leader="dot"/>
            </w:tabs>
            <w:rPr/>
          </w:pPr>
          <w:hyperlink w:anchor="__RefHeading___Toc9530765_73709187">
            <w:r>
              <w:rPr>
                <w:webHidden/>
                <w:rStyle w:val="IndexLink"/>
                <w:rtl w:val="true"/>
              </w:rPr>
              <w:t>الدلیل علی جواز الإقرار بعد مضیّ اللعان</w:t>
            </w:r>
            <w:r>
              <w:rPr>
                <w:rStyle w:val="IndexLink"/>
                <w:rtl w:val="true"/>
              </w:rPr>
              <w:tab/>
            </w:r>
            <w:r>
              <w:rPr>
                <w:rStyle w:val="IndexLink"/>
              </w:rPr>
              <w:t>179</w:t>
            </w:r>
          </w:hyperlink>
        </w:p>
        <w:p>
          <w:pPr>
            <w:pStyle w:val="Contents6"/>
            <w:tabs>
              <w:tab w:val="clear" w:pos="7609"/>
              <w:tab w:val="right" w:pos="9026" w:leader="dot"/>
            </w:tabs>
            <w:rPr/>
          </w:pPr>
          <w:hyperlink w:anchor="__RefHeading___Toc9530767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179</w:t>
            </w:r>
          </w:hyperlink>
        </w:p>
        <w:p>
          <w:pPr>
            <w:pStyle w:val="Contents6"/>
            <w:tabs>
              <w:tab w:val="clear" w:pos="7609"/>
              <w:tab w:val="right" w:pos="9026" w:leader="dot"/>
            </w:tabs>
            <w:rPr/>
          </w:pPr>
          <w:hyperlink w:anchor="__RefHeading___Toc9530769_73709187">
            <w:r>
              <w:rPr>
                <w:webHidden/>
                <w:rStyle w:val="IndexLink"/>
                <w:rtl w:val="true"/>
              </w:rPr>
              <w:t>الثانی</w:t>
            </w:r>
            <w:r>
              <w:rPr>
                <w:rStyle w:val="IndexLink"/>
                <w:rtl w:val="true"/>
              </w:rPr>
              <w:t xml:space="preserve">: </w:t>
            </w:r>
            <w:r>
              <w:rPr>
                <w:rStyle w:val="IndexLink"/>
                <w:rtl w:val="true"/>
              </w:rPr>
              <w:t>عموم قاعدة الإقرار</w:t>
            </w:r>
            <w:r>
              <w:rPr>
                <w:rStyle w:val="IndexLink"/>
                <w:rtl w:val="true"/>
              </w:rPr>
              <w:tab/>
            </w:r>
            <w:r>
              <w:rPr>
                <w:rStyle w:val="IndexLink"/>
              </w:rPr>
              <w:t>180</w:t>
            </w:r>
          </w:hyperlink>
        </w:p>
        <w:p>
          <w:pPr>
            <w:pStyle w:val="Contents6"/>
            <w:tabs>
              <w:tab w:val="clear" w:pos="7609"/>
              <w:tab w:val="right" w:pos="9026" w:leader="dot"/>
            </w:tabs>
            <w:rPr/>
          </w:pPr>
          <w:hyperlink w:anchor="__RefHeading___Toc9530771_73709187">
            <w:r>
              <w:rPr>
                <w:webHidden/>
                <w:rStyle w:val="IndexLink"/>
                <w:rtl w:val="true"/>
              </w:rPr>
              <w:t>الثالث</w:t>
            </w:r>
            <w:r>
              <w:rPr>
                <w:rStyle w:val="IndexLink"/>
                <w:rtl w:val="true"/>
              </w:rPr>
              <w:t xml:space="preserve">: </w:t>
            </w:r>
            <w:r>
              <w:rPr>
                <w:rStyle w:val="IndexLink"/>
                <w:rtl w:val="true"/>
              </w:rPr>
              <w:t>النصوص</w:t>
            </w:r>
            <w:r>
              <w:rPr>
                <w:rStyle w:val="IndexLink"/>
                <w:rtl w:val="true"/>
              </w:rPr>
              <w:tab/>
            </w:r>
            <w:r>
              <w:rPr>
                <w:rStyle w:val="IndexLink"/>
              </w:rPr>
              <w:t>180</w:t>
            </w:r>
          </w:hyperlink>
        </w:p>
        <w:p>
          <w:pPr>
            <w:pStyle w:val="Contents5"/>
            <w:tabs>
              <w:tab w:val="clear" w:pos="7892"/>
              <w:tab w:val="right" w:pos="9026" w:leader="dot"/>
            </w:tabs>
            <w:rPr/>
          </w:pPr>
          <w:hyperlink w:anchor="__RefHeading___Toc9530773_73709187">
            <w:r>
              <w:rPr>
                <w:webHidden/>
                <w:rStyle w:val="IndexLink"/>
                <w:rtl w:val="true"/>
              </w:rPr>
              <w:t>آراء أهل السنّة فی هذین الفرعین</w:t>
            </w:r>
            <w:r>
              <w:rPr>
                <w:rStyle w:val="IndexLink"/>
                <w:rtl w:val="true"/>
              </w:rPr>
              <w:tab/>
            </w:r>
            <w:r>
              <w:rPr>
                <w:rStyle w:val="IndexLink"/>
              </w:rPr>
              <w:t>181</w:t>
            </w:r>
          </w:hyperlink>
        </w:p>
        <w:p>
          <w:pPr>
            <w:pStyle w:val="Contents3"/>
            <w:tabs>
              <w:tab w:val="clear" w:pos="8459"/>
              <w:tab w:val="right" w:pos="9026" w:leader="dot"/>
            </w:tabs>
            <w:rPr/>
          </w:pPr>
          <w:hyperlink w:anchor="__RefHeading___Toc9530775_73709187">
            <w:r>
              <w:rPr>
                <w:webHidden/>
                <w:rStyle w:val="IndexLink"/>
                <w:rtl w:val="true"/>
              </w:rPr>
              <w:t>الفصل الثالث</w:t>
            </w:r>
            <w:r>
              <w:rPr>
                <w:rStyle w:val="IndexLink"/>
                <w:rtl w:val="true"/>
              </w:rPr>
              <w:t xml:space="preserve">: </w:t>
            </w:r>
            <w:r>
              <w:rPr>
                <w:rStyle w:val="IndexLink"/>
                <w:rtl w:val="true"/>
              </w:rPr>
              <w:t>اللقیط</w:t>
            </w:r>
            <w:r>
              <w:rPr>
                <w:rStyle w:val="IndexLink"/>
                <w:rtl w:val="true"/>
              </w:rPr>
              <w:tab/>
            </w:r>
            <w:r>
              <w:rPr>
                <w:rStyle w:val="IndexLink"/>
              </w:rPr>
              <w:t>183</w:t>
            </w:r>
          </w:hyperlink>
        </w:p>
        <w:p>
          <w:pPr>
            <w:pStyle w:val="Contents4"/>
            <w:tabs>
              <w:tab w:val="clear" w:pos="8176"/>
              <w:tab w:val="right" w:pos="9026" w:leader="dot"/>
            </w:tabs>
            <w:rPr/>
          </w:pPr>
          <w:hyperlink w:anchor="__RefHeading___Toc9530777_73709187">
            <w:r>
              <w:rPr>
                <w:webHidden/>
                <w:rStyle w:val="IndexLink"/>
                <w:rtl w:val="true"/>
              </w:rPr>
              <w:t>تمهید</w:t>
            </w:r>
            <w:r>
              <w:rPr>
                <w:rStyle w:val="IndexLink"/>
                <w:rtl w:val="true"/>
              </w:rPr>
              <w:t>:</w:t>
              <w:tab/>
            </w:r>
            <w:r>
              <w:rPr>
                <w:rStyle w:val="IndexLink"/>
              </w:rPr>
              <w:t>183</w:t>
            </w:r>
          </w:hyperlink>
        </w:p>
        <w:p>
          <w:pPr>
            <w:pStyle w:val="Contents4"/>
            <w:tabs>
              <w:tab w:val="clear" w:pos="8176"/>
              <w:tab w:val="right" w:pos="9026" w:leader="dot"/>
            </w:tabs>
            <w:rPr/>
          </w:pPr>
          <w:hyperlink w:anchor="__RefHeading___Toc9530779_73709187">
            <w:r>
              <w:rPr>
                <w:webHidden/>
                <w:rStyle w:val="IndexLink"/>
                <w:rtl w:val="true"/>
              </w:rPr>
              <w:t>المبحث الأوّل</w:t>
            </w:r>
            <w:r>
              <w:rPr>
                <w:rStyle w:val="IndexLink"/>
                <w:rtl w:val="true"/>
              </w:rPr>
              <w:t xml:space="preserve">: </w:t>
            </w:r>
            <w:r>
              <w:rPr>
                <w:rStyle w:val="IndexLink"/>
                <w:rtl w:val="true"/>
              </w:rPr>
              <w:t>معنی اللقیط‌</w:t>
            </w:r>
            <w:r>
              <w:rPr>
                <w:rStyle w:val="IndexLink"/>
                <w:rtl w:val="true"/>
              </w:rPr>
              <w:tab/>
            </w:r>
            <w:r>
              <w:rPr>
                <w:rStyle w:val="IndexLink"/>
              </w:rPr>
              <w:t>184</w:t>
            </w:r>
          </w:hyperlink>
        </w:p>
        <w:p>
          <w:pPr>
            <w:pStyle w:val="Contents5"/>
            <w:tabs>
              <w:tab w:val="clear" w:pos="7892"/>
              <w:tab w:val="right" w:pos="9026" w:leader="dot"/>
            </w:tabs>
            <w:rPr/>
          </w:pPr>
          <w:hyperlink w:anchor="__RefHeading___Toc9530781_73709187">
            <w:r>
              <w:rPr>
                <w:webHidden/>
                <w:rStyle w:val="IndexLink"/>
                <w:rtl w:val="true"/>
              </w:rPr>
              <w:t>أ</w:t>
            </w:r>
            <w:r>
              <w:rPr>
                <w:rStyle w:val="IndexLink"/>
                <w:rtl w:val="true"/>
              </w:rPr>
              <w:t xml:space="preserve">: </w:t>
            </w:r>
            <w:r>
              <w:rPr>
                <w:rStyle w:val="IndexLink"/>
                <w:rtl w:val="true"/>
              </w:rPr>
              <w:t>المعنی اللغوی</w:t>
            </w:r>
            <w:r>
              <w:rPr>
                <w:rStyle w:val="IndexLink"/>
                <w:rtl w:val="true"/>
              </w:rPr>
              <w:tab/>
            </w:r>
            <w:r>
              <w:rPr>
                <w:rStyle w:val="IndexLink"/>
              </w:rPr>
              <w:t>184</w:t>
            </w:r>
          </w:hyperlink>
        </w:p>
        <w:p>
          <w:pPr>
            <w:pStyle w:val="Contents5"/>
            <w:tabs>
              <w:tab w:val="clear" w:pos="7892"/>
              <w:tab w:val="right" w:pos="9026" w:leader="dot"/>
            </w:tabs>
            <w:rPr/>
          </w:pPr>
          <w:hyperlink w:anchor="__RefHeading___Toc9530783_73709187">
            <w:r>
              <w:rPr>
                <w:webHidden/>
                <w:rStyle w:val="IndexLink"/>
                <w:rtl w:val="true"/>
              </w:rPr>
              <w:t>ب</w:t>
            </w:r>
            <w:r>
              <w:rPr>
                <w:rStyle w:val="IndexLink"/>
                <w:rtl w:val="true"/>
              </w:rPr>
              <w:t xml:space="preserve">: </w:t>
            </w:r>
            <w:r>
              <w:rPr>
                <w:rStyle w:val="IndexLink"/>
                <w:rtl w:val="true"/>
              </w:rPr>
              <w:t>المعنی الاصطلاحی</w:t>
            </w:r>
            <w:r>
              <w:rPr>
                <w:rStyle w:val="IndexLink"/>
                <w:rtl w:val="true"/>
              </w:rPr>
              <w:tab/>
            </w:r>
            <w:r>
              <w:rPr>
                <w:rStyle w:val="IndexLink"/>
              </w:rPr>
              <w:t>185</w:t>
            </w:r>
          </w:hyperlink>
        </w:p>
        <w:p>
          <w:pPr>
            <w:pStyle w:val="Contents5"/>
            <w:tabs>
              <w:tab w:val="clear" w:pos="7892"/>
              <w:tab w:val="right" w:pos="9026" w:leader="dot"/>
            </w:tabs>
            <w:rPr/>
          </w:pPr>
          <w:hyperlink w:anchor="__RefHeading___Toc9530785_73709187">
            <w:r>
              <w:rPr>
                <w:webHidden/>
                <w:rStyle w:val="IndexLink"/>
                <w:rtl w:val="true"/>
              </w:rPr>
              <w:t>ج</w:t>
            </w:r>
            <w:r>
              <w:rPr>
                <w:rStyle w:val="IndexLink"/>
                <w:rtl w:val="true"/>
              </w:rPr>
              <w:t xml:space="preserve">: </w:t>
            </w:r>
            <w:r>
              <w:rPr>
                <w:rStyle w:val="IndexLink"/>
                <w:rtl w:val="true"/>
              </w:rPr>
              <w:t>اللقیط عند أهل السنّة</w:t>
            </w:r>
            <w:r>
              <w:rPr>
                <w:rStyle w:val="IndexLink"/>
                <w:rtl w:val="true"/>
              </w:rPr>
              <w:tab/>
            </w:r>
            <w:r>
              <w:rPr>
                <w:rStyle w:val="IndexLink"/>
              </w:rPr>
              <w:t>187</w:t>
            </w:r>
          </w:hyperlink>
        </w:p>
        <w:p>
          <w:pPr>
            <w:pStyle w:val="Contents4"/>
            <w:tabs>
              <w:tab w:val="clear" w:pos="8176"/>
              <w:tab w:val="right" w:pos="9026" w:leader="dot"/>
            </w:tabs>
            <w:rPr/>
          </w:pPr>
          <w:hyperlink w:anchor="__RefHeading___Toc9530787_73709187">
            <w:r>
              <w:rPr>
                <w:webHidden/>
                <w:rStyle w:val="IndexLink"/>
                <w:rtl w:val="true"/>
              </w:rPr>
              <w:t>المبحث الثانی</w:t>
            </w:r>
            <w:r>
              <w:rPr>
                <w:rStyle w:val="IndexLink"/>
                <w:rtl w:val="true"/>
              </w:rPr>
              <w:t xml:space="preserve">: </w:t>
            </w:r>
            <w:r>
              <w:rPr>
                <w:rStyle w:val="IndexLink"/>
                <w:rtl w:val="true"/>
              </w:rPr>
              <w:t>ما یشترط فی اللقیط‌</w:t>
            </w:r>
            <w:r>
              <w:rPr>
                <w:rStyle w:val="IndexLink"/>
                <w:rtl w:val="true"/>
              </w:rPr>
              <w:tab/>
            </w:r>
            <w:r>
              <w:rPr>
                <w:rStyle w:val="IndexLink"/>
              </w:rPr>
              <w:t>189</w:t>
            </w:r>
          </w:hyperlink>
        </w:p>
        <w:p>
          <w:pPr>
            <w:pStyle w:val="Contents5"/>
            <w:tabs>
              <w:tab w:val="clear" w:pos="7892"/>
              <w:tab w:val="right" w:pos="9026" w:leader="dot"/>
            </w:tabs>
            <w:rPr/>
          </w:pPr>
          <w:hyperlink w:anchor="__RefHeading___Toc9530789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9530791_73709187">
            <w:r>
              <w:rPr>
                <w:webHidden/>
                <w:rStyle w:val="IndexLink"/>
                <w:rtl w:val="true"/>
              </w:rPr>
              <w:t>القول الأوّل</w:t>
            </w:r>
            <w:r>
              <w:rPr>
                <w:rStyle w:val="IndexLink"/>
                <w:rtl w:val="true"/>
              </w:rPr>
              <w:t xml:space="preserve">: </w:t>
            </w:r>
            <w:r>
              <w:rPr>
                <w:rStyle w:val="IndexLink"/>
                <w:rtl w:val="true"/>
              </w:rPr>
              <w:t>أنّه لا یجوز التقاطه</w:t>
            </w:r>
            <w:r>
              <w:rPr>
                <w:rStyle w:val="IndexLink"/>
                <w:rtl w:val="true"/>
              </w:rPr>
              <w:tab/>
            </w:r>
            <w:r>
              <w:rPr>
                <w:rStyle w:val="IndexLink"/>
              </w:rPr>
              <w:t>189</w:t>
            </w:r>
          </w:hyperlink>
        </w:p>
        <w:p>
          <w:pPr>
            <w:pStyle w:val="Contents6"/>
            <w:tabs>
              <w:tab w:val="clear" w:pos="7609"/>
              <w:tab w:val="right" w:pos="9026" w:leader="dot"/>
            </w:tabs>
            <w:rPr/>
          </w:pPr>
          <w:hyperlink w:anchor="__RefHeading___Toc9530793_7370918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9530795_73709187">
            <w:r>
              <w:rPr>
                <w:webHidden/>
                <w:rStyle w:val="IndexLink"/>
                <w:rtl w:val="true"/>
              </w:rPr>
              <w:t>مستند القائل بعدم جواز التقاط الصبیّ الممیّز</w:t>
            </w:r>
            <w:r>
              <w:rPr>
                <w:rStyle w:val="IndexLink"/>
                <w:rtl w:val="true"/>
              </w:rPr>
              <w:tab/>
            </w:r>
            <w:r>
              <w:rPr>
                <w:rStyle w:val="IndexLink"/>
              </w:rPr>
              <w:t>190</w:t>
            </w:r>
          </w:hyperlink>
        </w:p>
        <w:p>
          <w:pPr>
            <w:pStyle w:val="Contents6"/>
            <w:tabs>
              <w:tab w:val="clear" w:pos="7609"/>
              <w:tab w:val="right" w:pos="9026" w:leader="dot"/>
            </w:tabs>
            <w:rPr/>
          </w:pPr>
          <w:hyperlink w:anchor="__RefHeading___Toc9530797_73709187">
            <w:r>
              <w:rPr>
                <w:webHidden/>
                <w:rStyle w:val="IndexLink"/>
                <w:rtl w:val="true"/>
              </w:rPr>
              <w:t>الأوّل</w:t>
            </w:r>
            <w:r>
              <w:rPr>
                <w:rStyle w:val="IndexLink"/>
                <w:rtl w:val="true"/>
              </w:rPr>
              <w:t xml:space="preserve">: </w:t>
            </w:r>
            <w:r>
              <w:rPr>
                <w:rStyle w:val="IndexLink"/>
                <w:rtl w:val="true"/>
              </w:rPr>
              <w:t>عدم صدق اللقیط علیه</w:t>
            </w:r>
            <w:r>
              <w:rPr>
                <w:rStyle w:val="IndexLink"/>
                <w:rtl w:val="true"/>
              </w:rPr>
              <w:tab/>
            </w:r>
            <w:r>
              <w:rPr>
                <w:rStyle w:val="IndexLink"/>
              </w:rPr>
              <w:t>190</w:t>
            </w:r>
          </w:hyperlink>
        </w:p>
        <w:p>
          <w:pPr>
            <w:pStyle w:val="Contents6"/>
            <w:tabs>
              <w:tab w:val="clear" w:pos="7609"/>
              <w:tab w:val="right" w:pos="9026" w:leader="dot"/>
            </w:tabs>
            <w:rPr/>
          </w:pPr>
          <w:hyperlink w:anchor="__RefHeading___Toc9530799_73709187">
            <w:r>
              <w:rPr>
                <w:webHidden/>
                <w:rStyle w:val="IndexLink"/>
                <w:rtl w:val="true"/>
              </w:rPr>
              <w:t>الثانی</w:t>
            </w:r>
            <w:r>
              <w:rPr>
                <w:rStyle w:val="IndexLink"/>
                <w:rtl w:val="true"/>
              </w:rPr>
              <w:t xml:space="preserve">: </w:t>
            </w:r>
            <w:r>
              <w:rPr>
                <w:rStyle w:val="IndexLink"/>
                <w:rtl w:val="true"/>
              </w:rPr>
              <w:t>الأصل</w:t>
            </w:r>
            <w:r>
              <w:rPr>
                <w:rStyle w:val="IndexLink"/>
                <w:rtl w:val="true"/>
              </w:rPr>
              <w:tab/>
            </w:r>
            <w:r>
              <w:rPr>
                <w:rStyle w:val="IndexLink"/>
              </w:rPr>
              <w:t>190</w:t>
            </w:r>
          </w:hyperlink>
        </w:p>
        <w:p>
          <w:pPr>
            <w:pStyle w:val="Contents6"/>
            <w:tabs>
              <w:tab w:val="clear" w:pos="7609"/>
              <w:tab w:val="right" w:pos="9026" w:leader="dot"/>
            </w:tabs>
            <w:rPr/>
          </w:pPr>
          <w:hyperlink w:anchor="__RefHeading___Toc9530801_73709187">
            <w:r>
              <w:rPr>
                <w:webHidden/>
                <w:rStyle w:val="IndexLink"/>
                <w:rtl w:val="true"/>
              </w:rPr>
              <w:t>الثالث</w:t>
            </w:r>
            <w:r>
              <w:rPr>
                <w:rStyle w:val="IndexLink"/>
                <w:rtl w:val="true"/>
              </w:rPr>
              <w:t xml:space="preserve">: </w:t>
            </w:r>
            <w:r>
              <w:rPr>
                <w:rStyle w:val="IndexLink"/>
                <w:rtl w:val="true"/>
              </w:rPr>
              <w:t>أنّه مستغن عن الحضانة و التعهّد</w:t>
            </w:r>
            <w:r>
              <w:rPr>
                <w:rStyle w:val="IndexLink"/>
                <w:rtl w:val="true"/>
              </w:rPr>
              <w:tab/>
            </w:r>
            <w:r>
              <w:rPr>
                <w:rStyle w:val="IndexLink"/>
              </w:rPr>
              <w:t>191</w:t>
            </w:r>
          </w:hyperlink>
        </w:p>
        <w:p>
          <w:pPr>
            <w:pStyle w:val="Contents5"/>
            <w:tabs>
              <w:tab w:val="clear" w:pos="7892"/>
              <w:tab w:val="right" w:pos="9026" w:leader="dot"/>
            </w:tabs>
            <w:rPr/>
          </w:pPr>
          <w:hyperlink w:anchor="__RefHeading___Toc9530803_73709187">
            <w:r>
              <w:rPr>
                <w:webHidden/>
                <w:rStyle w:val="IndexLink"/>
                <w:rtl w:val="true"/>
              </w:rPr>
              <w:t xml:space="preserve">القول الثانی </w:t>
            </w:r>
            <w:r>
              <w:rPr>
                <w:rStyle w:val="IndexLink"/>
                <w:rtl w:val="true"/>
              </w:rPr>
              <w:t xml:space="preserve">- </w:t>
            </w:r>
            <w:r>
              <w:rPr>
                <w:rStyle w:val="IndexLink"/>
                <w:rtl w:val="true"/>
              </w:rPr>
              <w:t xml:space="preserve">و هو قول المشهور </w:t>
            </w:r>
            <w:r>
              <w:rPr>
                <w:rStyle w:val="IndexLink"/>
                <w:rtl w:val="true"/>
              </w:rPr>
              <w:t xml:space="preserve">-: </w:t>
            </w:r>
            <w:r>
              <w:rPr>
                <w:rStyle w:val="IndexLink"/>
                <w:rtl w:val="true"/>
              </w:rPr>
              <w:t>أنّه یجوز التقاط الصّبی الممیّز</w:t>
            </w:r>
            <w:r>
              <w:rPr>
                <w:rStyle w:val="IndexLink"/>
                <w:rtl w:val="true"/>
              </w:rPr>
              <w:tab/>
            </w:r>
            <w:r>
              <w:rPr>
                <w:rStyle w:val="IndexLink"/>
              </w:rPr>
              <w:t>191</w:t>
            </w:r>
          </w:hyperlink>
        </w:p>
        <w:p>
          <w:pPr>
            <w:pStyle w:val="Contents6"/>
            <w:tabs>
              <w:tab w:val="clear" w:pos="7609"/>
              <w:tab w:val="right" w:pos="9026" w:leader="dot"/>
            </w:tabs>
            <w:rPr/>
          </w:pPr>
          <w:hyperlink w:anchor="__RefHeading___Toc9530805_73709187">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9530807_73709187">
            <w:r>
              <w:rPr>
                <w:webHidden/>
                <w:rStyle w:val="IndexLink"/>
                <w:rtl w:val="true"/>
              </w:rPr>
              <w:t>الرابع</w:t>
            </w:r>
            <w:r>
              <w:rPr>
                <w:rStyle w:val="IndexLink"/>
                <w:rtl w:val="true"/>
              </w:rPr>
              <w:t xml:space="preserve">: </w:t>
            </w:r>
            <w:r>
              <w:rPr>
                <w:rStyle w:val="IndexLink"/>
                <w:rtl w:val="true"/>
              </w:rPr>
              <w:t>إطلاق بعض الآخر</w:t>
            </w:r>
            <w:r>
              <w:rPr>
                <w:rStyle w:val="IndexLink"/>
                <w:rtl w:val="true"/>
              </w:rPr>
              <w:tab/>
            </w:r>
            <w:r>
              <w:rPr>
                <w:rStyle w:val="IndexLink"/>
              </w:rPr>
              <w:t>193</w:t>
            </w:r>
          </w:hyperlink>
        </w:p>
        <w:p>
          <w:pPr>
            <w:pStyle w:val="Contents5"/>
            <w:tabs>
              <w:tab w:val="clear" w:pos="7892"/>
              <w:tab w:val="right" w:pos="9026" w:leader="dot"/>
            </w:tabs>
            <w:rPr/>
          </w:pPr>
          <w:hyperlink w:anchor="__RefHeading___Toc9530809_73709187">
            <w:r>
              <w:rPr>
                <w:webHidden/>
                <w:rStyle w:val="IndexLink"/>
                <w:rtl w:val="true"/>
              </w:rPr>
              <w:t>عدم صدق اللقیط علی المجنون الکبیر</w:t>
            </w:r>
            <w:r>
              <w:rPr>
                <w:rStyle w:val="IndexLink"/>
                <w:rtl w:val="true"/>
              </w:rPr>
              <w:tab/>
            </w:r>
            <w:r>
              <w:rPr>
                <w:rStyle w:val="IndexLink"/>
              </w:rPr>
              <w:t>194</w:t>
            </w:r>
          </w:hyperlink>
        </w:p>
        <w:p>
          <w:pPr>
            <w:pStyle w:val="Contents5"/>
            <w:tabs>
              <w:tab w:val="clear" w:pos="7892"/>
              <w:tab w:val="right" w:pos="9026" w:leader="dot"/>
            </w:tabs>
            <w:rPr/>
          </w:pPr>
          <w:hyperlink w:anchor="__RefHeading___Toc9530811_73709187">
            <w:r>
              <w:rPr>
                <w:webHidden/>
                <w:rStyle w:val="IndexLink"/>
                <w:rtl w:val="true"/>
              </w:rPr>
              <w:t>آراء فقهاء أهل السنّة فی هذا المبحث</w:t>
            </w:r>
            <w:r>
              <w:rPr>
                <w:rStyle w:val="IndexLink"/>
                <w:rtl w:val="true"/>
              </w:rPr>
              <w:tab/>
            </w:r>
            <w:r>
              <w:rPr>
                <w:rStyle w:val="IndexLink"/>
              </w:rPr>
              <w:t>198</w:t>
            </w:r>
          </w:hyperlink>
        </w:p>
        <w:p>
          <w:pPr>
            <w:pStyle w:val="Contents4"/>
            <w:tabs>
              <w:tab w:val="clear" w:pos="8176"/>
              <w:tab w:val="right" w:pos="9026" w:leader="dot"/>
            </w:tabs>
            <w:rPr/>
          </w:pPr>
          <w:hyperlink w:anchor="__RefHeading___Toc9530813_73709187">
            <w:r>
              <w:rPr>
                <w:webHidden/>
                <w:rStyle w:val="IndexLink"/>
                <w:rtl w:val="true"/>
              </w:rPr>
              <w:t>المبحث الثالث</w:t>
            </w:r>
            <w:r>
              <w:rPr>
                <w:rStyle w:val="IndexLink"/>
                <w:rtl w:val="true"/>
              </w:rPr>
              <w:t xml:space="preserve">: </w:t>
            </w:r>
            <w:r>
              <w:rPr>
                <w:rStyle w:val="IndexLink"/>
                <w:rtl w:val="true"/>
              </w:rPr>
              <w:t>شرائط الملتقط‌</w:t>
            </w:r>
            <w:r>
              <w:rPr>
                <w:rStyle w:val="IndexLink"/>
                <w:rtl w:val="true"/>
              </w:rPr>
              <w:tab/>
            </w:r>
            <w:r>
              <w:rPr>
                <w:rStyle w:val="IndexLink"/>
              </w:rPr>
              <w:t>199</w:t>
            </w:r>
          </w:hyperlink>
        </w:p>
        <w:p>
          <w:pPr>
            <w:pStyle w:val="Contents5"/>
            <w:tabs>
              <w:tab w:val="clear" w:pos="7892"/>
              <w:tab w:val="right" w:pos="9026" w:leader="dot"/>
            </w:tabs>
            <w:rPr/>
          </w:pPr>
          <w:hyperlink w:anchor="__RefHeading___Toc9530815_73709187">
            <w:r>
              <w:rPr>
                <w:webHidden/>
                <w:rStyle w:val="IndexLink"/>
                <w:rtl w:val="true"/>
              </w:rPr>
              <w:t>الشرائط عند الخاصة</w:t>
            </w:r>
            <w:r>
              <w:rPr>
                <w:rStyle w:val="IndexLink"/>
                <w:rtl w:val="true"/>
              </w:rPr>
              <w:tab/>
            </w:r>
            <w:r>
              <w:rPr>
                <w:rStyle w:val="IndexLink"/>
              </w:rPr>
              <w:t>199</w:t>
            </w:r>
          </w:hyperlink>
        </w:p>
        <w:p>
          <w:pPr>
            <w:pStyle w:val="Contents6"/>
            <w:tabs>
              <w:tab w:val="clear" w:pos="7609"/>
              <w:tab w:val="right" w:pos="9026" w:leader="dot"/>
            </w:tabs>
            <w:rPr/>
          </w:pPr>
          <w:hyperlink w:anchor="__RefHeading___Toc9530817_73709187">
            <w:r>
              <w:rPr>
                <w:webHidden/>
                <w:rStyle w:val="IndexLink"/>
                <w:rtl w:val="true"/>
              </w:rPr>
              <w:t>الأوّل و الثانی</w:t>
            </w:r>
            <w:r>
              <w:rPr>
                <w:rStyle w:val="IndexLink"/>
                <w:rtl w:val="true"/>
              </w:rPr>
              <w:t xml:space="preserve">: </w:t>
            </w:r>
            <w:r>
              <w:rPr>
                <w:rStyle w:val="IndexLink"/>
                <w:rtl w:val="true"/>
              </w:rPr>
              <w:t>البلوغ و العقل</w:t>
            </w:r>
            <w:r>
              <w:rPr>
                <w:rStyle w:val="IndexLink"/>
                <w:rtl w:val="true"/>
              </w:rPr>
              <w:tab/>
            </w:r>
            <w:r>
              <w:rPr>
                <w:rStyle w:val="IndexLink"/>
              </w:rPr>
              <w:t>199</w:t>
            </w:r>
          </w:hyperlink>
        </w:p>
        <w:p>
          <w:pPr>
            <w:pStyle w:val="Contents6"/>
            <w:tabs>
              <w:tab w:val="clear" w:pos="7609"/>
              <w:tab w:val="right" w:pos="9026" w:leader="dot"/>
            </w:tabs>
            <w:rPr/>
          </w:pPr>
          <w:hyperlink w:anchor="__RefHeading___Toc9530819_73709187">
            <w:r>
              <w:rPr>
                <w:webHidden/>
                <w:rStyle w:val="IndexLink"/>
                <w:rtl w:val="true"/>
              </w:rPr>
              <w:t>عدم اشتراط الرشد فی الملتقط‌</w:t>
            </w:r>
            <w:r>
              <w:rPr>
                <w:rStyle w:val="IndexLink"/>
                <w:rtl w:val="true"/>
              </w:rPr>
              <w:tab/>
            </w:r>
            <w:r>
              <w:rPr>
                <w:rStyle w:val="IndexLink"/>
              </w:rPr>
              <w:t>201</w:t>
            </w:r>
          </w:hyperlink>
        </w:p>
        <w:p>
          <w:pPr>
            <w:pStyle w:val="Contents6"/>
            <w:tabs>
              <w:tab w:val="clear" w:pos="7609"/>
              <w:tab w:val="right" w:pos="9026" w:leader="dot"/>
            </w:tabs>
            <w:rPr/>
          </w:pPr>
          <w:hyperlink w:anchor="__RefHeading___Toc9530821_73709187">
            <w:r>
              <w:rPr>
                <w:webHidden/>
                <w:rStyle w:val="IndexLink"/>
                <w:rtl w:val="true"/>
              </w:rPr>
              <w:t>الثالث</w:t>
            </w:r>
            <w:r>
              <w:rPr>
                <w:rStyle w:val="IndexLink"/>
                <w:rtl w:val="true"/>
              </w:rPr>
              <w:t xml:space="preserve">: </w:t>
            </w:r>
            <w:r>
              <w:rPr>
                <w:rStyle w:val="IndexLink"/>
                <w:rtl w:val="true"/>
              </w:rPr>
              <w:t>الحرّیة</w:t>
            </w:r>
            <w:r>
              <w:rPr>
                <w:rStyle w:val="IndexLink"/>
                <w:rtl w:val="true"/>
              </w:rPr>
              <w:tab/>
            </w:r>
            <w:r>
              <w:rPr>
                <w:rStyle w:val="IndexLink"/>
              </w:rPr>
              <w:t>203</w:t>
            </w:r>
          </w:hyperlink>
        </w:p>
        <w:p>
          <w:pPr>
            <w:pStyle w:val="Contents6"/>
            <w:tabs>
              <w:tab w:val="clear" w:pos="7609"/>
              <w:tab w:val="right" w:pos="9026" w:leader="dot"/>
            </w:tabs>
            <w:rPr/>
          </w:pPr>
          <w:hyperlink w:anchor="__RefHeading___Toc9530823_73709187">
            <w:r>
              <w:rPr>
                <w:webHidden/>
                <w:rStyle w:val="IndexLink"/>
                <w:rtl w:val="true"/>
              </w:rPr>
              <w:t>الرابع</w:t>
            </w:r>
            <w:r>
              <w:rPr>
                <w:rStyle w:val="IndexLink"/>
                <w:rtl w:val="true"/>
              </w:rPr>
              <w:t xml:space="preserve">: </w:t>
            </w:r>
            <w:r>
              <w:rPr>
                <w:rStyle w:val="IndexLink"/>
                <w:rtl w:val="true"/>
              </w:rPr>
              <w:t>الإسلام</w:t>
            </w:r>
            <w:r>
              <w:rPr>
                <w:rStyle w:val="IndexLink"/>
                <w:rtl w:val="true"/>
              </w:rPr>
              <w:tab/>
            </w:r>
            <w:r>
              <w:rPr>
                <w:rStyle w:val="IndexLink"/>
              </w:rPr>
              <w:t>204</w:t>
            </w:r>
          </w:hyperlink>
        </w:p>
        <w:p>
          <w:pPr>
            <w:pStyle w:val="Contents6"/>
            <w:tabs>
              <w:tab w:val="clear" w:pos="7609"/>
              <w:tab w:val="right" w:pos="9026" w:leader="dot"/>
            </w:tabs>
            <w:rPr/>
          </w:pPr>
          <w:hyperlink w:anchor="__RefHeading___Toc9530825_73709187">
            <w:r>
              <w:rPr>
                <w:webHidden/>
                <w:rStyle w:val="IndexLink"/>
                <w:rtl w:val="true"/>
              </w:rPr>
              <w:t>فرع</w:t>
            </w:r>
            <w:r>
              <w:rPr>
                <w:rStyle w:val="IndexLink"/>
                <w:rtl w:val="true"/>
              </w:rPr>
              <w:t>:</w:t>
              <w:tab/>
            </w:r>
            <w:r>
              <w:rPr>
                <w:rStyle w:val="IndexLink"/>
              </w:rPr>
              <w:t>207</w:t>
            </w:r>
          </w:hyperlink>
        </w:p>
        <w:p>
          <w:pPr>
            <w:pStyle w:val="Contents6"/>
            <w:tabs>
              <w:tab w:val="clear" w:pos="7609"/>
              <w:tab w:val="right" w:pos="9026" w:leader="dot"/>
            </w:tabs>
            <w:rPr/>
          </w:pPr>
          <w:hyperlink w:anchor="__RefHeading___Toc9530827_73709187">
            <w:r>
              <w:rPr>
                <w:webHidden/>
                <w:rStyle w:val="IndexLink"/>
                <w:rtl w:val="true"/>
              </w:rPr>
              <w:t>الخامس</w:t>
            </w:r>
            <w:r>
              <w:rPr>
                <w:rStyle w:val="IndexLink"/>
                <w:rtl w:val="true"/>
              </w:rPr>
              <w:t xml:space="preserve">: </w:t>
            </w:r>
            <w:r>
              <w:rPr>
                <w:rStyle w:val="IndexLink"/>
                <w:rtl w:val="true"/>
              </w:rPr>
              <w:t>العدالة علی قول</w:t>
            </w:r>
            <w:r>
              <w:rPr>
                <w:rStyle w:val="IndexLink"/>
                <w:rtl w:val="true"/>
              </w:rPr>
              <w:tab/>
            </w:r>
            <w:r>
              <w:rPr>
                <w:rStyle w:val="IndexLink"/>
              </w:rPr>
              <w:t>208</w:t>
            </w:r>
          </w:hyperlink>
        </w:p>
        <w:p>
          <w:pPr>
            <w:pStyle w:val="Contents5"/>
            <w:tabs>
              <w:tab w:val="clear" w:pos="7892"/>
              <w:tab w:val="right" w:pos="9026" w:leader="dot"/>
            </w:tabs>
            <w:rPr/>
          </w:pPr>
          <w:hyperlink w:anchor="__RefHeading___Toc9530829_73709187">
            <w:r>
              <w:rPr>
                <w:webHidden/>
                <w:rStyle w:val="IndexLink"/>
                <w:rtl w:val="true"/>
              </w:rPr>
              <w:t>شرائط الملتقط عند فقهاء أهل السنّة</w:t>
            </w:r>
            <w:r>
              <w:rPr>
                <w:rStyle w:val="IndexLink"/>
                <w:rtl w:val="true"/>
              </w:rPr>
              <w:tab/>
            </w:r>
            <w:r>
              <w:rPr>
                <w:rStyle w:val="IndexLink"/>
              </w:rPr>
              <w:t>210</w:t>
            </w:r>
          </w:hyperlink>
        </w:p>
        <w:p>
          <w:pPr>
            <w:pStyle w:val="Contents4"/>
            <w:tabs>
              <w:tab w:val="clear" w:pos="8176"/>
              <w:tab w:val="right" w:pos="9026" w:leader="dot"/>
            </w:tabs>
            <w:rPr/>
          </w:pPr>
          <w:hyperlink w:anchor="__RefHeading___Toc9530831_73709187">
            <w:r>
              <w:rPr>
                <w:webHidden/>
                <w:rStyle w:val="IndexLink"/>
                <w:rtl w:val="true"/>
              </w:rPr>
              <w:t>المبحث الرابع</w:t>
            </w:r>
            <w:r>
              <w:rPr>
                <w:rStyle w:val="IndexLink"/>
                <w:rtl w:val="true"/>
              </w:rPr>
              <w:t xml:space="preserve">: </w:t>
            </w:r>
            <w:r>
              <w:rPr>
                <w:rStyle w:val="IndexLink"/>
                <w:rtl w:val="true"/>
              </w:rPr>
              <w:t>ما یجب علی الملتقط‌</w:t>
            </w:r>
            <w:r>
              <w:rPr>
                <w:rStyle w:val="IndexLink"/>
                <w:rtl w:val="true"/>
              </w:rPr>
              <w:tab/>
            </w:r>
            <w:r>
              <w:rPr>
                <w:rStyle w:val="IndexLink"/>
              </w:rPr>
              <w:t>212</w:t>
            </w:r>
          </w:hyperlink>
        </w:p>
        <w:p>
          <w:pPr>
            <w:pStyle w:val="Contents5"/>
            <w:tabs>
              <w:tab w:val="clear" w:pos="7892"/>
              <w:tab w:val="right" w:pos="9026" w:leader="dot"/>
            </w:tabs>
            <w:rPr/>
          </w:pPr>
          <w:hyperlink w:anchor="__RefHeading___Toc9530833_73709187">
            <w:r>
              <w:rPr>
                <w:webHidden/>
                <w:rStyle w:val="IndexLink"/>
                <w:rtl w:val="true"/>
              </w:rPr>
              <w:t>أ</w:t>
            </w:r>
            <w:r>
              <w:rPr>
                <w:rStyle w:val="IndexLink"/>
                <w:rtl w:val="true"/>
              </w:rPr>
              <w:t xml:space="preserve">: </w:t>
            </w:r>
            <w:r>
              <w:rPr>
                <w:rStyle w:val="IndexLink"/>
                <w:rtl w:val="true"/>
              </w:rPr>
              <w:t>أخذ اللقیط‌</w:t>
            </w:r>
            <w:r>
              <w:rPr>
                <w:rStyle w:val="IndexLink"/>
                <w:rtl w:val="true"/>
              </w:rPr>
              <w:tab/>
            </w:r>
            <w:r>
              <w:rPr>
                <w:rStyle w:val="IndexLink"/>
              </w:rPr>
              <w:t>212</w:t>
            </w:r>
          </w:hyperlink>
        </w:p>
        <w:p>
          <w:pPr>
            <w:pStyle w:val="Contents6"/>
            <w:tabs>
              <w:tab w:val="clear" w:pos="7609"/>
              <w:tab w:val="right" w:pos="9026" w:leader="dot"/>
            </w:tabs>
            <w:rPr/>
          </w:pPr>
          <w:hyperlink w:anchor="__RefHeading___Toc9530835_7370918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9530837_73709187">
            <w:r>
              <w:rPr>
                <w:webHidden/>
                <w:rStyle w:val="IndexLink"/>
                <w:rtl w:val="true"/>
              </w:rPr>
              <w:t>وجوب أخذ اللقیط‌</w:t>
            </w:r>
            <w:r>
              <w:rPr>
                <w:rStyle w:val="IndexLink"/>
                <w:rtl w:val="true"/>
              </w:rPr>
              <w:tab/>
            </w:r>
            <w:r>
              <w:rPr>
                <w:rStyle w:val="IndexLink"/>
              </w:rPr>
              <w:t>212</w:t>
            </w:r>
          </w:hyperlink>
        </w:p>
        <w:p>
          <w:pPr>
            <w:pStyle w:val="Contents6"/>
            <w:tabs>
              <w:tab w:val="clear" w:pos="7609"/>
              <w:tab w:val="right" w:pos="9026" w:leader="dot"/>
            </w:tabs>
            <w:rPr/>
          </w:pPr>
          <w:hyperlink w:anchor="__RefHeading___Toc9530839_73709187">
            <w:r>
              <w:rPr>
                <w:webHidden/>
                <w:rStyle w:val="IndexLink"/>
                <w:rtl w:val="true"/>
              </w:rPr>
              <w:t>استحباب أخذ اللقیط‌</w:t>
            </w:r>
            <w:r>
              <w:rPr>
                <w:rStyle w:val="IndexLink"/>
                <w:rtl w:val="true"/>
              </w:rPr>
              <w:tab/>
            </w:r>
            <w:r>
              <w:rPr>
                <w:rStyle w:val="IndexLink"/>
              </w:rPr>
              <w:t>214</w:t>
            </w:r>
          </w:hyperlink>
        </w:p>
        <w:p>
          <w:pPr>
            <w:pStyle w:val="Contents6"/>
            <w:tabs>
              <w:tab w:val="clear" w:pos="7609"/>
              <w:tab w:val="right" w:pos="9026" w:leader="dot"/>
            </w:tabs>
            <w:rPr/>
          </w:pPr>
          <w:hyperlink w:anchor="__RefHeading___Toc9530841_73709187">
            <w:r>
              <w:rPr>
                <w:webHidden/>
                <w:rStyle w:val="IndexLink"/>
                <w:rtl w:val="true"/>
              </w:rPr>
              <w:t>التفصیل بین القولین</w:t>
            </w:r>
            <w:r>
              <w:rPr>
                <w:rStyle w:val="IndexLink"/>
                <w:rtl w:val="true"/>
              </w:rPr>
              <w:tab/>
            </w:r>
            <w:r>
              <w:rPr>
                <w:rStyle w:val="IndexLink"/>
              </w:rPr>
              <w:t>215</w:t>
            </w:r>
          </w:hyperlink>
        </w:p>
        <w:p>
          <w:pPr>
            <w:pStyle w:val="Contents5"/>
            <w:tabs>
              <w:tab w:val="clear" w:pos="7892"/>
              <w:tab w:val="right" w:pos="9026" w:leader="dot"/>
            </w:tabs>
            <w:rPr/>
          </w:pPr>
          <w:hyperlink w:anchor="__RefHeading___Toc9530843_73709187">
            <w:r>
              <w:rPr>
                <w:webHidden/>
                <w:rStyle w:val="IndexLink"/>
                <w:rtl w:val="true"/>
              </w:rPr>
              <w:t>ب</w:t>
            </w:r>
            <w:r>
              <w:rPr>
                <w:rStyle w:val="IndexLink"/>
                <w:rtl w:val="true"/>
              </w:rPr>
              <w:t xml:space="preserve">: </w:t>
            </w:r>
            <w:r>
              <w:rPr>
                <w:rStyle w:val="IndexLink"/>
                <w:rtl w:val="true"/>
              </w:rPr>
              <w:t>وجوب حضانته</w:t>
            </w:r>
            <w:r>
              <w:rPr>
                <w:rStyle w:val="IndexLink"/>
                <w:rtl w:val="true"/>
              </w:rPr>
              <w:tab/>
            </w:r>
            <w:r>
              <w:rPr>
                <w:rStyle w:val="IndexLink"/>
              </w:rPr>
              <w:t>217</w:t>
            </w:r>
          </w:hyperlink>
        </w:p>
        <w:p>
          <w:pPr>
            <w:pStyle w:val="Contents6"/>
            <w:tabs>
              <w:tab w:val="clear" w:pos="7609"/>
              <w:tab w:val="right" w:pos="9026" w:leader="dot"/>
            </w:tabs>
            <w:rPr/>
          </w:pPr>
          <w:hyperlink w:anchor="__RefHeading___Toc9530845_73709187">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9530847_73709187">
            <w:r>
              <w:rPr>
                <w:webHidden/>
                <w:rStyle w:val="IndexLink"/>
                <w:rtl w:val="true"/>
              </w:rPr>
              <w:t>فرعان</w:t>
            </w:r>
            <w:r>
              <w:rPr>
                <w:rStyle w:val="IndexLink"/>
                <w:rtl w:val="true"/>
              </w:rPr>
              <w:tab/>
            </w:r>
            <w:r>
              <w:rPr>
                <w:rStyle w:val="IndexLink"/>
              </w:rPr>
              <w:t>218</w:t>
            </w:r>
          </w:hyperlink>
        </w:p>
        <w:p>
          <w:pPr>
            <w:pStyle w:val="Contents6"/>
            <w:tabs>
              <w:tab w:val="clear" w:pos="7609"/>
              <w:tab w:val="right" w:pos="9026" w:leader="dot"/>
            </w:tabs>
            <w:rPr/>
          </w:pPr>
          <w:hyperlink w:anchor="__RefHeading___Toc9530849_73709187">
            <w:r>
              <w:rPr>
                <w:webHidden/>
                <w:rStyle w:val="IndexLink"/>
                <w:rtl w:val="true"/>
              </w:rPr>
              <w:t>الأوّل</w:t>
            </w:r>
            <w:r>
              <w:rPr>
                <w:rStyle w:val="IndexLink"/>
                <w:rtl w:val="true"/>
              </w:rPr>
              <w:t xml:space="preserve">: </w:t>
            </w:r>
            <w:r>
              <w:rPr>
                <w:rStyle w:val="IndexLink"/>
                <w:rtl w:val="true"/>
              </w:rPr>
              <w:t>المقصود من الحضانة فی المقام کما تقدّم، وجوب حفظ اللقیط و تربیته</w:t>
            </w:r>
            <w:r>
              <w:rPr>
                <w:rStyle w:val="IndexLink"/>
                <w:rtl w:val="true"/>
              </w:rPr>
              <w:tab/>
            </w:r>
            <w:r>
              <w:rPr>
                <w:rStyle w:val="IndexLink"/>
              </w:rPr>
              <w:t>218</w:t>
            </w:r>
          </w:hyperlink>
        </w:p>
        <w:p>
          <w:pPr>
            <w:pStyle w:val="Contents6"/>
            <w:tabs>
              <w:tab w:val="clear" w:pos="7609"/>
              <w:tab w:val="right" w:pos="9026" w:leader="dot"/>
            </w:tabs>
            <w:rPr/>
          </w:pPr>
          <w:hyperlink w:anchor="__RefHeading___Toc9530851_73709187">
            <w:r>
              <w:rPr>
                <w:webHidden/>
                <w:rStyle w:val="IndexLink"/>
                <w:rtl w:val="true"/>
              </w:rPr>
              <w:t>دلیل عدم ولایة الملتقط علی اللقیط‌</w:t>
            </w:r>
            <w:r>
              <w:rPr>
                <w:rStyle w:val="IndexLink"/>
                <w:rtl w:val="true"/>
              </w:rPr>
              <w:tab/>
            </w:r>
            <w:r>
              <w:rPr>
                <w:rStyle w:val="IndexLink"/>
              </w:rPr>
              <w:t>219</w:t>
            </w:r>
          </w:hyperlink>
        </w:p>
        <w:p>
          <w:pPr>
            <w:pStyle w:val="Contents6"/>
            <w:tabs>
              <w:tab w:val="clear" w:pos="7609"/>
              <w:tab w:val="right" w:pos="9026" w:leader="dot"/>
            </w:tabs>
            <w:rPr/>
          </w:pPr>
          <w:hyperlink w:anchor="__RefHeading___Toc9530853_73709187">
            <w:r>
              <w:rPr>
                <w:webHidden/>
                <w:rStyle w:val="IndexLink"/>
                <w:rtl w:val="true"/>
              </w:rPr>
              <w:t>الفرع الثانی</w:t>
            </w:r>
            <w:r>
              <w:rPr>
                <w:rStyle w:val="IndexLink"/>
                <w:rtl w:val="true"/>
              </w:rPr>
              <w:t xml:space="preserve">: </w:t>
            </w:r>
            <w:r>
              <w:rPr>
                <w:rStyle w:val="IndexLink"/>
                <w:rtl w:val="true"/>
              </w:rPr>
              <w:t>لا ریب فی أنّه لا یجوز للملتقط بعد أخذ اللقیط و القیام بحوائجه مدّة، ترک ما وجب علیه</w:t>
            </w:r>
            <w:r>
              <w:rPr>
                <w:rStyle w:val="IndexLink"/>
                <w:rtl w:val="true"/>
              </w:rPr>
              <w:tab/>
            </w:r>
            <w:r>
              <w:rPr>
                <w:rStyle w:val="IndexLink"/>
              </w:rPr>
              <w:t>220</w:t>
            </w:r>
          </w:hyperlink>
        </w:p>
        <w:p>
          <w:pPr>
            <w:pStyle w:val="Contents5"/>
            <w:tabs>
              <w:tab w:val="clear" w:pos="7892"/>
              <w:tab w:val="right" w:pos="9026" w:leader="dot"/>
            </w:tabs>
            <w:rPr/>
          </w:pPr>
          <w:hyperlink w:anchor="__RefHeading___Toc9530855_73709187">
            <w:r>
              <w:rPr>
                <w:webHidden/>
                <w:rStyle w:val="IndexLink"/>
                <w:rtl w:val="true"/>
              </w:rPr>
              <w:t>آراء مذاهب أهل السنّة فی أخذ اللقیط و حضانته</w:t>
            </w:r>
            <w:r>
              <w:rPr>
                <w:rStyle w:val="IndexLink"/>
                <w:rtl w:val="true"/>
              </w:rPr>
              <w:tab/>
            </w:r>
            <w:r>
              <w:rPr>
                <w:rStyle w:val="IndexLink"/>
              </w:rPr>
              <w:t>222</w:t>
            </w:r>
          </w:hyperlink>
        </w:p>
        <w:p>
          <w:pPr>
            <w:pStyle w:val="Contents6"/>
            <w:tabs>
              <w:tab w:val="clear" w:pos="7609"/>
              <w:tab w:val="right" w:pos="9026" w:leader="dot"/>
            </w:tabs>
            <w:rPr/>
          </w:pPr>
          <w:hyperlink w:anchor="__RefHeading___Toc9530857_73709187">
            <w:r>
              <w:rPr>
                <w:webHidden/>
                <w:rStyle w:val="IndexLink"/>
                <w:rtl w:val="true"/>
              </w:rPr>
              <w:t>أ</w:t>
            </w:r>
            <w:r>
              <w:rPr>
                <w:rStyle w:val="IndexLink"/>
                <w:rtl w:val="true"/>
              </w:rPr>
              <w:t xml:space="preserve">: </w:t>
            </w:r>
            <w:r>
              <w:rPr>
                <w:rStyle w:val="IndexLink"/>
                <w:rtl w:val="true"/>
              </w:rPr>
              <w:t>أخذ اللقیط‌</w:t>
            </w:r>
            <w:r>
              <w:rPr>
                <w:rStyle w:val="IndexLink"/>
                <w:rtl w:val="true"/>
              </w:rPr>
              <w:tab/>
            </w:r>
            <w:r>
              <w:rPr>
                <w:rStyle w:val="IndexLink"/>
              </w:rPr>
              <w:t>222</w:t>
            </w:r>
          </w:hyperlink>
        </w:p>
        <w:p>
          <w:pPr>
            <w:pStyle w:val="Contents6"/>
            <w:tabs>
              <w:tab w:val="clear" w:pos="7609"/>
              <w:tab w:val="right" w:pos="9026" w:leader="dot"/>
            </w:tabs>
            <w:rPr/>
          </w:pPr>
          <w:hyperlink w:anchor="__RefHeading___Toc9530859_73709187">
            <w:r>
              <w:rPr>
                <w:webHidden/>
                <w:rStyle w:val="IndexLink"/>
                <w:rtl w:val="true"/>
              </w:rPr>
              <w:t>ب</w:t>
            </w:r>
            <w:r>
              <w:rPr>
                <w:rStyle w:val="IndexLink"/>
                <w:rtl w:val="true"/>
              </w:rPr>
              <w:t xml:space="preserve">: </w:t>
            </w:r>
            <w:r>
              <w:rPr>
                <w:rStyle w:val="IndexLink"/>
                <w:rtl w:val="true"/>
              </w:rPr>
              <w:t>وجوب حضانته</w:t>
            </w:r>
            <w:r>
              <w:rPr>
                <w:rStyle w:val="IndexLink"/>
                <w:rtl w:val="true"/>
              </w:rPr>
              <w:tab/>
            </w:r>
            <w:r>
              <w:rPr>
                <w:rStyle w:val="IndexLink"/>
              </w:rPr>
              <w:t>222</w:t>
            </w:r>
          </w:hyperlink>
        </w:p>
        <w:p>
          <w:pPr>
            <w:pStyle w:val="Contents4"/>
            <w:tabs>
              <w:tab w:val="clear" w:pos="8176"/>
              <w:tab w:val="right" w:pos="9026" w:leader="dot"/>
            </w:tabs>
            <w:rPr/>
          </w:pPr>
          <w:hyperlink w:anchor="__RefHeading___Toc9530861_73709187">
            <w:r>
              <w:rPr>
                <w:webHidden/>
                <w:rStyle w:val="IndexLink"/>
                <w:rtl w:val="true"/>
              </w:rPr>
              <w:t>المبحث الخامس</w:t>
            </w:r>
            <w:r>
              <w:rPr>
                <w:rStyle w:val="IndexLink"/>
                <w:rtl w:val="true"/>
              </w:rPr>
              <w:t xml:space="preserve">: </w:t>
            </w:r>
            <w:r>
              <w:rPr>
                <w:rStyle w:val="IndexLink"/>
                <w:rtl w:val="true"/>
              </w:rPr>
              <w:t>أحکام اللقیط‌</w:t>
            </w:r>
            <w:r>
              <w:rPr>
                <w:rStyle w:val="IndexLink"/>
                <w:rtl w:val="true"/>
              </w:rPr>
              <w:tab/>
            </w:r>
            <w:r>
              <w:rPr>
                <w:rStyle w:val="IndexLink"/>
              </w:rPr>
              <w:t>224</w:t>
            </w:r>
          </w:hyperlink>
        </w:p>
        <w:p>
          <w:pPr>
            <w:pStyle w:val="Contents5"/>
            <w:tabs>
              <w:tab w:val="clear" w:pos="7892"/>
              <w:tab w:val="right" w:pos="9026" w:leader="dot"/>
            </w:tabs>
            <w:rPr/>
          </w:pPr>
          <w:hyperlink w:anchor="__RefHeading___Toc9530863_7370918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9530865_73709187">
            <w:r>
              <w:rPr>
                <w:webHidden/>
                <w:rStyle w:val="IndexLink"/>
                <w:rtl w:val="true"/>
              </w:rPr>
              <w:t>الحکم الأوّل</w:t>
            </w:r>
            <w:r>
              <w:rPr>
                <w:rStyle w:val="IndexLink"/>
                <w:rtl w:val="true"/>
              </w:rPr>
              <w:t xml:space="preserve">: </w:t>
            </w:r>
            <w:r>
              <w:rPr>
                <w:rStyle w:val="IndexLink"/>
                <w:rtl w:val="true"/>
              </w:rPr>
              <w:t>نسب اللقیط‌</w:t>
            </w:r>
            <w:r>
              <w:rPr>
                <w:rStyle w:val="IndexLink"/>
                <w:rtl w:val="true"/>
              </w:rPr>
              <w:tab/>
            </w:r>
            <w:r>
              <w:rPr>
                <w:rStyle w:val="IndexLink"/>
              </w:rPr>
              <w:t>224</w:t>
            </w:r>
          </w:hyperlink>
        </w:p>
        <w:p>
          <w:pPr>
            <w:pStyle w:val="Contents6"/>
            <w:tabs>
              <w:tab w:val="clear" w:pos="7609"/>
              <w:tab w:val="right" w:pos="9026" w:leader="dot"/>
            </w:tabs>
            <w:rPr/>
          </w:pPr>
          <w:hyperlink w:anchor="__RefHeading___Toc9530867_73709187">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9530869_73709187">
            <w:r>
              <w:rPr>
                <w:webHidden/>
                <w:rStyle w:val="IndexLink"/>
                <w:rtl w:val="true"/>
              </w:rPr>
              <w:t>أدلّة الحاق اللقیط بمن ادّعی أنّه ولده</w:t>
            </w:r>
            <w:r>
              <w:rPr>
                <w:rStyle w:val="IndexLink"/>
                <w:rtl w:val="true"/>
              </w:rPr>
              <w:tab/>
            </w:r>
            <w:r>
              <w:rPr>
                <w:rStyle w:val="IndexLink"/>
              </w:rPr>
              <w:t>225</w:t>
            </w:r>
          </w:hyperlink>
        </w:p>
        <w:p>
          <w:pPr>
            <w:pStyle w:val="Contents6"/>
            <w:tabs>
              <w:tab w:val="clear" w:pos="7609"/>
              <w:tab w:val="right" w:pos="9026" w:leader="dot"/>
            </w:tabs>
            <w:rPr/>
          </w:pPr>
          <w:hyperlink w:anchor="__RefHeading___Toc9530871_73709187">
            <w:r>
              <w:rPr>
                <w:webHidden/>
                <w:rStyle w:val="IndexLink"/>
                <w:rtl w:val="true"/>
              </w:rPr>
              <w:t>أحدها</w:t>
            </w:r>
            <w:r>
              <w:rPr>
                <w:rStyle w:val="IndexLink"/>
                <w:rtl w:val="true"/>
              </w:rPr>
              <w:t xml:space="preserve">: </w:t>
            </w:r>
            <w:r>
              <w:rPr>
                <w:rStyle w:val="IndexLink"/>
                <w:rtl w:val="true"/>
              </w:rPr>
              <w:t>الإجماع</w:t>
            </w:r>
            <w:r>
              <w:rPr>
                <w:rStyle w:val="IndexLink"/>
                <w:rtl w:val="true"/>
              </w:rPr>
              <w:tab/>
            </w:r>
            <w:r>
              <w:rPr>
                <w:rStyle w:val="IndexLink"/>
              </w:rPr>
              <w:t>225</w:t>
            </w:r>
          </w:hyperlink>
        </w:p>
        <w:p>
          <w:pPr>
            <w:pStyle w:val="Contents6"/>
            <w:tabs>
              <w:tab w:val="clear" w:pos="7609"/>
              <w:tab w:val="right" w:pos="9026" w:leader="dot"/>
            </w:tabs>
            <w:rPr/>
          </w:pPr>
          <w:hyperlink w:anchor="__RefHeading___Toc9530873_73709187">
            <w:r>
              <w:rPr>
                <w:webHidden/>
                <w:rStyle w:val="IndexLink"/>
                <w:rtl w:val="true"/>
              </w:rPr>
              <w:t>ثانیها</w:t>
            </w:r>
            <w:r>
              <w:rPr>
                <w:rStyle w:val="IndexLink"/>
                <w:rtl w:val="true"/>
              </w:rPr>
              <w:t xml:space="preserve">: </w:t>
            </w:r>
            <w:r>
              <w:rPr>
                <w:rStyle w:val="IndexLink"/>
                <w:rtl w:val="true"/>
              </w:rPr>
              <w:t>أنّ المدّعی یقرّ بنسب مجهول یمکن أن یکون منه</w:t>
            </w:r>
            <w:r>
              <w:rPr>
                <w:rStyle w:val="IndexLink"/>
                <w:rtl w:val="true"/>
              </w:rPr>
              <w:tab/>
            </w:r>
            <w:r>
              <w:rPr>
                <w:rStyle w:val="IndexLink"/>
              </w:rPr>
              <w:t>225</w:t>
            </w:r>
          </w:hyperlink>
        </w:p>
        <w:p>
          <w:pPr>
            <w:pStyle w:val="Contents6"/>
            <w:tabs>
              <w:tab w:val="clear" w:pos="7609"/>
              <w:tab w:val="right" w:pos="9026" w:leader="dot"/>
            </w:tabs>
            <w:rPr/>
          </w:pPr>
          <w:hyperlink w:anchor="__RefHeading___Toc9530875_73709187">
            <w:r>
              <w:rPr>
                <w:webHidden/>
                <w:rStyle w:val="IndexLink"/>
                <w:rtl w:val="true"/>
              </w:rPr>
              <w:t>ثالثها</w:t>
            </w:r>
            <w:r>
              <w:rPr>
                <w:rStyle w:val="IndexLink"/>
                <w:rtl w:val="true"/>
              </w:rPr>
              <w:t xml:space="preserve">: </w:t>
            </w:r>
            <w:r>
              <w:rPr>
                <w:rStyle w:val="IndexLink"/>
                <w:rtl w:val="true"/>
              </w:rPr>
              <w:t>قال فی المسالک</w:t>
            </w:r>
            <w:r>
              <w:rPr>
                <w:rStyle w:val="IndexLink"/>
                <w:rtl w:val="true"/>
              </w:rPr>
              <w:t>: «</w:t>
            </w:r>
            <w:r>
              <w:rPr>
                <w:rStyle w:val="IndexLink"/>
                <w:rtl w:val="true"/>
              </w:rPr>
              <w:t>إنّ إقامة البیّنة علی النسب ممّا یعسر</w:t>
            </w:r>
            <w:r>
              <w:rPr>
                <w:rStyle w:val="IndexLink"/>
                <w:rtl w:val="true"/>
              </w:rPr>
              <w:tab/>
            </w:r>
            <w:r>
              <w:rPr>
                <w:rStyle w:val="IndexLink"/>
              </w:rPr>
              <w:t>226</w:t>
            </w:r>
          </w:hyperlink>
        </w:p>
        <w:p>
          <w:pPr>
            <w:pStyle w:val="Contents6"/>
            <w:tabs>
              <w:tab w:val="clear" w:pos="7609"/>
              <w:tab w:val="right" w:pos="9026" w:leader="dot"/>
            </w:tabs>
            <w:rPr/>
          </w:pPr>
          <w:hyperlink w:anchor="__RefHeading___Toc9530877_73709187">
            <w:r>
              <w:rPr>
                <w:webHidden/>
                <w:rStyle w:val="IndexLink"/>
                <w:rtl w:val="true"/>
              </w:rPr>
              <w:t xml:space="preserve">رابعها </w:t>
            </w:r>
            <w:r>
              <w:rPr>
                <w:rStyle w:val="IndexLink"/>
                <w:rtl w:val="true"/>
              </w:rPr>
              <w:t xml:space="preserve">- </w:t>
            </w:r>
            <w:r>
              <w:rPr>
                <w:rStyle w:val="IndexLink"/>
                <w:rtl w:val="true"/>
              </w:rPr>
              <w:t xml:space="preserve">و هو العمدة </w:t>
            </w:r>
            <w:r>
              <w:rPr>
                <w:rStyle w:val="IndexLink"/>
                <w:rtl w:val="true"/>
              </w:rPr>
              <w:t xml:space="preserve">-: </w:t>
            </w:r>
            <w:r>
              <w:rPr>
                <w:rStyle w:val="IndexLink"/>
                <w:rtl w:val="true"/>
              </w:rPr>
              <w:t>النصوص</w:t>
            </w:r>
            <w:r>
              <w:rPr>
                <w:rStyle w:val="IndexLink"/>
                <w:rtl w:val="true"/>
              </w:rPr>
              <w:tab/>
            </w:r>
            <w:r>
              <w:rPr>
                <w:rStyle w:val="IndexLink"/>
              </w:rPr>
              <w:t>226</w:t>
            </w:r>
          </w:hyperlink>
        </w:p>
        <w:p>
          <w:pPr>
            <w:pStyle w:val="Contents5"/>
            <w:tabs>
              <w:tab w:val="clear" w:pos="7892"/>
              <w:tab w:val="right" w:pos="9026" w:leader="dot"/>
            </w:tabs>
            <w:rPr/>
          </w:pPr>
          <w:hyperlink w:anchor="__RefHeading___Toc9530879_73709187">
            <w:r>
              <w:rPr>
                <w:webHidden/>
                <w:rStyle w:val="IndexLink"/>
                <w:rtl w:val="true"/>
              </w:rPr>
              <w:t>الحکم الثانی</w:t>
            </w:r>
            <w:r>
              <w:rPr>
                <w:rStyle w:val="IndexLink"/>
                <w:rtl w:val="true"/>
              </w:rPr>
              <w:t xml:space="preserve">: </w:t>
            </w:r>
            <w:r>
              <w:rPr>
                <w:rStyle w:val="IndexLink"/>
                <w:rtl w:val="true"/>
              </w:rPr>
              <w:t>إسلام اللقیط‌</w:t>
            </w:r>
            <w:r>
              <w:rPr>
                <w:rStyle w:val="IndexLink"/>
                <w:rtl w:val="true"/>
              </w:rPr>
              <w:tab/>
            </w:r>
            <w:r>
              <w:rPr>
                <w:rStyle w:val="IndexLink"/>
              </w:rPr>
              <w:t>226</w:t>
            </w:r>
          </w:hyperlink>
        </w:p>
        <w:p>
          <w:pPr>
            <w:pStyle w:val="Contents6"/>
            <w:tabs>
              <w:tab w:val="clear" w:pos="7609"/>
              <w:tab w:val="right" w:pos="9026" w:leader="dot"/>
            </w:tabs>
            <w:rPr/>
          </w:pPr>
          <w:hyperlink w:anchor="__RefHeading___Toc9530881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9530883_73709187">
            <w:r>
              <w:rPr>
                <w:webHidden/>
                <w:rStyle w:val="IndexLink"/>
                <w:rtl w:val="true"/>
              </w:rPr>
              <w:t>الحکم بإسلام اللقیط بالاستلحاق</w:t>
            </w:r>
            <w:r>
              <w:rPr>
                <w:rStyle w:val="IndexLink"/>
                <w:rtl w:val="true"/>
              </w:rPr>
              <w:tab/>
            </w:r>
            <w:r>
              <w:rPr>
                <w:rStyle w:val="IndexLink"/>
              </w:rPr>
              <w:t>228</w:t>
            </w:r>
          </w:hyperlink>
        </w:p>
        <w:p>
          <w:pPr>
            <w:pStyle w:val="Contents5"/>
            <w:tabs>
              <w:tab w:val="clear" w:pos="7892"/>
              <w:tab w:val="right" w:pos="9026" w:leader="dot"/>
            </w:tabs>
            <w:rPr/>
          </w:pPr>
          <w:hyperlink w:anchor="__RefHeading___Toc9530885_73709187">
            <w:r>
              <w:rPr>
                <w:webHidden/>
                <w:rStyle w:val="IndexLink"/>
                <w:rtl w:val="true"/>
              </w:rPr>
              <w:t>الحکم الثالث</w:t>
            </w:r>
            <w:r>
              <w:rPr>
                <w:rStyle w:val="IndexLink"/>
                <w:rtl w:val="true"/>
              </w:rPr>
              <w:t xml:space="preserve">: </w:t>
            </w:r>
            <w:r>
              <w:rPr>
                <w:rStyle w:val="IndexLink"/>
                <w:rtl w:val="true"/>
              </w:rPr>
              <w:t>حرّیة اللقیط‌</w:t>
            </w:r>
            <w:r>
              <w:rPr>
                <w:rStyle w:val="IndexLink"/>
                <w:rtl w:val="true"/>
              </w:rPr>
              <w:tab/>
            </w:r>
            <w:r>
              <w:rPr>
                <w:rStyle w:val="IndexLink"/>
              </w:rPr>
              <w:t>230</w:t>
            </w:r>
          </w:hyperlink>
        </w:p>
        <w:p>
          <w:pPr>
            <w:pStyle w:val="Contents5"/>
            <w:tabs>
              <w:tab w:val="clear" w:pos="7892"/>
              <w:tab w:val="right" w:pos="9026" w:leader="dot"/>
            </w:tabs>
            <w:rPr/>
          </w:pPr>
          <w:hyperlink w:anchor="__RefHeading___Toc9530887_73709187">
            <w:r>
              <w:rPr>
                <w:webHidden/>
                <w:rStyle w:val="IndexLink"/>
                <w:rtl w:val="true"/>
              </w:rPr>
              <w:t>الحکم الرابع</w:t>
            </w:r>
            <w:r>
              <w:rPr>
                <w:rStyle w:val="IndexLink"/>
                <w:rtl w:val="true"/>
              </w:rPr>
              <w:t xml:space="preserve">: </w:t>
            </w:r>
            <w:r>
              <w:rPr>
                <w:rStyle w:val="IndexLink"/>
                <w:rtl w:val="true"/>
              </w:rPr>
              <w:t>نفقة اللقیط‌</w:t>
            </w:r>
            <w:r>
              <w:rPr>
                <w:rStyle w:val="IndexLink"/>
                <w:rtl w:val="true"/>
              </w:rPr>
              <w:tab/>
            </w:r>
            <w:r>
              <w:rPr>
                <w:rStyle w:val="IndexLink"/>
              </w:rPr>
              <w:t>231</w:t>
            </w:r>
          </w:hyperlink>
        </w:p>
        <w:p>
          <w:pPr>
            <w:pStyle w:val="Contents5"/>
            <w:tabs>
              <w:tab w:val="clear" w:pos="7892"/>
              <w:tab w:val="right" w:pos="9026" w:leader="dot"/>
            </w:tabs>
            <w:rPr/>
          </w:pPr>
          <w:hyperlink w:anchor="__RefHeading___Toc9530889_73709187">
            <w:r>
              <w:rPr>
                <w:webHidden/>
                <w:rStyle w:val="IndexLink"/>
                <w:rtl w:val="true"/>
              </w:rPr>
              <w:t>و الحاصل</w:t>
            </w:r>
            <w:r>
              <w:rPr>
                <w:rStyle w:val="IndexLink"/>
                <w:rtl w:val="true"/>
              </w:rPr>
              <w:t xml:space="preserve">: </w:t>
            </w:r>
            <w:r>
              <w:rPr>
                <w:rStyle w:val="IndexLink"/>
                <w:rtl w:val="true"/>
              </w:rPr>
              <w:t>أنّ هنا أربعة أحکام یلزم أن نذکر أدلّتها</w:t>
            </w:r>
            <w:r>
              <w:rPr>
                <w:rStyle w:val="IndexLink"/>
                <w:rtl w:val="true"/>
              </w:rPr>
              <w:t>:</w:t>
              <w:tab/>
            </w:r>
            <w:r>
              <w:rPr>
                <w:rStyle w:val="IndexLink"/>
              </w:rPr>
              <w:t>233</w:t>
            </w:r>
          </w:hyperlink>
        </w:p>
        <w:p>
          <w:pPr>
            <w:pStyle w:val="Contents6"/>
            <w:tabs>
              <w:tab w:val="clear" w:pos="7609"/>
              <w:tab w:val="right" w:pos="9026" w:leader="dot"/>
            </w:tabs>
            <w:rPr/>
          </w:pPr>
          <w:hyperlink w:anchor="__RefHeading___Toc9530891_73709187">
            <w:r>
              <w:rPr>
                <w:webHidden/>
                <w:rStyle w:val="IndexLink"/>
                <w:rtl w:val="true"/>
              </w:rPr>
              <w:t>أ</w:t>
            </w:r>
            <w:r>
              <w:rPr>
                <w:rStyle w:val="IndexLink"/>
                <w:rtl w:val="true"/>
              </w:rPr>
              <w:t xml:space="preserve">: </w:t>
            </w:r>
            <w:r>
              <w:rPr>
                <w:rStyle w:val="IndexLink"/>
                <w:rtl w:val="true"/>
              </w:rPr>
              <w:t>اللقیط یملک کالکبیر</w:t>
            </w:r>
            <w:r>
              <w:rPr>
                <w:rStyle w:val="IndexLink"/>
                <w:rtl w:val="true"/>
              </w:rPr>
              <w:tab/>
            </w:r>
            <w:r>
              <w:rPr>
                <w:rStyle w:val="IndexLink"/>
              </w:rPr>
              <w:t>233</w:t>
            </w:r>
          </w:hyperlink>
        </w:p>
        <w:p>
          <w:pPr>
            <w:pStyle w:val="Contents6"/>
            <w:tabs>
              <w:tab w:val="clear" w:pos="7609"/>
              <w:tab w:val="right" w:pos="9026" w:leader="dot"/>
            </w:tabs>
            <w:rPr/>
          </w:pPr>
          <w:hyperlink w:anchor="__RefHeading___Toc9530893_73709187">
            <w:r>
              <w:rPr>
                <w:webHidden/>
                <w:rStyle w:val="IndexLink"/>
                <w:rtl w:val="true"/>
              </w:rPr>
              <w:t>ب</w:t>
            </w:r>
            <w:r>
              <w:rPr>
                <w:rStyle w:val="IndexLink"/>
                <w:rtl w:val="true"/>
              </w:rPr>
              <w:t xml:space="preserve">: </w:t>
            </w:r>
            <w:r>
              <w:rPr>
                <w:rStyle w:val="IndexLink"/>
                <w:rtl w:val="true"/>
              </w:rPr>
              <w:t>نفقة اللقیط فی ملکه و یدلّ علیه أوّلاً</w:t>
            </w:r>
            <w:r>
              <w:rPr>
                <w:rStyle w:val="IndexLink"/>
                <w:rtl w:val="true"/>
              </w:rPr>
              <w:t xml:space="preserve">: </w:t>
            </w:r>
            <w:r>
              <w:rPr>
                <w:rStyle w:val="IndexLink"/>
                <w:rtl w:val="true"/>
              </w:rPr>
              <w:t>الأصل</w:t>
            </w:r>
            <w:r>
              <w:rPr>
                <w:rStyle w:val="IndexLink"/>
                <w:rtl w:val="true"/>
              </w:rPr>
              <w:tab/>
            </w:r>
            <w:r>
              <w:rPr>
                <w:rStyle w:val="IndexLink"/>
              </w:rPr>
              <w:t>234</w:t>
            </w:r>
          </w:hyperlink>
        </w:p>
        <w:p>
          <w:pPr>
            <w:pStyle w:val="Contents6"/>
            <w:tabs>
              <w:tab w:val="clear" w:pos="7609"/>
              <w:tab w:val="right" w:pos="9026" w:leader="dot"/>
            </w:tabs>
            <w:rPr/>
          </w:pPr>
          <w:hyperlink w:anchor="__RefHeading___Toc9530895_73709187">
            <w:r>
              <w:rPr>
                <w:webHidden/>
                <w:rStyle w:val="IndexLink"/>
                <w:rtl w:val="true"/>
              </w:rPr>
              <w:t>ج</w:t>
            </w:r>
            <w:r>
              <w:rPr>
                <w:rStyle w:val="IndexLink"/>
                <w:rtl w:val="true"/>
              </w:rPr>
              <w:t xml:space="preserve">: </w:t>
            </w:r>
            <w:r>
              <w:rPr>
                <w:rStyle w:val="IndexLink"/>
                <w:rtl w:val="true"/>
              </w:rPr>
              <w:t>لا یجب علی الملتقط نفقة اللقیط‌</w:t>
            </w:r>
            <w:r>
              <w:rPr>
                <w:rStyle w:val="IndexLink"/>
                <w:rtl w:val="true"/>
              </w:rPr>
              <w:tab/>
            </w:r>
            <w:r>
              <w:rPr>
                <w:rStyle w:val="IndexLink"/>
              </w:rPr>
              <w:t>235</w:t>
            </w:r>
          </w:hyperlink>
        </w:p>
        <w:p>
          <w:pPr>
            <w:pStyle w:val="Contents6"/>
            <w:tabs>
              <w:tab w:val="clear" w:pos="7609"/>
              <w:tab w:val="right" w:pos="9026" w:leader="dot"/>
            </w:tabs>
            <w:rPr/>
          </w:pPr>
          <w:hyperlink w:anchor="__RefHeading___Toc9530897_73709187">
            <w:r>
              <w:rPr>
                <w:webHidden/>
                <w:rStyle w:val="IndexLink"/>
                <w:rtl w:val="true"/>
              </w:rPr>
              <w:t>د</w:t>
            </w:r>
            <w:r>
              <w:rPr>
                <w:rStyle w:val="IndexLink"/>
                <w:rtl w:val="true"/>
              </w:rPr>
              <w:t xml:space="preserve">: </w:t>
            </w:r>
            <w:r>
              <w:rPr>
                <w:rStyle w:val="IndexLink"/>
                <w:rtl w:val="true"/>
              </w:rPr>
              <w:t>وجوب إذن الملتقط من الحاکم</w:t>
            </w:r>
            <w:r>
              <w:rPr>
                <w:rStyle w:val="IndexLink"/>
                <w:rtl w:val="true"/>
              </w:rPr>
              <w:tab/>
            </w:r>
            <w:r>
              <w:rPr>
                <w:rStyle w:val="IndexLink"/>
              </w:rPr>
              <w:t>236</w:t>
            </w:r>
          </w:hyperlink>
        </w:p>
        <w:p>
          <w:pPr>
            <w:pStyle w:val="Contents6"/>
            <w:tabs>
              <w:tab w:val="clear" w:pos="7609"/>
              <w:tab w:val="right" w:pos="9026" w:leader="dot"/>
            </w:tabs>
            <w:rPr/>
          </w:pPr>
          <w:hyperlink w:anchor="__RefHeading___Toc9530899_73709187">
            <w:r>
              <w:rPr>
                <w:webHidden/>
                <w:rStyle w:val="IndexLink"/>
                <w:rtl w:val="true"/>
              </w:rPr>
              <w:t>ه الحکم الخامس</w:t>
            </w:r>
            <w:r>
              <w:rPr>
                <w:rStyle w:val="IndexLink"/>
                <w:rtl w:val="true"/>
              </w:rPr>
              <w:t xml:space="preserve">: </w:t>
            </w:r>
            <w:r>
              <w:rPr>
                <w:rStyle w:val="IndexLink"/>
                <w:rtl w:val="true"/>
              </w:rPr>
              <w:t>وارث اللقیط‌</w:t>
            </w:r>
            <w:r>
              <w:rPr>
                <w:rStyle w:val="IndexLink"/>
                <w:rtl w:val="true"/>
              </w:rPr>
              <w:tab/>
            </w:r>
            <w:r>
              <w:rPr>
                <w:rStyle w:val="IndexLink"/>
              </w:rPr>
              <w:t>237</w:t>
            </w:r>
          </w:hyperlink>
        </w:p>
        <w:p>
          <w:pPr>
            <w:pStyle w:val="Contents5"/>
            <w:tabs>
              <w:tab w:val="clear" w:pos="7892"/>
              <w:tab w:val="right" w:pos="9026" w:leader="dot"/>
            </w:tabs>
            <w:rPr/>
          </w:pPr>
          <w:hyperlink w:anchor="__RefHeading___Toc9530901_73709187">
            <w:r>
              <w:rPr>
                <w:webHidden/>
                <w:rStyle w:val="IndexLink"/>
                <w:rtl w:val="true"/>
              </w:rPr>
              <w:t>آراء مذاهب أهل السنّة فی أحکام اللقیط‌</w:t>
            </w:r>
            <w:r>
              <w:rPr>
                <w:rStyle w:val="IndexLink"/>
                <w:rtl w:val="true"/>
              </w:rPr>
              <w:tab/>
            </w:r>
            <w:r>
              <w:rPr>
                <w:rStyle w:val="IndexLink"/>
              </w:rPr>
              <w:t>239</w:t>
            </w:r>
          </w:hyperlink>
        </w:p>
        <w:p>
          <w:pPr>
            <w:pStyle w:val="Contents6"/>
            <w:tabs>
              <w:tab w:val="clear" w:pos="7609"/>
              <w:tab w:val="right" w:pos="9026" w:leader="dot"/>
            </w:tabs>
            <w:rPr/>
          </w:pPr>
          <w:hyperlink w:anchor="__RefHeading___Toc9530903_73709187">
            <w:r>
              <w:rPr>
                <w:webHidden/>
                <w:rStyle w:val="IndexLink"/>
                <w:rtl w:val="true"/>
              </w:rPr>
              <w:t>أ</w:t>
            </w:r>
            <w:r>
              <w:rPr>
                <w:rStyle w:val="IndexLink"/>
                <w:rtl w:val="true"/>
              </w:rPr>
              <w:t xml:space="preserve">: </w:t>
            </w:r>
            <w:r>
              <w:rPr>
                <w:rStyle w:val="IndexLink"/>
                <w:rtl w:val="true"/>
              </w:rPr>
              <w:t>نسب اللقیط‌</w:t>
            </w:r>
            <w:r>
              <w:rPr>
                <w:rStyle w:val="IndexLink"/>
                <w:rtl w:val="true"/>
              </w:rPr>
              <w:tab/>
            </w:r>
            <w:r>
              <w:rPr>
                <w:rStyle w:val="IndexLink"/>
              </w:rPr>
              <w:t>239</w:t>
            </w:r>
          </w:hyperlink>
        </w:p>
        <w:p>
          <w:pPr>
            <w:pStyle w:val="Contents6"/>
            <w:tabs>
              <w:tab w:val="clear" w:pos="7609"/>
              <w:tab w:val="right" w:pos="9026" w:leader="dot"/>
            </w:tabs>
            <w:rPr/>
          </w:pPr>
          <w:hyperlink w:anchor="__RefHeading___Toc9530905_73709187">
            <w:r>
              <w:rPr>
                <w:webHidden/>
                <w:rStyle w:val="IndexLink"/>
                <w:rtl w:val="true"/>
              </w:rPr>
              <w:t>ب</w:t>
            </w:r>
            <w:r>
              <w:rPr>
                <w:rStyle w:val="IndexLink"/>
                <w:rtl w:val="true"/>
              </w:rPr>
              <w:t xml:space="preserve">: </w:t>
            </w:r>
            <w:r>
              <w:rPr>
                <w:rStyle w:val="IndexLink"/>
                <w:rtl w:val="true"/>
              </w:rPr>
              <w:t>إسلام اللقیط‌</w:t>
            </w:r>
            <w:r>
              <w:rPr>
                <w:rStyle w:val="IndexLink"/>
                <w:rtl w:val="true"/>
              </w:rPr>
              <w:tab/>
            </w:r>
            <w:r>
              <w:rPr>
                <w:rStyle w:val="IndexLink"/>
              </w:rPr>
              <w:t>240</w:t>
            </w:r>
          </w:hyperlink>
        </w:p>
        <w:p>
          <w:pPr>
            <w:pStyle w:val="Contents6"/>
            <w:tabs>
              <w:tab w:val="clear" w:pos="7609"/>
              <w:tab w:val="right" w:pos="9026" w:leader="dot"/>
            </w:tabs>
            <w:rPr/>
          </w:pPr>
          <w:hyperlink w:anchor="__RefHeading___Toc9530907_73709187">
            <w:r>
              <w:rPr>
                <w:webHidden/>
                <w:rStyle w:val="IndexLink"/>
                <w:rtl w:val="true"/>
              </w:rPr>
              <w:t>ج</w:t>
            </w:r>
            <w:r>
              <w:rPr>
                <w:rStyle w:val="IndexLink"/>
                <w:rtl w:val="true"/>
              </w:rPr>
              <w:t xml:space="preserve">: </w:t>
            </w:r>
            <w:r>
              <w:rPr>
                <w:rStyle w:val="IndexLink"/>
                <w:rtl w:val="true"/>
              </w:rPr>
              <w:t>حریّة اللقیط‌</w:t>
            </w:r>
            <w:r>
              <w:rPr>
                <w:rStyle w:val="IndexLink"/>
                <w:rtl w:val="true"/>
              </w:rPr>
              <w:tab/>
            </w:r>
            <w:r>
              <w:rPr>
                <w:rStyle w:val="IndexLink"/>
              </w:rPr>
              <w:t>242</w:t>
            </w:r>
          </w:hyperlink>
        </w:p>
        <w:p>
          <w:pPr>
            <w:pStyle w:val="Contents6"/>
            <w:tabs>
              <w:tab w:val="clear" w:pos="7609"/>
              <w:tab w:val="right" w:pos="9026" w:leader="dot"/>
            </w:tabs>
            <w:rPr/>
          </w:pPr>
          <w:hyperlink w:anchor="__RefHeading___Toc9530909_73709187">
            <w:r>
              <w:rPr>
                <w:webHidden/>
                <w:rStyle w:val="IndexLink"/>
                <w:rtl w:val="true"/>
              </w:rPr>
              <w:t>د</w:t>
            </w:r>
            <w:r>
              <w:rPr>
                <w:rStyle w:val="IndexLink"/>
                <w:rtl w:val="true"/>
              </w:rPr>
              <w:t xml:space="preserve">: </w:t>
            </w:r>
            <w:r>
              <w:rPr>
                <w:rStyle w:val="IndexLink"/>
                <w:rtl w:val="true"/>
              </w:rPr>
              <w:t>نفقة اللقیط‌</w:t>
            </w:r>
            <w:r>
              <w:rPr>
                <w:rStyle w:val="IndexLink"/>
                <w:rtl w:val="true"/>
              </w:rPr>
              <w:tab/>
            </w:r>
            <w:r>
              <w:rPr>
                <w:rStyle w:val="IndexLink"/>
              </w:rPr>
              <w:t>242</w:t>
            </w:r>
          </w:hyperlink>
        </w:p>
        <w:p>
          <w:pPr>
            <w:pStyle w:val="Contents6"/>
            <w:tabs>
              <w:tab w:val="clear" w:pos="7609"/>
              <w:tab w:val="right" w:pos="9026" w:leader="dot"/>
            </w:tabs>
            <w:rPr/>
          </w:pPr>
          <w:hyperlink w:anchor="__RefHeading___Toc9530911_73709187">
            <w:r>
              <w:rPr>
                <w:webHidden/>
                <w:rStyle w:val="IndexLink"/>
                <w:rtl w:val="true"/>
              </w:rPr>
              <w:t>ه</w:t>
            </w:r>
            <w:r>
              <w:rPr>
                <w:rStyle w:val="IndexLink"/>
                <w:rtl w:val="true"/>
              </w:rPr>
              <w:t xml:space="preserve">: </w:t>
            </w:r>
            <w:r>
              <w:rPr>
                <w:rStyle w:val="IndexLink"/>
                <w:rtl w:val="true"/>
              </w:rPr>
              <w:t>وارث اللقیط‌</w:t>
            </w:r>
            <w:r>
              <w:rPr>
                <w:rStyle w:val="IndexLink"/>
                <w:rtl w:val="true"/>
              </w:rPr>
              <w:tab/>
            </w:r>
            <w:r>
              <w:rPr>
                <w:rStyle w:val="IndexLink"/>
              </w:rPr>
              <w:t>243</w:t>
            </w:r>
          </w:hyperlink>
        </w:p>
        <w:p>
          <w:pPr>
            <w:pStyle w:val="Contents5"/>
            <w:tabs>
              <w:tab w:val="clear" w:pos="7892"/>
              <w:tab w:val="right" w:pos="9026" w:leader="dot"/>
            </w:tabs>
            <w:rPr/>
          </w:pPr>
          <w:hyperlink w:anchor="__RefHeading___Toc9530913_73709187">
            <w:r>
              <w:rPr>
                <w:webHidden/>
                <w:rStyle w:val="IndexLink"/>
                <w:rtl w:val="true"/>
              </w:rPr>
              <w:t>إیضاح</w:t>
            </w:r>
            <w:r>
              <w:rPr>
                <w:rStyle w:val="IndexLink"/>
                <w:rtl w:val="true"/>
              </w:rPr>
              <w:tab/>
            </w:r>
            <w:r>
              <w:rPr>
                <w:rStyle w:val="IndexLink"/>
              </w:rPr>
              <w:t>244</w:t>
            </w:r>
          </w:hyperlink>
        </w:p>
        <w:p>
          <w:pPr>
            <w:pStyle w:val="Contents3"/>
            <w:tabs>
              <w:tab w:val="clear" w:pos="8459"/>
              <w:tab w:val="right" w:pos="9026" w:leader="dot"/>
            </w:tabs>
            <w:rPr/>
          </w:pPr>
          <w:hyperlink w:anchor="__RefHeading___Toc9530915_73709187">
            <w:r>
              <w:rPr>
                <w:webHidden/>
                <w:rStyle w:val="IndexLink"/>
                <w:rtl w:val="true"/>
              </w:rPr>
              <w:t>الفصل الرابع</w:t>
            </w:r>
            <w:r>
              <w:rPr>
                <w:rStyle w:val="IndexLink"/>
                <w:rtl w:val="true"/>
              </w:rPr>
              <w:t xml:space="preserve">: </w:t>
            </w:r>
            <w:r>
              <w:rPr>
                <w:rStyle w:val="IndexLink"/>
                <w:rtl w:val="true"/>
              </w:rPr>
              <w:t>حکم التبنّی</w:t>
            </w:r>
            <w:r>
              <w:rPr>
                <w:rStyle w:val="IndexLink"/>
                <w:rtl w:val="true"/>
              </w:rPr>
              <w:tab/>
            </w:r>
            <w:r>
              <w:rPr>
                <w:rStyle w:val="IndexLink"/>
              </w:rPr>
              <w:t>245</w:t>
            </w:r>
          </w:hyperlink>
        </w:p>
        <w:p>
          <w:pPr>
            <w:pStyle w:val="Contents4"/>
            <w:tabs>
              <w:tab w:val="clear" w:pos="8176"/>
              <w:tab w:val="right" w:pos="9026" w:leader="dot"/>
            </w:tabs>
            <w:rPr/>
          </w:pPr>
          <w:hyperlink w:anchor="__RefHeading___Toc9530917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9530919_73709187">
            <w:r>
              <w:rPr>
                <w:webHidden/>
                <w:rStyle w:val="IndexLink"/>
                <w:rtl w:val="true"/>
              </w:rPr>
              <w:t>تمهید</w:t>
            </w:r>
            <w:r>
              <w:rPr>
                <w:rStyle w:val="IndexLink"/>
                <w:rtl w:val="true"/>
              </w:rPr>
              <w:t>:</w:t>
              <w:tab/>
            </w:r>
            <w:r>
              <w:rPr>
                <w:rStyle w:val="IndexLink"/>
              </w:rPr>
              <w:t>245</w:t>
            </w:r>
          </w:hyperlink>
        </w:p>
        <w:p>
          <w:pPr>
            <w:pStyle w:val="Contents4"/>
            <w:tabs>
              <w:tab w:val="clear" w:pos="8176"/>
              <w:tab w:val="right" w:pos="9026" w:leader="dot"/>
            </w:tabs>
            <w:rPr/>
          </w:pPr>
          <w:hyperlink w:anchor="__RefHeading___Toc9530921_73709187">
            <w:r>
              <w:rPr>
                <w:webHidden/>
                <w:rStyle w:val="IndexLink"/>
                <w:rtl w:val="true"/>
              </w:rPr>
              <w:t>المبحث الأوّل</w:t>
            </w:r>
            <w:r>
              <w:rPr>
                <w:rStyle w:val="IndexLink"/>
                <w:rtl w:val="true"/>
              </w:rPr>
              <w:t xml:space="preserve">: </w:t>
            </w:r>
            <w:r>
              <w:rPr>
                <w:rStyle w:val="IndexLink"/>
                <w:rtl w:val="true"/>
              </w:rPr>
              <w:t>عدم ثبوت النسب بالتبنّی</w:t>
            </w:r>
            <w:r>
              <w:rPr>
                <w:rStyle w:val="IndexLink"/>
                <w:rtl w:val="true"/>
              </w:rPr>
              <w:tab/>
            </w:r>
            <w:r>
              <w:rPr>
                <w:rStyle w:val="IndexLink"/>
              </w:rPr>
              <w:t>246</w:t>
            </w:r>
          </w:hyperlink>
        </w:p>
        <w:p>
          <w:pPr>
            <w:pStyle w:val="Contents5"/>
            <w:tabs>
              <w:tab w:val="clear" w:pos="7892"/>
              <w:tab w:val="right" w:pos="9026" w:leader="dot"/>
            </w:tabs>
            <w:rPr/>
          </w:pPr>
          <w:hyperlink w:anchor="__RefHeading___Toc9530923_7370918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9530925_73709187">
            <w:r>
              <w:rPr>
                <w:webHidden/>
                <w:rStyle w:val="IndexLink"/>
                <w:rtl w:val="true"/>
              </w:rPr>
              <w:t>أدلّة عدم جواز التبنّی</w:t>
            </w:r>
            <w:r>
              <w:rPr>
                <w:rStyle w:val="IndexLink"/>
                <w:rtl w:val="true"/>
              </w:rPr>
              <w:tab/>
            </w:r>
            <w:r>
              <w:rPr>
                <w:rStyle w:val="IndexLink"/>
              </w:rPr>
              <w:t>248</w:t>
            </w:r>
          </w:hyperlink>
        </w:p>
        <w:p>
          <w:pPr>
            <w:pStyle w:val="Contents6"/>
            <w:tabs>
              <w:tab w:val="clear" w:pos="7609"/>
              <w:tab w:val="right" w:pos="9026" w:leader="dot"/>
            </w:tabs>
            <w:rPr/>
          </w:pPr>
          <w:hyperlink w:anchor="__RefHeading___Toc9530927_73709187">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9530929_73709187">
            <w:r>
              <w:rPr>
                <w:webHidden/>
                <w:rStyle w:val="IndexLink"/>
                <w:rtl w:val="true"/>
              </w:rPr>
              <w:t>الأوّل الکتاب</w:t>
            </w:r>
            <w:r>
              <w:rPr>
                <w:rStyle w:val="IndexLink"/>
                <w:rtl w:val="true"/>
              </w:rPr>
              <w:t>:</w:t>
              <w:tab/>
            </w:r>
            <w:r>
              <w:rPr>
                <w:rStyle w:val="IndexLink"/>
              </w:rPr>
              <w:t>248</w:t>
            </w:r>
          </w:hyperlink>
        </w:p>
        <w:p>
          <w:pPr>
            <w:pStyle w:val="Contents6"/>
            <w:tabs>
              <w:tab w:val="clear" w:pos="7609"/>
              <w:tab w:val="right" w:pos="9026" w:leader="dot"/>
            </w:tabs>
            <w:rPr/>
          </w:pPr>
          <w:hyperlink w:anchor="__RefHeading___Toc9530931_73709187">
            <w:r>
              <w:rPr>
                <w:webHidden/>
                <w:rStyle w:val="IndexLink"/>
                <w:rtl w:val="true"/>
              </w:rPr>
              <w:t>الثانی</w:t>
            </w:r>
            <w:r>
              <w:rPr>
                <w:rStyle w:val="IndexLink"/>
                <w:rtl w:val="true"/>
              </w:rPr>
              <w:t xml:space="preserve">: </w:t>
            </w:r>
            <w:r>
              <w:rPr>
                <w:rStyle w:val="IndexLink"/>
                <w:rtl w:val="true"/>
              </w:rPr>
              <w:t>النصوص، و هی علی طوائف</w:t>
            </w:r>
            <w:r>
              <w:rPr>
                <w:rStyle w:val="IndexLink"/>
                <w:rtl w:val="true"/>
              </w:rPr>
              <w:tab/>
            </w:r>
            <w:r>
              <w:rPr>
                <w:rStyle w:val="IndexLink"/>
              </w:rPr>
              <w:t>250</w:t>
            </w:r>
          </w:hyperlink>
        </w:p>
        <w:p>
          <w:pPr>
            <w:pStyle w:val="Contents6"/>
            <w:tabs>
              <w:tab w:val="clear" w:pos="7609"/>
              <w:tab w:val="right" w:pos="9026" w:leader="dot"/>
            </w:tabs>
            <w:rPr/>
          </w:pPr>
          <w:hyperlink w:anchor="__RefHeading___Toc9530933_73709187">
            <w:r>
              <w:rPr>
                <w:webHidden/>
                <w:rStyle w:val="IndexLink"/>
                <w:rtl w:val="true"/>
              </w:rPr>
              <w:t>الطائفة الاُولی</w:t>
            </w:r>
            <w:r>
              <w:rPr>
                <w:rStyle w:val="IndexLink"/>
                <w:rtl w:val="true"/>
              </w:rPr>
              <w:t xml:space="preserve">: </w:t>
            </w:r>
            <w:r>
              <w:rPr>
                <w:rStyle w:val="IndexLink"/>
                <w:rtl w:val="true"/>
              </w:rPr>
              <w:t>ما تدلّ علی حرمة التبرّی من النسب</w:t>
            </w:r>
            <w:r>
              <w:rPr>
                <w:rStyle w:val="IndexLink"/>
                <w:rtl w:val="true"/>
              </w:rPr>
              <w:tab/>
            </w:r>
            <w:r>
              <w:rPr>
                <w:rStyle w:val="IndexLink"/>
              </w:rPr>
              <w:t>250</w:t>
            </w:r>
          </w:hyperlink>
        </w:p>
        <w:p>
          <w:pPr>
            <w:pStyle w:val="Contents6"/>
            <w:tabs>
              <w:tab w:val="clear" w:pos="7609"/>
              <w:tab w:val="right" w:pos="9026" w:leader="dot"/>
            </w:tabs>
            <w:rPr/>
          </w:pPr>
          <w:hyperlink w:anchor="__RefHeading___Toc9530935_73709187">
            <w:r>
              <w:rPr>
                <w:webHidden/>
                <w:rStyle w:val="IndexLink"/>
                <w:rtl w:val="true"/>
              </w:rPr>
              <w:t>الطائفة الثانیة</w:t>
            </w:r>
            <w:r>
              <w:rPr>
                <w:rStyle w:val="IndexLink"/>
                <w:rtl w:val="true"/>
              </w:rPr>
              <w:t xml:space="preserve">: </w:t>
            </w:r>
            <w:r>
              <w:rPr>
                <w:rStyle w:val="IndexLink"/>
                <w:rtl w:val="true"/>
              </w:rPr>
              <w:t>ما وردت فی مقدار أقلّ الحمل و أکثره</w:t>
            </w:r>
            <w:r>
              <w:rPr>
                <w:rStyle w:val="IndexLink"/>
                <w:rtl w:val="true"/>
              </w:rPr>
              <w:tab/>
            </w:r>
            <w:r>
              <w:rPr>
                <w:rStyle w:val="IndexLink"/>
              </w:rPr>
              <w:t>251</w:t>
            </w:r>
          </w:hyperlink>
        </w:p>
        <w:p>
          <w:pPr>
            <w:pStyle w:val="Contents6"/>
            <w:tabs>
              <w:tab w:val="clear" w:pos="7609"/>
              <w:tab w:val="right" w:pos="9026" w:leader="dot"/>
            </w:tabs>
            <w:rPr/>
          </w:pPr>
          <w:hyperlink w:anchor="__RefHeading___Toc9530937_73709187">
            <w:r>
              <w:rPr>
                <w:webHidden/>
                <w:rStyle w:val="IndexLink"/>
                <w:rtl w:val="true"/>
              </w:rPr>
              <w:t>الطائفة الثالثة</w:t>
            </w:r>
            <w:r>
              <w:rPr>
                <w:rStyle w:val="IndexLink"/>
                <w:rtl w:val="true"/>
              </w:rPr>
              <w:t xml:space="preserve">: </w:t>
            </w:r>
            <w:r>
              <w:rPr>
                <w:rStyle w:val="IndexLink"/>
                <w:rtl w:val="true"/>
              </w:rPr>
              <w:t>ما تدلّ علی أنّه لا یلحق الولد إلاّ بالدخول و الإنزال</w:t>
            </w:r>
            <w:r>
              <w:rPr>
                <w:rStyle w:val="IndexLink"/>
                <w:rtl w:val="true"/>
              </w:rPr>
              <w:tab/>
            </w:r>
            <w:r>
              <w:rPr>
                <w:rStyle w:val="IndexLink"/>
              </w:rPr>
              <w:t>252</w:t>
            </w:r>
          </w:hyperlink>
        </w:p>
        <w:p>
          <w:pPr>
            <w:pStyle w:val="Contents6"/>
            <w:tabs>
              <w:tab w:val="clear" w:pos="7609"/>
              <w:tab w:val="right" w:pos="9026" w:leader="dot"/>
            </w:tabs>
            <w:rPr/>
          </w:pPr>
          <w:hyperlink w:anchor="__RefHeading___Toc9530939_73709187">
            <w:r>
              <w:rPr>
                <w:webHidden/>
                <w:rStyle w:val="IndexLink"/>
                <w:rtl w:val="true"/>
              </w:rPr>
              <w:t>الطائفة الرابعة</w:t>
            </w:r>
            <w:r>
              <w:rPr>
                <w:rStyle w:val="IndexLink"/>
                <w:rtl w:val="true"/>
              </w:rPr>
              <w:t xml:space="preserve">: </w:t>
            </w:r>
            <w:r>
              <w:rPr>
                <w:rStyle w:val="IndexLink"/>
                <w:rtl w:val="true"/>
              </w:rPr>
              <w:t>التی وردت باللعن علی من ادّعی نسباً غیر معروف</w:t>
            </w:r>
            <w:r>
              <w:rPr>
                <w:rStyle w:val="IndexLink"/>
                <w:rtl w:val="true"/>
              </w:rPr>
              <w:tab/>
            </w:r>
            <w:r>
              <w:rPr>
                <w:rStyle w:val="IndexLink"/>
              </w:rPr>
              <w:t>252</w:t>
            </w:r>
          </w:hyperlink>
        </w:p>
        <w:p>
          <w:pPr>
            <w:pStyle w:val="Contents6"/>
            <w:tabs>
              <w:tab w:val="clear" w:pos="7609"/>
              <w:tab w:val="right" w:pos="9026" w:leader="dot"/>
            </w:tabs>
            <w:rPr/>
          </w:pPr>
          <w:hyperlink w:anchor="__RefHeading___Toc9530941_73709187">
            <w:r>
              <w:rPr>
                <w:webHidden/>
                <w:rStyle w:val="IndexLink"/>
                <w:rtl w:val="true"/>
              </w:rPr>
              <w:t>الثالث</w:t>
            </w:r>
            <w:r>
              <w:rPr>
                <w:rStyle w:val="IndexLink"/>
                <w:rtl w:val="true"/>
              </w:rPr>
              <w:t xml:space="preserve">: </w:t>
            </w:r>
            <w:r>
              <w:rPr>
                <w:rStyle w:val="IndexLink"/>
                <w:rtl w:val="true"/>
              </w:rPr>
              <w:t>ما ذکره الفقهاء من أنّه إذا علم الشخص بعدم تکوّن الولد منه، وجب أن ینفیه</w:t>
            </w:r>
            <w:r>
              <w:rPr>
                <w:rStyle w:val="IndexLink"/>
                <w:rtl w:val="true"/>
              </w:rPr>
              <w:tab/>
            </w:r>
            <w:r>
              <w:rPr>
                <w:rStyle w:val="IndexLink"/>
              </w:rPr>
              <w:t>252</w:t>
            </w:r>
          </w:hyperlink>
        </w:p>
        <w:p>
          <w:pPr>
            <w:pStyle w:val="Contents6"/>
            <w:tabs>
              <w:tab w:val="clear" w:pos="7609"/>
              <w:tab w:val="right" w:pos="9026" w:leader="dot"/>
            </w:tabs>
            <w:rPr/>
          </w:pPr>
          <w:hyperlink w:anchor="__RefHeading___Toc9530943_73709187">
            <w:r>
              <w:rPr>
                <w:webHidden/>
                <w:rStyle w:val="IndexLink"/>
                <w:rtl w:val="true"/>
              </w:rPr>
              <w:t>الرابع</w:t>
            </w:r>
            <w:r>
              <w:rPr>
                <w:rStyle w:val="IndexLink"/>
                <w:rtl w:val="true"/>
              </w:rPr>
              <w:t xml:space="preserve">: </w:t>
            </w:r>
            <w:r>
              <w:rPr>
                <w:rStyle w:val="IndexLink"/>
                <w:rtl w:val="true"/>
              </w:rPr>
              <w:t>السیرة المتشرّعة</w:t>
            </w:r>
            <w:r>
              <w:rPr>
                <w:rStyle w:val="IndexLink"/>
                <w:rtl w:val="true"/>
              </w:rPr>
              <w:tab/>
            </w:r>
            <w:r>
              <w:rPr>
                <w:rStyle w:val="IndexLink"/>
              </w:rPr>
              <w:t>253</w:t>
            </w:r>
          </w:hyperlink>
        </w:p>
        <w:p>
          <w:pPr>
            <w:pStyle w:val="Contents4"/>
            <w:tabs>
              <w:tab w:val="clear" w:pos="8176"/>
              <w:tab w:val="right" w:pos="9026" w:leader="dot"/>
            </w:tabs>
            <w:rPr/>
          </w:pPr>
          <w:hyperlink w:anchor="__RefHeading___Toc9530945_73709187">
            <w:r>
              <w:rPr>
                <w:webHidden/>
                <w:rStyle w:val="IndexLink"/>
                <w:rtl w:val="true"/>
              </w:rPr>
              <w:t>المبحث الثانی</w:t>
            </w:r>
            <w:r>
              <w:rPr>
                <w:rStyle w:val="IndexLink"/>
                <w:rtl w:val="true"/>
              </w:rPr>
              <w:t xml:space="preserve">: </w:t>
            </w:r>
            <w:r>
              <w:rPr>
                <w:rStyle w:val="IndexLink"/>
                <w:rtl w:val="true"/>
              </w:rPr>
              <w:t>حکم انتقال اللقطاء من المؤسّسات</w:t>
            </w:r>
            <w:r>
              <w:rPr>
                <w:rStyle w:val="IndexLink"/>
                <w:rtl w:val="true"/>
              </w:rPr>
              <w:tab/>
            </w:r>
            <w:r>
              <w:rPr>
                <w:rStyle w:val="IndexLink"/>
              </w:rPr>
              <w:t>254</w:t>
            </w:r>
          </w:hyperlink>
        </w:p>
        <w:p>
          <w:pPr>
            <w:pStyle w:val="Contents5"/>
            <w:tabs>
              <w:tab w:val="clear" w:pos="7892"/>
              <w:tab w:val="right" w:pos="9026" w:leader="dot"/>
            </w:tabs>
            <w:rPr/>
          </w:pPr>
          <w:hyperlink w:anchor="__RefHeading___Toc9530947_7370918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9530949_73709187">
            <w:r>
              <w:rPr>
                <w:webHidden/>
                <w:rStyle w:val="IndexLink"/>
                <w:rtl w:val="true"/>
              </w:rPr>
              <w:t>الإعراض عن حضانة اللقیط، أو إعطائه للغیر</w:t>
            </w:r>
            <w:r>
              <w:rPr>
                <w:rStyle w:val="IndexLink"/>
                <w:rtl w:val="true"/>
              </w:rPr>
              <w:tab/>
            </w:r>
            <w:r>
              <w:rPr>
                <w:rStyle w:val="IndexLink"/>
              </w:rPr>
              <w:t>256</w:t>
            </w:r>
          </w:hyperlink>
        </w:p>
        <w:p>
          <w:pPr>
            <w:pStyle w:val="Contents4"/>
            <w:tabs>
              <w:tab w:val="clear" w:pos="8176"/>
              <w:tab w:val="right" w:pos="9026" w:leader="dot"/>
            </w:tabs>
            <w:rPr/>
          </w:pPr>
          <w:hyperlink w:anchor="__RefHeading___Toc9530951_73709187">
            <w:r>
              <w:rPr>
                <w:webHidden/>
                <w:rStyle w:val="IndexLink"/>
                <w:rtl w:val="true"/>
              </w:rPr>
              <w:t>المبحث الثالث</w:t>
            </w:r>
            <w:r>
              <w:rPr>
                <w:rStyle w:val="IndexLink"/>
                <w:rtl w:val="true"/>
              </w:rPr>
              <w:t xml:space="preserve">: </w:t>
            </w:r>
            <w:r>
              <w:rPr>
                <w:rStyle w:val="IndexLink"/>
                <w:rtl w:val="true"/>
              </w:rPr>
              <w:t>ما یحصل به المحرمیة</w:t>
            </w:r>
            <w:r>
              <w:rPr>
                <w:rStyle w:val="IndexLink"/>
                <w:rtl w:val="true"/>
              </w:rPr>
              <w:tab/>
            </w:r>
            <w:r>
              <w:rPr>
                <w:rStyle w:val="IndexLink"/>
              </w:rPr>
              <w:t>258</w:t>
            </w:r>
          </w:hyperlink>
        </w:p>
        <w:p>
          <w:pPr>
            <w:pStyle w:val="Contents5"/>
            <w:tabs>
              <w:tab w:val="clear" w:pos="7892"/>
              <w:tab w:val="right" w:pos="9026" w:leader="dot"/>
            </w:tabs>
            <w:rPr/>
          </w:pPr>
          <w:hyperlink w:anchor="__RefHeading___Toc9530953_7370918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9530955_73709187">
            <w:r>
              <w:rPr>
                <w:webHidden/>
                <w:rStyle w:val="IndexLink"/>
                <w:rtl w:val="true"/>
              </w:rPr>
              <w:t>السبب الأوّل</w:t>
            </w:r>
            <w:r>
              <w:rPr>
                <w:rStyle w:val="IndexLink"/>
                <w:rtl w:val="true"/>
              </w:rPr>
              <w:t xml:space="preserve">: </w:t>
            </w:r>
            <w:r>
              <w:rPr>
                <w:rStyle w:val="IndexLink"/>
                <w:rtl w:val="true"/>
              </w:rPr>
              <w:t>الرضاع</w:t>
            </w:r>
            <w:r>
              <w:rPr>
                <w:rStyle w:val="IndexLink"/>
                <w:rtl w:val="true"/>
              </w:rPr>
              <w:tab/>
            </w:r>
            <w:r>
              <w:rPr>
                <w:rStyle w:val="IndexLink"/>
              </w:rPr>
              <w:t>258</w:t>
            </w:r>
          </w:hyperlink>
        </w:p>
        <w:p>
          <w:pPr>
            <w:pStyle w:val="Contents5"/>
            <w:tabs>
              <w:tab w:val="clear" w:pos="7892"/>
              <w:tab w:val="right" w:pos="9026" w:leader="dot"/>
            </w:tabs>
            <w:rPr/>
          </w:pPr>
          <w:hyperlink w:anchor="__RefHeading___Toc9530957_73709187">
            <w:r>
              <w:rPr>
                <w:webHidden/>
                <w:rStyle w:val="IndexLink"/>
                <w:rtl w:val="true"/>
              </w:rPr>
              <w:t>السبب الثانی</w:t>
            </w:r>
            <w:r>
              <w:rPr>
                <w:rStyle w:val="IndexLink"/>
                <w:rtl w:val="true"/>
              </w:rPr>
              <w:t xml:space="preserve">: </w:t>
            </w:r>
            <w:r>
              <w:rPr>
                <w:rStyle w:val="IndexLink"/>
                <w:rtl w:val="true"/>
              </w:rPr>
              <w:t>النکاح</w:t>
            </w:r>
            <w:r>
              <w:rPr>
                <w:rStyle w:val="IndexLink"/>
                <w:rtl w:val="true"/>
              </w:rPr>
              <w:tab/>
            </w:r>
            <w:r>
              <w:rPr>
                <w:rStyle w:val="IndexLink"/>
              </w:rPr>
              <w:t>259</w:t>
            </w:r>
          </w:hyperlink>
        </w:p>
        <w:p>
          <w:pPr>
            <w:pStyle w:val="Contents4"/>
            <w:tabs>
              <w:tab w:val="clear" w:pos="8176"/>
              <w:tab w:val="right" w:pos="9026" w:leader="dot"/>
            </w:tabs>
            <w:rPr/>
          </w:pPr>
          <w:hyperlink w:anchor="__RefHeading___Toc9530959_73709187">
            <w:r>
              <w:rPr>
                <w:webHidden/>
                <w:rStyle w:val="IndexLink"/>
                <w:rtl w:val="true"/>
              </w:rPr>
              <w:t>المبحث الرابع</w:t>
            </w:r>
            <w:r>
              <w:rPr>
                <w:rStyle w:val="IndexLink"/>
                <w:rtl w:val="true"/>
              </w:rPr>
              <w:t xml:space="preserve">: </w:t>
            </w:r>
            <w:r>
              <w:rPr>
                <w:rStyle w:val="IndexLink"/>
                <w:rtl w:val="true"/>
              </w:rPr>
              <w:t>حرمة التبنّی عند أهل السنّة</w:t>
            </w:r>
            <w:r>
              <w:rPr>
                <w:rStyle w:val="IndexLink"/>
                <w:rtl w:val="true"/>
              </w:rPr>
              <w:tab/>
            </w:r>
            <w:r>
              <w:rPr>
                <w:rStyle w:val="IndexLink"/>
              </w:rPr>
              <w:t>261</w:t>
            </w:r>
          </w:hyperlink>
        </w:p>
        <w:p>
          <w:pPr>
            <w:pStyle w:val="Contents2"/>
            <w:tabs>
              <w:tab w:val="clear" w:pos="8743"/>
              <w:tab w:val="right" w:pos="9026" w:leader="dot"/>
            </w:tabs>
            <w:rPr/>
          </w:pPr>
          <w:hyperlink w:anchor="__RefHeading___Toc9530961_73709187">
            <w:r>
              <w:rPr>
                <w:webHidden/>
                <w:rStyle w:val="IndexLink"/>
                <w:rtl w:val="true"/>
              </w:rPr>
              <w:t>الباب السابع</w:t>
            </w:r>
            <w:r>
              <w:rPr>
                <w:rStyle w:val="IndexLink"/>
                <w:rtl w:val="true"/>
              </w:rPr>
              <w:t xml:space="preserve">: </w:t>
            </w:r>
            <w:r>
              <w:rPr>
                <w:rStyle w:val="IndexLink"/>
                <w:rtl w:val="true"/>
              </w:rPr>
              <w:t>التربیة و تعلیم الأطفال، و بیان المصادیق و المناهج المؤثّر فیها</w:t>
            </w:r>
            <w:r>
              <w:rPr>
                <w:rStyle w:val="IndexLink"/>
                <w:rtl w:val="true"/>
              </w:rPr>
              <w:tab/>
            </w:r>
            <w:r>
              <w:rPr>
                <w:rStyle w:val="IndexLink"/>
              </w:rPr>
              <w:t>263</w:t>
            </w:r>
          </w:hyperlink>
        </w:p>
        <w:p>
          <w:pPr>
            <w:pStyle w:val="Contents3"/>
            <w:tabs>
              <w:tab w:val="clear" w:pos="8459"/>
              <w:tab w:val="right" w:pos="9026" w:leader="dot"/>
            </w:tabs>
            <w:rPr/>
          </w:pPr>
          <w:hyperlink w:anchor="__RefHeading___Toc9530963_7370918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9530965_73709187">
            <w:r>
              <w:rPr>
                <w:webHidden/>
                <w:rStyle w:val="IndexLink"/>
                <w:rtl w:val="true"/>
              </w:rPr>
              <w:t>تمهید</w:t>
            </w:r>
            <w:r>
              <w:rPr>
                <w:rStyle w:val="IndexLink"/>
                <w:rtl w:val="true"/>
              </w:rPr>
              <w:t>:</w:t>
              <w:tab/>
            </w:r>
            <w:r>
              <w:rPr>
                <w:rStyle w:val="IndexLink"/>
              </w:rPr>
              <w:t>264</w:t>
            </w:r>
          </w:hyperlink>
        </w:p>
        <w:p>
          <w:pPr>
            <w:pStyle w:val="Contents3"/>
            <w:tabs>
              <w:tab w:val="clear" w:pos="8459"/>
              <w:tab w:val="right" w:pos="9026" w:leader="dot"/>
            </w:tabs>
            <w:rPr/>
          </w:pPr>
          <w:hyperlink w:anchor="__RefHeading___Toc9530967_73709187">
            <w:r>
              <w:rPr>
                <w:webHidden/>
                <w:rStyle w:val="IndexLink"/>
                <w:rtl w:val="true"/>
              </w:rPr>
              <w:t>الفصل الأوّل</w:t>
            </w:r>
            <w:r>
              <w:rPr>
                <w:rStyle w:val="IndexLink"/>
                <w:rtl w:val="true"/>
              </w:rPr>
              <w:t xml:space="preserve">: </w:t>
            </w:r>
            <w:r>
              <w:rPr>
                <w:rStyle w:val="IndexLink"/>
                <w:rtl w:val="true"/>
              </w:rPr>
              <w:t>معنی التربیة و التعلیم و المتولّی فیهما و اهتمام الإسلام بهما</w:t>
            </w:r>
            <w:r>
              <w:rPr>
                <w:rStyle w:val="IndexLink"/>
                <w:rtl w:val="true"/>
              </w:rPr>
              <w:tab/>
            </w:r>
            <w:r>
              <w:rPr>
                <w:rStyle w:val="IndexLink"/>
              </w:rPr>
              <w:t>268</w:t>
            </w:r>
          </w:hyperlink>
        </w:p>
        <w:p>
          <w:pPr>
            <w:pStyle w:val="Contents4"/>
            <w:tabs>
              <w:tab w:val="clear" w:pos="8176"/>
              <w:tab w:val="right" w:pos="9026" w:leader="dot"/>
            </w:tabs>
            <w:rPr/>
          </w:pPr>
          <w:hyperlink w:anchor="__RefHeading___Toc9530969_7370918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9530971_73709187">
            <w:r>
              <w:rPr>
                <w:webHidden/>
                <w:rStyle w:val="IndexLink"/>
                <w:rtl w:val="true"/>
              </w:rPr>
              <w:t>المبحث الأوّل</w:t>
            </w:r>
            <w:r>
              <w:rPr>
                <w:rStyle w:val="IndexLink"/>
                <w:rtl w:val="true"/>
              </w:rPr>
              <w:t xml:space="preserve">: </w:t>
            </w:r>
            <w:r>
              <w:rPr>
                <w:rStyle w:val="IndexLink"/>
                <w:rtl w:val="true"/>
              </w:rPr>
              <w:t>معنی التربیة و التعلیم</w:t>
            </w:r>
            <w:r>
              <w:rPr>
                <w:rStyle w:val="IndexLink"/>
                <w:rtl w:val="true"/>
              </w:rPr>
              <w:tab/>
            </w:r>
            <w:r>
              <w:rPr>
                <w:rStyle w:val="IndexLink"/>
              </w:rPr>
              <w:t>268</w:t>
            </w:r>
          </w:hyperlink>
        </w:p>
        <w:p>
          <w:pPr>
            <w:pStyle w:val="Contents5"/>
            <w:tabs>
              <w:tab w:val="clear" w:pos="7892"/>
              <w:tab w:val="right" w:pos="9026" w:leader="dot"/>
            </w:tabs>
            <w:rPr/>
          </w:pPr>
          <w:hyperlink w:anchor="__RefHeading___Toc9530973_73709187">
            <w:r>
              <w:rPr>
                <w:webHidden/>
                <w:rStyle w:val="IndexLink"/>
                <w:rtl w:val="true"/>
              </w:rPr>
              <w:t>أ</w:t>
            </w:r>
            <w:r>
              <w:rPr>
                <w:rStyle w:val="IndexLink"/>
                <w:rtl w:val="true"/>
              </w:rPr>
              <w:t xml:space="preserve">: </w:t>
            </w:r>
            <w:r>
              <w:rPr>
                <w:rStyle w:val="IndexLink"/>
                <w:rtl w:val="true"/>
              </w:rPr>
              <w:t>التربیة لغةً‌</w:t>
            </w:r>
            <w:r>
              <w:rPr>
                <w:rStyle w:val="IndexLink"/>
                <w:rtl w:val="true"/>
              </w:rPr>
              <w:tab/>
            </w:r>
            <w:r>
              <w:rPr>
                <w:rStyle w:val="IndexLink"/>
              </w:rPr>
              <w:t>268</w:t>
            </w:r>
          </w:hyperlink>
        </w:p>
        <w:p>
          <w:pPr>
            <w:pStyle w:val="Contents5"/>
            <w:tabs>
              <w:tab w:val="clear" w:pos="7892"/>
              <w:tab w:val="right" w:pos="9026" w:leader="dot"/>
            </w:tabs>
            <w:rPr/>
          </w:pPr>
          <w:hyperlink w:anchor="__RefHeading___Toc9530975_73709187">
            <w:r>
              <w:rPr>
                <w:webHidden/>
                <w:rStyle w:val="IndexLink"/>
                <w:rtl w:val="true"/>
              </w:rPr>
              <w:t>ب</w:t>
            </w:r>
            <w:r>
              <w:rPr>
                <w:rStyle w:val="IndexLink"/>
                <w:rtl w:val="true"/>
              </w:rPr>
              <w:t xml:space="preserve">: </w:t>
            </w:r>
            <w:r>
              <w:rPr>
                <w:rStyle w:val="IndexLink"/>
                <w:rtl w:val="true"/>
              </w:rPr>
              <w:t>التربیة عند الفقهاء</w:t>
            </w:r>
            <w:r>
              <w:rPr>
                <w:rStyle w:val="IndexLink"/>
                <w:rtl w:val="true"/>
              </w:rPr>
              <w:tab/>
            </w:r>
            <w:r>
              <w:rPr>
                <w:rStyle w:val="IndexLink"/>
              </w:rPr>
              <w:t>271</w:t>
            </w:r>
          </w:hyperlink>
        </w:p>
        <w:p>
          <w:pPr>
            <w:pStyle w:val="Contents5"/>
            <w:tabs>
              <w:tab w:val="clear" w:pos="7892"/>
              <w:tab w:val="right" w:pos="9026" w:leader="dot"/>
            </w:tabs>
            <w:rPr/>
          </w:pPr>
          <w:hyperlink w:anchor="__RefHeading___Toc9530977_73709187">
            <w:r>
              <w:rPr>
                <w:webHidden/>
                <w:rStyle w:val="IndexLink"/>
                <w:rtl w:val="true"/>
              </w:rPr>
              <w:t>ج</w:t>
            </w:r>
            <w:r>
              <w:rPr>
                <w:rStyle w:val="IndexLink"/>
                <w:rtl w:val="true"/>
              </w:rPr>
              <w:t xml:space="preserve">: </w:t>
            </w:r>
            <w:r>
              <w:rPr>
                <w:rStyle w:val="IndexLink"/>
                <w:rtl w:val="true"/>
              </w:rPr>
              <w:t>التعلیم لغةً‌</w:t>
            </w:r>
            <w:r>
              <w:rPr>
                <w:rStyle w:val="IndexLink"/>
                <w:rtl w:val="true"/>
              </w:rPr>
              <w:tab/>
            </w:r>
            <w:r>
              <w:rPr>
                <w:rStyle w:val="IndexLink"/>
              </w:rPr>
              <w:t>273</w:t>
            </w:r>
          </w:hyperlink>
        </w:p>
        <w:p>
          <w:pPr>
            <w:pStyle w:val="Contents5"/>
            <w:tabs>
              <w:tab w:val="clear" w:pos="7892"/>
              <w:tab w:val="right" w:pos="9026" w:leader="dot"/>
            </w:tabs>
            <w:rPr/>
          </w:pPr>
          <w:hyperlink w:anchor="__RefHeading___Toc9530979_73709187">
            <w:r>
              <w:rPr>
                <w:webHidden/>
                <w:rStyle w:val="IndexLink"/>
                <w:rtl w:val="true"/>
              </w:rPr>
              <w:t>د</w:t>
            </w:r>
            <w:r>
              <w:rPr>
                <w:rStyle w:val="IndexLink"/>
                <w:rtl w:val="true"/>
              </w:rPr>
              <w:t xml:space="preserve">: </w:t>
            </w:r>
            <w:r>
              <w:rPr>
                <w:rStyle w:val="IndexLink"/>
                <w:rtl w:val="true"/>
              </w:rPr>
              <w:t>التعلیم عند الفقهاء</w:t>
            </w:r>
            <w:r>
              <w:rPr>
                <w:rStyle w:val="IndexLink"/>
                <w:rtl w:val="true"/>
              </w:rPr>
              <w:tab/>
            </w:r>
            <w:r>
              <w:rPr>
                <w:rStyle w:val="IndexLink"/>
              </w:rPr>
              <w:t>274</w:t>
            </w:r>
          </w:hyperlink>
        </w:p>
        <w:p>
          <w:pPr>
            <w:pStyle w:val="Contents5"/>
            <w:tabs>
              <w:tab w:val="clear" w:pos="7892"/>
              <w:tab w:val="right" w:pos="9026" w:leader="dot"/>
            </w:tabs>
            <w:rPr/>
          </w:pPr>
          <w:hyperlink w:anchor="__RefHeading___Toc9530981_73709187">
            <w:r>
              <w:rPr>
                <w:webHidden/>
                <w:rStyle w:val="IndexLink"/>
                <w:rtl w:val="true"/>
              </w:rPr>
              <w:t>ه</w:t>
            </w:r>
            <w:r>
              <w:rPr>
                <w:rStyle w:val="IndexLink"/>
                <w:rtl w:val="true"/>
              </w:rPr>
              <w:t xml:space="preserve">: </w:t>
            </w:r>
            <w:r>
              <w:rPr>
                <w:rStyle w:val="IndexLink"/>
                <w:rtl w:val="true"/>
              </w:rPr>
              <w:t>أقسام التربیة و الفرق بینها و بین التعلیم</w:t>
            </w:r>
            <w:r>
              <w:rPr>
                <w:rStyle w:val="IndexLink"/>
                <w:rtl w:val="true"/>
              </w:rPr>
              <w:tab/>
            </w:r>
            <w:r>
              <w:rPr>
                <w:rStyle w:val="IndexLink"/>
              </w:rPr>
              <w:t>275</w:t>
            </w:r>
          </w:hyperlink>
        </w:p>
        <w:p>
          <w:pPr>
            <w:pStyle w:val="Contents4"/>
            <w:tabs>
              <w:tab w:val="clear" w:pos="8176"/>
              <w:tab w:val="right" w:pos="9026" w:leader="dot"/>
            </w:tabs>
            <w:rPr/>
          </w:pPr>
          <w:hyperlink w:anchor="__RefHeading___Toc9530983_73709187">
            <w:r>
              <w:rPr>
                <w:webHidden/>
                <w:rStyle w:val="IndexLink"/>
                <w:rtl w:val="true"/>
              </w:rPr>
              <w:t>المبحث الثانی</w:t>
            </w:r>
            <w:r>
              <w:rPr>
                <w:rStyle w:val="IndexLink"/>
                <w:rtl w:val="true"/>
              </w:rPr>
              <w:t xml:space="preserve">: </w:t>
            </w:r>
            <w:r>
              <w:rPr>
                <w:rStyle w:val="IndexLink"/>
                <w:rtl w:val="true"/>
              </w:rPr>
              <w:t>اهتمام الإسلام بتربیة الأطفال و تعلیمهم</w:t>
            </w:r>
            <w:r>
              <w:rPr>
                <w:rStyle w:val="IndexLink"/>
                <w:rtl w:val="true"/>
              </w:rPr>
              <w:tab/>
            </w:r>
            <w:r>
              <w:rPr>
                <w:rStyle w:val="IndexLink"/>
              </w:rPr>
              <w:t>278</w:t>
            </w:r>
          </w:hyperlink>
        </w:p>
        <w:p>
          <w:pPr>
            <w:pStyle w:val="Contents5"/>
            <w:tabs>
              <w:tab w:val="clear" w:pos="7892"/>
              <w:tab w:val="right" w:pos="9026" w:leader="dot"/>
            </w:tabs>
            <w:rPr/>
          </w:pPr>
          <w:hyperlink w:anchor="__RefHeading___Toc9530985_7370918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9530987_73709187">
            <w:r>
              <w:rPr>
                <w:webHidden/>
                <w:rStyle w:val="IndexLink"/>
                <w:rtl w:val="true"/>
              </w:rPr>
              <w:t>منهج البحث</w:t>
            </w:r>
            <w:r>
              <w:rPr>
                <w:rStyle w:val="IndexLink"/>
                <w:rtl w:val="true"/>
              </w:rPr>
              <w:tab/>
            </w:r>
            <w:r>
              <w:rPr>
                <w:rStyle w:val="IndexLink"/>
              </w:rPr>
              <w:t>278</w:t>
            </w:r>
          </w:hyperlink>
        </w:p>
        <w:p>
          <w:pPr>
            <w:pStyle w:val="Contents5"/>
            <w:tabs>
              <w:tab w:val="clear" w:pos="7892"/>
              <w:tab w:val="right" w:pos="9026" w:leader="dot"/>
            </w:tabs>
            <w:rPr/>
          </w:pPr>
          <w:hyperlink w:anchor="__RefHeading___Toc9530989_73709187">
            <w:r>
              <w:rPr>
                <w:webHidden/>
                <w:rStyle w:val="IndexLink"/>
                <w:rtl w:val="true"/>
              </w:rPr>
              <w:t>المطلب الأوّل فی اهتمام الإسلام بأمر التربیة عموماً</w:t>
            </w:r>
            <w:r>
              <w:rPr>
                <w:rStyle w:val="IndexLink"/>
                <w:rtl w:val="true"/>
              </w:rPr>
              <w:tab/>
            </w:r>
            <w:r>
              <w:rPr>
                <w:rStyle w:val="IndexLink"/>
              </w:rPr>
              <w:t>279</w:t>
            </w:r>
          </w:hyperlink>
        </w:p>
        <w:p>
          <w:pPr>
            <w:pStyle w:val="Contents6"/>
            <w:tabs>
              <w:tab w:val="clear" w:pos="7609"/>
              <w:tab w:val="right" w:pos="9026" w:leader="dot"/>
            </w:tabs>
            <w:rPr/>
          </w:pPr>
          <w:hyperlink w:anchor="__RefHeading___Toc9530991_73709187">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9530993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w:t>
              <w:tab/>
            </w:r>
            <w:r>
              <w:rPr>
                <w:rStyle w:val="IndexLink"/>
              </w:rPr>
              <w:t>279</w:t>
            </w:r>
          </w:hyperlink>
        </w:p>
        <w:p>
          <w:pPr>
            <w:pStyle w:val="Contents6"/>
            <w:tabs>
              <w:tab w:val="clear" w:pos="7609"/>
              <w:tab w:val="right" w:pos="9026" w:leader="dot"/>
            </w:tabs>
            <w:rPr/>
          </w:pPr>
          <w:hyperlink w:anchor="__RefHeading___Toc9530995_73709187">
            <w:r>
              <w:rPr>
                <w:webHidden/>
                <w:rStyle w:val="IndexLink"/>
                <w:rtl w:val="true"/>
              </w:rPr>
              <w:t>الثانی</w:t>
            </w:r>
            <w:r>
              <w:rPr>
                <w:rStyle w:val="IndexLink"/>
                <w:rtl w:val="true"/>
              </w:rPr>
              <w:t xml:space="preserve">: </w:t>
            </w:r>
            <w:r>
              <w:rPr>
                <w:rStyle w:val="IndexLink"/>
                <w:rtl w:val="true"/>
              </w:rPr>
              <w:t>الروایات</w:t>
            </w:r>
            <w:r>
              <w:rPr>
                <w:rStyle w:val="IndexLink"/>
                <w:rtl w:val="true"/>
              </w:rPr>
              <w:tab/>
            </w:r>
            <w:r>
              <w:rPr>
                <w:rStyle w:val="IndexLink"/>
              </w:rPr>
              <w:t>282</w:t>
            </w:r>
          </w:hyperlink>
        </w:p>
        <w:p>
          <w:pPr>
            <w:pStyle w:val="Contents6"/>
            <w:tabs>
              <w:tab w:val="clear" w:pos="7609"/>
              <w:tab w:val="right" w:pos="9026" w:leader="dot"/>
            </w:tabs>
            <w:rPr/>
          </w:pPr>
          <w:hyperlink w:anchor="__RefHeading___Toc9530997_73709187">
            <w:r>
              <w:rPr>
                <w:webHidden/>
                <w:rStyle w:val="IndexLink"/>
                <w:rtl w:val="true"/>
              </w:rPr>
              <w:t>الطائفة الاُولی</w:t>
            </w:r>
            <w:r>
              <w:rPr>
                <w:rStyle w:val="IndexLink"/>
                <w:rtl w:val="true"/>
              </w:rPr>
              <w:t xml:space="preserve">: </w:t>
            </w:r>
            <w:r>
              <w:rPr>
                <w:rStyle w:val="IndexLink"/>
                <w:rtl w:val="true"/>
              </w:rPr>
              <w:t>الروایات الواردة فی حکمة بعثة النبیّ الأکرم صلی الله علیه و آله</w:t>
            </w:r>
            <w:r>
              <w:rPr>
                <w:rStyle w:val="IndexLink"/>
                <w:rtl w:val="true"/>
              </w:rPr>
              <w:tab/>
            </w:r>
            <w:r>
              <w:rPr>
                <w:rStyle w:val="IndexLink"/>
              </w:rPr>
              <w:t>282</w:t>
            </w:r>
          </w:hyperlink>
        </w:p>
        <w:p>
          <w:pPr>
            <w:pStyle w:val="Contents6"/>
            <w:tabs>
              <w:tab w:val="clear" w:pos="7609"/>
              <w:tab w:val="right" w:pos="9026" w:leader="dot"/>
            </w:tabs>
            <w:rPr/>
          </w:pPr>
          <w:hyperlink w:anchor="__RefHeading___Toc9530999_73709187">
            <w:r>
              <w:rPr>
                <w:webHidden/>
                <w:rStyle w:val="IndexLink"/>
                <w:rtl w:val="true"/>
              </w:rPr>
              <w:t>الطائفة الثانیة</w:t>
            </w:r>
            <w:r>
              <w:rPr>
                <w:rStyle w:val="IndexLink"/>
                <w:rtl w:val="true"/>
              </w:rPr>
              <w:t xml:space="preserve">: </w:t>
            </w:r>
            <w:r>
              <w:rPr>
                <w:rStyle w:val="IndexLink"/>
                <w:rtl w:val="true"/>
              </w:rPr>
              <w:t>الروایات التی وردت فی بیان أجر الهدایة و التربیة</w:t>
            </w:r>
            <w:r>
              <w:rPr>
                <w:rStyle w:val="IndexLink"/>
                <w:rtl w:val="true"/>
              </w:rPr>
              <w:tab/>
            </w:r>
            <w:r>
              <w:rPr>
                <w:rStyle w:val="IndexLink"/>
              </w:rPr>
              <w:t>283</w:t>
            </w:r>
          </w:hyperlink>
        </w:p>
        <w:p>
          <w:pPr>
            <w:pStyle w:val="Contents6"/>
            <w:tabs>
              <w:tab w:val="clear" w:pos="7609"/>
              <w:tab w:val="right" w:pos="9026" w:leader="dot"/>
            </w:tabs>
            <w:rPr/>
          </w:pPr>
          <w:hyperlink w:anchor="__RefHeading___Toc9531001_73709187">
            <w:r>
              <w:rPr>
                <w:webHidden/>
                <w:rStyle w:val="IndexLink"/>
                <w:rtl w:val="true"/>
              </w:rPr>
              <w:t>الطائفة الثالثة</w:t>
            </w:r>
            <w:r>
              <w:rPr>
                <w:rStyle w:val="IndexLink"/>
                <w:rtl w:val="true"/>
              </w:rPr>
              <w:t xml:space="preserve">: </w:t>
            </w:r>
            <w:r>
              <w:rPr>
                <w:rStyle w:val="IndexLink"/>
                <w:rtl w:val="true"/>
              </w:rPr>
              <w:t>ما وردت فی منزلة الفقیه الذی یربّی نفوس الناس</w:t>
            </w:r>
            <w:r>
              <w:rPr>
                <w:rStyle w:val="IndexLink"/>
                <w:rtl w:val="true"/>
              </w:rPr>
              <w:tab/>
            </w:r>
            <w:r>
              <w:rPr>
                <w:rStyle w:val="IndexLink"/>
              </w:rPr>
              <w:t>284</w:t>
            </w:r>
          </w:hyperlink>
        </w:p>
        <w:p>
          <w:pPr>
            <w:pStyle w:val="Contents6"/>
            <w:tabs>
              <w:tab w:val="clear" w:pos="7609"/>
              <w:tab w:val="right" w:pos="9026" w:leader="dot"/>
            </w:tabs>
            <w:rPr/>
          </w:pPr>
          <w:hyperlink w:anchor="__RefHeading___Toc9531003_73709187">
            <w:r>
              <w:rPr>
                <w:webHidden/>
                <w:rStyle w:val="IndexLink"/>
                <w:rtl w:val="true"/>
              </w:rPr>
              <w:t>الطائفة الرابعة</w:t>
            </w:r>
            <w:r>
              <w:rPr>
                <w:rStyle w:val="IndexLink"/>
                <w:rtl w:val="true"/>
              </w:rPr>
              <w:t xml:space="preserve">: </w:t>
            </w:r>
            <w:r>
              <w:rPr>
                <w:rStyle w:val="IndexLink"/>
                <w:rtl w:val="true"/>
              </w:rPr>
              <w:t>ما وردت فی أجر التعلیم و حثّ الناس به</w:t>
            </w:r>
            <w:r>
              <w:rPr>
                <w:rStyle w:val="IndexLink"/>
                <w:rtl w:val="true"/>
              </w:rPr>
              <w:tab/>
            </w:r>
            <w:r>
              <w:rPr>
                <w:rStyle w:val="IndexLink"/>
              </w:rPr>
              <w:t>285</w:t>
            </w:r>
          </w:hyperlink>
        </w:p>
        <w:p>
          <w:pPr>
            <w:pStyle w:val="Contents5"/>
            <w:tabs>
              <w:tab w:val="clear" w:pos="7892"/>
              <w:tab w:val="right" w:pos="9026" w:leader="dot"/>
            </w:tabs>
            <w:rPr/>
          </w:pPr>
          <w:hyperlink w:anchor="__RefHeading___Toc9531005_73709187">
            <w:r>
              <w:rPr>
                <w:webHidden/>
                <w:rStyle w:val="IndexLink"/>
                <w:rtl w:val="true"/>
              </w:rPr>
              <w:t>المطلب الثانی فی ذکر ما دلّ علی ضرورة کون التربیة فی مرحلة الصبا</w:t>
            </w:r>
            <w:r>
              <w:rPr>
                <w:rStyle w:val="IndexLink"/>
                <w:rtl w:val="true"/>
              </w:rPr>
              <w:tab/>
            </w:r>
            <w:r>
              <w:rPr>
                <w:rStyle w:val="IndexLink"/>
              </w:rPr>
              <w:t>286</w:t>
            </w:r>
          </w:hyperlink>
        </w:p>
        <w:p>
          <w:pPr>
            <w:pStyle w:val="Contents5"/>
            <w:tabs>
              <w:tab w:val="clear" w:pos="7892"/>
              <w:tab w:val="right" w:pos="9026" w:leader="dot"/>
            </w:tabs>
            <w:rPr/>
          </w:pPr>
          <w:hyperlink w:anchor="__RefHeading___Toc9531007_73709187">
            <w:r>
              <w:rPr>
                <w:webHidden/>
                <w:rStyle w:val="IndexLink"/>
                <w:rtl w:val="true"/>
              </w:rPr>
              <w:t>المطلب الثالث فی بیان ما دلّ علی عظم مسئولیّة الوالدین</w:t>
            </w:r>
            <w:r>
              <w:rPr>
                <w:rStyle w:val="IndexLink"/>
                <w:rtl w:val="true"/>
              </w:rPr>
              <w:tab/>
            </w:r>
            <w:r>
              <w:rPr>
                <w:rStyle w:val="IndexLink"/>
              </w:rPr>
              <w:t>289</w:t>
            </w:r>
          </w:hyperlink>
        </w:p>
        <w:p>
          <w:pPr>
            <w:pStyle w:val="Contents5"/>
            <w:tabs>
              <w:tab w:val="clear" w:pos="7892"/>
              <w:tab w:val="right" w:pos="9026" w:leader="dot"/>
            </w:tabs>
            <w:rPr/>
          </w:pPr>
          <w:hyperlink w:anchor="__RefHeading___Toc9531009_73709187">
            <w:r>
              <w:rPr>
                <w:webHidden/>
                <w:rStyle w:val="IndexLink"/>
                <w:rtl w:val="true"/>
              </w:rPr>
              <w:t>المطلب الرابع فی ثمرة تربیة الأطفال و تعلیمهم</w:t>
            </w:r>
            <w:r>
              <w:rPr>
                <w:rStyle w:val="IndexLink"/>
                <w:rtl w:val="true"/>
              </w:rPr>
              <w:tab/>
            </w:r>
            <w:r>
              <w:rPr>
                <w:rStyle w:val="IndexLink"/>
              </w:rPr>
              <w:t>292</w:t>
            </w:r>
          </w:hyperlink>
        </w:p>
        <w:p>
          <w:pPr>
            <w:pStyle w:val="Contents4"/>
            <w:tabs>
              <w:tab w:val="clear" w:pos="8176"/>
              <w:tab w:val="right" w:pos="9026" w:leader="dot"/>
            </w:tabs>
            <w:rPr/>
          </w:pPr>
          <w:hyperlink w:anchor="__RefHeading___Toc9531011_73709187">
            <w:r>
              <w:rPr>
                <w:webHidden/>
                <w:rStyle w:val="IndexLink"/>
                <w:rtl w:val="true"/>
              </w:rPr>
              <w:t>المبحث الثالث</w:t>
            </w:r>
            <w:r>
              <w:rPr>
                <w:rStyle w:val="IndexLink"/>
                <w:rtl w:val="true"/>
              </w:rPr>
              <w:t xml:space="preserve">: </w:t>
            </w:r>
            <w:r>
              <w:rPr>
                <w:rStyle w:val="IndexLink"/>
                <w:rtl w:val="true"/>
              </w:rPr>
              <w:t>حکم التربیة و التعلیم و الولایة علیهما</w:t>
            </w:r>
            <w:r>
              <w:rPr>
                <w:rStyle w:val="IndexLink"/>
                <w:rtl w:val="true"/>
              </w:rPr>
              <w:tab/>
            </w:r>
            <w:r>
              <w:rPr>
                <w:rStyle w:val="IndexLink"/>
              </w:rPr>
              <w:t>296</w:t>
            </w:r>
          </w:hyperlink>
        </w:p>
        <w:p>
          <w:pPr>
            <w:pStyle w:val="Contents5"/>
            <w:tabs>
              <w:tab w:val="clear" w:pos="7892"/>
              <w:tab w:val="right" w:pos="9026" w:leader="dot"/>
            </w:tabs>
            <w:rPr/>
          </w:pPr>
          <w:hyperlink w:anchor="__RefHeading___Toc9531013_73709187">
            <w:r>
              <w:rPr>
                <w:webHidden/>
                <w:rStyle w:val="IndexLink"/>
                <w:rtl w:val="true"/>
              </w:rPr>
              <w:t>تمهید</w:t>
            </w:r>
            <w:r>
              <w:rPr>
                <w:rStyle w:val="IndexLink"/>
                <w:rtl w:val="true"/>
              </w:rPr>
              <w:t>:</w:t>
              <w:tab/>
            </w:r>
            <w:r>
              <w:rPr>
                <w:rStyle w:val="IndexLink"/>
              </w:rPr>
              <w:t>296</w:t>
            </w:r>
          </w:hyperlink>
        </w:p>
        <w:p>
          <w:pPr>
            <w:pStyle w:val="Contents5"/>
            <w:tabs>
              <w:tab w:val="clear" w:pos="7892"/>
              <w:tab w:val="right" w:pos="9026" w:leader="dot"/>
            </w:tabs>
            <w:rPr/>
          </w:pPr>
          <w:hyperlink w:anchor="__RefHeading___Toc9531015_73709187">
            <w:r>
              <w:rPr>
                <w:webHidden/>
                <w:rStyle w:val="IndexLink"/>
                <w:rtl w:val="true"/>
              </w:rPr>
              <w:t>آراء الفقهاء فی وجوب التربیة و تعلیم الأطفال</w:t>
            </w:r>
            <w:r>
              <w:rPr>
                <w:rStyle w:val="IndexLink"/>
                <w:rtl w:val="true"/>
              </w:rPr>
              <w:tab/>
            </w:r>
            <w:r>
              <w:rPr>
                <w:rStyle w:val="IndexLink"/>
              </w:rPr>
              <w:t>297</w:t>
            </w:r>
          </w:hyperlink>
        </w:p>
        <w:p>
          <w:pPr>
            <w:pStyle w:val="Contents5"/>
            <w:tabs>
              <w:tab w:val="clear" w:pos="7892"/>
              <w:tab w:val="right" w:pos="9026" w:leader="dot"/>
            </w:tabs>
            <w:rPr/>
          </w:pPr>
          <w:hyperlink w:anchor="__RefHeading___Toc9531017_73709187">
            <w:r>
              <w:rPr>
                <w:webHidden/>
                <w:rStyle w:val="IndexLink"/>
                <w:rtl w:val="true"/>
              </w:rPr>
              <w:t>استفادة وجوب التربیة و التعلیم من کلمات الأصحاب</w:t>
            </w:r>
            <w:r>
              <w:rPr>
                <w:rStyle w:val="IndexLink"/>
                <w:rtl w:val="true"/>
              </w:rPr>
              <w:tab/>
            </w:r>
            <w:r>
              <w:rPr>
                <w:rStyle w:val="IndexLink"/>
              </w:rPr>
              <w:t>298</w:t>
            </w:r>
          </w:hyperlink>
        </w:p>
        <w:p>
          <w:pPr>
            <w:pStyle w:val="Contents6"/>
            <w:tabs>
              <w:tab w:val="clear" w:pos="7609"/>
              <w:tab w:val="right" w:pos="9026" w:leader="dot"/>
            </w:tabs>
            <w:rPr/>
          </w:pPr>
          <w:hyperlink w:anchor="__RefHeading___Toc9531019_73709187">
            <w:r>
              <w:rPr>
                <w:webHidden/>
                <w:rStyle w:val="IndexLink"/>
                <w:rtl w:val="true"/>
              </w:rPr>
              <w:t>أ</w:t>
            </w:r>
            <w:r>
              <w:rPr>
                <w:rStyle w:val="IndexLink"/>
                <w:rtl w:val="true"/>
              </w:rPr>
              <w:t xml:space="preserve">: </w:t>
            </w:r>
            <w:r>
              <w:rPr>
                <w:rStyle w:val="IndexLink"/>
                <w:rtl w:val="true"/>
              </w:rPr>
              <w:t>کلماتهم فی باب الحضانة</w:t>
            </w:r>
            <w:r>
              <w:rPr>
                <w:rStyle w:val="IndexLink"/>
                <w:rtl w:val="true"/>
              </w:rPr>
              <w:tab/>
            </w:r>
            <w:r>
              <w:rPr>
                <w:rStyle w:val="IndexLink"/>
              </w:rPr>
              <w:t>298</w:t>
            </w:r>
          </w:hyperlink>
        </w:p>
        <w:p>
          <w:pPr>
            <w:pStyle w:val="Contents6"/>
            <w:tabs>
              <w:tab w:val="clear" w:pos="7609"/>
              <w:tab w:val="right" w:pos="9026" w:leader="dot"/>
            </w:tabs>
            <w:rPr/>
          </w:pPr>
          <w:hyperlink w:anchor="__RefHeading___Toc9531021_73709187">
            <w:r>
              <w:rPr>
                <w:webHidden/>
                <w:rStyle w:val="IndexLink"/>
                <w:rtl w:val="true"/>
              </w:rPr>
              <w:t>ب</w:t>
            </w:r>
            <w:r>
              <w:rPr>
                <w:rStyle w:val="IndexLink"/>
                <w:rtl w:val="true"/>
              </w:rPr>
              <w:t xml:space="preserve">: </w:t>
            </w:r>
            <w:r>
              <w:rPr>
                <w:rStyle w:val="IndexLink"/>
                <w:rtl w:val="true"/>
              </w:rPr>
              <w:t>کلماتهم فی أبواب اخری</w:t>
            </w:r>
            <w:r>
              <w:rPr>
                <w:rStyle w:val="IndexLink"/>
                <w:rtl w:val="true"/>
              </w:rPr>
              <w:tab/>
            </w:r>
            <w:r>
              <w:rPr>
                <w:rStyle w:val="IndexLink"/>
              </w:rPr>
              <w:t>299</w:t>
            </w:r>
          </w:hyperlink>
        </w:p>
        <w:p>
          <w:pPr>
            <w:pStyle w:val="Contents5"/>
            <w:tabs>
              <w:tab w:val="clear" w:pos="7892"/>
              <w:tab w:val="right" w:pos="9026" w:leader="dot"/>
            </w:tabs>
            <w:rPr/>
          </w:pPr>
          <w:hyperlink w:anchor="__RefHeading___Toc9531023_73709187">
            <w:r>
              <w:rPr>
                <w:webHidden/>
                <w:rStyle w:val="IndexLink"/>
                <w:rtl w:val="true"/>
              </w:rPr>
              <w:t>وجوب حفظ الأطفال عمّا یضرّهم فی کلمات الأصحاب</w:t>
            </w:r>
            <w:r>
              <w:rPr>
                <w:rStyle w:val="IndexLink"/>
                <w:rtl w:val="true"/>
              </w:rPr>
              <w:tab/>
            </w:r>
            <w:r>
              <w:rPr>
                <w:rStyle w:val="IndexLink"/>
              </w:rPr>
              <w:t>301</w:t>
            </w:r>
          </w:hyperlink>
        </w:p>
        <w:p>
          <w:pPr>
            <w:pStyle w:val="Contents6"/>
            <w:tabs>
              <w:tab w:val="clear" w:pos="7609"/>
              <w:tab w:val="right" w:pos="9026" w:leader="dot"/>
            </w:tabs>
            <w:rPr/>
          </w:pPr>
          <w:hyperlink w:anchor="__RefHeading___Toc9531025_73709187">
            <w:r>
              <w:rPr>
                <w:webHidden/>
                <w:rStyle w:val="IndexLink"/>
                <w:rtl w:val="true"/>
              </w:rPr>
              <w:t>أ</w:t>
            </w:r>
            <w:r>
              <w:rPr>
                <w:rStyle w:val="IndexLink"/>
                <w:rtl w:val="true"/>
              </w:rPr>
              <w:t xml:space="preserve">: </w:t>
            </w:r>
            <w:r>
              <w:rPr>
                <w:rStyle w:val="IndexLink"/>
                <w:rtl w:val="true"/>
              </w:rPr>
              <w:t>کلماتهم فی باب الحضانة</w:t>
            </w:r>
            <w:r>
              <w:rPr>
                <w:rStyle w:val="IndexLink"/>
                <w:rtl w:val="true"/>
              </w:rPr>
              <w:tab/>
            </w:r>
            <w:r>
              <w:rPr>
                <w:rStyle w:val="IndexLink"/>
              </w:rPr>
              <w:t>301</w:t>
            </w:r>
          </w:hyperlink>
        </w:p>
        <w:p>
          <w:pPr>
            <w:pStyle w:val="Contents6"/>
            <w:tabs>
              <w:tab w:val="clear" w:pos="7609"/>
              <w:tab w:val="right" w:pos="9026" w:leader="dot"/>
            </w:tabs>
            <w:rPr/>
          </w:pPr>
          <w:hyperlink w:anchor="__RefHeading___Toc9531027_73709187">
            <w:r>
              <w:rPr>
                <w:webHidden/>
                <w:rStyle w:val="IndexLink"/>
                <w:rtl w:val="true"/>
              </w:rPr>
              <w:t>ب</w:t>
            </w:r>
            <w:r>
              <w:rPr>
                <w:rStyle w:val="IndexLink"/>
                <w:rtl w:val="true"/>
              </w:rPr>
              <w:t xml:space="preserve">: </w:t>
            </w:r>
            <w:r>
              <w:rPr>
                <w:rStyle w:val="IndexLink"/>
                <w:rtl w:val="true"/>
              </w:rPr>
              <w:t>کلماتهم فی أبواب اخری</w:t>
            </w:r>
            <w:r>
              <w:rPr>
                <w:rStyle w:val="IndexLink"/>
                <w:rtl w:val="true"/>
              </w:rPr>
              <w:tab/>
            </w:r>
            <w:r>
              <w:rPr>
                <w:rStyle w:val="IndexLink"/>
              </w:rPr>
              <w:t>302</w:t>
            </w:r>
          </w:hyperlink>
        </w:p>
        <w:p>
          <w:pPr>
            <w:pStyle w:val="Contents5"/>
            <w:tabs>
              <w:tab w:val="clear" w:pos="7892"/>
              <w:tab w:val="right" w:pos="9026" w:leader="dot"/>
            </w:tabs>
            <w:rPr/>
          </w:pPr>
          <w:hyperlink w:anchor="__RefHeading___Toc9531029_73709187">
            <w:r>
              <w:rPr>
                <w:webHidden/>
                <w:rStyle w:val="IndexLink"/>
                <w:rtl w:val="true"/>
              </w:rPr>
              <w:t>أدلّة وجوب التربیة و تعلیم الأطفال و ولایة الأبوین علیهما</w:t>
            </w:r>
            <w:r>
              <w:rPr>
                <w:rStyle w:val="IndexLink"/>
                <w:rtl w:val="true"/>
              </w:rPr>
              <w:tab/>
            </w:r>
            <w:r>
              <w:rPr>
                <w:rStyle w:val="IndexLink"/>
              </w:rPr>
              <w:t>305</w:t>
            </w:r>
          </w:hyperlink>
        </w:p>
        <w:p>
          <w:pPr>
            <w:pStyle w:val="Contents6"/>
            <w:tabs>
              <w:tab w:val="clear" w:pos="7609"/>
              <w:tab w:val="right" w:pos="9026" w:leader="dot"/>
            </w:tabs>
            <w:rPr/>
          </w:pPr>
          <w:hyperlink w:anchor="__RefHeading___Toc9531031_7370918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9531033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ab/>
            </w:r>
            <w:r>
              <w:rPr>
                <w:rStyle w:val="IndexLink"/>
              </w:rPr>
              <w:t>305</w:t>
            </w:r>
          </w:hyperlink>
        </w:p>
        <w:p>
          <w:pPr>
            <w:pStyle w:val="Contents6"/>
            <w:tabs>
              <w:tab w:val="clear" w:pos="7609"/>
              <w:tab w:val="right" w:pos="9026" w:leader="dot"/>
            </w:tabs>
            <w:rPr/>
          </w:pPr>
          <w:hyperlink w:anchor="__RefHeading___Toc9531035_73709187">
            <w:r>
              <w:rPr>
                <w:webHidden/>
                <w:rStyle w:val="IndexLink"/>
                <w:rtl w:val="true"/>
              </w:rPr>
              <w:t>الثانی</w:t>
            </w:r>
            <w:r>
              <w:rPr>
                <w:rStyle w:val="IndexLink"/>
                <w:rtl w:val="true"/>
              </w:rPr>
              <w:t xml:space="preserve">: </w:t>
            </w:r>
            <w:r>
              <w:rPr>
                <w:rStyle w:val="IndexLink"/>
                <w:rtl w:val="true"/>
              </w:rPr>
              <w:t>النصوص الکثیرة، و هی طوائف</w:t>
            </w:r>
            <w:r>
              <w:rPr>
                <w:rStyle w:val="IndexLink"/>
                <w:rtl w:val="true"/>
              </w:rPr>
              <w:t>:</w:t>
              <w:tab/>
            </w:r>
            <w:r>
              <w:rPr>
                <w:rStyle w:val="IndexLink"/>
              </w:rPr>
              <w:t>317</w:t>
            </w:r>
          </w:hyperlink>
        </w:p>
        <w:p>
          <w:pPr>
            <w:pStyle w:val="Contents6"/>
            <w:tabs>
              <w:tab w:val="clear" w:pos="7609"/>
              <w:tab w:val="right" w:pos="9026" w:leader="dot"/>
            </w:tabs>
            <w:rPr/>
          </w:pPr>
          <w:hyperlink w:anchor="__RefHeading___Toc9531037_73709187">
            <w:r>
              <w:rPr>
                <w:webHidden/>
                <w:rStyle w:val="IndexLink"/>
                <w:rtl w:val="true"/>
              </w:rPr>
              <w:t>الاُولی</w:t>
            </w:r>
            <w:r>
              <w:rPr>
                <w:rStyle w:val="IndexLink"/>
                <w:rtl w:val="true"/>
              </w:rPr>
              <w:t xml:space="preserve">: </w:t>
            </w:r>
            <w:r>
              <w:rPr>
                <w:rStyle w:val="IndexLink"/>
                <w:rtl w:val="true"/>
              </w:rPr>
              <w:t>ما تدلّ علی لزوم تربیة الأولاد و الولایة فیها علی نحو الإطلاق</w:t>
            </w:r>
            <w:r>
              <w:rPr>
                <w:rStyle w:val="IndexLink"/>
                <w:rtl w:val="true"/>
              </w:rPr>
              <w:tab/>
            </w:r>
            <w:r>
              <w:rPr>
                <w:rStyle w:val="IndexLink"/>
              </w:rPr>
              <w:t>317</w:t>
            </w:r>
          </w:hyperlink>
        </w:p>
        <w:p>
          <w:pPr>
            <w:pStyle w:val="Contents6"/>
            <w:tabs>
              <w:tab w:val="clear" w:pos="7609"/>
              <w:tab w:val="right" w:pos="9026" w:leader="dot"/>
            </w:tabs>
            <w:rPr/>
          </w:pPr>
          <w:hyperlink w:anchor="__RefHeading___Toc9531039_73709187">
            <w:r>
              <w:rPr>
                <w:webHidden/>
                <w:rStyle w:val="IndexLink"/>
                <w:rtl w:val="true"/>
              </w:rPr>
              <w:t>الطائفة الثانیة</w:t>
            </w:r>
            <w:r>
              <w:rPr>
                <w:rStyle w:val="IndexLink"/>
                <w:rtl w:val="true"/>
              </w:rPr>
              <w:t xml:space="preserve">: </w:t>
            </w:r>
            <w:r>
              <w:rPr>
                <w:rStyle w:val="IndexLink"/>
                <w:rtl w:val="true"/>
              </w:rPr>
              <w:t>ما تدلّ علی أنّ تربیة الأولاد حقٌّ لهم</w:t>
            </w:r>
            <w:r>
              <w:rPr>
                <w:rStyle w:val="IndexLink"/>
                <w:rtl w:val="true"/>
              </w:rPr>
              <w:tab/>
            </w:r>
            <w:r>
              <w:rPr>
                <w:rStyle w:val="IndexLink"/>
              </w:rPr>
              <w:t>318</w:t>
            </w:r>
          </w:hyperlink>
        </w:p>
        <w:p>
          <w:pPr>
            <w:pStyle w:val="Contents6"/>
            <w:tabs>
              <w:tab w:val="clear" w:pos="7609"/>
              <w:tab w:val="right" w:pos="9026" w:leader="dot"/>
            </w:tabs>
            <w:rPr/>
          </w:pPr>
          <w:hyperlink w:anchor="__RefHeading___Toc9531041_73709187">
            <w:r>
              <w:rPr>
                <w:webHidden/>
                <w:rStyle w:val="IndexLink"/>
                <w:rtl w:val="true"/>
              </w:rPr>
              <w:t>الطائفة الثالثة</w:t>
            </w:r>
            <w:r>
              <w:rPr>
                <w:rStyle w:val="IndexLink"/>
                <w:rtl w:val="true"/>
              </w:rPr>
              <w:t xml:space="preserve">: </w:t>
            </w:r>
            <w:r>
              <w:rPr>
                <w:rStyle w:val="IndexLink"/>
                <w:rtl w:val="true"/>
              </w:rPr>
              <w:t>ما ورد فی بیان المقصود من الآیة الکریمة</w:t>
            </w:r>
            <w:r>
              <w:rPr>
                <w:rStyle w:val="IndexLink"/>
                <w:rtl w:val="true"/>
              </w:rPr>
              <w:tab/>
            </w:r>
            <w:r>
              <w:rPr>
                <w:rStyle w:val="IndexLink"/>
              </w:rPr>
              <w:t>320</w:t>
            </w:r>
          </w:hyperlink>
        </w:p>
        <w:p>
          <w:pPr>
            <w:pStyle w:val="Contents6"/>
            <w:tabs>
              <w:tab w:val="clear" w:pos="7609"/>
              <w:tab w:val="right" w:pos="9026" w:leader="dot"/>
            </w:tabs>
            <w:rPr/>
          </w:pPr>
          <w:hyperlink w:anchor="__RefHeading___Toc9531043_73709187">
            <w:r>
              <w:rPr>
                <w:webHidden/>
                <w:rStyle w:val="IndexLink"/>
                <w:rtl w:val="true"/>
              </w:rPr>
              <w:t>الطائفة الرابعة</w:t>
            </w:r>
            <w:r>
              <w:rPr>
                <w:rStyle w:val="IndexLink"/>
                <w:rtl w:val="true"/>
              </w:rPr>
              <w:t xml:space="preserve">: </w:t>
            </w:r>
            <w:r>
              <w:rPr>
                <w:rStyle w:val="IndexLink"/>
                <w:rtl w:val="true"/>
              </w:rPr>
              <w:t>ما دلّ علی لزوم الأمر بالصلاة و الصوم خاصّة</w:t>
            </w:r>
            <w:r>
              <w:rPr>
                <w:rStyle w:val="IndexLink"/>
                <w:rtl w:val="true"/>
              </w:rPr>
              <w:tab/>
            </w:r>
            <w:r>
              <w:rPr>
                <w:rStyle w:val="IndexLink"/>
              </w:rPr>
              <w:t>322</w:t>
            </w:r>
          </w:hyperlink>
        </w:p>
        <w:p>
          <w:pPr>
            <w:pStyle w:val="Contents6"/>
            <w:tabs>
              <w:tab w:val="clear" w:pos="7609"/>
              <w:tab w:val="right" w:pos="9026" w:leader="dot"/>
            </w:tabs>
            <w:rPr/>
          </w:pPr>
          <w:hyperlink w:anchor="__RefHeading___Toc9531045_73709187">
            <w:r>
              <w:rPr>
                <w:webHidden/>
                <w:rStyle w:val="IndexLink"/>
                <w:rtl w:val="true"/>
              </w:rPr>
              <w:t>الطائفة الخامسة</w:t>
            </w:r>
            <w:r>
              <w:rPr>
                <w:rStyle w:val="IndexLink"/>
                <w:rtl w:val="true"/>
              </w:rPr>
              <w:t xml:space="preserve">: </w:t>
            </w:r>
            <w:r>
              <w:rPr>
                <w:rStyle w:val="IndexLink"/>
                <w:rtl w:val="true"/>
              </w:rPr>
              <w:t>ما تدلّ علی عقوق الوالدین لأولادهم</w:t>
            </w:r>
            <w:r>
              <w:rPr>
                <w:rStyle w:val="IndexLink"/>
                <w:rtl w:val="true"/>
              </w:rPr>
              <w:tab/>
            </w:r>
            <w:r>
              <w:rPr>
                <w:rStyle w:val="IndexLink"/>
              </w:rPr>
              <w:t>322</w:t>
            </w:r>
          </w:hyperlink>
        </w:p>
        <w:p>
          <w:pPr>
            <w:pStyle w:val="Contents6"/>
            <w:tabs>
              <w:tab w:val="clear" w:pos="7609"/>
              <w:tab w:val="right" w:pos="9026" w:leader="dot"/>
            </w:tabs>
            <w:rPr/>
          </w:pPr>
          <w:hyperlink w:anchor="__RefHeading___Toc9531047_73709187">
            <w:r>
              <w:rPr>
                <w:webHidden/>
                <w:rStyle w:val="IndexLink"/>
                <w:rtl w:val="true"/>
              </w:rPr>
              <w:t>الطائفة السادسة</w:t>
            </w:r>
            <w:r>
              <w:rPr>
                <w:rStyle w:val="IndexLink"/>
                <w:rtl w:val="true"/>
              </w:rPr>
              <w:t xml:space="preserve">: </w:t>
            </w:r>
            <w:r>
              <w:rPr>
                <w:rStyle w:val="IndexLink"/>
                <w:rtl w:val="true"/>
              </w:rPr>
              <w:t>ما تدلّ علی وجوب تأدیب الأطفال</w:t>
            </w:r>
            <w:r>
              <w:rPr>
                <w:rStyle w:val="IndexLink"/>
                <w:rtl w:val="true"/>
              </w:rPr>
              <w:tab/>
            </w:r>
            <w:r>
              <w:rPr>
                <w:rStyle w:val="IndexLink"/>
              </w:rPr>
              <w:t>324</w:t>
            </w:r>
          </w:hyperlink>
        </w:p>
        <w:p>
          <w:pPr>
            <w:pStyle w:val="Contents6"/>
            <w:tabs>
              <w:tab w:val="clear" w:pos="7609"/>
              <w:tab w:val="right" w:pos="9026" w:leader="dot"/>
            </w:tabs>
            <w:rPr/>
          </w:pPr>
          <w:hyperlink w:anchor="__RefHeading___Toc9531049_73709187">
            <w:r>
              <w:rPr>
                <w:webHidden/>
                <w:rStyle w:val="IndexLink"/>
                <w:rtl w:val="true"/>
              </w:rPr>
              <w:t>الطائفة السابعة</w:t>
            </w:r>
            <w:r>
              <w:rPr>
                <w:rStyle w:val="IndexLink"/>
                <w:rtl w:val="true"/>
              </w:rPr>
              <w:t xml:space="preserve">: </w:t>
            </w:r>
            <w:r>
              <w:rPr>
                <w:rStyle w:val="IndexLink"/>
                <w:rtl w:val="true"/>
              </w:rPr>
              <w:t>ما تدلّ علی ذمّ بعض الآباء</w:t>
            </w:r>
            <w:r>
              <w:rPr>
                <w:rStyle w:val="IndexLink"/>
                <w:rtl w:val="true"/>
              </w:rPr>
              <w:tab/>
            </w:r>
            <w:r>
              <w:rPr>
                <w:rStyle w:val="IndexLink"/>
              </w:rPr>
              <w:t>324</w:t>
            </w:r>
          </w:hyperlink>
        </w:p>
        <w:p>
          <w:pPr>
            <w:pStyle w:val="Contents6"/>
            <w:tabs>
              <w:tab w:val="clear" w:pos="7609"/>
              <w:tab w:val="right" w:pos="9026" w:leader="dot"/>
            </w:tabs>
            <w:rPr/>
          </w:pPr>
          <w:hyperlink w:anchor="__RefHeading___Toc9531051_73709187">
            <w:r>
              <w:rPr>
                <w:webHidden/>
                <w:rStyle w:val="IndexLink"/>
                <w:rtl w:val="true"/>
              </w:rPr>
              <w:t>الثالث</w:t>
            </w:r>
            <w:r>
              <w:rPr>
                <w:rStyle w:val="IndexLink"/>
                <w:rtl w:val="true"/>
              </w:rPr>
              <w:t xml:space="preserve">: </w:t>
            </w:r>
            <w:r>
              <w:rPr>
                <w:rStyle w:val="IndexLink"/>
                <w:rtl w:val="true"/>
              </w:rPr>
              <w:t>السیرة المستمرّة</w:t>
            </w:r>
            <w:r>
              <w:rPr>
                <w:rStyle w:val="IndexLink"/>
                <w:rtl w:val="true"/>
              </w:rPr>
              <w:tab/>
            </w:r>
            <w:r>
              <w:rPr>
                <w:rStyle w:val="IndexLink"/>
              </w:rPr>
              <w:t>325</w:t>
            </w:r>
          </w:hyperlink>
        </w:p>
        <w:p>
          <w:pPr>
            <w:pStyle w:val="Contents6"/>
            <w:tabs>
              <w:tab w:val="clear" w:pos="7609"/>
              <w:tab w:val="right" w:pos="9026" w:leader="dot"/>
            </w:tabs>
            <w:rPr/>
          </w:pPr>
          <w:hyperlink w:anchor="__RefHeading___Toc9531053_73709187">
            <w:r>
              <w:rPr>
                <w:webHidden/>
                <w:rStyle w:val="IndexLink"/>
                <w:rtl w:val="true"/>
              </w:rPr>
              <w:t>الرابع</w:t>
            </w:r>
            <w:r>
              <w:rPr>
                <w:rStyle w:val="IndexLink"/>
                <w:rtl w:val="true"/>
              </w:rPr>
              <w:t xml:space="preserve">: </w:t>
            </w:r>
            <w:r>
              <w:rPr>
                <w:rStyle w:val="IndexLink"/>
                <w:rtl w:val="true"/>
              </w:rPr>
              <w:t>حکم العقل</w:t>
            </w:r>
            <w:r>
              <w:rPr>
                <w:rStyle w:val="IndexLink"/>
                <w:rtl w:val="true"/>
              </w:rPr>
              <w:tab/>
            </w:r>
            <w:r>
              <w:rPr>
                <w:rStyle w:val="IndexLink"/>
              </w:rPr>
              <w:t>326</w:t>
            </w:r>
          </w:hyperlink>
        </w:p>
        <w:p>
          <w:pPr>
            <w:pStyle w:val="Contents6"/>
            <w:tabs>
              <w:tab w:val="clear" w:pos="7609"/>
              <w:tab w:val="right" w:pos="9026" w:leader="dot"/>
            </w:tabs>
            <w:rPr/>
          </w:pPr>
          <w:hyperlink w:anchor="__RefHeading___Toc9531055_73709187">
            <w:r>
              <w:rPr>
                <w:webHidden/>
                <w:rStyle w:val="IndexLink"/>
                <w:rtl w:val="true"/>
              </w:rPr>
              <w:t>الخامس</w:t>
            </w:r>
            <w:r>
              <w:rPr>
                <w:rStyle w:val="IndexLink"/>
                <w:rtl w:val="true"/>
              </w:rPr>
              <w:t xml:space="preserve">: </w:t>
            </w:r>
            <w:r>
              <w:rPr>
                <w:rStyle w:val="IndexLink"/>
                <w:rtl w:val="true"/>
              </w:rPr>
              <w:t>الأولویّة القطعیّة</w:t>
            </w:r>
            <w:r>
              <w:rPr>
                <w:rStyle w:val="IndexLink"/>
                <w:rtl w:val="true"/>
              </w:rPr>
              <w:tab/>
            </w:r>
            <w:r>
              <w:rPr>
                <w:rStyle w:val="IndexLink"/>
              </w:rPr>
              <w:t>327</w:t>
            </w:r>
          </w:hyperlink>
        </w:p>
        <w:p>
          <w:pPr>
            <w:pStyle w:val="Contents5"/>
            <w:tabs>
              <w:tab w:val="clear" w:pos="7892"/>
              <w:tab w:val="right" w:pos="9026" w:leader="dot"/>
            </w:tabs>
            <w:rPr/>
          </w:pPr>
          <w:hyperlink w:anchor="__RefHeading___Toc9531057_73709187">
            <w:r>
              <w:rPr>
                <w:webHidden/>
                <w:rStyle w:val="IndexLink"/>
                <w:rtl w:val="true"/>
              </w:rPr>
              <w:t>اشتراک الأب و الاُمّ فی الولایة علی التربیة و التعلیم</w:t>
            </w:r>
            <w:r>
              <w:rPr>
                <w:rStyle w:val="IndexLink"/>
                <w:rtl w:val="true"/>
              </w:rPr>
              <w:tab/>
            </w:r>
            <w:r>
              <w:rPr>
                <w:rStyle w:val="IndexLink"/>
              </w:rPr>
              <w:t>329</w:t>
            </w:r>
          </w:hyperlink>
        </w:p>
        <w:p>
          <w:pPr>
            <w:pStyle w:val="Contents5"/>
            <w:tabs>
              <w:tab w:val="clear" w:pos="7892"/>
              <w:tab w:val="right" w:pos="9026" w:leader="dot"/>
            </w:tabs>
            <w:rPr/>
          </w:pPr>
          <w:hyperlink w:anchor="__RefHeading___Toc9531059_73709187">
            <w:r>
              <w:rPr>
                <w:webHidden/>
                <w:rStyle w:val="IndexLink"/>
                <w:rtl w:val="true"/>
              </w:rPr>
              <w:t>الدلیل علی استحباب التربیة و تعلیم الأطفال</w:t>
            </w:r>
            <w:r>
              <w:rPr>
                <w:rStyle w:val="IndexLink"/>
                <w:rtl w:val="true"/>
              </w:rPr>
              <w:tab/>
            </w:r>
            <w:r>
              <w:rPr>
                <w:rStyle w:val="IndexLink"/>
              </w:rPr>
              <w:t>333</w:t>
            </w:r>
          </w:hyperlink>
        </w:p>
        <w:p>
          <w:pPr>
            <w:pStyle w:val="Contents6"/>
            <w:tabs>
              <w:tab w:val="clear" w:pos="7609"/>
              <w:tab w:val="right" w:pos="9026" w:leader="dot"/>
            </w:tabs>
            <w:rPr/>
          </w:pPr>
          <w:hyperlink w:anchor="__RefHeading___Toc9531061_73709187">
            <w:r>
              <w:rPr>
                <w:webHidden/>
                <w:rStyle w:val="IndexLink"/>
                <w:rtl w:val="true"/>
              </w:rPr>
              <w:t>تمهید</w:t>
            </w:r>
            <w:r>
              <w:rPr>
                <w:rStyle w:val="IndexLink"/>
                <w:rtl w:val="true"/>
              </w:rPr>
              <w:t>:</w:t>
              <w:tab/>
            </w:r>
            <w:r>
              <w:rPr>
                <w:rStyle w:val="IndexLink"/>
              </w:rPr>
              <w:t>333</w:t>
            </w:r>
          </w:hyperlink>
        </w:p>
        <w:p>
          <w:pPr>
            <w:pStyle w:val="Contents6"/>
            <w:tabs>
              <w:tab w:val="clear" w:pos="7609"/>
              <w:tab w:val="right" w:pos="9026" w:leader="dot"/>
            </w:tabs>
            <w:rPr/>
          </w:pPr>
          <w:hyperlink w:anchor="__RefHeading___Toc9531063_73709187">
            <w:r>
              <w:rPr>
                <w:webHidden/>
                <w:rStyle w:val="IndexLink"/>
                <w:rtl w:val="true"/>
              </w:rPr>
              <w:t>الأوّل</w:t>
            </w:r>
            <w:r>
              <w:rPr>
                <w:rStyle w:val="IndexLink"/>
                <w:rtl w:val="true"/>
              </w:rPr>
              <w:t xml:space="preserve">: </w:t>
            </w:r>
            <w:r>
              <w:rPr>
                <w:rStyle w:val="IndexLink"/>
                <w:rtl w:val="true"/>
              </w:rPr>
              <w:t>الآیات</w:t>
            </w:r>
            <w:r>
              <w:rPr>
                <w:rStyle w:val="IndexLink"/>
                <w:rtl w:val="true"/>
              </w:rPr>
              <w:t>:</w:t>
              <w:tab/>
            </w:r>
            <w:r>
              <w:rPr>
                <w:rStyle w:val="IndexLink"/>
              </w:rPr>
              <w:t>334</w:t>
            </w:r>
          </w:hyperlink>
        </w:p>
        <w:p>
          <w:pPr>
            <w:pStyle w:val="Contents5"/>
            <w:tabs>
              <w:tab w:val="clear" w:pos="7892"/>
              <w:tab w:val="right" w:pos="9026" w:leader="dot"/>
            </w:tabs>
            <w:rPr/>
          </w:pPr>
          <w:hyperlink w:anchor="__RefHeading___Toc9531065_73709187">
            <w:r>
              <w:rPr>
                <w:webHidden/>
                <w:rStyle w:val="IndexLink"/>
                <w:rtl w:val="true"/>
              </w:rPr>
              <w:t>ولایة الوصیّ علی تربیة الصغار</w:t>
            </w:r>
            <w:r>
              <w:rPr>
                <w:rStyle w:val="IndexLink"/>
                <w:rtl w:val="true"/>
              </w:rPr>
              <w:tab/>
            </w:r>
            <w:r>
              <w:rPr>
                <w:rStyle w:val="IndexLink"/>
              </w:rPr>
              <w:t>340</w:t>
            </w:r>
          </w:hyperlink>
        </w:p>
        <w:p>
          <w:pPr>
            <w:pStyle w:val="Contents5"/>
            <w:tabs>
              <w:tab w:val="clear" w:pos="7892"/>
              <w:tab w:val="right" w:pos="9026" w:leader="dot"/>
            </w:tabs>
            <w:rPr/>
          </w:pPr>
          <w:hyperlink w:anchor="__RefHeading___Toc9531067_73709187">
            <w:r>
              <w:rPr>
                <w:webHidden/>
                <w:rStyle w:val="IndexLink"/>
                <w:rtl w:val="true"/>
              </w:rPr>
              <w:t>ولایة المعلّم علی تربیة الأطفال و تعلیمهم</w:t>
            </w:r>
            <w:r>
              <w:rPr>
                <w:rStyle w:val="IndexLink"/>
                <w:rtl w:val="true"/>
              </w:rPr>
              <w:tab/>
            </w:r>
            <w:r>
              <w:rPr>
                <w:rStyle w:val="IndexLink"/>
              </w:rPr>
              <w:t>341</w:t>
            </w:r>
          </w:hyperlink>
        </w:p>
        <w:p>
          <w:pPr>
            <w:pStyle w:val="Contents5"/>
            <w:tabs>
              <w:tab w:val="clear" w:pos="7892"/>
              <w:tab w:val="right" w:pos="9026" w:leader="dot"/>
            </w:tabs>
            <w:rPr/>
          </w:pPr>
          <w:hyperlink w:anchor="__RefHeading___Toc9531069_73709187">
            <w:r>
              <w:rPr>
                <w:webHidden/>
                <w:rStyle w:val="IndexLink"/>
                <w:rtl w:val="true"/>
              </w:rPr>
              <w:t>ولایة غیر الأبوین من الأقارب</w:t>
            </w:r>
            <w:r>
              <w:rPr>
                <w:rStyle w:val="IndexLink"/>
                <w:rtl w:val="true"/>
              </w:rPr>
              <w:tab/>
            </w:r>
            <w:r>
              <w:rPr>
                <w:rStyle w:val="IndexLink"/>
              </w:rPr>
              <w:t>342</w:t>
            </w:r>
          </w:hyperlink>
        </w:p>
        <w:p>
          <w:pPr>
            <w:pStyle w:val="Contents5"/>
            <w:tabs>
              <w:tab w:val="clear" w:pos="7892"/>
              <w:tab w:val="right" w:pos="9026" w:leader="dot"/>
            </w:tabs>
            <w:rPr/>
          </w:pPr>
          <w:hyperlink w:anchor="__RefHeading___Toc9531071_73709187">
            <w:r>
              <w:rPr>
                <w:webHidden/>
                <w:rStyle w:val="IndexLink"/>
                <w:rtl w:val="true"/>
              </w:rPr>
              <w:t>وجوب التعلیم و التربیة هل هو عینیّ أو کفائیّ‌</w:t>
            </w:r>
            <w:r>
              <w:rPr>
                <w:rStyle w:val="IndexLink"/>
                <w:rtl w:val="true"/>
              </w:rPr>
              <w:tab/>
            </w:r>
            <w:r>
              <w:rPr>
                <w:rStyle w:val="IndexLink"/>
              </w:rPr>
              <w:t>344</w:t>
            </w:r>
          </w:hyperlink>
        </w:p>
        <w:p>
          <w:pPr>
            <w:pStyle w:val="Contents5"/>
            <w:tabs>
              <w:tab w:val="clear" w:pos="7892"/>
              <w:tab w:val="right" w:pos="9026" w:leader="dot"/>
            </w:tabs>
            <w:rPr/>
          </w:pPr>
          <w:hyperlink w:anchor="__RefHeading___Toc9531073_73709187">
            <w:r>
              <w:rPr>
                <w:webHidden/>
                <w:rStyle w:val="IndexLink"/>
                <w:rtl w:val="true"/>
              </w:rPr>
              <w:t>شرائط المربّین للأطفال</w:t>
            </w:r>
            <w:r>
              <w:rPr>
                <w:rStyle w:val="IndexLink"/>
                <w:rtl w:val="true"/>
              </w:rPr>
              <w:tab/>
            </w:r>
            <w:r>
              <w:rPr>
                <w:rStyle w:val="IndexLink"/>
              </w:rPr>
              <w:t>347</w:t>
            </w:r>
          </w:hyperlink>
        </w:p>
        <w:p>
          <w:pPr>
            <w:pStyle w:val="Contents4"/>
            <w:tabs>
              <w:tab w:val="clear" w:pos="8176"/>
              <w:tab w:val="right" w:pos="9026" w:leader="dot"/>
            </w:tabs>
            <w:rPr/>
          </w:pPr>
          <w:hyperlink w:anchor="__RefHeading___Toc9531075_73709187">
            <w:r>
              <w:rPr>
                <w:webHidden/>
                <w:rStyle w:val="IndexLink"/>
                <w:rtl w:val="true"/>
              </w:rPr>
              <w:t>المبحث الخامس</w:t>
            </w:r>
            <w:r>
              <w:rPr>
                <w:rStyle w:val="IndexLink"/>
                <w:rtl w:val="true"/>
              </w:rPr>
              <w:t>:</w:t>
              <w:tab/>
            </w:r>
            <w:r>
              <w:rPr>
                <w:rStyle w:val="IndexLink"/>
              </w:rPr>
              <w:t>348</w:t>
            </w:r>
          </w:hyperlink>
        </w:p>
        <w:p>
          <w:pPr>
            <w:pStyle w:val="Contents5"/>
            <w:tabs>
              <w:tab w:val="clear" w:pos="7892"/>
              <w:tab w:val="right" w:pos="9026" w:leader="dot"/>
            </w:tabs>
            <w:rPr/>
          </w:pPr>
          <w:hyperlink w:anchor="__RefHeading___Toc9531077_7370918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9531079_73709187">
            <w:r>
              <w:rPr>
                <w:webHidden/>
                <w:rStyle w:val="IndexLink"/>
                <w:rtl w:val="true"/>
              </w:rPr>
              <w:t>آراء الفقهاء فی المسألة</w:t>
            </w:r>
            <w:r>
              <w:rPr>
                <w:rStyle w:val="IndexLink"/>
                <w:rtl w:val="true"/>
              </w:rPr>
              <w:tab/>
            </w:r>
            <w:r>
              <w:rPr>
                <w:rStyle w:val="IndexLink"/>
              </w:rPr>
              <w:t>348</w:t>
            </w:r>
          </w:hyperlink>
        </w:p>
        <w:p>
          <w:pPr>
            <w:pStyle w:val="Contents5"/>
            <w:tabs>
              <w:tab w:val="clear" w:pos="7892"/>
              <w:tab w:val="right" w:pos="9026" w:leader="dot"/>
            </w:tabs>
            <w:rPr/>
          </w:pPr>
          <w:hyperlink w:anchor="__RefHeading___Toc9531081_73709187">
            <w:r>
              <w:rPr>
                <w:webHidden/>
                <w:rStyle w:val="IndexLink"/>
                <w:rtl w:val="true"/>
              </w:rPr>
              <w:t>أدلّة ولایة الحاکم علی تربیة الأیتام و تعلیمهم</w:t>
            </w:r>
            <w:r>
              <w:rPr>
                <w:rStyle w:val="IndexLink"/>
                <w:rtl w:val="true"/>
              </w:rPr>
              <w:tab/>
            </w:r>
            <w:r>
              <w:rPr>
                <w:rStyle w:val="IndexLink"/>
              </w:rPr>
              <w:t>351</w:t>
            </w:r>
          </w:hyperlink>
        </w:p>
        <w:p>
          <w:pPr>
            <w:pStyle w:val="Contents6"/>
            <w:tabs>
              <w:tab w:val="clear" w:pos="7609"/>
              <w:tab w:val="right" w:pos="9026" w:leader="dot"/>
            </w:tabs>
            <w:rPr/>
          </w:pPr>
          <w:hyperlink w:anchor="__RefHeading___Toc9531083_73709187">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9531085_73709187">
            <w:r>
              <w:rPr>
                <w:webHidden/>
                <w:rStyle w:val="IndexLink"/>
                <w:rtl w:val="true"/>
              </w:rPr>
              <w:t>الأوّل</w:t>
            </w:r>
            <w:r>
              <w:rPr>
                <w:rStyle w:val="IndexLink"/>
                <w:rtl w:val="true"/>
              </w:rPr>
              <w:t xml:space="preserve">: </w:t>
            </w:r>
            <w:r>
              <w:rPr>
                <w:rStyle w:val="IndexLink"/>
                <w:rtl w:val="true"/>
              </w:rPr>
              <w:t>ولایته العامّة</w:t>
            </w:r>
            <w:r>
              <w:rPr>
                <w:rStyle w:val="IndexLink"/>
                <w:rtl w:val="true"/>
              </w:rPr>
              <w:tab/>
            </w:r>
            <w:r>
              <w:rPr>
                <w:rStyle w:val="IndexLink"/>
              </w:rPr>
              <w:t>351</w:t>
            </w:r>
          </w:hyperlink>
        </w:p>
        <w:p>
          <w:pPr>
            <w:pStyle w:val="Contents6"/>
            <w:tabs>
              <w:tab w:val="clear" w:pos="7609"/>
              <w:tab w:val="right" w:pos="9026" w:leader="dot"/>
            </w:tabs>
            <w:rPr/>
          </w:pPr>
          <w:hyperlink w:anchor="__RefHeading___Toc9531087_73709187">
            <w:r>
              <w:rPr>
                <w:webHidden/>
                <w:rStyle w:val="IndexLink"/>
                <w:rtl w:val="true"/>
              </w:rPr>
              <w:t>الثانی</w:t>
            </w:r>
            <w:r>
              <w:rPr>
                <w:rStyle w:val="IndexLink"/>
                <w:rtl w:val="true"/>
              </w:rPr>
              <w:t xml:space="preserve">: </w:t>
            </w:r>
            <w:r>
              <w:rPr>
                <w:rStyle w:val="IndexLink"/>
                <w:rtl w:val="true"/>
              </w:rPr>
              <w:t>وجوب حفظ النظام</w:t>
            </w:r>
            <w:r>
              <w:rPr>
                <w:rStyle w:val="IndexLink"/>
                <w:rtl w:val="true"/>
              </w:rPr>
              <w:tab/>
            </w:r>
            <w:r>
              <w:rPr>
                <w:rStyle w:val="IndexLink"/>
              </w:rPr>
              <w:t>352</w:t>
            </w:r>
          </w:hyperlink>
        </w:p>
        <w:p>
          <w:pPr>
            <w:pStyle w:val="Contents6"/>
            <w:tabs>
              <w:tab w:val="clear" w:pos="7609"/>
              <w:tab w:val="right" w:pos="9026" w:leader="dot"/>
            </w:tabs>
            <w:rPr/>
          </w:pPr>
          <w:hyperlink w:anchor="__RefHeading___Toc9531089_73709187">
            <w:r>
              <w:rPr>
                <w:webHidden/>
                <w:rStyle w:val="IndexLink"/>
                <w:rtl w:val="true"/>
              </w:rPr>
              <w:t>الثالث</w:t>
            </w:r>
            <w:r>
              <w:rPr>
                <w:rStyle w:val="IndexLink"/>
                <w:rtl w:val="true"/>
              </w:rPr>
              <w:t xml:space="preserve">: </w:t>
            </w:r>
            <w:r>
              <w:rPr>
                <w:rStyle w:val="IndexLink"/>
                <w:rtl w:val="true"/>
              </w:rPr>
              <w:t>الأولویّة القطعیّة</w:t>
            </w:r>
            <w:r>
              <w:rPr>
                <w:rStyle w:val="IndexLink"/>
                <w:rtl w:val="true"/>
              </w:rPr>
              <w:tab/>
            </w:r>
            <w:r>
              <w:rPr>
                <w:rStyle w:val="IndexLink"/>
              </w:rPr>
              <w:t>353</w:t>
            </w:r>
          </w:hyperlink>
        </w:p>
        <w:p>
          <w:pPr>
            <w:pStyle w:val="Contents6"/>
            <w:tabs>
              <w:tab w:val="clear" w:pos="7609"/>
              <w:tab w:val="right" w:pos="9026" w:leader="dot"/>
            </w:tabs>
            <w:rPr/>
          </w:pPr>
          <w:hyperlink w:anchor="__RefHeading___Toc9531091_73709187">
            <w:r>
              <w:rPr>
                <w:webHidden/>
                <w:rStyle w:val="IndexLink"/>
                <w:rtl w:val="true"/>
              </w:rPr>
              <w:t>الرابع</w:t>
            </w:r>
            <w:r>
              <w:rPr>
                <w:rStyle w:val="IndexLink"/>
                <w:rtl w:val="true"/>
              </w:rPr>
              <w:t xml:space="preserve">: </w:t>
            </w:r>
            <w:r>
              <w:rPr>
                <w:rStyle w:val="IndexLink"/>
                <w:rtl w:val="true"/>
              </w:rPr>
              <w:t>إطلاق بعض الروایات أو عمومه</w:t>
            </w:r>
            <w:r>
              <w:rPr>
                <w:rStyle w:val="IndexLink"/>
                <w:rtl w:val="true"/>
              </w:rPr>
              <w:tab/>
            </w:r>
            <w:r>
              <w:rPr>
                <w:rStyle w:val="IndexLink"/>
              </w:rPr>
              <w:t>353</w:t>
            </w:r>
          </w:hyperlink>
        </w:p>
        <w:p>
          <w:pPr>
            <w:pStyle w:val="Contents6"/>
            <w:tabs>
              <w:tab w:val="clear" w:pos="7609"/>
              <w:tab w:val="right" w:pos="9026" w:leader="dot"/>
            </w:tabs>
            <w:rPr/>
          </w:pPr>
          <w:hyperlink w:anchor="__RefHeading___Toc9531093_73709187">
            <w:r>
              <w:rPr>
                <w:webHidden/>
                <w:rStyle w:val="IndexLink"/>
                <w:rtl w:val="true"/>
              </w:rPr>
              <w:t>الخامس</w:t>
            </w:r>
            <w:r>
              <w:rPr>
                <w:rStyle w:val="IndexLink"/>
                <w:rtl w:val="true"/>
              </w:rPr>
              <w:t xml:space="preserve">: </w:t>
            </w:r>
            <w:r>
              <w:rPr>
                <w:rStyle w:val="IndexLink"/>
                <w:rtl w:val="true"/>
              </w:rPr>
              <w:t>عموم الروایات الواردة فی هدایة الأیتام و الجهّال</w:t>
            </w:r>
            <w:r>
              <w:rPr>
                <w:rStyle w:val="IndexLink"/>
                <w:rtl w:val="true"/>
              </w:rPr>
              <w:tab/>
            </w:r>
            <w:r>
              <w:rPr>
                <w:rStyle w:val="IndexLink"/>
              </w:rPr>
              <w:t>356</w:t>
            </w:r>
          </w:hyperlink>
        </w:p>
        <w:p>
          <w:pPr>
            <w:pStyle w:val="Contents6"/>
            <w:tabs>
              <w:tab w:val="clear" w:pos="7609"/>
              <w:tab w:val="right" w:pos="9026" w:leader="dot"/>
            </w:tabs>
            <w:rPr/>
          </w:pPr>
          <w:hyperlink w:anchor="__RefHeading___Toc9531095_73709187">
            <w:r>
              <w:rPr>
                <w:webHidden/>
                <w:rStyle w:val="IndexLink"/>
                <w:rtl w:val="true"/>
              </w:rPr>
              <w:t>السادس</w:t>
            </w:r>
            <w:r>
              <w:rPr>
                <w:rStyle w:val="IndexLink"/>
                <w:rtl w:val="true"/>
              </w:rPr>
              <w:t xml:space="preserve">: </w:t>
            </w:r>
            <w:r>
              <w:rPr>
                <w:rStyle w:val="IndexLink"/>
                <w:rtl w:val="true"/>
              </w:rPr>
              <w:t>عموم قاعدة الإحسان</w:t>
            </w:r>
            <w:r>
              <w:rPr>
                <w:rStyle w:val="IndexLink"/>
                <w:rtl w:val="true"/>
              </w:rPr>
              <w:tab/>
            </w:r>
            <w:r>
              <w:rPr>
                <w:rStyle w:val="IndexLink"/>
              </w:rPr>
              <w:t>358</w:t>
            </w:r>
          </w:hyperlink>
        </w:p>
        <w:p>
          <w:pPr>
            <w:pStyle w:val="Contents6"/>
            <w:tabs>
              <w:tab w:val="clear" w:pos="7609"/>
              <w:tab w:val="right" w:pos="9026" w:leader="dot"/>
            </w:tabs>
            <w:rPr/>
          </w:pPr>
          <w:hyperlink w:anchor="__RefHeading___Toc9531097_73709187">
            <w:r>
              <w:rPr>
                <w:webHidden/>
                <w:rStyle w:val="IndexLink"/>
                <w:rtl w:val="true"/>
              </w:rPr>
              <w:t>السابع</w:t>
            </w:r>
            <w:r>
              <w:rPr>
                <w:rStyle w:val="IndexLink"/>
                <w:rtl w:val="true"/>
              </w:rPr>
              <w:t xml:space="preserve">: </w:t>
            </w:r>
            <w:r>
              <w:rPr>
                <w:rStyle w:val="IndexLink"/>
                <w:rtl w:val="true"/>
              </w:rPr>
              <w:t>أدلّة وجوب حضانة اللقیط‌</w:t>
            </w:r>
            <w:r>
              <w:rPr>
                <w:rStyle w:val="IndexLink"/>
                <w:rtl w:val="true"/>
              </w:rPr>
              <w:tab/>
            </w:r>
            <w:r>
              <w:rPr>
                <w:rStyle w:val="IndexLink"/>
              </w:rPr>
              <w:t>358</w:t>
            </w:r>
          </w:hyperlink>
        </w:p>
        <w:p>
          <w:pPr>
            <w:pStyle w:val="Contents6"/>
            <w:tabs>
              <w:tab w:val="clear" w:pos="7609"/>
              <w:tab w:val="right" w:pos="9026" w:leader="dot"/>
            </w:tabs>
            <w:rPr/>
          </w:pPr>
          <w:hyperlink w:anchor="__RefHeading___Toc9531099_73709187">
            <w:r>
              <w:rPr>
                <w:webHidden/>
                <w:rStyle w:val="IndexLink"/>
                <w:rtl w:val="true"/>
              </w:rPr>
              <w:t>الثامن</w:t>
            </w:r>
            <w:r>
              <w:rPr>
                <w:rStyle w:val="IndexLink"/>
                <w:rtl w:val="true"/>
              </w:rPr>
              <w:t xml:space="preserve">: </w:t>
            </w:r>
            <w:r>
              <w:rPr>
                <w:rStyle w:val="IndexLink"/>
                <w:rtl w:val="true"/>
              </w:rPr>
              <w:t>سیرة المتشرّعة</w:t>
            </w:r>
            <w:r>
              <w:rPr>
                <w:rStyle w:val="IndexLink"/>
                <w:rtl w:val="true"/>
              </w:rPr>
              <w:tab/>
            </w:r>
            <w:r>
              <w:rPr>
                <w:rStyle w:val="IndexLink"/>
              </w:rPr>
              <w:t>358</w:t>
            </w:r>
          </w:hyperlink>
        </w:p>
        <w:p>
          <w:pPr>
            <w:pStyle w:val="Contents6"/>
            <w:tabs>
              <w:tab w:val="clear" w:pos="7609"/>
              <w:tab w:val="right" w:pos="9026" w:leader="dot"/>
            </w:tabs>
            <w:rPr/>
          </w:pPr>
          <w:hyperlink w:anchor="__RefHeading___Toc9531101_73709187">
            <w:r>
              <w:rPr>
                <w:webHidden/>
                <w:rStyle w:val="IndexLink"/>
                <w:rtl w:val="true"/>
              </w:rPr>
              <w:t>التاسع</w:t>
            </w:r>
            <w:r>
              <w:rPr>
                <w:rStyle w:val="IndexLink"/>
                <w:rtl w:val="true"/>
              </w:rPr>
              <w:t xml:space="preserve">: </w:t>
            </w:r>
            <w:r>
              <w:rPr>
                <w:rStyle w:val="IndexLink"/>
                <w:rtl w:val="true"/>
              </w:rPr>
              <w:t>القاعدة الثابتة من بعض الأخبار و مذاق الشریعة</w:t>
            </w:r>
            <w:r>
              <w:rPr>
                <w:rStyle w:val="IndexLink"/>
                <w:rtl w:val="true"/>
              </w:rPr>
              <w:tab/>
            </w:r>
            <w:r>
              <w:rPr>
                <w:rStyle w:val="IndexLink"/>
              </w:rPr>
              <w:t>358</w:t>
            </w:r>
          </w:hyperlink>
        </w:p>
        <w:p>
          <w:pPr>
            <w:pStyle w:val="Contents6"/>
            <w:tabs>
              <w:tab w:val="clear" w:pos="7609"/>
              <w:tab w:val="right" w:pos="9026" w:leader="dot"/>
            </w:tabs>
            <w:rPr/>
          </w:pPr>
          <w:hyperlink w:anchor="__RefHeading___Toc9531103_73709187">
            <w:r>
              <w:rPr>
                <w:webHidden/>
                <w:rStyle w:val="IndexLink"/>
                <w:rtl w:val="true"/>
              </w:rPr>
              <w:t>العاشر</w:t>
            </w:r>
            <w:r>
              <w:rPr>
                <w:rStyle w:val="IndexLink"/>
                <w:rtl w:val="true"/>
              </w:rPr>
              <w:t xml:space="preserve">: </w:t>
            </w:r>
            <w:r>
              <w:rPr>
                <w:rStyle w:val="IndexLink"/>
                <w:rtl w:val="true"/>
              </w:rPr>
              <w:t>الإجماع</w:t>
            </w:r>
            <w:r>
              <w:rPr>
                <w:rStyle w:val="IndexLink"/>
                <w:rtl w:val="true"/>
              </w:rPr>
              <w:tab/>
            </w:r>
            <w:r>
              <w:rPr>
                <w:rStyle w:val="IndexLink"/>
              </w:rPr>
              <w:t>359</w:t>
            </w:r>
          </w:hyperlink>
        </w:p>
        <w:p>
          <w:pPr>
            <w:pStyle w:val="Contents6"/>
            <w:tabs>
              <w:tab w:val="clear" w:pos="7609"/>
              <w:tab w:val="right" w:pos="9026" w:leader="dot"/>
            </w:tabs>
            <w:rPr/>
          </w:pPr>
          <w:hyperlink w:anchor="__RefHeading___Toc9531105_73709187">
            <w:r>
              <w:rPr>
                <w:webHidden/>
                <w:rStyle w:val="IndexLink"/>
                <w:rtl w:val="true"/>
              </w:rPr>
              <w:t>الحادی عشر</w:t>
            </w:r>
            <w:r>
              <w:rPr>
                <w:rStyle w:val="IndexLink"/>
                <w:rtl w:val="true"/>
              </w:rPr>
              <w:t xml:space="preserve">: </w:t>
            </w:r>
            <w:r>
              <w:rPr>
                <w:rStyle w:val="IndexLink"/>
                <w:rtl w:val="true"/>
              </w:rPr>
              <w:t>إثباتها من باب ولایة الحسبة</w:t>
            </w:r>
            <w:r>
              <w:rPr>
                <w:rStyle w:val="IndexLink"/>
                <w:rtl w:val="true"/>
              </w:rPr>
              <w:tab/>
            </w:r>
            <w:r>
              <w:rPr>
                <w:rStyle w:val="IndexLink"/>
              </w:rPr>
              <w:t>359</w:t>
            </w:r>
          </w:hyperlink>
        </w:p>
        <w:p>
          <w:pPr>
            <w:pStyle w:val="Contents5"/>
            <w:tabs>
              <w:tab w:val="clear" w:pos="7892"/>
              <w:tab w:val="right" w:pos="9026" w:leader="dot"/>
            </w:tabs>
            <w:rPr/>
          </w:pPr>
          <w:hyperlink w:anchor="__RefHeading___Toc9531107_73709187">
            <w:r>
              <w:rPr>
                <w:webHidden/>
                <w:rStyle w:val="IndexLink"/>
                <w:rtl w:val="true"/>
              </w:rPr>
              <w:t>مشروطیّة ولایة الحاکم بفقد الأبوین</w:t>
            </w:r>
            <w:r>
              <w:rPr>
                <w:rStyle w:val="IndexLink"/>
                <w:rtl w:val="true"/>
              </w:rPr>
              <w:tab/>
            </w:r>
            <w:r>
              <w:rPr>
                <w:rStyle w:val="IndexLink"/>
              </w:rPr>
              <w:t>359</w:t>
            </w:r>
          </w:hyperlink>
        </w:p>
        <w:p>
          <w:pPr>
            <w:pStyle w:val="Contents5"/>
            <w:tabs>
              <w:tab w:val="clear" w:pos="7892"/>
              <w:tab w:val="right" w:pos="9026" w:leader="dot"/>
            </w:tabs>
            <w:rPr/>
          </w:pPr>
          <w:hyperlink w:anchor="__RefHeading___Toc9531109_73709187">
            <w:r>
              <w:rPr>
                <w:webHidden/>
                <w:rStyle w:val="IndexLink"/>
                <w:rtl w:val="true"/>
              </w:rPr>
              <w:t>وجوب تربیة الصغار علی الحاکم</w:t>
            </w:r>
            <w:r>
              <w:rPr>
                <w:rStyle w:val="IndexLink"/>
                <w:rtl w:val="true"/>
              </w:rPr>
              <w:tab/>
            </w:r>
            <w:r>
              <w:rPr>
                <w:rStyle w:val="IndexLink"/>
              </w:rPr>
              <w:t>361</w:t>
            </w:r>
          </w:hyperlink>
        </w:p>
        <w:p>
          <w:pPr>
            <w:pStyle w:val="Contents5"/>
            <w:tabs>
              <w:tab w:val="clear" w:pos="7892"/>
              <w:tab w:val="right" w:pos="9026" w:leader="dot"/>
            </w:tabs>
            <w:rPr/>
          </w:pPr>
          <w:hyperlink w:anchor="__RefHeading___Toc9531111_73709187">
            <w:r>
              <w:rPr>
                <w:webHidden/>
                <w:rStyle w:val="IndexLink"/>
                <w:rtl w:val="true"/>
              </w:rPr>
              <w:t>ولایة عدول المؤمنین علی تربیة الأیتام</w:t>
            </w:r>
            <w:r>
              <w:rPr>
                <w:rStyle w:val="IndexLink"/>
                <w:rtl w:val="true"/>
              </w:rPr>
              <w:tab/>
            </w:r>
            <w:r>
              <w:rPr>
                <w:rStyle w:val="IndexLink"/>
              </w:rPr>
              <w:t>362</w:t>
            </w:r>
          </w:hyperlink>
        </w:p>
        <w:p>
          <w:pPr>
            <w:pStyle w:val="Contents5"/>
            <w:tabs>
              <w:tab w:val="clear" w:pos="7892"/>
              <w:tab w:val="right" w:pos="9026" w:leader="dot"/>
            </w:tabs>
            <w:rPr/>
          </w:pPr>
          <w:hyperlink w:anchor="__RefHeading___Toc9531113_73709187">
            <w:r>
              <w:rPr>
                <w:webHidden/>
                <w:rStyle w:val="IndexLink"/>
                <w:rtl w:val="true"/>
              </w:rPr>
              <w:t>تربیة الأولاد و تعلیمهم عند أهل السنّة</w:t>
            </w:r>
            <w:r>
              <w:rPr>
                <w:rStyle w:val="IndexLink"/>
                <w:rtl w:val="true"/>
              </w:rPr>
              <w:tab/>
            </w:r>
            <w:r>
              <w:rPr>
                <w:rStyle w:val="IndexLink"/>
              </w:rPr>
              <w:t>364</w:t>
            </w:r>
          </w:hyperlink>
        </w:p>
        <w:p>
          <w:pPr>
            <w:pStyle w:val="Contents6"/>
            <w:tabs>
              <w:tab w:val="clear" w:pos="7609"/>
              <w:tab w:val="right" w:pos="9026" w:leader="dot"/>
            </w:tabs>
            <w:rPr/>
          </w:pPr>
          <w:hyperlink w:anchor="__RefHeading___Toc9531115_73709187">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9531117_73709187">
            <w:r>
              <w:rPr>
                <w:webHidden/>
                <w:rStyle w:val="IndexLink"/>
                <w:rtl w:val="true"/>
              </w:rPr>
              <w:t>أ</w:t>
            </w:r>
            <w:r>
              <w:rPr>
                <w:rStyle w:val="IndexLink"/>
                <w:rtl w:val="true"/>
              </w:rPr>
              <w:t xml:space="preserve">: </w:t>
            </w:r>
            <w:r>
              <w:rPr>
                <w:rStyle w:val="IndexLink"/>
                <w:rtl w:val="true"/>
              </w:rPr>
              <w:t>الشافعیة</w:t>
            </w:r>
            <w:r>
              <w:rPr>
                <w:rStyle w:val="IndexLink"/>
                <w:rtl w:val="true"/>
              </w:rPr>
              <w:tab/>
            </w:r>
            <w:r>
              <w:rPr>
                <w:rStyle w:val="IndexLink"/>
              </w:rPr>
              <w:t>365</w:t>
            </w:r>
          </w:hyperlink>
        </w:p>
        <w:p>
          <w:pPr>
            <w:pStyle w:val="Contents6"/>
            <w:tabs>
              <w:tab w:val="clear" w:pos="7609"/>
              <w:tab w:val="right" w:pos="9026" w:leader="dot"/>
            </w:tabs>
            <w:rPr/>
          </w:pPr>
          <w:hyperlink w:anchor="__RefHeading___Toc9531119_73709187">
            <w:r>
              <w:rPr>
                <w:webHidden/>
                <w:rStyle w:val="IndexLink"/>
                <w:rtl w:val="true"/>
              </w:rPr>
              <w:t>ب</w:t>
            </w:r>
            <w:r>
              <w:rPr>
                <w:rStyle w:val="IndexLink"/>
                <w:rtl w:val="true"/>
              </w:rPr>
              <w:t xml:space="preserve">: </w:t>
            </w:r>
            <w:r>
              <w:rPr>
                <w:rStyle w:val="IndexLink"/>
                <w:rtl w:val="true"/>
              </w:rPr>
              <w:t>الحنابلة</w:t>
            </w:r>
            <w:r>
              <w:rPr>
                <w:rStyle w:val="IndexLink"/>
                <w:rtl w:val="true"/>
              </w:rPr>
              <w:tab/>
            </w:r>
            <w:r>
              <w:rPr>
                <w:rStyle w:val="IndexLink"/>
              </w:rPr>
              <w:t>367</w:t>
            </w:r>
          </w:hyperlink>
        </w:p>
        <w:p>
          <w:pPr>
            <w:pStyle w:val="Contents6"/>
            <w:tabs>
              <w:tab w:val="clear" w:pos="7609"/>
              <w:tab w:val="right" w:pos="9026" w:leader="dot"/>
            </w:tabs>
            <w:rPr/>
          </w:pPr>
          <w:hyperlink w:anchor="__RefHeading___Toc9531121_73709187">
            <w:r>
              <w:rPr>
                <w:webHidden/>
                <w:rStyle w:val="IndexLink"/>
                <w:rtl w:val="true"/>
              </w:rPr>
              <w:t>ج</w:t>
            </w:r>
            <w:r>
              <w:rPr>
                <w:rStyle w:val="IndexLink"/>
                <w:rtl w:val="true"/>
              </w:rPr>
              <w:t xml:space="preserve">: </w:t>
            </w:r>
            <w:r>
              <w:rPr>
                <w:rStyle w:val="IndexLink"/>
                <w:rtl w:val="true"/>
              </w:rPr>
              <w:t>الحنفیّة</w:t>
            </w:r>
            <w:r>
              <w:rPr>
                <w:rStyle w:val="IndexLink"/>
                <w:rtl w:val="true"/>
              </w:rPr>
              <w:tab/>
            </w:r>
            <w:r>
              <w:rPr>
                <w:rStyle w:val="IndexLink"/>
              </w:rPr>
              <w:t>368</w:t>
            </w:r>
          </w:hyperlink>
        </w:p>
        <w:p>
          <w:pPr>
            <w:pStyle w:val="Contents6"/>
            <w:tabs>
              <w:tab w:val="clear" w:pos="7609"/>
              <w:tab w:val="right" w:pos="9026" w:leader="dot"/>
            </w:tabs>
            <w:rPr/>
          </w:pPr>
          <w:hyperlink w:anchor="__RefHeading___Toc9531123_73709187">
            <w:r>
              <w:rPr>
                <w:webHidden/>
                <w:rStyle w:val="IndexLink"/>
                <w:rtl w:val="true"/>
              </w:rPr>
              <w:t>د</w:t>
            </w:r>
            <w:r>
              <w:rPr>
                <w:rStyle w:val="IndexLink"/>
                <w:rtl w:val="true"/>
              </w:rPr>
              <w:t xml:space="preserve">: </w:t>
            </w:r>
            <w:r>
              <w:rPr>
                <w:rStyle w:val="IndexLink"/>
                <w:rtl w:val="true"/>
              </w:rPr>
              <w:t>المالکیّة</w:t>
            </w:r>
            <w:r>
              <w:rPr>
                <w:rStyle w:val="IndexLink"/>
                <w:rtl w:val="true"/>
              </w:rPr>
              <w:tab/>
            </w:r>
            <w:r>
              <w:rPr>
                <w:rStyle w:val="IndexLink"/>
              </w:rPr>
              <w:t>369</w:t>
            </w:r>
          </w:hyperlink>
        </w:p>
        <w:p>
          <w:pPr>
            <w:pStyle w:val="Contents5"/>
            <w:tabs>
              <w:tab w:val="clear" w:pos="7892"/>
              <w:tab w:val="right" w:pos="9026" w:leader="dot"/>
            </w:tabs>
            <w:rPr/>
          </w:pPr>
          <w:hyperlink w:anchor="__RefHeading___Toc9531125_73709187">
            <w:r>
              <w:rPr>
                <w:webHidden/>
                <w:rStyle w:val="IndexLink"/>
                <w:rtl w:val="true"/>
              </w:rPr>
              <w:t>ولایة الحاکم علی تربیة الأیتام عندهم</w:t>
            </w:r>
            <w:r>
              <w:rPr>
                <w:rStyle w:val="IndexLink"/>
                <w:rtl w:val="true"/>
              </w:rPr>
              <w:tab/>
            </w:r>
            <w:r>
              <w:rPr>
                <w:rStyle w:val="IndexLink"/>
              </w:rPr>
              <w:t>369</w:t>
            </w:r>
          </w:hyperlink>
        </w:p>
        <w:p>
          <w:pPr>
            <w:pStyle w:val="Contents3"/>
            <w:tabs>
              <w:tab w:val="clear" w:pos="8459"/>
              <w:tab w:val="right" w:pos="9026" w:leader="dot"/>
            </w:tabs>
            <w:rPr/>
          </w:pPr>
          <w:hyperlink w:anchor="__RefHeading___Toc9531127_73709187">
            <w:r>
              <w:rPr>
                <w:webHidden/>
                <w:rStyle w:val="IndexLink"/>
                <w:rtl w:val="true"/>
              </w:rPr>
              <w:t>الفصل الثانی</w:t>
            </w:r>
            <w:r>
              <w:rPr>
                <w:rStyle w:val="IndexLink"/>
                <w:rtl w:val="true"/>
              </w:rPr>
              <w:t xml:space="preserve">: </w:t>
            </w:r>
            <w:r>
              <w:rPr>
                <w:rStyle w:val="IndexLink"/>
                <w:rtl w:val="true"/>
              </w:rPr>
              <w:t>الأسالیب و المناهج المؤثّرة فی التربیة و التعلیم</w:t>
            </w:r>
            <w:r>
              <w:rPr>
                <w:rStyle w:val="IndexLink"/>
                <w:rtl w:val="true"/>
              </w:rPr>
              <w:tab/>
            </w:r>
            <w:r>
              <w:rPr>
                <w:rStyle w:val="IndexLink"/>
              </w:rPr>
              <w:t>372</w:t>
            </w:r>
          </w:hyperlink>
        </w:p>
        <w:p>
          <w:pPr>
            <w:pStyle w:val="Contents4"/>
            <w:tabs>
              <w:tab w:val="clear" w:pos="8176"/>
              <w:tab w:val="right" w:pos="9026" w:leader="dot"/>
            </w:tabs>
            <w:rPr/>
          </w:pPr>
          <w:hyperlink w:anchor="__RefHeading___Toc9531129_73709187">
            <w:r>
              <w:rPr>
                <w:webHidden/>
                <w:rStyle w:val="IndexLink"/>
                <w:rtl w:val="true"/>
              </w:rPr>
              <w:t>تمهید</w:t>
            </w:r>
            <w:r>
              <w:rPr>
                <w:rStyle w:val="IndexLink"/>
                <w:rtl w:val="true"/>
              </w:rPr>
              <w:t>:</w:t>
              <w:tab/>
            </w:r>
            <w:r>
              <w:rPr>
                <w:rStyle w:val="IndexLink"/>
              </w:rPr>
              <w:t>372</w:t>
            </w:r>
          </w:hyperlink>
        </w:p>
        <w:p>
          <w:pPr>
            <w:pStyle w:val="Contents4"/>
            <w:tabs>
              <w:tab w:val="clear" w:pos="8176"/>
              <w:tab w:val="right" w:pos="9026" w:leader="dot"/>
            </w:tabs>
            <w:rPr/>
          </w:pPr>
          <w:hyperlink w:anchor="__RefHeading___Toc9531131_73709187">
            <w:r>
              <w:rPr>
                <w:webHidden/>
                <w:rStyle w:val="IndexLink"/>
                <w:rtl w:val="true"/>
              </w:rPr>
              <w:t>المبحث الأوّل</w:t>
            </w:r>
            <w:r>
              <w:rPr>
                <w:rStyle w:val="IndexLink"/>
                <w:rtl w:val="true"/>
              </w:rPr>
              <w:t xml:space="preserve">: </w:t>
            </w:r>
            <w:r>
              <w:rPr>
                <w:rStyle w:val="IndexLink"/>
                <w:rtl w:val="true"/>
              </w:rPr>
              <w:t>معرفة مراحل التربیة و التعلیم</w:t>
            </w:r>
            <w:r>
              <w:rPr>
                <w:rStyle w:val="IndexLink"/>
                <w:rtl w:val="true"/>
              </w:rPr>
              <w:tab/>
            </w:r>
            <w:r>
              <w:rPr>
                <w:rStyle w:val="IndexLink"/>
              </w:rPr>
              <w:t>375</w:t>
            </w:r>
          </w:hyperlink>
        </w:p>
        <w:p>
          <w:pPr>
            <w:pStyle w:val="Contents5"/>
            <w:tabs>
              <w:tab w:val="clear" w:pos="7892"/>
              <w:tab w:val="right" w:pos="9026" w:leader="dot"/>
            </w:tabs>
            <w:rPr/>
          </w:pPr>
          <w:hyperlink w:anchor="__RefHeading___Toc9531133_7370918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9531135_73709187">
            <w:r>
              <w:rPr>
                <w:webHidden/>
                <w:rStyle w:val="IndexLink"/>
                <w:rtl w:val="true"/>
              </w:rPr>
              <w:t>المرحلة الاُولی</w:t>
            </w:r>
            <w:r>
              <w:rPr>
                <w:rStyle w:val="IndexLink"/>
                <w:rtl w:val="true"/>
              </w:rPr>
              <w:t xml:space="preserve">: </w:t>
            </w:r>
            <w:r>
              <w:rPr>
                <w:rStyle w:val="IndexLink"/>
                <w:rtl w:val="true"/>
              </w:rPr>
              <w:t>أن یتولّع الطفل باللعب؛</w:t>
            </w:r>
            <w:r>
              <w:rPr>
                <w:rStyle w:val="IndexLink"/>
                <w:rtl w:val="true"/>
              </w:rPr>
              <w:tab/>
            </w:r>
            <w:r>
              <w:rPr>
                <w:rStyle w:val="IndexLink"/>
              </w:rPr>
              <w:t>375</w:t>
            </w:r>
          </w:hyperlink>
        </w:p>
        <w:p>
          <w:pPr>
            <w:pStyle w:val="Contents6"/>
            <w:tabs>
              <w:tab w:val="clear" w:pos="7609"/>
              <w:tab w:val="right" w:pos="9026" w:leader="dot"/>
            </w:tabs>
            <w:rPr/>
          </w:pPr>
          <w:hyperlink w:anchor="__RefHeading___Toc9531137_73709187">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9531139_73709187">
            <w:r>
              <w:rPr>
                <w:webHidden/>
                <w:rStyle w:val="IndexLink"/>
                <w:rtl w:val="true"/>
              </w:rPr>
              <w:t>إیضاح</w:t>
            </w:r>
            <w:r>
              <w:rPr>
                <w:rStyle w:val="IndexLink"/>
                <w:rtl w:val="true"/>
              </w:rPr>
              <w:tab/>
            </w:r>
            <w:r>
              <w:rPr>
                <w:rStyle w:val="IndexLink"/>
              </w:rPr>
              <w:t>379</w:t>
            </w:r>
          </w:hyperlink>
        </w:p>
        <w:p>
          <w:pPr>
            <w:pStyle w:val="Contents5"/>
            <w:tabs>
              <w:tab w:val="clear" w:pos="7892"/>
              <w:tab w:val="right" w:pos="9026" w:leader="dot"/>
            </w:tabs>
            <w:rPr/>
          </w:pPr>
          <w:hyperlink w:anchor="__RefHeading___Toc9531141_73709187">
            <w:r>
              <w:rPr>
                <w:webHidden/>
                <w:rStyle w:val="IndexLink"/>
                <w:rtl w:val="true"/>
              </w:rPr>
              <w:t>المرحلة الثانیة</w:t>
            </w:r>
            <w:r>
              <w:rPr>
                <w:rStyle w:val="IndexLink"/>
                <w:rtl w:val="true"/>
              </w:rPr>
              <w:t xml:space="preserve">: </w:t>
            </w:r>
            <w:r>
              <w:rPr>
                <w:rStyle w:val="IndexLink"/>
                <w:rtl w:val="true"/>
              </w:rPr>
              <w:t>التهیّؤ للتربیة و التعلیم؛</w:t>
            </w:r>
            <w:r>
              <w:rPr>
                <w:rStyle w:val="IndexLink"/>
                <w:rtl w:val="true"/>
              </w:rPr>
              <w:tab/>
            </w:r>
            <w:r>
              <w:rPr>
                <w:rStyle w:val="IndexLink"/>
              </w:rPr>
              <w:t>381</w:t>
            </w:r>
          </w:hyperlink>
        </w:p>
        <w:p>
          <w:pPr>
            <w:pStyle w:val="Contents5"/>
            <w:tabs>
              <w:tab w:val="clear" w:pos="7892"/>
              <w:tab w:val="right" w:pos="9026" w:leader="dot"/>
            </w:tabs>
            <w:rPr/>
          </w:pPr>
          <w:hyperlink w:anchor="__RefHeading___Toc9531143_73709187">
            <w:r>
              <w:rPr>
                <w:webHidden/>
                <w:rStyle w:val="IndexLink"/>
                <w:rtl w:val="true"/>
              </w:rPr>
              <w:t>المرحلة الثالثة</w:t>
            </w:r>
            <w:r>
              <w:rPr>
                <w:rStyle w:val="IndexLink"/>
                <w:rtl w:val="true"/>
              </w:rPr>
              <w:t xml:space="preserve">: </w:t>
            </w:r>
            <w:r>
              <w:rPr>
                <w:rStyle w:val="IndexLink"/>
                <w:rtl w:val="true"/>
              </w:rPr>
              <w:t>مرحلة المشاورة و الموازرة،</w:t>
            </w:r>
            <w:r>
              <w:rPr>
                <w:rStyle w:val="IndexLink"/>
                <w:rtl w:val="true"/>
              </w:rPr>
              <w:tab/>
            </w:r>
            <w:r>
              <w:rPr>
                <w:rStyle w:val="IndexLink"/>
              </w:rPr>
              <w:t>383</w:t>
            </w:r>
          </w:hyperlink>
        </w:p>
        <w:p>
          <w:pPr>
            <w:pStyle w:val="Contents4"/>
            <w:tabs>
              <w:tab w:val="clear" w:pos="8176"/>
              <w:tab w:val="right" w:pos="9026" w:leader="dot"/>
            </w:tabs>
            <w:rPr/>
          </w:pPr>
          <w:hyperlink w:anchor="__RefHeading___Toc9531145_73709187">
            <w:r>
              <w:rPr>
                <w:webHidden/>
                <w:rStyle w:val="IndexLink"/>
                <w:rtl w:val="true"/>
              </w:rPr>
              <w:t>المبحث الثانی</w:t>
            </w:r>
            <w:r>
              <w:rPr>
                <w:rStyle w:val="IndexLink"/>
                <w:rtl w:val="true"/>
              </w:rPr>
              <w:t xml:space="preserve">: </w:t>
            </w:r>
            <w:r>
              <w:rPr>
                <w:rStyle w:val="IndexLink"/>
                <w:rtl w:val="true"/>
              </w:rPr>
              <w:t>التربیة عن طریق إحیاء شخصیّة الطفل</w:t>
            </w:r>
            <w:r>
              <w:rPr>
                <w:rStyle w:val="IndexLink"/>
                <w:rtl w:val="true"/>
              </w:rPr>
              <w:tab/>
            </w:r>
            <w:r>
              <w:rPr>
                <w:rStyle w:val="IndexLink"/>
              </w:rPr>
              <w:t>384</w:t>
            </w:r>
          </w:hyperlink>
        </w:p>
        <w:p>
          <w:pPr>
            <w:pStyle w:val="Contents5"/>
            <w:tabs>
              <w:tab w:val="clear" w:pos="7892"/>
              <w:tab w:val="right" w:pos="9026" w:leader="dot"/>
            </w:tabs>
            <w:rPr/>
          </w:pPr>
          <w:hyperlink w:anchor="__RefHeading___Toc9531147_7370918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9531149_73709187">
            <w:r>
              <w:rPr>
                <w:webHidden/>
                <w:rStyle w:val="IndexLink"/>
                <w:rtl w:val="true"/>
              </w:rPr>
              <w:t>عوامل إحیاء شخصیّة الطفل</w:t>
            </w:r>
            <w:r>
              <w:rPr>
                <w:rStyle w:val="IndexLink"/>
                <w:rtl w:val="true"/>
              </w:rPr>
              <w:tab/>
            </w:r>
            <w:r>
              <w:rPr>
                <w:rStyle w:val="IndexLink"/>
              </w:rPr>
              <w:t>385</w:t>
            </w:r>
          </w:hyperlink>
        </w:p>
        <w:p>
          <w:pPr>
            <w:pStyle w:val="Contents6"/>
            <w:tabs>
              <w:tab w:val="clear" w:pos="7609"/>
              <w:tab w:val="right" w:pos="9026" w:leader="dot"/>
            </w:tabs>
            <w:rPr/>
          </w:pPr>
          <w:hyperlink w:anchor="__RefHeading___Toc9531151_73709187">
            <w:r>
              <w:rPr>
                <w:webHidden/>
                <w:rStyle w:val="IndexLink"/>
                <w:rtl w:val="true"/>
              </w:rPr>
              <w:t>أ</w:t>
            </w:r>
            <w:r>
              <w:rPr>
                <w:rStyle w:val="IndexLink"/>
                <w:rtl w:val="true"/>
              </w:rPr>
              <w:t xml:space="preserve">: </w:t>
            </w:r>
            <w:r>
              <w:rPr>
                <w:rStyle w:val="IndexLink"/>
                <w:rtl w:val="true"/>
              </w:rPr>
              <w:t>تسمیته باسمٍ حسنٍ‌</w:t>
            </w:r>
            <w:r>
              <w:rPr>
                <w:rStyle w:val="IndexLink"/>
                <w:rtl w:val="true"/>
              </w:rPr>
              <w:tab/>
            </w:r>
            <w:r>
              <w:rPr>
                <w:rStyle w:val="IndexLink"/>
              </w:rPr>
              <w:t>385</w:t>
            </w:r>
          </w:hyperlink>
        </w:p>
        <w:p>
          <w:pPr>
            <w:pStyle w:val="Contents6"/>
            <w:tabs>
              <w:tab w:val="clear" w:pos="7609"/>
              <w:tab w:val="right" w:pos="9026" w:leader="dot"/>
            </w:tabs>
            <w:rPr/>
          </w:pPr>
          <w:hyperlink w:anchor="__RefHeading___Toc9531153_73709187">
            <w:r>
              <w:rPr>
                <w:webHidden/>
                <w:rStyle w:val="IndexLink"/>
                <w:rtl w:val="true"/>
              </w:rPr>
              <w:t>ب</w:t>
            </w:r>
            <w:r>
              <w:rPr>
                <w:rStyle w:val="IndexLink"/>
                <w:rtl w:val="true"/>
              </w:rPr>
              <w:t xml:space="preserve">: </w:t>
            </w:r>
            <w:r>
              <w:rPr>
                <w:rStyle w:val="IndexLink"/>
                <w:rtl w:val="true"/>
              </w:rPr>
              <w:t>احترام الطفل و تکریمه و حبّه</w:t>
            </w:r>
            <w:r>
              <w:rPr>
                <w:rStyle w:val="IndexLink"/>
                <w:rtl w:val="true"/>
              </w:rPr>
              <w:tab/>
            </w:r>
            <w:r>
              <w:rPr>
                <w:rStyle w:val="IndexLink"/>
              </w:rPr>
              <w:t>385</w:t>
            </w:r>
          </w:hyperlink>
        </w:p>
        <w:p>
          <w:pPr>
            <w:pStyle w:val="Contents6"/>
            <w:tabs>
              <w:tab w:val="clear" w:pos="7609"/>
              <w:tab w:val="right" w:pos="9026" w:leader="dot"/>
            </w:tabs>
            <w:rPr/>
          </w:pPr>
          <w:hyperlink w:anchor="__RefHeading___Toc9531155_73709187">
            <w:r>
              <w:rPr>
                <w:webHidden/>
                <w:rStyle w:val="IndexLink"/>
                <w:rtl w:val="true"/>
              </w:rPr>
              <w:t>ج</w:t>
            </w:r>
            <w:r>
              <w:rPr>
                <w:rStyle w:val="IndexLink"/>
                <w:rtl w:val="true"/>
              </w:rPr>
              <w:t xml:space="preserve">: </w:t>
            </w:r>
            <w:r>
              <w:rPr>
                <w:rStyle w:val="IndexLink"/>
                <w:rtl w:val="true"/>
              </w:rPr>
              <w:t>الملاطفة و الترحّم بالطفل</w:t>
            </w:r>
            <w:r>
              <w:rPr>
                <w:rStyle w:val="IndexLink"/>
                <w:rtl w:val="true"/>
              </w:rPr>
              <w:tab/>
            </w:r>
            <w:r>
              <w:rPr>
                <w:rStyle w:val="IndexLink"/>
              </w:rPr>
              <w:t>388</w:t>
            </w:r>
          </w:hyperlink>
        </w:p>
        <w:p>
          <w:pPr>
            <w:pStyle w:val="Contents5"/>
            <w:tabs>
              <w:tab w:val="clear" w:pos="7892"/>
              <w:tab w:val="right" w:pos="9026" w:leader="dot"/>
            </w:tabs>
            <w:rPr/>
          </w:pPr>
          <w:hyperlink w:anchor="__RefHeading___Toc9531157_73709187">
            <w:r>
              <w:rPr>
                <w:webHidden/>
                <w:rStyle w:val="IndexLink"/>
                <w:rtl w:val="true"/>
              </w:rPr>
              <w:t>مظاهر العطف و الترحّم علی الأطفال فی الروایات</w:t>
            </w:r>
            <w:r>
              <w:rPr>
                <w:rStyle w:val="IndexLink"/>
                <w:rtl w:val="true"/>
              </w:rPr>
              <w:tab/>
            </w:r>
            <w:r>
              <w:rPr>
                <w:rStyle w:val="IndexLink"/>
              </w:rPr>
              <w:t>390</w:t>
            </w:r>
          </w:hyperlink>
        </w:p>
        <w:p>
          <w:pPr>
            <w:pStyle w:val="Contents6"/>
            <w:tabs>
              <w:tab w:val="clear" w:pos="7609"/>
              <w:tab w:val="right" w:pos="9026" w:leader="dot"/>
            </w:tabs>
            <w:rPr/>
          </w:pPr>
          <w:hyperlink w:anchor="__RefHeading___Toc9531159_73709187">
            <w:r>
              <w:rPr>
                <w:webHidden/>
                <w:rStyle w:val="IndexLink"/>
                <w:rtl w:val="true"/>
              </w:rPr>
              <w:t>أ</w:t>
            </w:r>
            <w:r>
              <w:rPr>
                <w:rStyle w:val="IndexLink"/>
                <w:rtl w:val="true"/>
              </w:rPr>
              <w:t xml:space="preserve">: </w:t>
            </w:r>
            <w:r>
              <w:rPr>
                <w:rStyle w:val="IndexLink"/>
                <w:rtl w:val="true"/>
              </w:rPr>
              <w:t>تقبیل الوالدین أطفالهم</w:t>
            </w:r>
            <w:r>
              <w:rPr>
                <w:rStyle w:val="IndexLink"/>
                <w:rtl w:val="true"/>
              </w:rPr>
              <w:tab/>
            </w:r>
            <w:r>
              <w:rPr>
                <w:rStyle w:val="IndexLink"/>
              </w:rPr>
              <w:t>390</w:t>
            </w:r>
          </w:hyperlink>
        </w:p>
        <w:p>
          <w:pPr>
            <w:pStyle w:val="Contents6"/>
            <w:tabs>
              <w:tab w:val="clear" w:pos="7609"/>
              <w:tab w:val="right" w:pos="9026" w:leader="dot"/>
            </w:tabs>
            <w:rPr/>
          </w:pPr>
          <w:hyperlink w:anchor="__RefHeading___Toc9531161_73709187">
            <w:r>
              <w:rPr>
                <w:webHidden/>
                <w:rStyle w:val="IndexLink"/>
                <w:rtl w:val="true"/>
              </w:rPr>
              <w:t>ب</w:t>
            </w:r>
            <w:r>
              <w:rPr>
                <w:rStyle w:val="IndexLink"/>
                <w:rtl w:val="true"/>
              </w:rPr>
              <w:t xml:space="preserve">: </w:t>
            </w:r>
            <w:r>
              <w:rPr>
                <w:rStyle w:val="IndexLink"/>
                <w:rtl w:val="true"/>
              </w:rPr>
              <w:t>إدخال السرور فی قلوب الأطفال</w:t>
            </w:r>
            <w:r>
              <w:rPr>
                <w:rStyle w:val="IndexLink"/>
                <w:rtl w:val="true"/>
              </w:rPr>
              <w:tab/>
            </w:r>
            <w:r>
              <w:rPr>
                <w:rStyle w:val="IndexLink"/>
              </w:rPr>
              <w:t>392</w:t>
            </w:r>
          </w:hyperlink>
        </w:p>
        <w:p>
          <w:pPr>
            <w:pStyle w:val="Contents6"/>
            <w:tabs>
              <w:tab w:val="clear" w:pos="7609"/>
              <w:tab w:val="right" w:pos="9026" w:leader="dot"/>
            </w:tabs>
            <w:rPr/>
          </w:pPr>
          <w:hyperlink w:anchor="__RefHeading___Toc9531163_73709187">
            <w:r>
              <w:rPr>
                <w:webHidden/>
                <w:rStyle w:val="IndexLink"/>
                <w:rtl w:val="true"/>
              </w:rPr>
              <w:t>ج</w:t>
            </w:r>
            <w:r>
              <w:rPr>
                <w:rStyle w:val="IndexLink"/>
                <w:rtl w:val="true"/>
              </w:rPr>
              <w:t xml:space="preserve">: </w:t>
            </w:r>
            <w:r>
              <w:rPr>
                <w:rStyle w:val="IndexLink"/>
                <w:rtl w:val="true"/>
              </w:rPr>
              <w:t>التوسعة علی العیال و الأطفال</w:t>
            </w:r>
            <w:r>
              <w:rPr>
                <w:rStyle w:val="IndexLink"/>
                <w:rtl w:val="true"/>
              </w:rPr>
              <w:tab/>
            </w:r>
            <w:r>
              <w:rPr>
                <w:rStyle w:val="IndexLink"/>
              </w:rPr>
              <w:t>392</w:t>
            </w:r>
          </w:hyperlink>
        </w:p>
        <w:p>
          <w:pPr>
            <w:pStyle w:val="Contents6"/>
            <w:tabs>
              <w:tab w:val="clear" w:pos="7609"/>
              <w:tab w:val="right" w:pos="9026" w:leader="dot"/>
            </w:tabs>
            <w:rPr/>
          </w:pPr>
          <w:hyperlink w:anchor="__RefHeading___Toc9531165_73709187">
            <w:r>
              <w:rPr>
                <w:webHidden/>
                <w:rStyle w:val="IndexLink"/>
                <w:rtl w:val="true"/>
              </w:rPr>
              <w:t>د</w:t>
            </w:r>
            <w:r>
              <w:rPr>
                <w:rStyle w:val="IndexLink"/>
                <w:rtl w:val="true"/>
              </w:rPr>
              <w:t xml:space="preserve">: </w:t>
            </w:r>
            <w:r>
              <w:rPr>
                <w:rStyle w:val="IndexLink"/>
                <w:rtl w:val="true"/>
              </w:rPr>
              <w:t>الشرکة فی لعبهم</w:t>
            </w:r>
            <w:r>
              <w:rPr>
                <w:rStyle w:val="IndexLink"/>
                <w:rtl w:val="true"/>
              </w:rPr>
              <w:tab/>
            </w:r>
            <w:r>
              <w:rPr>
                <w:rStyle w:val="IndexLink"/>
              </w:rPr>
              <w:t>393</w:t>
            </w:r>
          </w:hyperlink>
        </w:p>
        <w:p>
          <w:pPr>
            <w:pStyle w:val="Contents5"/>
            <w:tabs>
              <w:tab w:val="clear" w:pos="7892"/>
              <w:tab w:val="right" w:pos="9026" w:leader="dot"/>
            </w:tabs>
            <w:rPr/>
          </w:pPr>
          <w:hyperlink w:anchor="__RefHeading___Toc9531167_73709187">
            <w:r>
              <w:rPr>
                <w:webHidden/>
                <w:rStyle w:val="IndexLink"/>
                <w:rtl w:val="true"/>
              </w:rPr>
              <w:t>إیضاح</w:t>
            </w:r>
            <w:r>
              <w:rPr>
                <w:rStyle w:val="IndexLink"/>
                <w:rtl w:val="true"/>
              </w:rPr>
              <w:tab/>
            </w:r>
            <w:r>
              <w:rPr>
                <w:rStyle w:val="IndexLink"/>
              </w:rPr>
              <w:t>393</w:t>
            </w:r>
          </w:hyperlink>
        </w:p>
        <w:p>
          <w:pPr>
            <w:pStyle w:val="Contents5"/>
            <w:tabs>
              <w:tab w:val="clear" w:pos="7892"/>
              <w:tab w:val="right" w:pos="9026" w:leader="dot"/>
            </w:tabs>
            <w:rPr/>
          </w:pPr>
          <w:hyperlink w:anchor="__RefHeading___Toc9531169_73709187">
            <w:r>
              <w:rPr>
                <w:webHidden/>
                <w:rStyle w:val="IndexLink"/>
                <w:rtl w:val="true"/>
              </w:rPr>
              <w:t>الحذر من الإفراط فی محبّة الطفل</w:t>
            </w:r>
            <w:r>
              <w:rPr>
                <w:rStyle w:val="IndexLink"/>
                <w:rtl w:val="true"/>
              </w:rPr>
              <w:tab/>
            </w:r>
            <w:r>
              <w:rPr>
                <w:rStyle w:val="IndexLink"/>
              </w:rPr>
              <w:t>394</w:t>
            </w:r>
          </w:hyperlink>
        </w:p>
        <w:p>
          <w:pPr>
            <w:pStyle w:val="Contents4"/>
            <w:tabs>
              <w:tab w:val="clear" w:pos="8176"/>
              <w:tab w:val="right" w:pos="9026" w:leader="dot"/>
            </w:tabs>
            <w:rPr/>
          </w:pPr>
          <w:hyperlink w:anchor="__RefHeading___Toc9531171_73709187">
            <w:r>
              <w:rPr>
                <w:webHidden/>
                <w:rStyle w:val="IndexLink"/>
                <w:rtl w:val="true"/>
              </w:rPr>
              <w:t>المبحث الثالث</w:t>
            </w:r>
            <w:r>
              <w:rPr>
                <w:rStyle w:val="IndexLink"/>
                <w:rtl w:val="true"/>
              </w:rPr>
              <w:t xml:space="preserve">: </w:t>
            </w:r>
            <w:r>
              <w:rPr>
                <w:rStyle w:val="IndexLink"/>
                <w:rtl w:val="true"/>
              </w:rPr>
              <w:t>التربیة بالقدوة و الاُسوة</w:t>
            </w:r>
            <w:r>
              <w:rPr>
                <w:rStyle w:val="IndexLink"/>
                <w:rtl w:val="true"/>
              </w:rPr>
              <w:tab/>
            </w:r>
            <w:r>
              <w:rPr>
                <w:rStyle w:val="IndexLink"/>
              </w:rPr>
              <w:t>396</w:t>
            </w:r>
          </w:hyperlink>
        </w:p>
        <w:p>
          <w:pPr>
            <w:pStyle w:val="Contents5"/>
            <w:tabs>
              <w:tab w:val="clear" w:pos="7892"/>
              <w:tab w:val="right" w:pos="9026" w:leader="dot"/>
            </w:tabs>
            <w:rPr/>
          </w:pPr>
          <w:hyperlink w:anchor="__RefHeading___Toc9531173_7370918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9531175_73709187">
            <w:r>
              <w:rPr>
                <w:webHidden/>
                <w:rStyle w:val="IndexLink"/>
                <w:rtl w:val="true"/>
              </w:rPr>
              <w:t>أ</w:t>
            </w:r>
            <w:r>
              <w:rPr>
                <w:rStyle w:val="IndexLink"/>
                <w:rtl w:val="true"/>
              </w:rPr>
              <w:t xml:space="preserve">: </w:t>
            </w:r>
            <w:r>
              <w:rPr>
                <w:rStyle w:val="IndexLink"/>
                <w:rtl w:val="true"/>
              </w:rPr>
              <w:t>القدوة و الاُسوة فی القرآن</w:t>
            </w:r>
            <w:r>
              <w:rPr>
                <w:rStyle w:val="IndexLink"/>
                <w:rtl w:val="true"/>
              </w:rPr>
              <w:tab/>
            </w:r>
            <w:r>
              <w:rPr>
                <w:rStyle w:val="IndexLink"/>
              </w:rPr>
              <w:t>396</w:t>
            </w:r>
          </w:hyperlink>
        </w:p>
        <w:p>
          <w:pPr>
            <w:pStyle w:val="Contents5"/>
            <w:tabs>
              <w:tab w:val="clear" w:pos="7892"/>
              <w:tab w:val="right" w:pos="9026" w:leader="dot"/>
            </w:tabs>
            <w:rPr/>
          </w:pPr>
          <w:hyperlink w:anchor="__RefHeading___Toc9531177_73709187">
            <w:r>
              <w:rPr>
                <w:webHidden/>
                <w:rStyle w:val="IndexLink"/>
                <w:rtl w:val="true"/>
              </w:rPr>
              <w:t>ب</w:t>
            </w:r>
            <w:r>
              <w:rPr>
                <w:rStyle w:val="IndexLink"/>
                <w:rtl w:val="true"/>
              </w:rPr>
              <w:t xml:space="preserve">: </w:t>
            </w:r>
            <w:r>
              <w:rPr>
                <w:rStyle w:val="IndexLink"/>
                <w:rtl w:val="true"/>
              </w:rPr>
              <w:t>التحذیر علی مخالفة القول مع العمل</w:t>
            </w:r>
            <w:r>
              <w:rPr>
                <w:rStyle w:val="IndexLink"/>
                <w:rtl w:val="true"/>
              </w:rPr>
              <w:tab/>
            </w:r>
            <w:r>
              <w:rPr>
                <w:rStyle w:val="IndexLink"/>
              </w:rPr>
              <w:t>398</w:t>
            </w:r>
          </w:hyperlink>
        </w:p>
        <w:p>
          <w:pPr>
            <w:pStyle w:val="Contents5"/>
            <w:tabs>
              <w:tab w:val="clear" w:pos="7892"/>
              <w:tab w:val="right" w:pos="9026" w:leader="dot"/>
            </w:tabs>
            <w:rPr/>
          </w:pPr>
          <w:hyperlink w:anchor="__RefHeading___Toc9531179_73709187">
            <w:r>
              <w:rPr>
                <w:webHidden/>
                <w:rStyle w:val="IndexLink"/>
                <w:rtl w:val="true"/>
              </w:rPr>
              <w:t>ج</w:t>
            </w:r>
            <w:r>
              <w:rPr>
                <w:rStyle w:val="IndexLink"/>
                <w:rtl w:val="true"/>
              </w:rPr>
              <w:t xml:space="preserve">: </w:t>
            </w:r>
            <w:r>
              <w:rPr>
                <w:rStyle w:val="IndexLink"/>
                <w:rtl w:val="true"/>
              </w:rPr>
              <w:t>التربیة عملاً من سنن الأنبیاء و المعصومین علیهم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9531181_73709187">
            <w:r>
              <w:rPr>
                <w:webHidden/>
                <w:rStyle w:val="IndexLink"/>
                <w:rtl w:val="true"/>
              </w:rPr>
              <w:t>المبحث الرابع</w:t>
            </w:r>
            <w:r>
              <w:rPr>
                <w:rStyle w:val="IndexLink"/>
                <w:rtl w:val="true"/>
              </w:rPr>
              <w:t xml:space="preserve">: </w:t>
            </w:r>
            <w:r>
              <w:rPr>
                <w:rStyle w:val="IndexLink"/>
                <w:rtl w:val="true"/>
              </w:rPr>
              <w:t>التربیة من طریق العادة</w:t>
            </w:r>
            <w:r>
              <w:rPr>
                <w:rStyle w:val="IndexLink"/>
                <w:rtl w:val="true"/>
              </w:rPr>
              <w:tab/>
            </w:r>
            <w:r>
              <w:rPr>
                <w:rStyle w:val="IndexLink"/>
              </w:rPr>
              <w:t>403</w:t>
            </w:r>
          </w:hyperlink>
        </w:p>
        <w:p>
          <w:pPr>
            <w:pStyle w:val="Contents5"/>
            <w:tabs>
              <w:tab w:val="clear" w:pos="7892"/>
              <w:tab w:val="right" w:pos="9026" w:leader="dot"/>
            </w:tabs>
            <w:rPr/>
          </w:pPr>
          <w:hyperlink w:anchor="__RefHeading___Toc9531183_73709187">
            <w:r>
              <w:rPr>
                <w:webHidden/>
                <w:rStyle w:val="IndexLink"/>
                <w:rtl w:val="true"/>
              </w:rPr>
              <w:t>العادة طبع ثان</w:t>
            </w:r>
            <w:r>
              <w:rPr>
                <w:rStyle w:val="IndexLink"/>
                <w:rtl w:val="true"/>
              </w:rPr>
              <w:tab/>
            </w:r>
            <w:r>
              <w:rPr>
                <w:rStyle w:val="IndexLink"/>
              </w:rPr>
              <w:t>403</w:t>
            </w:r>
          </w:hyperlink>
        </w:p>
        <w:p>
          <w:pPr>
            <w:pStyle w:val="Contents5"/>
            <w:tabs>
              <w:tab w:val="clear" w:pos="7892"/>
              <w:tab w:val="right" w:pos="9026" w:leader="dot"/>
            </w:tabs>
            <w:rPr/>
          </w:pPr>
          <w:hyperlink w:anchor="__RefHeading___Toc9531185_73709187">
            <w:r>
              <w:rPr>
                <w:webHidden/>
                <w:rStyle w:val="IndexLink"/>
                <w:rtl w:val="true"/>
              </w:rPr>
              <w:t>العادة من أقوم دعائم التربیة</w:t>
            </w:r>
            <w:r>
              <w:rPr>
                <w:rStyle w:val="IndexLink"/>
                <w:rtl w:val="true"/>
              </w:rPr>
              <w:tab/>
            </w:r>
            <w:r>
              <w:rPr>
                <w:rStyle w:val="IndexLink"/>
              </w:rPr>
              <w:t>404</w:t>
            </w:r>
          </w:hyperlink>
        </w:p>
        <w:p>
          <w:pPr>
            <w:pStyle w:val="Contents4"/>
            <w:tabs>
              <w:tab w:val="clear" w:pos="8176"/>
              <w:tab w:val="right" w:pos="9026" w:leader="dot"/>
            </w:tabs>
            <w:rPr/>
          </w:pPr>
          <w:hyperlink w:anchor="__RefHeading___Toc9531187_73709187">
            <w:r>
              <w:rPr>
                <w:webHidden/>
                <w:rStyle w:val="IndexLink"/>
                <w:rtl w:val="true"/>
              </w:rPr>
              <w:t>المبحث الخامس</w:t>
            </w:r>
            <w:r>
              <w:rPr>
                <w:rStyle w:val="IndexLink"/>
                <w:rtl w:val="true"/>
              </w:rPr>
              <w:t xml:space="preserve">: </w:t>
            </w:r>
            <w:r>
              <w:rPr>
                <w:rStyle w:val="IndexLink"/>
                <w:rtl w:val="true"/>
              </w:rPr>
              <w:t>التربیة من طریق الموعظة</w:t>
            </w:r>
            <w:r>
              <w:rPr>
                <w:rStyle w:val="IndexLink"/>
                <w:rtl w:val="true"/>
              </w:rPr>
              <w:tab/>
            </w:r>
            <w:r>
              <w:rPr>
                <w:rStyle w:val="IndexLink"/>
              </w:rPr>
              <w:t>406</w:t>
            </w:r>
          </w:hyperlink>
        </w:p>
        <w:p>
          <w:pPr>
            <w:pStyle w:val="Contents5"/>
            <w:tabs>
              <w:tab w:val="clear" w:pos="7892"/>
              <w:tab w:val="right" w:pos="9026" w:leader="dot"/>
            </w:tabs>
            <w:rPr/>
          </w:pPr>
          <w:hyperlink w:anchor="__RefHeading___Toc9531189_73709187">
            <w:r>
              <w:rPr>
                <w:webHidden/>
                <w:rStyle w:val="IndexLink"/>
                <w:rtl w:val="true"/>
              </w:rPr>
              <w:t>أ</w:t>
            </w:r>
            <w:r>
              <w:rPr>
                <w:rStyle w:val="IndexLink"/>
                <w:rtl w:val="true"/>
              </w:rPr>
              <w:t xml:space="preserve">: </w:t>
            </w:r>
            <w:r>
              <w:rPr>
                <w:rStyle w:val="IndexLink"/>
                <w:rtl w:val="true"/>
              </w:rPr>
              <w:t>أهمّیة الموعظة</w:t>
            </w:r>
            <w:r>
              <w:rPr>
                <w:rStyle w:val="IndexLink"/>
                <w:rtl w:val="true"/>
              </w:rPr>
              <w:tab/>
            </w:r>
            <w:r>
              <w:rPr>
                <w:rStyle w:val="IndexLink"/>
              </w:rPr>
              <w:t>406</w:t>
            </w:r>
          </w:hyperlink>
        </w:p>
        <w:p>
          <w:pPr>
            <w:pStyle w:val="Contents5"/>
            <w:tabs>
              <w:tab w:val="clear" w:pos="7892"/>
              <w:tab w:val="right" w:pos="9026" w:leader="dot"/>
            </w:tabs>
            <w:rPr/>
          </w:pPr>
          <w:hyperlink w:anchor="__RefHeading___Toc9531191_73709187">
            <w:r>
              <w:rPr>
                <w:webHidden/>
                <w:rStyle w:val="IndexLink"/>
                <w:rtl w:val="true"/>
              </w:rPr>
              <w:t>مواعظ لقمان لابنه</w:t>
            </w:r>
            <w:r>
              <w:rPr>
                <w:rStyle w:val="IndexLink"/>
                <w:rtl w:val="true"/>
              </w:rPr>
              <w:tab/>
            </w:r>
            <w:r>
              <w:rPr>
                <w:rStyle w:val="IndexLink"/>
              </w:rPr>
              <w:t>408</w:t>
            </w:r>
          </w:hyperlink>
        </w:p>
        <w:p>
          <w:pPr>
            <w:pStyle w:val="Contents5"/>
            <w:tabs>
              <w:tab w:val="clear" w:pos="7892"/>
              <w:tab w:val="right" w:pos="9026" w:leader="dot"/>
            </w:tabs>
            <w:rPr/>
          </w:pPr>
          <w:hyperlink w:anchor="__RefHeading___Toc9531193_73709187">
            <w:r>
              <w:rPr>
                <w:webHidden/>
                <w:rStyle w:val="IndexLink"/>
                <w:rtl w:val="true"/>
              </w:rPr>
              <w:t>نماذج من مواعظ المعصومین علیهم السلام أبناءهم</w:t>
            </w:r>
            <w:r>
              <w:rPr>
                <w:rStyle w:val="IndexLink"/>
                <w:rtl w:val="true"/>
              </w:rPr>
              <w:tab/>
            </w:r>
            <w:r>
              <w:rPr>
                <w:rStyle w:val="IndexLink"/>
              </w:rPr>
              <w:t>410</w:t>
            </w:r>
          </w:hyperlink>
        </w:p>
        <w:p>
          <w:pPr>
            <w:pStyle w:val="Contents5"/>
            <w:tabs>
              <w:tab w:val="clear" w:pos="7892"/>
              <w:tab w:val="right" w:pos="9026" w:leader="dot"/>
            </w:tabs>
            <w:rPr/>
          </w:pPr>
          <w:hyperlink w:anchor="__RefHeading___Toc9531195_73709187">
            <w:r>
              <w:rPr>
                <w:webHidden/>
                <w:rStyle w:val="IndexLink"/>
                <w:rtl w:val="true"/>
              </w:rPr>
              <w:t>آداب الموعظة</w:t>
            </w:r>
            <w:r>
              <w:rPr>
                <w:rStyle w:val="IndexLink"/>
                <w:rtl w:val="true"/>
              </w:rPr>
              <w:tab/>
            </w:r>
            <w:r>
              <w:rPr>
                <w:rStyle w:val="IndexLink"/>
              </w:rPr>
              <w:t>413</w:t>
            </w:r>
          </w:hyperlink>
        </w:p>
        <w:p>
          <w:pPr>
            <w:pStyle w:val="Contents6"/>
            <w:tabs>
              <w:tab w:val="clear" w:pos="7609"/>
              <w:tab w:val="right" w:pos="9026" w:leader="dot"/>
            </w:tabs>
            <w:rPr/>
          </w:pPr>
          <w:hyperlink w:anchor="__RefHeading___Toc9531197_7370918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9531199_73709187">
            <w:r>
              <w:rPr>
                <w:webHidden/>
                <w:rStyle w:val="IndexLink"/>
                <w:rtl w:val="true"/>
              </w:rPr>
              <w:t>الأوّل</w:t>
            </w:r>
            <w:r>
              <w:rPr>
                <w:rStyle w:val="IndexLink"/>
                <w:rtl w:val="true"/>
              </w:rPr>
              <w:t xml:space="preserve">: </w:t>
            </w:r>
            <w:r>
              <w:rPr>
                <w:rStyle w:val="IndexLink"/>
                <w:rtl w:val="true"/>
              </w:rPr>
              <w:t>أن یکون الوعظ سرّاً</w:t>
            </w:r>
            <w:r>
              <w:rPr>
                <w:rStyle w:val="IndexLink"/>
                <w:rtl w:val="true"/>
              </w:rPr>
              <w:tab/>
            </w:r>
            <w:r>
              <w:rPr>
                <w:rStyle w:val="IndexLink"/>
              </w:rPr>
              <w:t>413</w:t>
            </w:r>
          </w:hyperlink>
        </w:p>
        <w:p>
          <w:pPr>
            <w:pStyle w:val="Contents6"/>
            <w:tabs>
              <w:tab w:val="clear" w:pos="7609"/>
              <w:tab w:val="right" w:pos="9026" w:leader="dot"/>
            </w:tabs>
            <w:rPr/>
          </w:pPr>
          <w:hyperlink w:anchor="__RefHeading___Toc9531201_73709187">
            <w:r>
              <w:rPr>
                <w:webHidden/>
                <w:rStyle w:val="IndexLink"/>
                <w:rtl w:val="true"/>
              </w:rPr>
              <w:t>الثانی</w:t>
            </w:r>
            <w:r>
              <w:rPr>
                <w:rStyle w:val="IndexLink"/>
                <w:rtl w:val="true"/>
              </w:rPr>
              <w:t xml:space="preserve">: </w:t>
            </w:r>
            <w:r>
              <w:rPr>
                <w:rStyle w:val="IndexLink"/>
                <w:rtl w:val="true"/>
              </w:rPr>
              <w:t>أن تکون الموعظة حسنة</w:t>
            </w:r>
            <w:r>
              <w:rPr>
                <w:rStyle w:val="IndexLink"/>
                <w:rtl w:val="true"/>
              </w:rPr>
              <w:tab/>
            </w:r>
            <w:r>
              <w:rPr>
                <w:rStyle w:val="IndexLink"/>
              </w:rPr>
              <w:t>413</w:t>
            </w:r>
          </w:hyperlink>
        </w:p>
        <w:p>
          <w:pPr>
            <w:pStyle w:val="Contents6"/>
            <w:tabs>
              <w:tab w:val="clear" w:pos="7609"/>
              <w:tab w:val="right" w:pos="9026" w:leader="dot"/>
            </w:tabs>
            <w:rPr/>
          </w:pPr>
          <w:hyperlink w:anchor="__RefHeading___Toc9531203_73709187">
            <w:r>
              <w:rPr>
                <w:webHidden/>
                <w:rStyle w:val="IndexLink"/>
                <w:rtl w:val="true"/>
              </w:rPr>
              <w:t>الثالث</w:t>
            </w:r>
            <w:r>
              <w:rPr>
                <w:rStyle w:val="IndexLink"/>
                <w:rtl w:val="true"/>
              </w:rPr>
              <w:t xml:space="preserve">: </w:t>
            </w:r>
            <w:r>
              <w:rPr>
                <w:rStyle w:val="IndexLink"/>
                <w:rtl w:val="true"/>
              </w:rPr>
              <w:t>أن تکون خلیطاً مع تذکّر النعمة</w:t>
            </w:r>
            <w:r>
              <w:rPr>
                <w:rStyle w:val="IndexLink"/>
                <w:rtl w:val="true"/>
              </w:rPr>
              <w:tab/>
            </w:r>
            <w:r>
              <w:rPr>
                <w:rStyle w:val="IndexLink"/>
              </w:rPr>
              <w:t>414</w:t>
            </w:r>
          </w:hyperlink>
        </w:p>
        <w:p>
          <w:pPr>
            <w:pStyle w:val="Contents6"/>
            <w:tabs>
              <w:tab w:val="clear" w:pos="7609"/>
              <w:tab w:val="right" w:pos="9026" w:leader="dot"/>
            </w:tabs>
            <w:rPr/>
          </w:pPr>
          <w:hyperlink w:anchor="__RefHeading___Toc9531205_73709187">
            <w:r>
              <w:rPr>
                <w:webHidden/>
                <w:rStyle w:val="IndexLink"/>
                <w:rtl w:val="true"/>
              </w:rPr>
              <w:t>الرابع</w:t>
            </w:r>
            <w:r>
              <w:rPr>
                <w:rStyle w:val="IndexLink"/>
                <w:rtl w:val="true"/>
              </w:rPr>
              <w:t xml:space="preserve">: </w:t>
            </w:r>
            <w:r>
              <w:rPr>
                <w:rStyle w:val="IndexLink"/>
                <w:rtl w:val="true"/>
              </w:rPr>
              <w:t>عدم التصریح بالفعل</w:t>
            </w:r>
            <w:r>
              <w:rPr>
                <w:rStyle w:val="IndexLink"/>
                <w:rtl w:val="true"/>
              </w:rPr>
              <w:tab/>
            </w:r>
            <w:r>
              <w:rPr>
                <w:rStyle w:val="IndexLink"/>
              </w:rPr>
              <w:t>415</w:t>
            </w:r>
          </w:hyperlink>
        </w:p>
        <w:p>
          <w:pPr>
            <w:pStyle w:val="Contents6"/>
            <w:tabs>
              <w:tab w:val="clear" w:pos="7609"/>
              <w:tab w:val="right" w:pos="9026" w:leader="dot"/>
            </w:tabs>
            <w:rPr/>
          </w:pPr>
          <w:hyperlink w:anchor="__RefHeading___Toc9531207_73709187">
            <w:r>
              <w:rPr>
                <w:webHidden/>
                <w:rStyle w:val="IndexLink"/>
                <w:rtl w:val="true"/>
              </w:rPr>
              <w:t>الخامس</w:t>
            </w:r>
            <w:r>
              <w:rPr>
                <w:rStyle w:val="IndexLink"/>
                <w:rtl w:val="true"/>
              </w:rPr>
              <w:t xml:space="preserve">: </w:t>
            </w:r>
            <w:r>
              <w:rPr>
                <w:rStyle w:val="IndexLink"/>
                <w:rtl w:val="true"/>
              </w:rPr>
              <w:t>أن یکون الواعظ متّعظاً،</w:t>
            </w:r>
            <w:r>
              <w:rPr>
                <w:rStyle w:val="IndexLink"/>
                <w:rtl w:val="true"/>
              </w:rPr>
              <w:tab/>
            </w:r>
            <w:r>
              <w:rPr>
                <w:rStyle w:val="IndexLink"/>
              </w:rPr>
              <w:t>416</w:t>
            </w:r>
          </w:hyperlink>
        </w:p>
        <w:p>
          <w:pPr>
            <w:pStyle w:val="Contents6"/>
            <w:tabs>
              <w:tab w:val="clear" w:pos="7609"/>
              <w:tab w:val="right" w:pos="9026" w:leader="dot"/>
            </w:tabs>
            <w:rPr/>
          </w:pPr>
          <w:hyperlink w:anchor="__RefHeading___Toc9531209_73709187">
            <w:r>
              <w:rPr>
                <w:webHidden/>
                <w:rStyle w:val="IndexLink"/>
                <w:rtl w:val="true"/>
              </w:rPr>
              <w:t>السادس</w:t>
            </w:r>
            <w:r>
              <w:rPr>
                <w:rStyle w:val="IndexLink"/>
                <w:rtl w:val="true"/>
              </w:rPr>
              <w:t xml:space="preserve">: </w:t>
            </w:r>
            <w:r>
              <w:rPr>
                <w:rStyle w:val="IndexLink"/>
                <w:rtl w:val="true"/>
              </w:rPr>
              <w:t>أن تکون الموعظة ساذجة</w:t>
            </w:r>
            <w:r>
              <w:rPr>
                <w:rStyle w:val="IndexLink"/>
                <w:rtl w:val="true"/>
              </w:rPr>
              <w:tab/>
            </w:r>
            <w:r>
              <w:rPr>
                <w:rStyle w:val="IndexLink"/>
              </w:rPr>
              <w:t>418</w:t>
            </w:r>
          </w:hyperlink>
        </w:p>
        <w:p>
          <w:pPr>
            <w:pStyle w:val="Contents6"/>
            <w:tabs>
              <w:tab w:val="clear" w:pos="7609"/>
              <w:tab w:val="right" w:pos="9026" w:leader="dot"/>
            </w:tabs>
            <w:rPr/>
          </w:pPr>
          <w:hyperlink w:anchor="__RefHeading___Toc9531211_73709187">
            <w:r>
              <w:rPr>
                <w:webHidden/>
                <w:rStyle w:val="IndexLink"/>
                <w:rtl w:val="true"/>
              </w:rPr>
              <w:t>السابع</w:t>
            </w:r>
            <w:r>
              <w:rPr>
                <w:rStyle w:val="IndexLink"/>
                <w:rtl w:val="true"/>
              </w:rPr>
              <w:t xml:space="preserve">: </w:t>
            </w:r>
            <w:r>
              <w:rPr>
                <w:rStyle w:val="IndexLink"/>
                <w:rtl w:val="true"/>
              </w:rPr>
              <w:t>أن تکون الموعظة مع اللین و التلطّف</w:t>
            </w:r>
            <w:r>
              <w:rPr>
                <w:rStyle w:val="IndexLink"/>
                <w:rtl w:val="true"/>
              </w:rPr>
              <w:tab/>
            </w:r>
            <w:r>
              <w:rPr>
                <w:rStyle w:val="IndexLink"/>
              </w:rPr>
              <w:t>418</w:t>
            </w:r>
          </w:hyperlink>
        </w:p>
        <w:p>
          <w:pPr>
            <w:pStyle w:val="Contents4"/>
            <w:tabs>
              <w:tab w:val="clear" w:pos="8176"/>
              <w:tab w:val="right" w:pos="9026" w:leader="dot"/>
            </w:tabs>
            <w:rPr/>
          </w:pPr>
          <w:hyperlink w:anchor="__RefHeading___Toc9531213_73709187">
            <w:r>
              <w:rPr>
                <w:webHidden/>
                <w:rStyle w:val="IndexLink"/>
                <w:rtl w:val="true"/>
              </w:rPr>
              <w:t>المبحث السادس</w:t>
            </w:r>
            <w:r>
              <w:rPr>
                <w:rStyle w:val="IndexLink"/>
                <w:rtl w:val="true"/>
              </w:rPr>
              <w:t xml:space="preserve">: </w:t>
            </w:r>
            <w:r>
              <w:rPr>
                <w:rStyle w:val="IndexLink"/>
                <w:rtl w:val="true"/>
              </w:rPr>
              <w:t>التربیة من طریق التشویق و التمجید</w:t>
            </w:r>
            <w:r>
              <w:rPr>
                <w:rStyle w:val="IndexLink"/>
                <w:rtl w:val="true"/>
              </w:rPr>
              <w:tab/>
            </w:r>
            <w:r>
              <w:rPr>
                <w:rStyle w:val="IndexLink"/>
              </w:rPr>
              <w:t>420</w:t>
            </w:r>
          </w:hyperlink>
        </w:p>
        <w:p>
          <w:pPr>
            <w:pStyle w:val="Contents5"/>
            <w:tabs>
              <w:tab w:val="clear" w:pos="7892"/>
              <w:tab w:val="right" w:pos="9026" w:leader="dot"/>
            </w:tabs>
            <w:rPr/>
          </w:pPr>
          <w:hyperlink w:anchor="__RefHeading___Toc9531215_73709187">
            <w:r>
              <w:rPr>
                <w:webHidden/>
                <w:rStyle w:val="IndexLink"/>
                <w:rtl w:val="true"/>
              </w:rPr>
              <w:t>أهمّیة هذا الطریق</w:t>
            </w:r>
            <w:r>
              <w:rPr>
                <w:rStyle w:val="IndexLink"/>
                <w:rtl w:val="true"/>
              </w:rPr>
              <w:tab/>
            </w:r>
            <w:r>
              <w:rPr>
                <w:rStyle w:val="IndexLink"/>
              </w:rPr>
              <w:t>420</w:t>
            </w:r>
          </w:hyperlink>
        </w:p>
        <w:p>
          <w:pPr>
            <w:pStyle w:val="Contents5"/>
            <w:tabs>
              <w:tab w:val="clear" w:pos="7892"/>
              <w:tab w:val="right" w:pos="9026" w:leader="dot"/>
            </w:tabs>
            <w:rPr/>
          </w:pPr>
          <w:hyperlink w:anchor="__RefHeading___Toc9531217_73709187">
            <w:r>
              <w:rPr>
                <w:webHidden/>
                <w:rStyle w:val="IndexLink"/>
                <w:rtl w:val="true"/>
              </w:rPr>
              <w:t>تربیة النبیّ صلی الله علیه و آله و الأئمّة علیهم السلام أولادهم عن طریق التشویق</w:t>
            </w:r>
            <w:r>
              <w:rPr>
                <w:rStyle w:val="IndexLink"/>
                <w:rtl w:val="true"/>
              </w:rPr>
              <w:tab/>
            </w:r>
            <w:r>
              <w:rPr>
                <w:rStyle w:val="IndexLink"/>
              </w:rPr>
              <w:t>423</w:t>
            </w:r>
          </w:hyperlink>
        </w:p>
        <w:p>
          <w:pPr>
            <w:pStyle w:val="Contents5"/>
            <w:tabs>
              <w:tab w:val="clear" w:pos="7892"/>
              <w:tab w:val="right" w:pos="9026" w:leader="dot"/>
            </w:tabs>
            <w:rPr/>
          </w:pPr>
          <w:hyperlink w:anchor="__RefHeading___Toc9531219_73709187">
            <w:r>
              <w:rPr>
                <w:webHidden/>
                <w:rStyle w:val="IndexLink"/>
                <w:rtl w:val="true"/>
              </w:rPr>
              <w:t>ثمرات التشویق</w:t>
            </w:r>
            <w:r>
              <w:rPr>
                <w:rStyle w:val="IndexLink"/>
                <w:rtl w:val="true"/>
              </w:rPr>
              <w:tab/>
            </w:r>
            <w:r>
              <w:rPr>
                <w:rStyle w:val="IndexLink"/>
              </w:rPr>
              <w:t>426</w:t>
            </w:r>
          </w:hyperlink>
        </w:p>
        <w:p>
          <w:pPr>
            <w:pStyle w:val="Contents5"/>
            <w:tabs>
              <w:tab w:val="clear" w:pos="7892"/>
              <w:tab w:val="right" w:pos="9026" w:leader="dot"/>
            </w:tabs>
            <w:rPr/>
          </w:pPr>
          <w:hyperlink w:anchor="__RefHeading___Toc9531221_73709187">
            <w:r>
              <w:rPr>
                <w:webHidden/>
                <w:rStyle w:val="IndexLink"/>
                <w:rtl w:val="true"/>
              </w:rPr>
              <w:t>آداب التشویق</w:t>
            </w:r>
            <w:r>
              <w:rPr>
                <w:rStyle w:val="IndexLink"/>
                <w:rtl w:val="true"/>
              </w:rPr>
              <w:tab/>
            </w:r>
            <w:r>
              <w:rPr>
                <w:rStyle w:val="IndexLink"/>
              </w:rPr>
              <w:t>427</w:t>
            </w:r>
          </w:hyperlink>
        </w:p>
        <w:p>
          <w:pPr>
            <w:pStyle w:val="Contents4"/>
            <w:tabs>
              <w:tab w:val="clear" w:pos="8176"/>
              <w:tab w:val="right" w:pos="9026" w:leader="dot"/>
            </w:tabs>
            <w:rPr/>
          </w:pPr>
          <w:hyperlink w:anchor="__RefHeading___Toc9531223_73709187">
            <w:r>
              <w:rPr>
                <w:webHidden/>
                <w:rStyle w:val="IndexLink"/>
                <w:rtl w:val="true"/>
              </w:rPr>
              <w:t>المبحث السابع</w:t>
            </w:r>
            <w:r>
              <w:rPr>
                <w:rStyle w:val="IndexLink"/>
                <w:rtl w:val="true"/>
              </w:rPr>
              <w:t xml:space="preserve">: </w:t>
            </w:r>
            <w:r>
              <w:rPr>
                <w:rStyle w:val="IndexLink"/>
                <w:rtl w:val="true"/>
              </w:rPr>
              <w:t>التربیة من طریق القصّة</w:t>
            </w:r>
            <w:r>
              <w:rPr>
                <w:rStyle w:val="IndexLink"/>
                <w:rtl w:val="true"/>
              </w:rPr>
              <w:tab/>
            </w:r>
            <w:r>
              <w:rPr>
                <w:rStyle w:val="IndexLink"/>
              </w:rPr>
              <w:t>429</w:t>
            </w:r>
          </w:hyperlink>
        </w:p>
        <w:p>
          <w:pPr>
            <w:pStyle w:val="Contents5"/>
            <w:tabs>
              <w:tab w:val="clear" w:pos="7892"/>
              <w:tab w:val="right" w:pos="9026" w:leader="dot"/>
            </w:tabs>
            <w:rPr/>
          </w:pPr>
          <w:hyperlink w:anchor="__RefHeading___Toc9531225_73709187">
            <w:r>
              <w:rPr>
                <w:webHidden/>
                <w:rStyle w:val="IndexLink"/>
                <w:rtl w:val="true"/>
              </w:rPr>
              <w:t>اهتمام القرآن فی منهج تربیته بالقصّة</w:t>
            </w:r>
            <w:r>
              <w:rPr>
                <w:rStyle w:val="IndexLink"/>
                <w:rtl w:val="true"/>
              </w:rPr>
              <w:tab/>
            </w:r>
            <w:r>
              <w:rPr>
                <w:rStyle w:val="IndexLink"/>
              </w:rPr>
              <w:t>429</w:t>
            </w:r>
          </w:hyperlink>
        </w:p>
        <w:p>
          <w:pPr>
            <w:pStyle w:val="Contents5"/>
            <w:tabs>
              <w:tab w:val="clear" w:pos="7892"/>
              <w:tab w:val="right" w:pos="9026" w:leader="dot"/>
            </w:tabs>
            <w:rPr/>
          </w:pPr>
          <w:hyperlink w:anchor="__RefHeading___Toc9531227_73709187">
            <w:r>
              <w:rPr>
                <w:webHidden/>
                <w:rStyle w:val="IndexLink"/>
                <w:rtl w:val="true"/>
              </w:rPr>
              <w:t>القصّة محبّبة للأطفال</w:t>
            </w:r>
            <w:r>
              <w:rPr>
                <w:rStyle w:val="IndexLink"/>
                <w:rtl w:val="true"/>
              </w:rPr>
              <w:tab/>
            </w:r>
            <w:r>
              <w:rPr>
                <w:rStyle w:val="IndexLink"/>
              </w:rPr>
              <w:t>432</w:t>
            </w:r>
          </w:hyperlink>
        </w:p>
        <w:p>
          <w:pPr>
            <w:pStyle w:val="Contents4"/>
            <w:tabs>
              <w:tab w:val="clear" w:pos="8176"/>
              <w:tab w:val="right" w:pos="9026" w:leader="dot"/>
            </w:tabs>
            <w:rPr/>
          </w:pPr>
          <w:hyperlink w:anchor="__RefHeading___Toc9531229_73709187">
            <w:r>
              <w:rPr>
                <w:webHidden/>
                <w:rStyle w:val="IndexLink"/>
                <w:rtl w:val="true"/>
              </w:rPr>
              <w:t>المبحث الثامن</w:t>
            </w:r>
            <w:r>
              <w:rPr>
                <w:rStyle w:val="IndexLink"/>
                <w:rtl w:val="true"/>
              </w:rPr>
              <w:t xml:space="preserve">: </w:t>
            </w:r>
            <w:r>
              <w:rPr>
                <w:rStyle w:val="IndexLink"/>
                <w:rtl w:val="true"/>
              </w:rPr>
              <w:t>عدّة طرق اخری للتربیة</w:t>
            </w:r>
            <w:r>
              <w:rPr>
                <w:rStyle w:val="IndexLink"/>
                <w:rtl w:val="true"/>
              </w:rPr>
              <w:tab/>
            </w:r>
            <w:r>
              <w:rPr>
                <w:rStyle w:val="IndexLink"/>
              </w:rPr>
              <w:t>433</w:t>
            </w:r>
          </w:hyperlink>
        </w:p>
        <w:p>
          <w:pPr>
            <w:pStyle w:val="Contents5"/>
            <w:tabs>
              <w:tab w:val="clear" w:pos="7892"/>
              <w:tab w:val="right" w:pos="9026" w:leader="dot"/>
            </w:tabs>
            <w:rPr/>
          </w:pPr>
          <w:hyperlink w:anchor="__RefHeading___Toc9531231_73709187">
            <w:r>
              <w:rPr>
                <w:webHidden/>
                <w:rStyle w:val="IndexLink"/>
                <w:rtl w:val="true"/>
              </w:rPr>
              <w:t xml:space="preserve">أ </w:t>
            </w:r>
            <w:r>
              <w:rPr>
                <w:rStyle w:val="IndexLink"/>
                <w:rtl w:val="true"/>
              </w:rPr>
              <w:t xml:space="preserve">- </w:t>
            </w:r>
            <w:r>
              <w:rPr>
                <w:rStyle w:val="IndexLink"/>
                <w:rtl w:val="true"/>
              </w:rPr>
              <w:t>التربیة عن طریق المسابقة بین الأطفال</w:t>
            </w:r>
            <w:r>
              <w:rPr>
                <w:rStyle w:val="IndexLink"/>
                <w:rtl w:val="true"/>
              </w:rPr>
              <w:tab/>
            </w:r>
            <w:r>
              <w:rPr>
                <w:rStyle w:val="IndexLink"/>
              </w:rPr>
              <w:t>433</w:t>
            </w:r>
          </w:hyperlink>
        </w:p>
        <w:p>
          <w:pPr>
            <w:pStyle w:val="Contents5"/>
            <w:tabs>
              <w:tab w:val="clear" w:pos="7892"/>
              <w:tab w:val="right" w:pos="9026" w:leader="dot"/>
            </w:tabs>
            <w:rPr/>
          </w:pPr>
          <w:hyperlink w:anchor="__RefHeading___Toc9531233_73709187">
            <w:r>
              <w:rPr>
                <w:webHidden/>
                <w:rStyle w:val="IndexLink"/>
                <w:rtl w:val="true"/>
              </w:rPr>
              <w:t xml:space="preserve">ب </w:t>
            </w:r>
            <w:r>
              <w:rPr>
                <w:rStyle w:val="IndexLink"/>
                <w:rtl w:val="true"/>
              </w:rPr>
              <w:t xml:space="preserve">- </w:t>
            </w:r>
            <w:r>
              <w:rPr>
                <w:rStyle w:val="IndexLink"/>
                <w:rtl w:val="true"/>
              </w:rPr>
              <w:t>التربیة بالملازمة و الأمر و النهی</w:t>
            </w:r>
            <w:r>
              <w:rPr>
                <w:rStyle w:val="IndexLink"/>
                <w:rtl w:val="true"/>
              </w:rPr>
              <w:tab/>
            </w:r>
            <w:r>
              <w:rPr>
                <w:rStyle w:val="IndexLink"/>
              </w:rPr>
              <w:t>434</w:t>
            </w:r>
          </w:hyperlink>
        </w:p>
        <w:p>
          <w:pPr>
            <w:pStyle w:val="Contents5"/>
            <w:tabs>
              <w:tab w:val="clear" w:pos="7892"/>
              <w:tab w:val="right" w:pos="9026" w:leader="dot"/>
            </w:tabs>
            <w:rPr/>
          </w:pPr>
          <w:hyperlink w:anchor="__RefHeading___Toc9531235_73709187">
            <w:r>
              <w:rPr>
                <w:webHidden/>
                <w:rStyle w:val="IndexLink"/>
                <w:rtl w:val="true"/>
              </w:rPr>
              <w:t xml:space="preserve">ج </w:t>
            </w:r>
            <w:r>
              <w:rPr>
                <w:rStyle w:val="IndexLink"/>
                <w:rtl w:val="true"/>
              </w:rPr>
              <w:t xml:space="preserve">- </w:t>
            </w:r>
            <w:r>
              <w:rPr>
                <w:rStyle w:val="IndexLink"/>
                <w:rtl w:val="true"/>
              </w:rPr>
              <w:t>التربیة من طریق الهجر</w:t>
            </w:r>
            <w:r>
              <w:rPr>
                <w:rStyle w:val="IndexLink"/>
                <w:rtl w:val="true"/>
              </w:rPr>
              <w:tab/>
            </w:r>
            <w:r>
              <w:rPr>
                <w:rStyle w:val="IndexLink"/>
              </w:rPr>
              <w:t>436</w:t>
            </w:r>
          </w:hyperlink>
        </w:p>
        <w:p>
          <w:pPr>
            <w:pStyle w:val="Contents5"/>
            <w:tabs>
              <w:tab w:val="clear" w:pos="7892"/>
              <w:tab w:val="right" w:pos="9026" w:leader="dot"/>
            </w:tabs>
            <w:rPr/>
          </w:pPr>
          <w:hyperlink w:anchor="__RefHeading___Toc9531237_73709187">
            <w:r>
              <w:rPr>
                <w:webHidden/>
                <w:rStyle w:val="IndexLink"/>
                <w:rtl w:val="true"/>
              </w:rPr>
              <w:t xml:space="preserve">د </w:t>
            </w:r>
            <w:r>
              <w:rPr>
                <w:rStyle w:val="IndexLink"/>
                <w:rtl w:val="true"/>
              </w:rPr>
              <w:t xml:space="preserve">- </w:t>
            </w:r>
            <w:r>
              <w:rPr>
                <w:rStyle w:val="IndexLink"/>
                <w:rtl w:val="true"/>
              </w:rPr>
              <w:t>التربیة من طریق التأدیب و الضرب</w:t>
            </w:r>
            <w:r>
              <w:rPr>
                <w:rStyle w:val="IndexLink"/>
                <w:rtl w:val="true"/>
              </w:rPr>
              <w:tab/>
            </w:r>
            <w:r>
              <w:rPr>
                <w:rStyle w:val="IndexLink"/>
              </w:rPr>
              <w:t>436</w:t>
            </w:r>
          </w:hyperlink>
        </w:p>
        <w:p>
          <w:pPr>
            <w:pStyle w:val="Contents3"/>
            <w:tabs>
              <w:tab w:val="clear" w:pos="8459"/>
              <w:tab w:val="right" w:pos="9026" w:leader="dot"/>
            </w:tabs>
            <w:rPr/>
          </w:pPr>
          <w:hyperlink w:anchor="__RefHeading___Toc9531239_73709187">
            <w:r>
              <w:rPr>
                <w:webHidden/>
                <w:rStyle w:val="IndexLink"/>
                <w:rtl w:val="true"/>
              </w:rPr>
              <w:t>الفصل الثالث</w:t>
            </w:r>
            <w:r>
              <w:rPr>
                <w:rStyle w:val="IndexLink"/>
                <w:rtl w:val="true"/>
              </w:rPr>
              <w:t xml:space="preserve">: </w:t>
            </w:r>
            <w:r>
              <w:rPr>
                <w:rStyle w:val="IndexLink"/>
                <w:rtl w:val="true"/>
              </w:rPr>
              <w:t>ذکر الاُمور التی أُمر بها الأولیاء لتربیة الأطفال</w:t>
            </w:r>
            <w:r>
              <w:rPr>
                <w:rStyle w:val="IndexLink"/>
                <w:rtl w:val="true"/>
              </w:rPr>
              <w:tab/>
            </w:r>
            <w:r>
              <w:rPr>
                <w:rStyle w:val="IndexLink"/>
              </w:rPr>
              <w:t>438</w:t>
            </w:r>
          </w:hyperlink>
        </w:p>
        <w:p>
          <w:pPr>
            <w:pStyle w:val="Contents4"/>
            <w:tabs>
              <w:tab w:val="clear" w:pos="8176"/>
              <w:tab w:val="right" w:pos="9026" w:leader="dot"/>
            </w:tabs>
            <w:rPr/>
          </w:pPr>
          <w:hyperlink w:anchor="__RefHeading___Toc9531241_7370918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9531243_73709187">
            <w:r>
              <w:rPr>
                <w:webHidden/>
                <w:rStyle w:val="IndexLink"/>
                <w:rtl w:val="true"/>
              </w:rPr>
              <w:t>المبحث الأوّل</w:t>
            </w:r>
            <w:r>
              <w:rPr>
                <w:rStyle w:val="IndexLink"/>
                <w:rtl w:val="true"/>
              </w:rPr>
              <w:t xml:space="preserve">: </w:t>
            </w:r>
            <w:r>
              <w:rPr>
                <w:rStyle w:val="IndexLink"/>
                <w:rtl w:val="true"/>
              </w:rPr>
              <w:t>ربط الأطفال بالاُمور الاعتقادیة</w:t>
            </w:r>
            <w:r>
              <w:rPr>
                <w:rStyle w:val="IndexLink"/>
                <w:rtl w:val="true"/>
              </w:rPr>
              <w:tab/>
            </w:r>
            <w:r>
              <w:rPr>
                <w:rStyle w:val="IndexLink"/>
              </w:rPr>
              <w:t>439</w:t>
            </w:r>
          </w:hyperlink>
        </w:p>
        <w:p>
          <w:pPr>
            <w:pStyle w:val="Contents5"/>
            <w:tabs>
              <w:tab w:val="clear" w:pos="7892"/>
              <w:tab w:val="right" w:pos="9026" w:leader="dot"/>
            </w:tabs>
            <w:rPr/>
          </w:pPr>
          <w:hyperlink w:anchor="__RefHeading___Toc9531245_7370918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9531247_73709187">
            <w:r>
              <w:rPr>
                <w:webHidden/>
                <w:rStyle w:val="IndexLink"/>
                <w:rtl w:val="true"/>
              </w:rPr>
              <w:t>المطلب الأوّل</w:t>
            </w:r>
            <w:r>
              <w:rPr>
                <w:rStyle w:val="IndexLink"/>
                <w:rtl w:val="true"/>
              </w:rPr>
              <w:t xml:space="preserve">: </w:t>
            </w:r>
            <w:r>
              <w:rPr>
                <w:rStyle w:val="IndexLink"/>
                <w:rtl w:val="true"/>
              </w:rPr>
              <w:t>وجوب ربط الطفل بالإیمان باللّه تعالی و حبّه</w:t>
            </w:r>
            <w:r>
              <w:rPr>
                <w:rStyle w:val="IndexLink"/>
                <w:rtl w:val="true"/>
              </w:rPr>
              <w:tab/>
            </w:r>
            <w:r>
              <w:rPr>
                <w:rStyle w:val="IndexLink"/>
              </w:rPr>
              <w:t>439</w:t>
            </w:r>
          </w:hyperlink>
        </w:p>
        <w:p>
          <w:pPr>
            <w:pStyle w:val="Contents6"/>
            <w:tabs>
              <w:tab w:val="clear" w:pos="7609"/>
              <w:tab w:val="right" w:pos="9026" w:leader="dot"/>
            </w:tabs>
            <w:rPr/>
          </w:pPr>
          <w:hyperlink w:anchor="__RefHeading___Toc9531249_7370918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9531251_73709187">
            <w:r>
              <w:rPr>
                <w:webHidden/>
                <w:rStyle w:val="IndexLink"/>
                <w:rtl w:val="true"/>
              </w:rPr>
              <w:t>أدلّة وجوب ربط الطفل باللّه تعالی</w:t>
            </w:r>
            <w:r>
              <w:rPr>
                <w:rStyle w:val="IndexLink"/>
                <w:rtl w:val="true"/>
              </w:rPr>
              <w:tab/>
            </w:r>
            <w:r>
              <w:rPr>
                <w:rStyle w:val="IndexLink"/>
              </w:rPr>
              <w:t>440</w:t>
            </w:r>
          </w:hyperlink>
        </w:p>
        <w:p>
          <w:pPr>
            <w:pStyle w:val="Contents6"/>
            <w:tabs>
              <w:tab w:val="clear" w:pos="7609"/>
              <w:tab w:val="right" w:pos="9026" w:leader="dot"/>
            </w:tabs>
            <w:rPr/>
          </w:pPr>
          <w:hyperlink w:anchor="__RefHeading___Toc9531253_73709187">
            <w:r>
              <w:rPr>
                <w:webHidden/>
                <w:rStyle w:val="IndexLink"/>
                <w:rtl w:val="true"/>
              </w:rPr>
              <w:t>نماذج من کلمات الأنبیاء و الأئمّة علیهم السلام فی ربط أولادهم باللّه تعالی و نعمه</w:t>
            </w:r>
            <w:r>
              <w:rPr>
                <w:rStyle w:val="IndexLink"/>
                <w:rtl w:val="true"/>
              </w:rPr>
              <w:tab/>
            </w:r>
            <w:r>
              <w:rPr>
                <w:rStyle w:val="IndexLink"/>
              </w:rPr>
              <w:t>441</w:t>
            </w:r>
          </w:hyperlink>
        </w:p>
        <w:p>
          <w:pPr>
            <w:pStyle w:val="Contents6"/>
            <w:tabs>
              <w:tab w:val="clear" w:pos="7609"/>
              <w:tab w:val="right" w:pos="9026" w:leader="dot"/>
            </w:tabs>
            <w:rPr/>
          </w:pPr>
          <w:hyperlink w:anchor="__RefHeading___Toc9531255_73709187">
            <w:r>
              <w:rPr>
                <w:webHidden/>
                <w:rStyle w:val="IndexLink"/>
                <w:rtl w:val="true"/>
              </w:rPr>
              <w:t>أثر الإیمان باللّه تعالی و حبّه فی الطفل</w:t>
            </w:r>
            <w:r>
              <w:rPr>
                <w:rStyle w:val="IndexLink"/>
                <w:rtl w:val="true"/>
              </w:rPr>
              <w:tab/>
            </w:r>
            <w:r>
              <w:rPr>
                <w:rStyle w:val="IndexLink"/>
              </w:rPr>
              <w:t>443</w:t>
            </w:r>
          </w:hyperlink>
        </w:p>
        <w:p>
          <w:pPr>
            <w:pStyle w:val="Contents5"/>
            <w:tabs>
              <w:tab w:val="clear" w:pos="7892"/>
              <w:tab w:val="right" w:pos="9026" w:leader="dot"/>
            </w:tabs>
            <w:rPr/>
          </w:pPr>
          <w:hyperlink w:anchor="__RefHeading___Toc9531257_73709187">
            <w:r>
              <w:rPr>
                <w:webHidden/>
                <w:rStyle w:val="IndexLink"/>
                <w:rtl w:val="true"/>
              </w:rPr>
              <w:t>المطلب الثانی</w:t>
            </w:r>
            <w:r>
              <w:rPr>
                <w:rStyle w:val="IndexLink"/>
                <w:rtl w:val="true"/>
              </w:rPr>
              <w:t xml:space="preserve">: </w:t>
            </w:r>
            <w:r>
              <w:rPr>
                <w:rStyle w:val="IndexLink"/>
                <w:rtl w:val="true"/>
              </w:rPr>
              <w:t>ربط الطفل بحبّ النبیّ و أهل بیته علیهم السلام</w:t>
            </w:r>
            <w:r>
              <w:rPr>
                <w:rStyle w:val="IndexLink"/>
                <w:rtl w:val="true"/>
              </w:rPr>
              <w:tab/>
            </w:r>
            <w:r>
              <w:rPr>
                <w:rStyle w:val="IndexLink"/>
              </w:rPr>
              <w:t>446</w:t>
            </w:r>
          </w:hyperlink>
        </w:p>
        <w:p>
          <w:pPr>
            <w:pStyle w:val="Contents6"/>
            <w:tabs>
              <w:tab w:val="clear" w:pos="7609"/>
              <w:tab w:val="right" w:pos="9026" w:leader="dot"/>
            </w:tabs>
            <w:rPr/>
          </w:pPr>
          <w:hyperlink w:anchor="__RefHeading___Toc9531259_73709187">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9531261_73709187">
            <w:r>
              <w:rPr>
                <w:webHidden/>
                <w:rStyle w:val="IndexLink"/>
                <w:rtl w:val="true"/>
              </w:rPr>
              <w:t>حبّ النبی و أهل بیته علیهم السلام واجب علی المؤمنین</w:t>
            </w:r>
            <w:r>
              <w:rPr>
                <w:rStyle w:val="IndexLink"/>
                <w:rtl w:val="true"/>
              </w:rPr>
              <w:tab/>
            </w:r>
            <w:r>
              <w:rPr>
                <w:rStyle w:val="IndexLink"/>
              </w:rPr>
              <w:t>449</w:t>
            </w:r>
          </w:hyperlink>
        </w:p>
        <w:p>
          <w:pPr>
            <w:pStyle w:val="Contents6"/>
            <w:tabs>
              <w:tab w:val="clear" w:pos="7609"/>
              <w:tab w:val="right" w:pos="9026" w:leader="dot"/>
            </w:tabs>
            <w:rPr/>
          </w:pPr>
          <w:hyperlink w:anchor="__RefHeading___Toc9531263_73709187">
            <w:r>
              <w:rPr>
                <w:webHidden/>
                <w:rStyle w:val="IndexLink"/>
                <w:rtl w:val="true"/>
              </w:rPr>
              <w:t>ترسیخ حبّ النبیّ صلی الله علیه و آله و أهل بیته علیهم السلام فی نفس الطفل</w:t>
            </w:r>
            <w:r>
              <w:rPr>
                <w:rStyle w:val="IndexLink"/>
                <w:rtl w:val="true"/>
              </w:rPr>
              <w:tab/>
            </w:r>
            <w:r>
              <w:rPr>
                <w:rStyle w:val="IndexLink"/>
              </w:rPr>
              <w:t>453</w:t>
            </w:r>
          </w:hyperlink>
        </w:p>
        <w:p>
          <w:pPr>
            <w:pStyle w:val="Contents6"/>
            <w:tabs>
              <w:tab w:val="clear" w:pos="7609"/>
              <w:tab w:val="right" w:pos="9026" w:leader="dot"/>
            </w:tabs>
            <w:rPr/>
          </w:pPr>
          <w:hyperlink w:anchor="__RefHeading___Toc9531265_73709187">
            <w:r>
              <w:rPr>
                <w:webHidden/>
                <w:rStyle w:val="IndexLink"/>
                <w:rtl w:val="true"/>
              </w:rPr>
              <w:t>تعلیم أحادیث الرسول صلی الله علیه و آله و أهل بیته علیهم السلام للأطفال</w:t>
            </w:r>
            <w:r>
              <w:rPr>
                <w:rStyle w:val="IndexLink"/>
                <w:rtl w:val="true"/>
              </w:rPr>
              <w:tab/>
            </w:r>
            <w:r>
              <w:rPr>
                <w:rStyle w:val="IndexLink"/>
              </w:rPr>
              <w:t>455</w:t>
            </w:r>
          </w:hyperlink>
        </w:p>
        <w:p>
          <w:pPr>
            <w:pStyle w:val="Contents6"/>
            <w:tabs>
              <w:tab w:val="clear" w:pos="7609"/>
              <w:tab w:val="right" w:pos="9026" w:leader="dot"/>
            </w:tabs>
            <w:rPr/>
          </w:pPr>
          <w:hyperlink w:anchor="__RefHeading___Toc9531267_73709187">
            <w:r>
              <w:rPr>
                <w:webHidden/>
                <w:rStyle w:val="IndexLink"/>
                <w:rtl w:val="true"/>
              </w:rPr>
              <w:t>فوائد حبّ الرسول صلی الله علیه و آله و أهل بیته علیهم السلام، و فهم کلامهم و طاعتهم</w:t>
            </w:r>
            <w:r>
              <w:rPr>
                <w:rStyle w:val="IndexLink"/>
                <w:rtl w:val="true"/>
              </w:rPr>
              <w:tab/>
            </w:r>
            <w:r>
              <w:rPr>
                <w:rStyle w:val="IndexLink"/>
              </w:rPr>
              <w:t>456</w:t>
            </w:r>
          </w:hyperlink>
        </w:p>
        <w:p>
          <w:pPr>
            <w:pStyle w:val="Contents5"/>
            <w:tabs>
              <w:tab w:val="clear" w:pos="7892"/>
              <w:tab w:val="right" w:pos="9026" w:leader="dot"/>
            </w:tabs>
            <w:rPr/>
          </w:pPr>
          <w:hyperlink w:anchor="__RefHeading___Toc9531269_73709187">
            <w:r>
              <w:rPr>
                <w:webHidden/>
                <w:rStyle w:val="IndexLink"/>
                <w:rtl w:val="true"/>
              </w:rPr>
              <w:t>المطلب الثالث</w:t>
            </w:r>
            <w:r>
              <w:rPr>
                <w:rStyle w:val="IndexLink"/>
                <w:rtl w:val="true"/>
              </w:rPr>
              <w:t xml:space="preserve">: </w:t>
            </w:r>
            <w:r>
              <w:rPr>
                <w:rStyle w:val="IndexLink"/>
                <w:rtl w:val="true"/>
              </w:rPr>
              <w:t>ربط الطفل بحبّ القرآن و تعلیمه</w:t>
            </w:r>
            <w:r>
              <w:rPr>
                <w:rStyle w:val="IndexLink"/>
                <w:rtl w:val="true"/>
              </w:rPr>
              <w:tab/>
            </w:r>
            <w:r>
              <w:rPr>
                <w:rStyle w:val="IndexLink"/>
              </w:rPr>
              <w:t>458</w:t>
            </w:r>
          </w:hyperlink>
        </w:p>
        <w:p>
          <w:pPr>
            <w:pStyle w:val="Contents6"/>
            <w:tabs>
              <w:tab w:val="clear" w:pos="7609"/>
              <w:tab w:val="right" w:pos="9026" w:leader="dot"/>
            </w:tabs>
            <w:rPr/>
          </w:pPr>
          <w:hyperlink w:anchor="__RefHeading___Toc9531271_73709187">
            <w:r>
              <w:rPr>
                <w:webHidden/>
                <w:rStyle w:val="IndexLink"/>
                <w:rtl w:val="true"/>
              </w:rPr>
              <w:t>القرآن الکریم هو مصدر العقیدة الإسلامیّة</w:t>
            </w:r>
            <w:r>
              <w:rPr>
                <w:rStyle w:val="IndexLink"/>
                <w:rtl w:val="true"/>
              </w:rPr>
              <w:tab/>
            </w:r>
            <w:r>
              <w:rPr>
                <w:rStyle w:val="IndexLink"/>
              </w:rPr>
              <w:t>458</w:t>
            </w:r>
          </w:hyperlink>
        </w:p>
        <w:p>
          <w:pPr>
            <w:pStyle w:val="Contents4"/>
            <w:tabs>
              <w:tab w:val="clear" w:pos="8176"/>
              <w:tab w:val="right" w:pos="9026" w:leader="dot"/>
            </w:tabs>
            <w:rPr/>
          </w:pPr>
          <w:hyperlink w:anchor="__RefHeading___Toc9531273_73709187">
            <w:r>
              <w:rPr>
                <w:webHidden/>
                <w:rStyle w:val="IndexLink"/>
                <w:rtl w:val="true"/>
              </w:rPr>
              <w:t>المبحث الثانی</w:t>
            </w:r>
            <w:r>
              <w:rPr>
                <w:rStyle w:val="IndexLink"/>
                <w:rtl w:val="true"/>
              </w:rPr>
              <w:t xml:space="preserve">: </w:t>
            </w:r>
            <w:r>
              <w:rPr>
                <w:rStyle w:val="IndexLink"/>
                <w:rtl w:val="true"/>
              </w:rPr>
              <w:t>ربط الأطفال علی العبادات</w:t>
            </w:r>
            <w:r>
              <w:rPr>
                <w:rStyle w:val="IndexLink"/>
                <w:rtl w:val="true"/>
              </w:rPr>
              <w:tab/>
            </w:r>
            <w:r>
              <w:rPr>
                <w:rStyle w:val="IndexLink"/>
              </w:rPr>
              <w:t>465</w:t>
            </w:r>
          </w:hyperlink>
        </w:p>
        <w:p>
          <w:pPr>
            <w:pStyle w:val="Contents5"/>
            <w:tabs>
              <w:tab w:val="clear" w:pos="7892"/>
              <w:tab w:val="right" w:pos="9026" w:leader="dot"/>
            </w:tabs>
            <w:rPr/>
          </w:pPr>
          <w:hyperlink w:anchor="__RefHeading___Toc9531275_7370918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9531277_73709187">
            <w:r>
              <w:rPr>
                <w:webHidden/>
                <w:rStyle w:val="IndexLink"/>
                <w:rtl w:val="true"/>
              </w:rPr>
              <w:t>أ</w:t>
            </w:r>
            <w:r>
              <w:rPr>
                <w:rStyle w:val="IndexLink"/>
                <w:rtl w:val="true"/>
              </w:rPr>
              <w:t xml:space="preserve">: </w:t>
            </w:r>
            <w:r>
              <w:rPr>
                <w:rStyle w:val="IndexLink"/>
                <w:rtl w:val="true"/>
              </w:rPr>
              <w:t>الصلاة و أهمّیتها</w:t>
            </w:r>
            <w:r>
              <w:rPr>
                <w:rStyle w:val="IndexLink"/>
                <w:rtl w:val="true"/>
              </w:rPr>
              <w:tab/>
            </w:r>
            <w:r>
              <w:rPr>
                <w:rStyle w:val="IndexLink"/>
              </w:rPr>
              <w:t>465</w:t>
            </w:r>
          </w:hyperlink>
        </w:p>
        <w:p>
          <w:pPr>
            <w:pStyle w:val="Contents6"/>
            <w:tabs>
              <w:tab w:val="clear" w:pos="7609"/>
              <w:tab w:val="right" w:pos="9026" w:leader="dot"/>
            </w:tabs>
            <w:rPr/>
          </w:pPr>
          <w:hyperlink w:anchor="__RefHeading___Toc9531279_73709187">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9531281_73709187">
            <w:r>
              <w:rPr>
                <w:webHidden/>
                <w:rStyle w:val="IndexLink"/>
                <w:rtl w:val="true"/>
              </w:rPr>
              <w:t>تعوید الأطفال علی إقامة الصلاة</w:t>
            </w:r>
            <w:r>
              <w:rPr>
                <w:rStyle w:val="IndexLink"/>
                <w:rtl w:val="true"/>
              </w:rPr>
              <w:tab/>
            </w:r>
            <w:r>
              <w:rPr>
                <w:rStyle w:val="IndexLink"/>
              </w:rPr>
              <w:t>467</w:t>
            </w:r>
          </w:hyperlink>
        </w:p>
        <w:p>
          <w:pPr>
            <w:pStyle w:val="Contents5"/>
            <w:tabs>
              <w:tab w:val="clear" w:pos="7892"/>
              <w:tab w:val="right" w:pos="9026" w:leader="dot"/>
            </w:tabs>
            <w:rPr/>
          </w:pPr>
          <w:hyperlink w:anchor="__RefHeading___Toc9531283_73709187">
            <w:r>
              <w:rPr>
                <w:webHidden/>
                <w:rStyle w:val="IndexLink"/>
                <w:rtl w:val="true"/>
              </w:rPr>
              <w:t>ب</w:t>
            </w:r>
            <w:r>
              <w:rPr>
                <w:rStyle w:val="IndexLink"/>
                <w:rtl w:val="true"/>
              </w:rPr>
              <w:t xml:space="preserve">: </w:t>
            </w:r>
            <w:r>
              <w:rPr>
                <w:rStyle w:val="IndexLink"/>
                <w:rtl w:val="true"/>
              </w:rPr>
              <w:t>تعلیم الطهارة و الوضوء</w:t>
            </w:r>
            <w:r>
              <w:rPr>
                <w:rStyle w:val="IndexLink"/>
                <w:rtl w:val="true"/>
              </w:rPr>
              <w:tab/>
            </w:r>
            <w:r>
              <w:rPr>
                <w:rStyle w:val="IndexLink"/>
              </w:rPr>
              <w:t>469</w:t>
            </w:r>
          </w:hyperlink>
        </w:p>
        <w:p>
          <w:pPr>
            <w:pStyle w:val="Contents6"/>
            <w:tabs>
              <w:tab w:val="clear" w:pos="7609"/>
              <w:tab w:val="right" w:pos="9026" w:leader="dot"/>
            </w:tabs>
            <w:rPr/>
          </w:pPr>
          <w:hyperlink w:anchor="__RefHeading___Toc9531285_73709187">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9531287_73709187">
            <w:r>
              <w:rPr>
                <w:webHidden/>
                <w:rStyle w:val="IndexLink"/>
                <w:rtl w:val="true"/>
              </w:rPr>
              <w:t>فروع یلائم ذکرها فی المقام</w:t>
            </w:r>
            <w:r>
              <w:rPr>
                <w:rStyle w:val="IndexLink"/>
                <w:rtl w:val="true"/>
              </w:rPr>
              <w:t>:</w:t>
              <w:tab/>
            </w:r>
            <w:r>
              <w:rPr>
                <w:rStyle w:val="IndexLink"/>
              </w:rPr>
              <w:t>471</w:t>
            </w:r>
          </w:hyperlink>
        </w:p>
        <w:p>
          <w:pPr>
            <w:pStyle w:val="Contents6"/>
            <w:tabs>
              <w:tab w:val="clear" w:pos="7609"/>
              <w:tab w:val="right" w:pos="9026" w:leader="dot"/>
            </w:tabs>
            <w:rPr/>
          </w:pPr>
          <w:hyperlink w:anchor="__RefHeading___Toc9531289_73709187">
            <w:r>
              <w:rPr>
                <w:webHidden/>
                <w:rStyle w:val="IndexLink"/>
                <w:rtl w:val="true"/>
              </w:rPr>
              <w:t>الأوّل</w:t>
            </w:r>
            <w:r>
              <w:rPr>
                <w:rStyle w:val="IndexLink"/>
                <w:rtl w:val="true"/>
              </w:rPr>
              <w:t xml:space="preserve">: </w:t>
            </w:r>
            <w:r>
              <w:rPr>
                <w:rStyle w:val="IndexLink"/>
                <w:rtl w:val="true"/>
              </w:rPr>
              <w:t>یستحبّ تعوید الأطفال بإقامة الصلاة فی أوّل الوقت</w:t>
            </w:r>
            <w:r>
              <w:rPr>
                <w:rStyle w:val="IndexLink"/>
                <w:rtl w:val="true"/>
              </w:rPr>
              <w:tab/>
            </w:r>
            <w:r>
              <w:rPr>
                <w:rStyle w:val="IndexLink"/>
              </w:rPr>
              <w:t>471</w:t>
            </w:r>
          </w:hyperlink>
        </w:p>
        <w:p>
          <w:pPr>
            <w:pStyle w:val="Contents6"/>
            <w:tabs>
              <w:tab w:val="clear" w:pos="7609"/>
              <w:tab w:val="right" w:pos="9026" w:leader="dot"/>
            </w:tabs>
            <w:rPr/>
          </w:pPr>
          <w:hyperlink w:anchor="__RefHeading___Toc9531291_73709187">
            <w:r>
              <w:rPr>
                <w:webHidden/>
                <w:rStyle w:val="IndexLink"/>
                <w:rtl w:val="true"/>
              </w:rPr>
              <w:t>الثانی</w:t>
            </w:r>
            <w:r>
              <w:rPr>
                <w:rStyle w:val="IndexLink"/>
                <w:rtl w:val="true"/>
              </w:rPr>
              <w:t xml:space="preserve">: </w:t>
            </w:r>
            <w:r>
              <w:rPr>
                <w:rStyle w:val="IndexLink"/>
                <w:rtl w:val="true"/>
              </w:rPr>
              <w:t>یستحبّ تعوید الأطفال علی صلاة الجماعة و العید و الجمعة</w:t>
            </w:r>
            <w:r>
              <w:rPr>
                <w:rStyle w:val="IndexLink"/>
                <w:rtl w:val="true"/>
              </w:rPr>
              <w:tab/>
            </w:r>
            <w:r>
              <w:rPr>
                <w:rStyle w:val="IndexLink"/>
              </w:rPr>
              <w:t>471</w:t>
            </w:r>
          </w:hyperlink>
        </w:p>
        <w:p>
          <w:pPr>
            <w:pStyle w:val="Contents6"/>
            <w:tabs>
              <w:tab w:val="clear" w:pos="7609"/>
              <w:tab w:val="right" w:pos="9026" w:leader="dot"/>
            </w:tabs>
            <w:rPr/>
          </w:pPr>
          <w:hyperlink w:anchor="__RefHeading___Toc9531293_73709187">
            <w:r>
              <w:rPr>
                <w:webHidden/>
                <w:rStyle w:val="IndexLink"/>
                <w:rtl w:val="true"/>
              </w:rPr>
              <w:t>الثالث</w:t>
            </w:r>
            <w:r>
              <w:rPr>
                <w:rStyle w:val="IndexLink"/>
                <w:rtl w:val="true"/>
              </w:rPr>
              <w:t xml:space="preserve">: </w:t>
            </w:r>
            <w:r>
              <w:rPr>
                <w:rStyle w:val="IndexLink"/>
                <w:rtl w:val="true"/>
              </w:rPr>
              <w:t>یستحبّ تعوید الأطفال علی صلاة اللیل</w:t>
            </w:r>
            <w:r>
              <w:rPr>
                <w:rStyle w:val="IndexLink"/>
                <w:rtl w:val="true"/>
              </w:rPr>
              <w:tab/>
            </w:r>
            <w:r>
              <w:rPr>
                <w:rStyle w:val="IndexLink"/>
              </w:rPr>
              <w:t>472</w:t>
            </w:r>
          </w:hyperlink>
        </w:p>
        <w:p>
          <w:pPr>
            <w:pStyle w:val="Contents6"/>
            <w:tabs>
              <w:tab w:val="clear" w:pos="7609"/>
              <w:tab w:val="right" w:pos="9026" w:leader="dot"/>
            </w:tabs>
            <w:rPr/>
          </w:pPr>
          <w:hyperlink w:anchor="__RefHeading___Toc9531295_73709187">
            <w:r>
              <w:rPr>
                <w:webHidden/>
                <w:rStyle w:val="IndexLink"/>
                <w:rtl w:val="true"/>
              </w:rPr>
              <w:t>الرابع</w:t>
            </w:r>
            <w:r>
              <w:rPr>
                <w:rStyle w:val="IndexLink"/>
                <w:rtl w:val="true"/>
              </w:rPr>
              <w:t xml:space="preserve">: </w:t>
            </w:r>
            <w:r>
              <w:rPr>
                <w:rStyle w:val="IndexLink"/>
                <w:rtl w:val="true"/>
              </w:rPr>
              <w:t>قال فی العروة</w:t>
            </w:r>
            <w:r>
              <w:rPr>
                <w:rStyle w:val="IndexLink"/>
                <w:rtl w:val="true"/>
              </w:rPr>
              <w:t>: «</w:t>
            </w:r>
            <w:r>
              <w:rPr>
                <w:rStyle w:val="IndexLink"/>
                <w:rtl w:val="true"/>
              </w:rPr>
              <w:t>یستحبّ تمرین الممیّز من الأطفال علی قضاء ما فات</w:t>
            </w:r>
            <w:r>
              <w:rPr>
                <w:rStyle w:val="IndexLink"/>
                <w:rtl w:val="true"/>
              </w:rPr>
              <w:tab/>
            </w:r>
            <w:r>
              <w:rPr>
                <w:rStyle w:val="IndexLink"/>
              </w:rPr>
              <w:t>473</w:t>
            </w:r>
          </w:hyperlink>
        </w:p>
        <w:p>
          <w:pPr>
            <w:pStyle w:val="Contents5"/>
            <w:tabs>
              <w:tab w:val="clear" w:pos="7892"/>
              <w:tab w:val="right" w:pos="9026" w:leader="dot"/>
            </w:tabs>
            <w:rPr/>
          </w:pPr>
          <w:hyperlink w:anchor="__RefHeading___Toc9531297_73709187">
            <w:r>
              <w:rPr>
                <w:webHidden/>
                <w:rStyle w:val="IndexLink"/>
                <w:rtl w:val="true"/>
              </w:rPr>
              <w:t>ج</w:t>
            </w:r>
            <w:r>
              <w:rPr>
                <w:rStyle w:val="IndexLink"/>
                <w:rtl w:val="true"/>
              </w:rPr>
              <w:t xml:space="preserve">: </w:t>
            </w:r>
            <w:r>
              <w:rPr>
                <w:rStyle w:val="IndexLink"/>
                <w:rtl w:val="true"/>
              </w:rPr>
              <w:t>تعوید الأطفال علی الصوم</w:t>
            </w:r>
            <w:r>
              <w:rPr>
                <w:rStyle w:val="IndexLink"/>
                <w:rtl w:val="true"/>
              </w:rPr>
              <w:tab/>
            </w:r>
            <w:r>
              <w:rPr>
                <w:rStyle w:val="IndexLink"/>
              </w:rPr>
              <w:t>473</w:t>
            </w:r>
          </w:hyperlink>
        </w:p>
        <w:p>
          <w:pPr>
            <w:pStyle w:val="Contents5"/>
            <w:tabs>
              <w:tab w:val="clear" w:pos="7892"/>
              <w:tab w:val="right" w:pos="9026" w:leader="dot"/>
            </w:tabs>
            <w:rPr/>
          </w:pPr>
          <w:hyperlink w:anchor="__RefHeading___Toc9531299_73709187">
            <w:r>
              <w:rPr>
                <w:webHidden/>
                <w:rStyle w:val="IndexLink"/>
                <w:rtl w:val="true"/>
              </w:rPr>
              <w:t xml:space="preserve">د </w:t>
            </w:r>
            <w:r>
              <w:rPr>
                <w:rStyle w:val="IndexLink"/>
                <w:rtl w:val="true"/>
              </w:rPr>
              <w:t xml:space="preserve">- </w:t>
            </w:r>
            <w:r>
              <w:rPr>
                <w:rStyle w:val="IndexLink"/>
                <w:rtl w:val="true"/>
              </w:rPr>
              <w:t>ترغیب الأطفال علی الدعاء</w:t>
            </w:r>
            <w:r>
              <w:rPr>
                <w:rStyle w:val="IndexLink"/>
                <w:rtl w:val="true"/>
              </w:rPr>
              <w:tab/>
            </w:r>
            <w:r>
              <w:rPr>
                <w:rStyle w:val="IndexLink"/>
              </w:rPr>
              <w:t>475</w:t>
            </w:r>
          </w:hyperlink>
        </w:p>
        <w:p>
          <w:pPr>
            <w:pStyle w:val="Contents6"/>
            <w:tabs>
              <w:tab w:val="clear" w:pos="7609"/>
              <w:tab w:val="right" w:pos="9026" w:leader="dot"/>
            </w:tabs>
            <w:rPr/>
          </w:pPr>
          <w:hyperlink w:anchor="__RefHeading___Toc9531301_73709187">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9531303_73709187">
            <w:r>
              <w:rPr>
                <w:webHidden/>
                <w:rStyle w:val="IndexLink"/>
                <w:rtl w:val="true"/>
              </w:rPr>
              <w:t>الأولی</w:t>
            </w:r>
            <w:r>
              <w:rPr>
                <w:rStyle w:val="IndexLink"/>
                <w:rtl w:val="true"/>
              </w:rPr>
              <w:t xml:space="preserve">: </w:t>
            </w:r>
            <w:r>
              <w:rPr>
                <w:rStyle w:val="IndexLink"/>
                <w:rtl w:val="true"/>
              </w:rPr>
              <w:t>ترغیب الأطفال علی الدعاء مطلقاً</w:t>
            </w:r>
            <w:r>
              <w:rPr>
                <w:rStyle w:val="IndexLink"/>
                <w:rtl w:val="true"/>
              </w:rPr>
              <w:tab/>
            </w:r>
            <w:r>
              <w:rPr>
                <w:rStyle w:val="IndexLink"/>
              </w:rPr>
              <w:t>476</w:t>
            </w:r>
          </w:hyperlink>
        </w:p>
        <w:p>
          <w:pPr>
            <w:pStyle w:val="Contents6"/>
            <w:tabs>
              <w:tab w:val="clear" w:pos="7609"/>
              <w:tab w:val="right" w:pos="9026" w:leader="dot"/>
            </w:tabs>
            <w:rPr/>
          </w:pPr>
          <w:hyperlink w:anchor="__RefHeading___Toc9531305_73709187">
            <w:r>
              <w:rPr>
                <w:webHidden/>
                <w:rStyle w:val="IndexLink"/>
                <w:rtl w:val="true"/>
              </w:rPr>
              <w:t>الثانیة</w:t>
            </w:r>
            <w:r>
              <w:rPr>
                <w:rStyle w:val="IndexLink"/>
                <w:rtl w:val="true"/>
              </w:rPr>
              <w:t xml:space="preserve">: </w:t>
            </w:r>
            <w:r>
              <w:rPr>
                <w:rStyle w:val="IndexLink"/>
                <w:rtl w:val="true"/>
              </w:rPr>
              <w:t>تعلیم القنوت و الدعاء عقیب الصلاة</w:t>
            </w:r>
            <w:r>
              <w:rPr>
                <w:rStyle w:val="IndexLink"/>
                <w:rtl w:val="true"/>
              </w:rPr>
              <w:tab/>
            </w:r>
            <w:r>
              <w:rPr>
                <w:rStyle w:val="IndexLink"/>
              </w:rPr>
              <w:t>477</w:t>
            </w:r>
          </w:hyperlink>
        </w:p>
        <w:p>
          <w:pPr>
            <w:pStyle w:val="Contents6"/>
            <w:tabs>
              <w:tab w:val="clear" w:pos="7609"/>
              <w:tab w:val="right" w:pos="9026" w:leader="dot"/>
            </w:tabs>
            <w:rPr/>
          </w:pPr>
          <w:hyperlink w:anchor="__RefHeading___Toc9531307_73709187">
            <w:r>
              <w:rPr>
                <w:webHidden/>
                <w:rStyle w:val="IndexLink"/>
                <w:rtl w:val="true"/>
              </w:rPr>
              <w:t>الثالثة</w:t>
            </w:r>
            <w:r>
              <w:rPr>
                <w:rStyle w:val="IndexLink"/>
                <w:rtl w:val="true"/>
              </w:rPr>
              <w:t xml:space="preserve">: </w:t>
            </w:r>
            <w:r>
              <w:rPr>
                <w:rStyle w:val="IndexLink"/>
                <w:rtl w:val="true"/>
              </w:rPr>
              <w:t>تعوید الأطفال علی تسبیح فاطمة علیها السلام</w:t>
            </w:r>
            <w:r>
              <w:rPr>
                <w:rStyle w:val="IndexLink"/>
                <w:rtl w:val="true"/>
              </w:rPr>
              <w:tab/>
            </w:r>
            <w:r>
              <w:rPr>
                <w:rStyle w:val="IndexLink"/>
              </w:rPr>
              <w:t>478</w:t>
            </w:r>
          </w:hyperlink>
        </w:p>
        <w:p>
          <w:pPr>
            <w:pStyle w:val="Contents6"/>
            <w:tabs>
              <w:tab w:val="clear" w:pos="7609"/>
              <w:tab w:val="right" w:pos="9026" w:leader="dot"/>
            </w:tabs>
            <w:rPr/>
          </w:pPr>
          <w:hyperlink w:anchor="__RefHeading___Toc9531309_73709187">
            <w:r>
              <w:rPr>
                <w:webHidden/>
                <w:rStyle w:val="IndexLink"/>
                <w:rtl w:val="true"/>
              </w:rPr>
              <w:t>الرابعة</w:t>
            </w:r>
            <w:r>
              <w:rPr>
                <w:rStyle w:val="IndexLink"/>
                <w:rtl w:val="true"/>
              </w:rPr>
              <w:t xml:space="preserve">: </w:t>
            </w:r>
            <w:r>
              <w:rPr>
                <w:rStyle w:val="IndexLink"/>
                <w:rtl w:val="true"/>
              </w:rPr>
              <w:t>تعویدهم إحیاء لیلة القدر و سائر اللیالی المتبرّکة</w:t>
            </w:r>
            <w:r>
              <w:rPr>
                <w:rStyle w:val="IndexLink"/>
                <w:rtl w:val="true"/>
              </w:rPr>
              <w:tab/>
            </w:r>
            <w:r>
              <w:rPr>
                <w:rStyle w:val="IndexLink"/>
              </w:rPr>
              <w:t>478</w:t>
            </w:r>
          </w:hyperlink>
        </w:p>
        <w:p>
          <w:pPr>
            <w:pStyle w:val="Contents5"/>
            <w:tabs>
              <w:tab w:val="clear" w:pos="7892"/>
              <w:tab w:val="right" w:pos="9026" w:leader="dot"/>
            </w:tabs>
            <w:rPr/>
          </w:pPr>
          <w:hyperlink w:anchor="__RefHeading___Toc9531311_73709187">
            <w:r>
              <w:rPr>
                <w:webHidden/>
                <w:rStyle w:val="IndexLink"/>
                <w:rtl w:val="true"/>
              </w:rPr>
              <w:t>التنبیه علی أمرین</w:t>
            </w:r>
            <w:r>
              <w:rPr>
                <w:rStyle w:val="IndexLink"/>
                <w:rtl w:val="true"/>
              </w:rPr>
              <w:t>:</w:t>
              <w:tab/>
            </w:r>
            <w:r>
              <w:rPr>
                <w:rStyle w:val="IndexLink"/>
              </w:rPr>
              <w:t>478</w:t>
            </w:r>
          </w:hyperlink>
        </w:p>
        <w:p>
          <w:pPr>
            <w:pStyle w:val="Contents6"/>
            <w:tabs>
              <w:tab w:val="clear" w:pos="7609"/>
              <w:tab w:val="right" w:pos="9026" w:leader="dot"/>
            </w:tabs>
            <w:rPr/>
          </w:pPr>
          <w:hyperlink w:anchor="__RefHeading___Toc9531313_73709187">
            <w:r>
              <w:rPr>
                <w:webHidden/>
                <w:rStyle w:val="IndexLink"/>
                <w:rtl w:val="true"/>
              </w:rPr>
              <w:t>الأوّل</w:t>
            </w:r>
            <w:r>
              <w:rPr>
                <w:rStyle w:val="IndexLink"/>
                <w:rtl w:val="true"/>
              </w:rPr>
              <w:t xml:space="preserve">: </w:t>
            </w:r>
            <w:r>
              <w:rPr>
                <w:rStyle w:val="IndexLink"/>
                <w:rtl w:val="true"/>
              </w:rPr>
              <w:t>عدم جواز تحمیل العبادات علی الصبی فوق طاقته</w:t>
            </w:r>
            <w:r>
              <w:rPr>
                <w:rStyle w:val="IndexLink"/>
                <w:rtl w:val="true"/>
              </w:rPr>
              <w:tab/>
            </w:r>
            <w:r>
              <w:rPr>
                <w:rStyle w:val="IndexLink"/>
              </w:rPr>
              <w:t>478</w:t>
            </w:r>
          </w:hyperlink>
        </w:p>
        <w:p>
          <w:pPr>
            <w:pStyle w:val="Contents6"/>
            <w:tabs>
              <w:tab w:val="clear" w:pos="7609"/>
              <w:tab w:val="right" w:pos="9026" w:leader="dot"/>
            </w:tabs>
            <w:rPr/>
          </w:pPr>
          <w:hyperlink w:anchor="__RefHeading___Toc9531315_73709187">
            <w:r>
              <w:rPr>
                <w:webHidden/>
                <w:rStyle w:val="IndexLink"/>
                <w:rtl w:val="true"/>
              </w:rPr>
              <w:t>الأمر الثانی</w:t>
            </w:r>
            <w:r>
              <w:rPr>
                <w:rStyle w:val="IndexLink"/>
                <w:rtl w:val="true"/>
              </w:rPr>
              <w:t xml:space="preserve">: </w:t>
            </w:r>
            <w:r>
              <w:rPr>
                <w:rStyle w:val="IndexLink"/>
                <w:rtl w:val="true"/>
              </w:rPr>
              <w:t>استحباب دعاء الوالدین لأطفالهم</w:t>
            </w:r>
            <w:r>
              <w:rPr>
                <w:rStyle w:val="IndexLink"/>
                <w:rtl w:val="true"/>
              </w:rPr>
              <w:tab/>
            </w:r>
            <w:r>
              <w:rPr>
                <w:rStyle w:val="IndexLink"/>
              </w:rPr>
              <w:t>481</w:t>
            </w:r>
          </w:hyperlink>
        </w:p>
        <w:p>
          <w:pPr>
            <w:pStyle w:val="Contents4"/>
            <w:tabs>
              <w:tab w:val="clear" w:pos="8176"/>
              <w:tab w:val="right" w:pos="9026" w:leader="dot"/>
            </w:tabs>
            <w:rPr/>
          </w:pPr>
          <w:hyperlink w:anchor="__RefHeading___Toc9531317_73709187">
            <w:r>
              <w:rPr>
                <w:webHidden/>
                <w:rStyle w:val="IndexLink"/>
                <w:rtl w:val="true"/>
              </w:rPr>
              <w:t>المبحث الثالث</w:t>
            </w:r>
            <w:r>
              <w:rPr>
                <w:rStyle w:val="IndexLink"/>
                <w:rtl w:val="true"/>
              </w:rPr>
              <w:t xml:space="preserve">: </w:t>
            </w:r>
            <w:r>
              <w:rPr>
                <w:rStyle w:val="IndexLink"/>
                <w:rtl w:val="true"/>
              </w:rPr>
              <w:t>تعلیم الأطفال العلوم و الأحکام</w:t>
            </w:r>
            <w:r>
              <w:rPr>
                <w:rStyle w:val="IndexLink"/>
                <w:rtl w:val="true"/>
              </w:rPr>
              <w:tab/>
            </w:r>
            <w:r>
              <w:rPr>
                <w:rStyle w:val="IndexLink"/>
              </w:rPr>
              <w:t>485</w:t>
            </w:r>
          </w:hyperlink>
        </w:p>
        <w:p>
          <w:pPr>
            <w:pStyle w:val="Contents5"/>
            <w:tabs>
              <w:tab w:val="clear" w:pos="7892"/>
              <w:tab w:val="right" w:pos="9026" w:leader="dot"/>
            </w:tabs>
            <w:rPr/>
          </w:pPr>
          <w:hyperlink w:anchor="__RefHeading___Toc9531319_7370918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9531321_73709187">
            <w:r>
              <w:rPr>
                <w:webHidden/>
                <w:rStyle w:val="IndexLink"/>
                <w:rtl w:val="true"/>
              </w:rPr>
              <w:t>استحباب تعلیم السبق و الرمایة و السباحة خاصّة</w:t>
            </w:r>
            <w:r>
              <w:rPr>
                <w:rStyle w:val="IndexLink"/>
                <w:rtl w:val="true"/>
              </w:rPr>
              <w:tab/>
            </w:r>
            <w:r>
              <w:rPr>
                <w:rStyle w:val="IndexLink"/>
              </w:rPr>
              <w:t>487</w:t>
            </w:r>
          </w:hyperlink>
        </w:p>
        <w:p>
          <w:pPr>
            <w:pStyle w:val="Contents5"/>
            <w:tabs>
              <w:tab w:val="clear" w:pos="7892"/>
              <w:tab w:val="right" w:pos="9026" w:leader="dot"/>
            </w:tabs>
            <w:rPr/>
          </w:pPr>
          <w:hyperlink w:anchor="__RefHeading___Toc9531323_73709187">
            <w:r>
              <w:rPr>
                <w:webHidden/>
                <w:rStyle w:val="IndexLink"/>
                <w:rtl w:val="true"/>
              </w:rPr>
              <w:t>کراهیّة تعلیم بعض المکاسب و الحرف</w:t>
            </w:r>
            <w:r>
              <w:rPr>
                <w:rStyle w:val="IndexLink"/>
                <w:rtl w:val="true"/>
              </w:rPr>
              <w:tab/>
            </w:r>
            <w:r>
              <w:rPr>
                <w:rStyle w:val="IndexLink"/>
              </w:rPr>
              <w:t>490</w:t>
            </w:r>
          </w:hyperlink>
        </w:p>
        <w:p>
          <w:pPr>
            <w:pStyle w:val="Contents4"/>
            <w:tabs>
              <w:tab w:val="clear" w:pos="8176"/>
              <w:tab w:val="right" w:pos="9026" w:leader="dot"/>
            </w:tabs>
            <w:rPr/>
          </w:pPr>
          <w:hyperlink w:anchor="__RefHeading___Toc9531325_73709187">
            <w:r>
              <w:rPr>
                <w:webHidden/>
                <w:rStyle w:val="IndexLink"/>
                <w:rtl w:val="true"/>
              </w:rPr>
              <w:t>المبحث الرابع</w:t>
            </w:r>
            <w:r>
              <w:rPr>
                <w:rStyle w:val="IndexLink"/>
                <w:rtl w:val="true"/>
              </w:rPr>
              <w:t>:</w:t>
              <w:tab/>
            </w:r>
            <w:r>
              <w:rPr>
                <w:rStyle w:val="IndexLink"/>
              </w:rPr>
              <w:t>492</w:t>
            </w:r>
          </w:hyperlink>
        </w:p>
        <w:p>
          <w:pPr>
            <w:pStyle w:val="Contents5"/>
            <w:tabs>
              <w:tab w:val="clear" w:pos="7892"/>
              <w:tab w:val="right" w:pos="9026" w:leader="dot"/>
            </w:tabs>
            <w:rPr/>
          </w:pPr>
          <w:hyperlink w:anchor="__RefHeading___Toc9531327_7370918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9531329_73709187">
            <w:r>
              <w:rPr>
                <w:webHidden/>
                <w:rStyle w:val="IndexLink"/>
                <w:rtl w:val="true"/>
              </w:rPr>
              <w:t>أ</w:t>
            </w:r>
            <w:r>
              <w:rPr>
                <w:rStyle w:val="IndexLink"/>
                <w:rtl w:val="true"/>
              </w:rPr>
              <w:t xml:space="preserve">: </w:t>
            </w:r>
            <w:r>
              <w:rPr>
                <w:rStyle w:val="IndexLink"/>
                <w:rtl w:val="true"/>
              </w:rPr>
              <w:t>الصدق</w:t>
            </w:r>
            <w:r>
              <w:rPr>
                <w:rStyle w:val="IndexLink"/>
                <w:rtl w:val="true"/>
              </w:rPr>
              <w:tab/>
            </w:r>
            <w:r>
              <w:rPr>
                <w:rStyle w:val="IndexLink"/>
              </w:rPr>
              <w:t>492</w:t>
            </w:r>
          </w:hyperlink>
        </w:p>
        <w:p>
          <w:pPr>
            <w:pStyle w:val="Contents5"/>
            <w:tabs>
              <w:tab w:val="clear" w:pos="7892"/>
              <w:tab w:val="right" w:pos="9026" w:leader="dot"/>
            </w:tabs>
            <w:rPr/>
          </w:pPr>
          <w:hyperlink w:anchor="__RefHeading___Toc9531331_73709187">
            <w:r>
              <w:rPr>
                <w:webHidden/>
                <w:rStyle w:val="IndexLink"/>
                <w:rtl w:val="true"/>
              </w:rPr>
              <w:t>ب</w:t>
            </w:r>
            <w:r>
              <w:rPr>
                <w:rStyle w:val="IndexLink"/>
                <w:rtl w:val="true"/>
              </w:rPr>
              <w:t xml:space="preserve">: </w:t>
            </w:r>
            <w:r>
              <w:rPr>
                <w:rStyle w:val="IndexLink"/>
                <w:rtl w:val="true"/>
              </w:rPr>
              <w:t>الوفاء بالعهد</w:t>
            </w:r>
            <w:r>
              <w:rPr>
                <w:rStyle w:val="IndexLink"/>
                <w:rtl w:val="true"/>
              </w:rPr>
              <w:tab/>
            </w:r>
            <w:r>
              <w:rPr>
                <w:rStyle w:val="IndexLink"/>
              </w:rPr>
              <w:t>494</w:t>
            </w:r>
          </w:hyperlink>
        </w:p>
        <w:p>
          <w:pPr>
            <w:pStyle w:val="Contents5"/>
            <w:tabs>
              <w:tab w:val="clear" w:pos="7892"/>
              <w:tab w:val="right" w:pos="9026" w:leader="dot"/>
            </w:tabs>
            <w:rPr/>
          </w:pPr>
          <w:hyperlink w:anchor="__RefHeading___Toc9531333_73709187">
            <w:r>
              <w:rPr>
                <w:webHidden/>
                <w:rStyle w:val="IndexLink"/>
                <w:rtl w:val="true"/>
              </w:rPr>
              <w:t>ج</w:t>
            </w:r>
            <w:r>
              <w:rPr>
                <w:rStyle w:val="IndexLink"/>
                <w:rtl w:val="true"/>
              </w:rPr>
              <w:t xml:space="preserve">: </w:t>
            </w:r>
            <w:r>
              <w:rPr>
                <w:rStyle w:val="IndexLink"/>
                <w:rtl w:val="true"/>
              </w:rPr>
              <w:t>أداء الأمانة</w:t>
            </w:r>
            <w:r>
              <w:rPr>
                <w:rStyle w:val="IndexLink"/>
                <w:rtl w:val="true"/>
              </w:rPr>
              <w:tab/>
            </w:r>
            <w:r>
              <w:rPr>
                <w:rStyle w:val="IndexLink"/>
              </w:rPr>
              <w:t>496</w:t>
            </w:r>
          </w:hyperlink>
        </w:p>
        <w:p>
          <w:pPr>
            <w:pStyle w:val="Contents5"/>
            <w:tabs>
              <w:tab w:val="clear" w:pos="7892"/>
              <w:tab w:val="right" w:pos="9026" w:leader="dot"/>
            </w:tabs>
            <w:rPr/>
          </w:pPr>
          <w:hyperlink w:anchor="__RefHeading___Toc9531335_73709187">
            <w:r>
              <w:rPr>
                <w:webHidden/>
                <w:rStyle w:val="IndexLink"/>
                <w:rtl w:val="true"/>
              </w:rPr>
              <w:t>د</w:t>
            </w:r>
            <w:r>
              <w:rPr>
                <w:rStyle w:val="IndexLink"/>
                <w:rtl w:val="true"/>
              </w:rPr>
              <w:t xml:space="preserve">: </w:t>
            </w:r>
            <w:r>
              <w:rPr>
                <w:rStyle w:val="IndexLink"/>
                <w:rtl w:val="true"/>
              </w:rPr>
              <w:t>التحذیر من المقابلة فی الإساءة</w:t>
            </w:r>
            <w:r>
              <w:rPr>
                <w:rStyle w:val="IndexLink"/>
                <w:rtl w:val="true"/>
              </w:rPr>
              <w:tab/>
            </w:r>
            <w:r>
              <w:rPr>
                <w:rStyle w:val="IndexLink"/>
              </w:rPr>
              <w:t>497</w:t>
            </w:r>
          </w:hyperlink>
        </w:p>
        <w:p>
          <w:pPr>
            <w:pStyle w:val="Contents5"/>
            <w:tabs>
              <w:tab w:val="clear" w:pos="7892"/>
              <w:tab w:val="right" w:pos="9026" w:leader="dot"/>
            </w:tabs>
            <w:rPr/>
          </w:pPr>
          <w:hyperlink w:anchor="__RefHeading___Toc9531337_73709187">
            <w:r>
              <w:rPr>
                <w:webHidden/>
                <w:rStyle w:val="IndexLink"/>
                <w:rtl w:val="true"/>
              </w:rPr>
              <w:t>ه</w:t>
            </w:r>
            <w:r>
              <w:rPr>
                <w:rStyle w:val="IndexLink"/>
                <w:rtl w:val="true"/>
              </w:rPr>
              <w:t xml:space="preserve">: </w:t>
            </w:r>
            <w:r>
              <w:rPr>
                <w:rStyle w:val="IndexLink"/>
                <w:rtl w:val="true"/>
              </w:rPr>
              <w:t>الصدقة و إنفاق المال</w:t>
            </w:r>
            <w:r>
              <w:rPr>
                <w:rStyle w:val="IndexLink"/>
                <w:rtl w:val="true"/>
              </w:rPr>
              <w:tab/>
            </w:r>
            <w:r>
              <w:rPr>
                <w:rStyle w:val="IndexLink"/>
              </w:rPr>
              <w:t>497</w:t>
            </w:r>
          </w:hyperlink>
        </w:p>
        <w:p>
          <w:pPr>
            <w:pStyle w:val="Contents5"/>
            <w:tabs>
              <w:tab w:val="clear" w:pos="7892"/>
              <w:tab w:val="right" w:pos="9026" w:leader="dot"/>
            </w:tabs>
            <w:rPr/>
          </w:pPr>
          <w:hyperlink w:anchor="__RefHeading___Toc9531339_73709187">
            <w:r>
              <w:rPr>
                <w:webHidden/>
                <w:rStyle w:val="IndexLink"/>
                <w:rtl w:val="true"/>
              </w:rPr>
              <w:t>و</w:t>
            </w:r>
            <w:r>
              <w:rPr>
                <w:rStyle w:val="IndexLink"/>
                <w:rtl w:val="true"/>
              </w:rPr>
              <w:t xml:space="preserve">: </w:t>
            </w:r>
            <w:r>
              <w:rPr>
                <w:rStyle w:val="IndexLink"/>
                <w:rtl w:val="true"/>
              </w:rPr>
              <w:t>العفاف</w:t>
            </w:r>
            <w:r>
              <w:rPr>
                <w:rStyle w:val="IndexLink"/>
                <w:rtl w:val="true"/>
              </w:rPr>
              <w:tab/>
            </w:r>
            <w:r>
              <w:rPr>
                <w:rStyle w:val="IndexLink"/>
              </w:rPr>
              <w:t>499</w:t>
            </w:r>
          </w:hyperlink>
        </w:p>
        <w:p>
          <w:pPr>
            <w:pStyle w:val="Contents6"/>
            <w:tabs>
              <w:tab w:val="clear" w:pos="7609"/>
              <w:tab w:val="right" w:pos="9026" w:leader="dot"/>
            </w:tabs>
            <w:rPr/>
          </w:pPr>
          <w:hyperlink w:anchor="__RefHeading___Toc9531341_73709187">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9531343_73709187">
            <w:r>
              <w:rPr>
                <w:webHidden/>
                <w:rStyle w:val="IndexLink"/>
                <w:rtl w:val="true"/>
              </w:rPr>
              <w:t>أ</w:t>
            </w:r>
            <w:r>
              <w:rPr>
                <w:rStyle w:val="IndexLink"/>
                <w:rtl w:val="true"/>
              </w:rPr>
              <w:t xml:space="preserve">: </w:t>
            </w:r>
            <w:r>
              <w:rPr>
                <w:rStyle w:val="IndexLink"/>
                <w:rtl w:val="true"/>
              </w:rPr>
              <w:t>التفریق فی المضاجع</w:t>
            </w:r>
            <w:r>
              <w:rPr>
                <w:rStyle w:val="IndexLink"/>
                <w:rtl w:val="true"/>
              </w:rPr>
              <w:tab/>
            </w:r>
            <w:r>
              <w:rPr>
                <w:rStyle w:val="IndexLink"/>
              </w:rPr>
              <w:t>500</w:t>
            </w:r>
          </w:hyperlink>
        </w:p>
        <w:p>
          <w:pPr>
            <w:pStyle w:val="Contents6"/>
            <w:tabs>
              <w:tab w:val="clear" w:pos="7609"/>
              <w:tab w:val="right" w:pos="9026" w:leader="dot"/>
            </w:tabs>
            <w:rPr/>
          </w:pPr>
          <w:hyperlink w:anchor="__RefHeading___Toc9531345_73709187">
            <w:r>
              <w:rPr>
                <w:webHidden/>
                <w:rStyle w:val="IndexLink"/>
                <w:rtl w:val="true"/>
              </w:rPr>
              <w:t>ب</w:t>
            </w:r>
            <w:r>
              <w:rPr>
                <w:rStyle w:val="IndexLink"/>
                <w:rtl w:val="true"/>
              </w:rPr>
              <w:t xml:space="preserve">: </w:t>
            </w:r>
            <w:r>
              <w:rPr>
                <w:rStyle w:val="IndexLink"/>
                <w:rtl w:val="true"/>
              </w:rPr>
              <w:t>النهی عن مباشرة الرجل زوجته بمرأی الصبی</w:t>
            </w:r>
            <w:r>
              <w:rPr>
                <w:rStyle w:val="IndexLink"/>
                <w:rtl w:val="true"/>
              </w:rPr>
              <w:tab/>
            </w:r>
            <w:r>
              <w:rPr>
                <w:rStyle w:val="IndexLink"/>
              </w:rPr>
              <w:t>503</w:t>
            </w:r>
          </w:hyperlink>
        </w:p>
        <w:p>
          <w:pPr>
            <w:pStyle w:val="Contents3"/>
            <w:tabs>
              <w:tab w:val="clear" w:pos="8459"/>
              <w:tab w:val="right" w:pos="9026" w:leader="dot"/>
            </w:tabs>
            <w:rPr/>
          </w:pPr>
          <w:hyperlink w:anchor="__RefHeading___Toc9531347_73709187">
            <w:r>
              <w:rPr>
                <w:webHidden/>
                <w:rStyle w:val="IndexLink"/>
                <w:rtl w:val="true"/>
              </w:rPr>
              <w:t>الفصل الرابع</w:t>
            </w:r>
            <w:r>
              <w:rPr>
                <w:rStyle w:val="IndexLink"/>
                <w:rtl w:val="true"/>
              </w:rPr>
              <w:t xml:space="preserve">: </w:t>
            </w:r>
            <w:r>
              <w:rPr>
                <w:rStyle w:val="IndexLink"/>
                <w:rtl w:val="true"/>
              </w:rPr>
              <w:t>تعلیم الأطفال و تربیتهم بالآداب الحسنة المتنوّعة</w:t>
            </w:r>
            <w:r>
              <w:rPr>
                <w:rStyle w:val="IndexLink"/>
                <w:rtl w:val="true"/>
              </w:rPr>
              <w:tab/>
            </w:r>
            <w:r>
              <w:rPr>
                <w:rStyle w:val="IndexLink"/>
              </w:rPr>
              <w:t>507</w:t>
            </w:r>
          </w:hyperlink>
        </w:p>
        <w:p>
          <w:pPr>
            <w:pStyle w:val="Contents4"/>
            <w:tabs>
              <w:tab w:val="clear" w:pos="8176"/>
              <w:tab w:val="right" w:pos="9026" w:leader="dot"/>
            </w:tabs>
            <w:rPr/>
          </w:pPr>
          <w:hyperlink w:anchor="__RefHeading___Toc9531349_73709187">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9531351_73709187">
            <w:r>
              <w:rPr>
                <w:webHidden/>
                <w:rStyle w:val="IndexLink"/>
                <w:rtl w:val="true"/>
              </w:rPr>
              <w:t>المبحث الأوّل</w:t>
            </w:r>
            <w:r>
              <w:rPr>
                <w:rStyle w:val="IndexLink"/>
                <w:rtl w:val="true"/>
              </w:rPr>
              <w:t xml:space="preserve">: </w:t>
            </w:r>
            <w:r>
              <w:rPr>
                <w:rStyle w:val="IndexLink"/>
                <w:rtl w:val="true"/>
              </w:rPr>
              <w:t>آداب الاستئذان</w:t>
            </w:r>
            <w:r>
              <w:rPr>
                <w:rStyle w:val="IndexLink"/>
                <w:rtl w:val="true"/>
              </w:rPr>
              <w:tab/>
            </w:r>
            <w:r>
              <w:rPr>
                <w:rStyle w:val="IndexLink"/>
              </w:rPr>
              <w:t>507</w:t>
            </w:r>
          </w:hyperlink>
        </w:p>
        <w:p>
          <w:pPr>
            <w:pStyle w:val="Contents5"/>
            <w:tabs>
              <w:tab w:val="clear" w:pos="7892"/>
              <w:tab w:val="right" w:pos="9026" w:leader="dot"/>
            </w:tabs>
            <w:rPr/>
          </w:pPr>
          <w:hyperlink w:anchor="__RefHeading___Toc9531353_7370918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9531355_73709187">
            <w:r>
              <w:rPr>
                <w:webHidden/>
                <w:rStyle w:val="IndexLink"/>
                <w:rtl w:val="true"/>
              </w:rPr>
              <w:t>و یدلّ علیه الآیات و الروایات</w:t>
            </w:r>
            <w:r>
              <w:rPr>
                <w:rStyle w:val="IndexLink"/>
                <w:rtl w:val="true"/>
              </w:rPr>
              <w:t>:</w:t>
              <w:tab/>
            </w:r>
            <w:r>
              <w:rPr>
                <w:rStyle w:val="IndexLink"/>
              </w:rPr>
              <w:t>508</w:t>
            </w:r>
          </w:hyperlink>
        </w:p>
        <w:p>
          <w:pPr>
            <w:pStyle w:val="Contents6"/>
            <w:tabs>
              <w:tab w:val="clear" w:pos="7609"/>
              <w:tab w:val="right" w:pos="9026" w:leader="dot"/>
            </w:tabs>
            <w:rPr/>
          </w:pPr>
          <w:hyperlink w:anchor="__RefHeading___Toc9531357_73709187">
            <w:r>
              <w:rPr>
                <w:webHidden/>
                <w:rStyle w:val="IndexLink"/>
                <w:rtl w:val="true"/>
              </w:rPr>
              <w:t>أمّا الآیات</w:t>
            </w:r>
            <w:r>
              <w:rPr>
                <w:rStyle w:val="IndexLink"/>
                <w:rtl w:val="true"/>
              </w:rPr>
              <w:t>:</w:t>
              <w:tab/>
            </w:r>
            <w:r>
              <w:rPr>
                <w:rStyle w:val="IndexLink"/>
              </w:rPr>
              <w:t>508</w:t>
            </w:r>
          </w:hyperlink>
        </w:p>
        <w:p>
          <w:pPr>
            <w:pStyle w:val="Contents6"/>
            <w:tabs>
              <w:tab w:val="clear" w:pos="7609"/>
              <w:tab w:val="right" w:pos="9026" w:leader="dot"/>
            </w:tabs>
            <w:rPr/>
          </w:pPr>
          <w:hyperlink w:anchor="__RefHeading___Toc9531359_73709187">
            <w:r>
              <w:rPr>
                <w:webHidden/>
                <w:rStyle w:val="IndexLink"/>
                <w:rtl w:val="true"/>
              </w:rPr>
              <w:t>فی هذه الآیة حکمان</w:t>
            </w:r>
            <w:r>
              <w:rPr>
                <w:rStyle w:val="IndexLink"/>
                <w:rtl w:val="true"/>
              </w:rPr>
              <w:t>:</w:t>
              <w:tab/>
            </w:r>
            <w:r>
              <w:rPr>
                <w:rStyle w:val="IndexLink"/>
              </w:rPr>
              <w:t>509</w:t>
            </w:r>
          </w:hyperlink>
        </w:p>
        <w:p>
          <w:pPr>
            <w:pStyle w:val="Contents6"/>
            <w:tabs>
              <w:tab w:val="clear" w:pos="7609"/>
              <w:tab w:val="right" w:pos="9026" w:leader="dot"/>
            </w:tabs>
            <w:rPr/>
          </w:pPr>
          <w:hyperlink w:anchor="__RefHeading___Toc9531361_73709187">
            <w:r>
              <w:rPr>
                <w:webHidden/>
                <w:rStyle w:val="IndexLink"/>
                <w:rtl w:val="true"/>
              </w:rPr>
              <w:t>أمّا الأوّل</w:t>
            </w:r>
            <w:r>
              <w:rPr>
                <w:rStyle w:val="IndexLink"/>
                <w:rtl w:val="true"/>
              </w:rPr>
              <w:t xml:space="preserve">: </w:t>
            </w:r>
            <w:r>
              <w:rPr>
                <w:rStyle w:val="IndexLink"/>
                <w:rtl w:val="true"/>
              </w:rPr>
              <w:t>قال فی مجمع البیان</w:t>
            </w:r>
            <w:r>
              <w:rPr>
                <w:rStyle w:val="IndexLink"/>
                <w:rtl w:val="true"/>
              </w:rPr>
              <w:t>: «</w:t>
            </w:r>
            <w:r>
              <w:rPr>
                <w:rStyle w:val="IndexLink"/>
                <w:rtl w:val="true"/>
              </w:rPr>
              <w:t>معناه مروا عبیدکم و إماءکم أن یستأذنوا علیکم</w:t>
            </w:r>
            <w:r>
              <w:rPr>
                <w:rStyle w:val="IndexLink"/>
                <w:rtl w:val="true"/>
              </w:rPr>
              <w:tab/>
            </w:r>
            <w:r>
              <w:rPr>
                <w:rStyle w:val="IndexLink"/>
              </w:rPr>
              <w:t>509</w:t>
            </w:r>
          </w:hyperlink>
        </w:p>
        <w:p>
          <w:pPr>
            <w:pStyle w:val="Contents6"/>
            <w:tabs>
              <w:tab w:val="clear" w:pos="7609"/>
              <w:tab w:val="right" w:pos="9026" w:leader="dot"/>
            </w:tabs>
            <w:rPr/>
          </w:pPr>
          <w:hyperlink w:anchor="__RefHeading___Toc9531363_73709187">
            <w:r>
              <w:rPr>
                <w:webHidden/>
                <w:rStyle w:val="IndexLink"/>
                <w:rtl w:val="true"/>
              </w:rPr>
              <w:t xml:space="preserve">و أمّا الحکم الثانی </w:t>
            </w:r>
            <w:r>
              <w:rPr>
                <w:rStyle w:val="IndexLink"/>
                <w:rtl w:val="true"/>
              </w:rPr>
              <w:t xml:space="preserve">- </w:t>
            </w:r>
            <w:r>
              <w:rPr>
                <w:rStyle w:val="IndexLink"/>
                <w:rtl w:val="true"/>
              </w:rPr>
              <w:t>أی الاستئذان بالنسبة إلی من لم یبلغ الحلم</w:t>
            </w:r>
            <w:r>
              <w:rPr>
                <w:rStyle w:val="IndexLink"/>
                <w:rtl w:val="true"/>
              </w:rPr>
              <w:tab/>
            </w:r>
            <w:r>
              <w:rPr>
                <w:rStyle w:val="IndexLink"/>
              </w:rPr>
              <w:t>510</w:t>
            </w:r>
          </w:hyperlink>
        </w:p>
        <w:p>
          <w:pPr>
            <w:pStyle w:val="Contents6"/>
            <w:tabs>
              <w:tab w:val="clear" w:pos="7609"/>
              <w:tab w:val="right" w:pos="9026" w:leader="dot"/>
            </w:tabs>
            <w:rPr/>
          </w:pPr>
          <w:hyperlink w:anchor="__RefHeading___Toc9531365_73709187">
            <w:r>
              <w:rPr>
                <w:webHidden/>
                <w:rStyle w:val="IndexLink"/>
                <w:rtl w:val="true"/>
              </w:rPr>
              <w:t>و أمّا الروایات</w:t>
            </w:r>
            <w:r>
              <w:rPr>
                <w:rStyle w:val="IndexLink"/>
                <w:rtl w:val="true"/>
              </w:rPr>
              <w:t>:</w:t>
              <w:tab/>
            </w:r>
            <w:r>
              <w:rPr>
                <w:rStyle w:val="IndexLink"/>
              </w:rPr>
              <w:t>514</w:t>
            </w:r>
          </w:hyperlink>
        </w:p>
        <w:p>
          <w:pPr>
            <w:pStyle w:val="Contents5"/>
            <w:tabs>
              <w:tab w:val="clear" w:pos="7892"/>
              <w:tab w:val="right" w:pos="9026" w:leader="dot"/>
            </w:tabs>
            <w:rPr/>
          </w:pPr>
          <w:hyperlink w:anchor="__RefHeading___Toc9531367_73709187">
            <w:r>
              <w:rPr>
                <w:webHidden/>
                <w:rStyle w:val="IndexLink"/>
                <w:rtl w:val="true"/>
              </w:rPr>
              <w:t>آراء أهل السُنّة فی المقام</w:t>
            </w:r>
            <w:r>
              <w:rPr>
                <w:rStyle w:val="IndexLink"/>
                <w:rtl w:val="true"/>
              </w:rPr>
              <w:tab/>
            </w:r>
            <w:r>
              <w:rPr>
                <w:rStyle w:val="IndexLink"/>
              </w:rPr>
              <w:t>515</w:t>
            </w:r>
          </w:hyperlink>
        </w:p>
        <w:p>
          <w:pPr>
            <w:pStyle w:val="Contents4"/>
            <w:tabs>
              <w:tab w:val="clear" w:pos="8176"/>
              <w:tab w:val="right" w:pos="9026" w:leader="dot"/>
            </w:tabs>
            <w:rPr/>
          </w:pPr>
          <w:hyperlink w:anchor="__RefHeading___Toc9531369_73709187">
            <w:r>
              <w:rPr>
                <w:webHidden/>
                <w:rStyle w:val="IndexLink"/>
                <w:rtl w:val="true"/>
              </w:rPr>
              <w:t>المبحث الثانی</w:t>
            </w:r>
            <w:r>
              <w:rPr>
                <w:rStyle w:val="IndexLink"/>
                <w:rtl w:val="true"/>
              </w:rPr>
              <w:t xml:space="preserve">: </w:t>
            </w:r>
            <w:r>
              <w:rPr>
                <w:rStyle w:val="IndexLink"/>
                <w:rtl w:val="true"/>
              </w:rPr>
              <w:t>أدب النظافة</w:t>
            </w:r>
            <w:r>
              <w:rPr>
                <w:rStyle w:val="IndexLink"/>
                <w:rtl w:val="true"/>
              </w:rPr>
              <w:tab/>
            </w:r>
            <w:r>
              <w:rPr>
                <w:rStyle w:val="IndexLink"/>
              </w:rPr>
              <w:t>517</w:t>
            </w:r>
          </w:hyperlink>
        </w:p>
        <w:p>
          <w:pPr>
            <w:pStyle w:val="Contents4"/>
            <w:tabs>
              <w:tab w:val="clear" w:pos="8176"/>
              <w:tab w:val="right" w:pos="9026" w:leader="dot"/>
            </w:tabs>
            <w:rPr/>
          </w:pPr>
          <w:hyperlink w:anchor="__RefHeading___Toc9531371_73709187">
            <w:r>
              <w:rPr>
                <w:webHidden/>
                <w:rStyle w:val="IndexLink"/>
                <w:rtl w:val="true"/>
              </w:rPr>
              <w:t>المبحث الثالث</w:t>
            </w:r>
            <w:r>
              <w:rPr>
                <w:rStyle w:val="IndexLink"/>
                <w:rtl w:val="true"/>
              </w:rPr>
              <w:t xml:space="preserve">: </w:t>
            </w:r>
            <w:r>
              <w:rPr>
                <w:rStyle w:val="IndexLink"/>
                <w:rtl w:val="true"/>
              </w:rPr>
              <w:t>آداب الطعام</w:t>
            </w:r>
            <w:r>
              <w:rPr>
                <w:rStyle w:val="IndexLink"/>
                <w:rtl w:val="true"/>
              </w:rPr>
              <w:tab/>
            </w:r>
            <w:r>
              <w:rPr>
                <w:rStyle w:val="IndexLink"/>
              </w:rPr>
              <w:t>519</w:t>
            </w:r>
          </w:hyperlink>
        </w:p>
        <w:p>
          <w:pPr>
            <w:pStyle w:val="Contents5"/>
            <w:tabs>
              <w:tab w:val="clear" w:pos="7892"/>
              <w:tab w:val="right" w:pos="9026" w:leader="dot"/>
            </w:tabs>
            <w:rPr/>
          </w:pPr>
          <w:hyperlink w:anchor="__RefHeading___Toc9531373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531375_73709187">
            <w:r>
              <w:rPr>
                <w:webHidden/>
                <w:rStyle w:val="IndexLink"/>
                <w:rtl w:val="true"/>
              </w:rPr>
              <w:t>الأولی</w:t>
            </w:r>
            <w:r>
              <w:rPr>
                <w:rStyle w:val="IndexLink"/>
                <w:rtl w:val="true"/>
              </w:rPr>
              <w:t xml:space="preserve">: </w:t>
            </w:r>
            <w:r>
              <w:rPr>
                <w:rStyle w:val="IndexLink"/>
                <w:rtl w:val="true"/>
              </w:rPr>
              <w:t>العمومات و الإطلاقات</w:t>
            </w:r>
            <w:r>
              <w:rPr>
                <w:rStyle w:val="IndexLink"/>
                <w:rtl w:val="true"/>
              </w:rPr>
              <w:t>:</w:t>
              <w:tab/>
            </w:r>
            <w:r>
              <w:rPr>
                <w:rStyle w:val="IndexLink"/>
              </w:rPr>
              <w:t>520</w:t>
            </w:r>
          </w:hyperlink>
        </w:p>
        <w:p>
          <w:pPr>
            <w:pStyle w:val="Contents5"/>
            <w:tabs>
              <w:tab w:val="clear" w:pos="7892"/>
              <w:tab w:val="right" w:pos="9026" w:leader="dot"/>
            </w:tabs>
            <w:rPr/>
          </w:pPr>
          <w:hyperlink w:anchor="__RefHeading___Toc9531377_73709187">
            <w:r>
              <w:rPr>
                <w:webHidden/>
                <w:rStyle w:val="IndexLink"/>
                <w:rtl w:val="true"/>
              </w:rPr>
              <w:t>الثانیة</w:t>
            </w:r>
            <w:r>
              <w:rPr>
                <w:rStyle w:val="IndexLink"/>
                <w:rtl w:val="true"/>
              </w:rPr>
              <w:t xml:space="preserve">: </w:t>
            </w:r>
            <w:r>
              <w:rPr>
                <w:rStyle w:val="IndexLink"/>
                <w:rtl w:val="true"/>
              </w:rPr>
              <w:t>ما تدلّ علی استحباب تعلیم ذکر اللّه و تحمیده بالعائلة خاصّة</w:t>
            </w:r>
            <w:r>
              <w:rPr>
                <w:rStyle w:val="IndexLink"/>
                <w:rtl w:val="true"/>
              </w:rPr>
              <w:tab/>
            </w:r>
            <w:r>
              <w:rPr>
                <w:rStyle w:val="IndexLink"/>
              </w:rPr>
              <w:t>520</w:t>
            </w:r>
          </w:hyperlink>
        </w:p>
        <w:p>
          <w:pPr>
            <w:pStyle w:val="Contents5"/>
            <w:tabs>
              <w:tab w:val="clear" w:pos="7892"/>
              <w:tab w:val="right" w:pos="9026" w:leader="dot"/>
            </w:tabs>
            <w:rPr/>
          </w:pPr>
          <w:hyperlink w:anchor="__RefHeading___Toc9531379_73709187">
            <w:r>
              <w:rPr>
                <w:webHidden/>
                <w:rStyle w:val="IndexLink"/>
                <w:rtl w:val="true"/>
              </w:rPr>
              <w:t>الثالثة</w:t>
            </w:r>
            <w:r>
              <w:rPr>
                <w:rStyle w:val="IndexLink"/>
                <w:rtl w:val="true"/>
              </w:rPr>
              <w:t xml:space="preserve">: </w:t>
            </w:r>
            <w:r>
              <w:rPr>
                <w:rStyle w:val="IndexLink"/>
                <w:rtl w:val="true"/>
              </w:rPr>
              <w:t>ما ورد فی تعلیم النبیّ صلی الله علیه و آله أطفال المسلمین بعض آداب الأکل</w:t>
            </w:r>
            <w:r>
              <w:rPr>
                <w:rStyle w:val="IndexLink"/>
                <w:rtl w:val="true"/>
              </w:rPr>
              <w:tab/>
            </w:r>
            <w:r>
              <w:rPr>
                <w:rStyle w:val="IndexLink"/>
              </w:rPr>
              <w:t>520</w:t>
            </w:r>
          </w:hyperlink>
        </w:p>
        <w:p>
          <w:pPr>
            <w:pStyle w:val="Contents5"/>
            <w:tabs>
              <w:tab w:val="clear" w:pos="7892"/>
              <w:tab w:val="right" w:pos="9026" w:leader="dot"/>
            </w:tabs>
            <w:rPr/>
          </w:pPr>
          <w:hyperlink w:anchor="__RefHeading___Toc9531381_73709187">
            <w:r>
              <w:rPr>
                <w:webHidden/>
                <w:rStyle w:val="IndexLink"/>
                <w:rtl w:val="true"/>
              </w:rPr>
              <w:t>الرابعة</w:t>
            </w:r>
            <w:r>
              <w:rPr>
                <w:rStyle w:val="IndexLink"/>
                <w:rtl w:val="true"/>
              </w:rPr>
              <w:t xml:space="preserve">: </w:t>
            </w:r>
            <w:r>
              <w:rPr>
                <w:rStyle w:val="IndexLink"/>
                <w:rtl w:val="true"/>
              </w:rPr>
              <w:t>ما ورد فی تعلیم أمیر المؤمنین علیه السلام ولده آداب الطعام</w:t>
            </w:r>
            <w:r>
              <w:rPr>
                <w:rStyle w:val="IndexLink"/>
                <w:rtl w:val="true"/>
              </w:rPr>
              <w:tab/>
            </w:r>
            <w:r>
              <w:rPr>
                <w:rStyle w:val="IndexLink"/>
              </w:rPr>
              <w:t>521</w:t>
            </w:r>
          </w:hyperlink>
        </w:p>
        <w:p>
          <w:pPr>
            <w:pStyle w:val="Contents4"/>
            <w:tabs>
              <w:tab w:val="clear" w:pos="8176"/>
              <w:tab w:val="right" w:pos="9026" w:leader="dot"/>
            </w:tabs>
            <w:rPr/>
          </w:pPr>
          <w:hyperlink w:anchor="__RefHeading___Toc9531383_73709187">
            <w:r>
              <w:rPr>
                <w:webHidden/>
                <w:rStyle w:val="IndexLink"/>
                <w:rtl w:val="true"/>
              </w:rPr>
              <w:t>المبحث الرابع</w:t>
            </w:r>
            <w:r>
              <w:rPr>
                <w:rStyle w:val="IndexLink"/>
                <w:rtl w:val="true"/>
              </w:rPr>
              <w:t xml:space="preserve">: </w:t>
            </w:r>
            <w:r>
              <w:rPr>
                <w:rStyle w:val="IndexLink"/>
                <w:rtl w:val="true"/>
              </w:rPr>
              <w:t>أدب السلام</w:t>
            </w:r>
            <w:r>
              <w:rPr>
                <w:rStyle w:val="IndexLink"/>
                <w:rtl w:val="true"/>
              </w:rPr>
              <w:tab/>
            </w:r>
            <w:r>
              <w:rPr>
                <w:rStyle w:val="IndexLink"/>
              </w:rPr>
              <w:t>522</w:t>
            </w:r>
          </w:hyperlink>
        </w:p>
        <w:p>
          <w:pPr>
            <w:pStyle w:val="Contents4"/>
            <w:tabs>
              <w:tab w:val="clear" w:pos="8176"/>
              <w:tab w:val="right" w:pos="9026" w:leader="dot"/>
            </w:tabs>
            <w:rPr/>
          </w:pPr>
          <w:hyperlink w:anchor="__RefHeading___Toc9531385_73709187">
            <w:r>
              <w:rPr>
                <w:webHidden/>
                <w:rStyle w:val="IndexLink"/>
                <w:rtl w:val="true"/>
              </w:rPr>
              <w:t>المبحث الخامس</w:t>
            </w:r>
            <w:r>
              <w:rPr>
                <w:rStyle w:val="IndexLink"/>
                <w:rtl w:val="true"/>
              </w:rPr>
              <w:t>:</w:t>
              <w:tab/>
            </w:r>
            <w:r>
              <w:rPr>
                <w:rStyle w:val="IndexLink"/>
              </w:rPr>
              <w:t>524</w:t>
            </w:r>
          </w:hyperlink>
        </w:p>
        <w:p>
          <w:pPr>
            <w:pStyle w:val="Contents5"/>
            <w:tabs>
              <w:tab w:val="clear" w:pos="7892"/>
              <w:tab w:val="right" w:pos="9026" w:leader="dot"/>
            </w:tabs>
            <w:rPr/>
          </w:pPr>
          <w:hyperlink w:anchor="__RefHeading___Toc9531387_7370918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9531389_73709187">
            <w:r>
              <w:rPr>
                <w:webHidden/>
                <w:rStyle w:val="IndexLink"/>
                <w:rtl w:val="true"/>
              </w:rPr>
              <w:t>الحذر من المصاحبة مع بعض الناس</w:t>
            </w:r>
            <w:r>
              <w:rPr>
                <w:rStyle w:val="IndexLink"/>
                <w:rtl w:val="true"/>
              </w:rPr>
              <w:tab/>
            </w:r>
            <w:r>
              <w:rPr>
                <w:rStyle w:val="IndexLink"/>
              </w:rPr>
              <w:t>524</w:t>
            </w:r>
          </w:hyperlink>
        </w:p>
        <w:p>
          <w:pPr>
            <w:pStyle w:val="Contents6"/>
            <w:tabs>
              <w:tab w:val="clear" w:pos="7609"/>
              <w:tab w:val="right" w:pos="9026" w:leader="dot"/>
            </w:tabs>
            <w:rPr/>
          </w:pPr>
          <w:hyperlink w:anchor="__RefHeading___Toc9531391_73709187">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9531393_73709187">
            <w:r>
              <w:rPr>
                <w:webHidden/>
                <w:rStyle w:val="IndexLink"/>
                <w:rtl w:val="true"/>
              </w:rPr>
              <w:t>الأوّل</w:t>
            </w:r>
            <w:r>
              <w:rPr>
                <w:rStyle w:val="IndexLink"/>
                <w:rtl w:val="true"/>
              </w:rPr>
              <w:t xml:space="preserve">: </w:t>
            </w:r>
            <w:r>
              <w:rPr>
                <w:rStyle w:val="IndexLink"/>
                <w:rtl w:val="true"/>
              </w:rPr>
              <w:t>الکذّاب</w:t>
            </w:r>
            <w:r>
              <w:rPr>
                <w:rStyle w:val="IndexLink"/>
                <w:rtl w:val="true"/>
              </w:rPr>
              <w:tab/>
            </w:r>
            <w:r>
              <w:rPr>
                <w:rStyle w:val="IndexLink"/>
              </w:rPr>
              <w:t>525</w:t>
            </w:r>
          </w:hyperlink>
        </w:p>
        <w:p>
          <w:pPr>
            <w:pStyle w:val="Contents6"/>
            <w:tabs>
              <w:tab w:val="clear" w:pos="7609"/>
              <w:tab w:val="right" w:pos="9026" w:leader="dot"/>
            </w:tabs>
            <w:rPr/>
          </w:pPr>
          <w:hyperlink w:anchor="__RefHeading___Toc9531395_73709187">
            <w:r>
              <w:rPr>
                <w:webHidden/>
                <w:rStyle w:val="IndexLink"/>
                <w:rtl w:val="true"/>
              </w:rPr>
              <w:t>الثانی</w:t>
            </w:r>
            <w:r>
              <w:rPr>
                <w:rStyle w:val="IndexLink"/>
                <w:rtl w:val="true"/>
              </w:rPr>
              <w:t xml:space="preserve">: </w:t>
            </w:r>
            <w:r>
              <w:rPr>
                <w:rStyle w:val="IndexLink"/>
                <w:rtl w:val="true"/>
              </w:rPr>
              <w:t>الفاسق</w:t>
            </w:r>
            <w:r>
              <w:rPr>
                <w:rStyle w:val="IndexLink"/>
                <w:rtl w:val="true"/>
              </w:rPr>
              <w:tab/>
            </w:r>
            <w:r>
              <w:rPr>
                <w:rStyle w:val="IndexLink"/>
              </w:rPr>
              <w:t>525</w:t>
            </w:r>
          </w:hyperlink>
        </w:p>
        <w:p>
          <w:pPr>
            <w:pStyle w:val="Contents6"/>
            <w:tabs>
              <w:tab w:val="clear" w:pos="7609"/>
              <w:tab w:val="right" w:pos="9026" w:leader="dot"/>
            </w:tabs>
            <w:rPr/>
          </w:pPr>
          <w:hyperlink w:anchor="__RefHeading___Toc9531397_73709187">
            <w:r>
              <w:rPr>
                <w:webHidden/>
                <w:rStyle w:val="IndexLink"/>
                <w:rtl w:val="true"/>
              </w:rPr>
              <w:t>الثالث</w:t>
            </w:r>
            <w:r>
              <w:rPr>
                <w:rStyle w:val="IndexLink"/>
                <w:rtl w:val="true"/>
              </w:rPr>
              <w:t xml:space="preserve">: </w:t>
            </w:r>
            <w:r>
              <w:rPr>
                <w:rStyle w:val="IndexLink"/>
                <w:rtl w:val="true"/>
              </w:rPr>
              <w:t>الفاجر</w:t>
            </w:r>
            <w:r>
              <w:rPr>
                <w:rStyle w:val="IndexLink"/>
                <w:rtl w:val="true"/>
              </w:rPr>
              <w:tab/>
            </w:r>
            <w:r>
              <w:rPr>
                <w:rStyle w:val="IndexLink"/>
              </w:rPr>
              <w:t>526</w:t>
            </w:r>
          </w:hyperlink>
        </w:p>
        <w:p>
          <w:pPr>
            <w:pStyle w:val="Contents6"/>
            <w:tabs>
              <w:tab w:val="clear" w:pos="7609"/>
              <w:tab w:val="right" w:pos="9026" w:leader="dot"/>
            </w:tabs>
            <w:rPr/>
          </w:pPr>
          <w:hyperlink w:anchor="__RefHeading___Toc9531399_73709187">
            <w:r>
              <w:rPr>
                <w:webHidden/>
                <w:rStyle w:val="IndexLink"/>
                <w:rtl w:val="true"/>
              </w:rPr>
              <w:t>الرابع</w:t>
            </w:r>
            <w:r>
              <w:rPr>
                <w:rStyle w:val="IndexLink"/>
                <w:rtl w:val="true"/>
              </w:rPr>
              <w:t xml:space="preserve">: </w:t>
            </w:r>
            <w:r>
              <w:rPr>
                <w:rStyle w:val="IndexLink"/>
                <w:rtl w:val="true"/>
              </w:rPr>
              <w:t>البخیل</w:t>
            </w:r>
            <w:r>
              <w:rPr>
                <w:rStyle w:val="IndexLink"/>
                <w:rtl w:val="true"/>
              </w:rPr>
              <w:tab/>
            </w:r>
            <w:r>
              <w:rPr>
                <w:rStyle w:val="IndexLink"/>
              </w:rPr>
              <w:t>526</w:t>
            </w:r>
          </w:hyperlink>
        </w:p>
        <w:p>
          <w:pPr>
            <w:pStyle w:val="Contents6"/>
            <w:tabs>
              <w:tab w:val="clear" w:pos="7609"/>
              <w:tab w:val="right" w:pos="9026" w:leader="dot"/>
            </w:tabs>
            <w:rPr/>
          </w:pPr>
          <w:hyperlink w:anchor="__RefHeading___Toc9531401_73709187">
            <w:r>
              <w:rPr>
                <w:webHidden/>
                <w:rStyle w:val="IndexLink"/>
                <w:rtl w:val="true"/>
              </w:rPr>
              <w:t>الخامس</w:t>
            </w:r>
            <w:r>
              <w:rPr>
                <w:rStyle w:val="IndexLink"/>
                <w:rtl w:val="true"/>
              </w:rPr>
              <w:t xml:space="preserve">: </w:t>
            </w:r>
            <w:r>
              <w:rPr>
                <w:rStyle w:val="IndexLink"/>
                <w:rtl w:val="true"/>
              </w:rPr>
              <w:t>الأحمق</w:t>
            </w:r>
            <w:r>
              <w:rPr>
                <w:rStyle w:val="IndexLink"/>
                <w:rtl w:val="true"/>
              </w:rPr>
              <w:tab/>
            </w:r>
            <w:r>
              <w:rPr>
                <w:rStyle w:val="IndexLink"/>
              </w:rPr>
              <w:t>527</w:t>
            </w:r>
          </w:hyperlink>
        </w:p>
        <w:p>
          <w:pPr>
            <w:pStyle w:val="Contents6"/>
            <w:tabs>
              <w:tab w:val="clear" w:pos="7609"/>
              <w:tab w:val="right" w:pos="9026" w:leader="dot"/>
            </w:tabs>
            <w:rPr/>
          </w:pPr>
          <w:hyperlink w:anchor="__RefHeading___Toc9531403_73709187">
            <w:r>
              <w:rPr>
                <w:webHidden/>
                <w:rStyle w:val="IndexLink"/>
                <w:rtl w:val="true"/>
              </w:rPr>
              <w:t>السادس</w:t>
            </w:r>
            <w:r>
              <w:rPr>
                <w:rStyle w:val="IndexLink"/>
                <w:rtl w:val="true"/>
              </w:rPr>
              <w:t xml:space="preserve">: </w:t>
            </w:r>
            <w:r>
              <w:rPr>
                <w:rStyle w:val="IndexLink"/>
                <w:rtl w:val="true"/>
              </w:rPr>
              <w:t>القاطع للرحم</w:t>
            </w:r>
            <w:r>
              <w:rPr>
                <w:rStyle w:val="IndexLink"/>
                <w:rtl w:val="true"/>
              </w:rPr>
              <w:tab/>
            </w:r>
            <w:r>
              <w:rPr>
                <w:rStyle w:val="IndexLink"/>
              </w:rPr>
              <w:t>527</w:t>
            </w:r>
          </w:hyperlink>
        </w:p>
        <w:p>
          <w:pPr>
            <w:pStyle w:val="Contents6"/>
            <w:tabs>
              <w:tab w:val="clear" w:pos="7609"/>
              <w:tab w:val="right" w:pos="9026" w:leader="dot"/>
            </w:tabs>
            <w:rPr/>
          </w:pPr>
          <w:hyperlink w:anchor="__RefHeading___Toc9531405_73709187">
            <w:r>
              <w:rPr>
                <w:webHidden/>
                <w:rStyle w:val="IndexLink"/>
                <w:rtl w:val="true"/>
              </w:rPr>
              <w:t>السابع</w:t>
            </w:r>
            <w:r>
              <w:rPr>
                <w:rStyle w:val="IndexLink"/>
                <w:rtl w:val="true"/>
              </w:rPr>
              <w:t xml:space="preserve">: </w:t>
            </w:r>
            <w:r>
              <w:rPr>
                <w:rStyle w:val="IndexLink"/>
                <w:rtl w:val="true"/>
              </w:rPr>
              <w:t>خبیث اللسان</w:t>
            </w:r>
            <w:r>
              <w:rPr>
                <w:rStyle w:val="IndexLink"/>
                <w:rtl w:val="true"/>
              </w:rPr>
              <w:tab/>
            </w:r>
            <w:r>
              <w:rPr>
                <w:rStyle w:val="IndexLink"/>
              </w:rPr>
              <w:t>528</w:t>
            </w:r>
          </w:hyperlink>
        </w:p>
        <w:p>
          <w:pPr>
            <w:pStyle w:val="Contents6"/>
            <w:tabs>
              <w:tab w:val="clear" w:pos="7609"/>
              <w:tab w:val="right" w:pos="9026" w:leader="dot"/>
            </w:tabs>
            <w:rPr/>
          </w:pPr>
          <w:hyperlink w:anchor="__RefHeading___Toc9531407_73709187">
            <w:r>
              <w:rPr>
                <w:webHidden/>
                <w:rStyle w:val="IndexLink"/>
                <w:rtl w:val="true"/>
              </w:rPr>
              <w:t>الثامن</w:t>
            </w:r>
            <w:r>
              <w:rPr>
                <w:rStyle w:val="IndexLink"/>
                <w:rtl w:val="true"/>
              </w:rPr>
              <w:t xml:space="preserve">: </w:t>
            </w:r>
            <w:r>
              <w:rPr>
                <w:rStyle w:val="IndexLink"/>
                <w:rtl w:val="true"/>
              </w:rPr>
              <w:t>الشرّیر</w:t>
            </w:r>
            <w:r>
              <w:rPr>
                <w:rStyle w:val="IndexLink"/>
                <w:rtl w:val="true"/>
              </w:rPr>
              <w:tab/>
            </w:r>
            <w:r>
              <w:rPr>
                <w:rStyle w:val="IndexLink"/>
              </w:rPr>
              <w:t>528</w:t>
            </w:r>
          </w:hyperlink>
        </w:p>
        <w:p>
          <w:pPr>
            <w:pStyle w:val="Contents5"/>
            <w:tabs>
              <w:tab w:val="clear" w:pos="7892"/>
              <w:tab w:val="right" w:pos="9026" w:leader="dot"/>
            </w:tabs>
            <w:rPr/>
          </w:pPr>
          <w:hyperlink w:anchor="__RefHeading___Toc9531409_73709187">
            <w:r>
              <w:rPr>
                <w:webHidden/>
                <w:rStyle w:val="IndexLink"/>
                <w:rtl w:val="true"/>
              </w:rPr>
              <w:t>من ینبغی مصاحبته</w:t>
            </w:r>
            <w:r>
              <w:rPr>
                <w:rStyle w:val="IndexLink"/>
                <w:rtl w:val="true"/>
              </w:rPr>
              <w:tab/>
            </w:r>
            <w:r>
              <w:rPr>
                <w:rStyle w:val="IndexLink"/>
              </w:rPr>
              <w:t>529</w:t>
            </w:r>
          </w:hyperlink>
        </w:p>
        <w:p>
          <w:pPr>
            <w:pStyle w:val="Contents6"/>
            <w:tabs>
              <w:tab w:val="clear" w:pos="7609"/>
              <w:tab w:val="right" w:pos="9026" w:leader="dot"/>
            </w:tabs>
            <w:rPr/>
          </w:pPr>
          <w:hyperlink w:anchor="__RefHeading___Toc9531411_73709187">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9531413_73709187">
            <w:r>
              <w:rPr>
                <w:webHidden/>
                <w:rStyle w:val="IndexLink"/>
                <w:rtl w:val="true"/>
              </w:rPr>
              <w:t>أ</w:t>
            </w:r>
            <w:r>
              <w:rPr>
                <w:rStyle w:val="IndexLink"/>
                <w:rtl w:val="true"/>
              </w:rPr>
              <w:t xml:space="preserve">: </w:t>
            </w:r>
            <w:r>
              <w:rPr>
                <w:rStyle w:val="IndexLink"/>
                <w:rtl w:val="true"/>
              </w:rPr>
              <w:t>الذاکرون للّه تعالی</w:t>
            </w:r>
            <w:r>
              <w:rPr>
                <w:rStyle w:val="IndexLink"/>
                <w:rtl w:val="true"/>
              </w:rPr>
              <w:tab/>
            </w:r>
            <w:r>
              <w:rPr>
                <w:rStyle w:val="IndexLink"/>
              </w:rPr>
              <w:t>530</w:t>
            </w:r>
          </w:hyperlink>
        </w:p>
        <w:p>
          <w:pPr>
            <w:pStyle w:val="Contents6"/>
            <w:tabs>
              <w:tab w:val="clear" w:pos="7609"/>
              <w:tab w:val="right" w:pos="9026" w:leader="dot"/>
            </w:tabs>
            <w:rPr/>
          </w:pPr>
          <w:hyperlink w:anchor="__RefHeading___Toc9531415_73709187">
            <w:r>
              <w:rPr>
                <w:webHidden/>
                <w:rStyle w:val="IndexLink"/>
                <w:rtl w:val="true"/>
              </w:rPr>
              <w:t>ب</w:t>
            </w:r>
            <w:r>
              <w:rPr>
                <w:rStyle w:val="IndexLink"/>
                <w:rtl w:val="true"/>
              </w:rPr>
              <w:t xml:space="preserve">: </w:t>
            </w:r>
            <w:r>
              <w:rPr>
                <w:rStyle w:val="IndexLink"/>
                <w:rtl w:val="true"/>
              </w:rPr>
              <w:t>العلماء</w:t>
            </w:r>
            <w:r>
              <w:rPr>
                <w:rStyle w:val="IndexLink"/>
                <w:rtl w:val="true"/>
              </w:rPr>
              <w:tab/>
            </w:r>
            <w:r>
              <w:rPr>
                <w:rStyle w:val="IndexLink"/>
              </w:rPr>
              <w:t>530</w:t>
            </w:r>
          </w:hyperlink>
        </w:p>
        <w:p>
          <w:pPr>
            <w:pStyle w:val="Contents6"/>
            <w:tabs>
              <w:tab w:val="clear" w:pos="7609"/>
              <w:tab w:val="right" w:pos="9026" w:leader="dot"/>
            </w:tabs>
            <w:rPr/>
          </w:pPr>
          <w:hyperlink w:anchor="__RefHeading___Toc9531417_73709187">
            <w:r>
              <w:rPr>
                <w:webHidden/>
                <w:rStyle w:val="IndexLink"/>
                <w:rtl w:val="true"/>
              </w:rPr>
              <w:t>ج</w:t>
            </w:r>
            <w:r>
              <w:rPr>
                <w:rStyle w:val="IndexLink"/>
                <w:rtl w:val="true"/>
              </w:rPr>
              <w:t xml:space="preserve">: </w:t>
            </w:r>
            <w:r>
              <w:rPr>
                <w:rStyle w:val="IndexLink"/>
                <w:rtl w:val="true"/>
              </w:rPr>
              <w:t>الحکماء و الفقراء</w:t>
            </w:r>
            <w:r>
              <w:rPr>
                <w:rStyle w:val="IndexLink"/>
                <w:rtl w:val="true"/>
              </w:rPr>
              <w:tab/>
            </w:r>
            <w:r>
              <w:rPr>
                <w:rStyle w:val="IndexLink"/>
              </w:rPr>
              <w:t>531</w:t>
            </w:r>
          </w:hyperlink>
        </w:p>
        <w:p>
          <w:pPr>
            <w:pStyle w:val="Contents6"/>
            <w:tabs>
              <w:tab w:val="clear" w:pos="7609"/>
              <w:tab w:val="right" w:pos="9026" w:leader="dot"/>
            </w:tabs>
            <w:rPr/>
          </w:pPr>
          <w:hyperlink w:anchor="__RefHeading___Toc9531419_73709187">
            <w:r>
              <w:rPr>
                <w:webHidden/>
                <w:rStyle w:val="IndexLink"/>
                <w:rtl w:val="true"/>
              </w:rPr>
              <w:t>د</w:t>
            </w:r>
            <w:r>
              <w:rPr>
                <w:rStyle w:val="IndexLink"/>
                <w:rtl w:val="true"/>
              </w:rPr>
              <w:t xml:space="preserve">: </w:t>
            </w:r>
            <w:r>
              <w:rPr>
                <w:rStyle w:val="IndexLink"/>
                <w:rtl w:val="true"/>
              </w:rPr>
              <w:t>المؤمنین</w:t>
            </w:r>
            <w:r>
              <w:rPr>
                <w:rStyle w:val="IndexLink"/>
                <w:rtl w:val="true"/>
              </w:rPr>
              <w:tab/>
            </w:r>
            <w:r>
              <w:rPr>
                <w:rStyle w:val="IndexLink"/>
              </w:rPr>
              <w:t>531</w:t>
            </w:r>
          </w:hyperlink>
        </w:p>
        <w:p>
          <w:pPr>
            <w:pStyle w:val="Contents6"/>
            <w:tabs>
              <w:tab w:val="clear" w:pos="7609"/>
              <w:tab w:val="right" w:pos="9026" w:leader="dot"/>
            </w:tabs>
            <w:rPr/>
          </w:pPr>
          <w:hyperlink w:anchor="__RefHeading___Toc9531421_73709187">
            <w:r>
              <w:rPr>
                <w:webHidden/>
                <w:rStyle w:val="IndexLink"/>
                <w:rtl w:val="true"/>
              </w:rPr>
              <w:t>ه</w:t>
            </w:r>
            <w:r>
              <w:rPr>
                <w:rStyle w:val="IndexLink"/>
                <w:rtl w:val="true"/>
              </w:rPr>
              <w:t xml:space="preserve">: </w:t>
            </w:r>
            <w:r>
              <w:rPr>
                <w:rStyle w:val="IndexLink"/>
                <w:rtl w:val="true"/>
              </w:rPr>
              <w:t>ما جاء فی مواعظ الإمام الحسن بن علیّ علیهما السلام</w:t>
            </w:r>
            <w:r>
              <w:rPr>
                <w:rStyle w:val="IndexLink"/>
                <w:rtl w:val="true"/>
              </w:rPr>
              <w:tab/>
            </w:r>
            <w:r>
              <w:rPr>
                <w:rStyle w:val="IndexLink"/>
              </w:rPr>
              <w:t>531</w:t>
            </w:r>
          </w:hyperlink>
        </w:p>
        <w:p>
          <w:pPr>
            <w:pStyle w:val="Contents4"/>
            <w:tabs>
              <w:tab w:val="clear" w:pos="8176"/>
              <w:tab w:val="right" w:pos="9026" w:leader="dot"/>
            </w:tabs>
            <w:rPr/>
          </w:pPr>
          <w:hyperlink w:anchor="__RefHeading___Toc9531423_73709187">
            <w:r>
              <w:rPr>
                <w:webHidden/>
                <w:rStyle w:val="IndexLink"/>
                <w:rtl w:val="true"/>
              </w:rPr>
              <w:t>المبحث السادس</w:t>
            </w:r>
            <w:r>
              <w:rPr>
                <w:rStyle w:val="IndexLink"/>
                <w:rtl w:val="true"/>
              </w:rPr>
              <w:t xml:space="preserve">: </w:t>
            </w:r>
            <w:r>
              <w:rPr>
                <w:rStyle w:val="IndexLink"/>
                <w:rtl w:val="true"/>
              </w:rPr>
              <w:t>تربیة الأولاد برعایة حقوق الناس</w:t>
            </w:r>
            <w:r>
              <w:rPr>
                <w:rStyle w:val="IndexLink"/>
                <w:rtl w:val="true"/>
              </w:rPr>
              <w:tab/>
            </w:r>
            <w:r>
              <w:rPr>
                <w:rStyle w:val="IndexLink"/>
              </w:rPr>
              <w:t>532</w:t>
            </w:r>
          </w:hyperlink>
        </w:p>
        <w:p>
          <w:pPr>
            <w:pStyle w:val="Contents5"/>
            <w:tabs>
              <w:tab w:val="clear" w:pos="7892"/>
              <w:tab w:val="right" w:pos="9026" w:leader="dot"/>
            </w:tabs>
            <w:rPr/>
          </w:pPr>
          <w:hyperlink w:anchor="__RefHeading___Toc9531425_7370918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9531427_73709187">
            <w:r>
              <w:rPr>
                <w:webHidden/>
                <w:rStyle w:val="IndexLink"/>
                <w:rtl w:val="true"/>
              </w:rPr>
              <w:t>أ</w:t>
            </w:r>
            <w:r>
              <w:rPr>
                <w:rStyle w:val="IndexLink"/>
                <w:rtl w:val="true"/>
              </w:rPr>
              <w:t xml:space="preserve">: </w:t>
            </w:r>
            <w:r>
              <w:rPr>
                <w:rStyle w:val="IndexLink"/>
                <w:rtl w:val="true"/>
              </w:rPr>
              <w:t>قول الحسن لهم</w:t>
            </w:r>
            <w:r>
              <w:rPr>
                <w:rStyle w:val="IndexLink"/>
                <w:rtl w:val="true"/>
              </w:rPr>
              <w:t>:</w:t>
              <w:tab/>
            </w:r>
            <w:r>
              <w:rPr>
                <w:rStyle w:val="IndexLink"/>
              </w:rPr>
              <w:t>532</w:t>
            </w:r>
          </w:hyperlink>
        </w:p>
        <w:p>
          <w:pPr>
            <w:pStyle w:val="Contents5"/>
            <w:tabs>
              <w:tab w:val="clear" w:pos="7892"/>
              <w:tab w:val="right" w:pos="9026" w:leader="dot"/>
            </w:tabs>
            <w:rPr/>
          </w:pPr>
          <w:hyperlink w:anchor="__RefHeading___Toc9531429_73709187">
            <w:r>
              <w:rPr>
                <w:webHidden/>
                <w:rStyle w:val="IndexLink"/>
                <w:rtl w:val="true"/>
              </w:rPr>
              <w:t>ب</w:t>
            </w:r>
            <w:r>
              <w:rPr>
                <w:rStyle w:val="IndexLink"/>
                <w:rtl w:val="true"/>
              </w:rPr>
              <w:t xml:space="preserve">: </w:t>
            </w:r>
            <w:r>
              <w:rPr>
                <w:rStyle w:val="IndexLink"/>
                <w:rtl w:val="true"/>
              </w:rPr>
              <w:t>حسن الخلق معهم</w:t>
            </w:r>
            <w:r>
              <w:rPr>
                <w:rStyle w:val="IndexLink"/>
                <w:rtl w:val="true"/>
              </w:rPr>
              <w:tab/>
            </w:r>
            <w:r>
              <w:rPr>
                <w:rStyle w:val="IndexLink"/>
              </w:rPr>
              <w:t>533</w:t>
            </w:r>
          </w:hyperlink>
        </w:p>
        <w:p>
          <w:pPr>
            <w:pStyle w:val="Contents5"/>
            <w:tabs>
              <w:tab w:val="clear" w:pos="7892"/>
              <w:tab w:val="right" w:pos="9026" w:leader="dot"/>
            </w:tabs>
            <w:rPr/>
          </w:pPr>
          <w:hyperlink w:anchor="__RefHeading___Toc9531431_73709187">
            <w:r>
              <w:rPr>
                <w:webHidden/>
                <w:rStyle w:val="IndexLink"/>
                <w:rtl w:val="true"/>
              </w:rPr>
              <w:t>ج</w:t>
            </w:r>
            <w:r>
              <w:rPr>
                <w:rStyle w:val="IndexLink"/>
                <w:rtl w:val="true"/>
              </w:rPr>
              <w:t xml:space="preserve">: </w:t>
            </w:r>
            <w:r>
              <w:rPr>
                <w:rStyle w:val="IndexLink"/>
                <w:rtl w:val="true"/>
              </w:rPr>
              <w:t>ترک المراء و الجدال معهم</w:t>
            </w:r>
            <w:r>
              <w:rPr>
                <w:rStyle w:val="IndexLink"/>
                <w:rtl w:val="true"/>
              </w:rPr>
              <w:tab/>
            </w:r>
            <w:r>
              <w:rPr>
                <w:rStyle w:val="IndexLink"/>
              </w:rPr>
              <w:t>533</w:t>
            </w:r>
          </w:hyperlink>
        </w:p>
        <w:p>
          <w:pPr>
            <w:pStyle w:val="Contents5"/>
            <w:tabs>
              <w:tab w:val="clear" w:pos="7892"/>
              <w:tab w:val="right" w:pos="9026" w:leader="dot"/>
            </w:tabs>
            <w:rPr/>
          </w:pPr>
          <w:hyperlink w:anchor="__RefHeading___Toc9531433_73709187">
            <w:r>
              <w:rPr>
                <w:webHidden/>
                <w:rStyle w:val="IndexLink"/>
                <w:rtl w:val="true"/>
              </w:rPr>
              <w:t>د</w:t>
            </w:r>
            <w:r>
              <w:rPr>
                <w:rStyle w:val="IndexLink"/>
                <w:rtl w:val="true"/>
              </w:rPr>
              <w:t xml:space="preserve">: </w:t>
            </w:r>
            <w:r>
              <w:rPr>
                <w:rStyle w:val="IndexLink"/>
                <w:rtl w:val="true"/>
              </w:rPr>
              <w:t>الحذر من تحقیرهم و الاستهزاء بهم</w:t>
            </w:r>
            <w:r>
              <w:rPr>
                <w:rStyle w:val="IndexLink"/>
                <w:rtl w:val="true"/>
              </w:rPr>
              <w:tab/>
            </w:r>
            <w:r>
              <w:rPr>
                <w:rStyle w:val="IndexLink"/>
              </w:rPr>
              <w:t>533</w:t>
            </w:r>
          </w:hyperlink>
        </w:p>
        <w:p>
          <w:pPr>
            <w:pStyle w:val="Contents5"/>
            <w:tabs>
              <w:tab w:val="clear" w:pos="7892"/>
              <w:tab w:val="right" w:pos="9026" w:leader="dot"/>
            </w:tabs>
            <w:rPr/>
          </w:pPr>
          <w:hyperlink w:anchor="__RefHeading___Toc9531435_73709187">
            <w:r>
              <w:rPr>
                <w:webHidden/>
                <w:rStyle w:val="IndexLink"/>
                <w:rtl w:val="true"/>
              </w:rPr>
              <w:t>ه</w:t>
            </w:r>
            <w:r>
              <w:rPr>
                <w:rStyle w:val="IndexLink"/>
                <w:rtl w:val="true"/>
              </w:rPr>
              <w:t xml:space="preserve">: </w:t>
            </w:r>
            <w:r>
              <w:rPr>
                <w:rStyle w:val="IndexLink"/>
                <w:rtl w:val="true"/>
              </w:rPr>
              <w:t>الحذر من الظلم بهم</w:t>
            </w:r>
            <w:r>
              <w:rPr>
                <w:rStyle w:val="IndexLink"/>
                <w:rtl w:val="true"/>
              </w:rPr>
              <w:tab/>
            </w:r>
            <w:r>
              <w:rPr>
                <w:rStyle w:val="IndexLink"/>
              </w:rPr>
              <w:t>534</w:t>
            </w:r>
          </w:hyperlink>
        </w:p>
        <w:p>
          <w:pPr>
            <w:pStyle w:val="Contents5"/>
            <w:tabs>
              <w:tab w:val="clear" w:pos="7892"/>
              <w:tab w:val="right" w:pos="9026" w:leader="dot"/>
            </w:tabs>
            <w:rPr/>
          </w:pPr>
          <w:hyperlink w:anchor="__RefHeading___Toc9531437_73709187">
            <w:r>
              <w:rPr>
                <w:webHidden/>
                <w:rStyle w:val="IndexLink"/>
                <w:rtl w:val="true"/>
              </w:rPr>
              <w:t>و</w:t>
            </w:r>
            <w:r>
              <w:rPr>
                <w:rStyle w:val="IndexLink"/>
                <w:rtl w:val="true"/>
              </w:rPr>
              <w:t xml:space="preserve">: </w:t>
            </w:r>
            <w:r>
              <w:rPr>
                <w:rStyle w:val="IndexLink"/>
                <w:rtl w:val="true"/>
              </w:rPr>
              <w:t>ترک عقوبتهم و قبول اعتذارهم</w:t>
            </w:r>
            <w:r>
              <w:rPr>
                <w:rStyle w:val="IndexLink"/>
                <w:rtl w:val="true"/>
              </w:rPr>
              <w:tab/>
            </w:r>
            <w:r>
              <w:rPr>
                <w:rStyle w:val="IndexLink"/>
              </w:rPr>
              <w:t>535</w:t>
            </w:r>
          </w:hyperlink>
        </w:p>
        <w:p>
          <w:pPr>
            <w:pStyle w:val="Contents5"/>
            <w:tabs>
              <w:tab w:val="clear" w:pos="7892"/>
              <w:tab w:val="right" w:pos="9026" w:leader="dot"/>
            </w:tabs>
            <w:rPr/>
          </w:pPr>
          <w:hyperlink w:anchor="__RefHeading___Toc9531439_73709187">
            <w:r>
              <w:rPr>
                <w:webHidden/>
                <w:rStyle w:val="IndexLink"/>
                <w:rtl w:val="true"/>
              </w:rPr>
              <w:t>ز</w:t>
            </w:r>
            <w:r>
              <w:rPr>
                <w:rStyle w:val="IndexLink"/>
                <w:rtl w:val="true"/>
              </w:rPr>
              <w:t xml:space="preserve">: </w:t>
            </w:r>
            <w:r>
              <w:rPr>
                <w:rStyle w:val="IndexLink"/>
                <w:rtl w:val="true"/>
              </w:rPr>
              <w:t>أداء أماناتهم</w:t>
            </w:r>
            <w:r>
              <w:rPr>
                <w:rStyle w:val="IndexLink"/>
                <w:rtl w:val="true"/>
              </w:rPr>
              <w:tab/>
            </w:r>
            <w:r>
              <w:rPr>
                <w:rStyle w:val="IndexLink"/>
              </w:rPr>
              <w:t>535</w:t>
            </w:r>
          </w:hyperlink>
        </w:p>
        <w:p>
          <w:pPr>
            <w:pStyle w:val="Contents5"/>
            <w:tabs>
              <w:tab w:val="clear" w:pos="7892"/>
              <w:tab w:val="right" w:pos="9026" w:leader="dot"/>
            </w:tabs>
            <w:rPr/>
          </w:pPr>
          <w:hyperlink w:anchor="__RefHeading___Toc9531441_73709187">
            <w:r>
              <w:rPr>
                <w:webHidden/>
                <w:rStyle w:val="IndexLink"/>
                <w:rtl w:val="true"/>
              </w:rPr>
              <w:t>ح</w:t>
            </w:r>
            <w:r>
              <w:rPr>
                <w:rStyle w:val="IndexLink"/>
                <w:rtl w:val="true"/>
              </w:rPr>
              <w:t xml:space="preserve">: </w:t>
            </w:r>
            <w:r>
              <w:rPr>
                <w:rStyle w:val="IndexLink"/>
                <w:rtl w:val="true"/>
              </w:rPr>
              <w:t>المبادرة إلی الخیر قبلهم</w:t>
            </w:r>
            <w:r>
              <w:rPr>
                <w:rStyle w:val="IndexLink"/>
                <w:rtl w:val="true"/>
              </w:rPr>
              <w:tab/>
            </w:r>
            <w:r>
              <w:rPr>
                <w:rStyle w:val="IndexLink"/>
              </w:rPr>
              <w:t>536</w:t>
            </w:r>
          </w:hyperlink>
        </w:p>
        <w:p>
          <w:pPr>
            <w:pStyle w:val="Contents5"/>
            <w:tabs>
              <w:tab w:val="clear" w:pos="7892"/>
              <w:tab w:val="right" w:pos="9026" w:leader="dot"/>
            </w:tabs>
            <w:rPr/>
          </w:pPr>
          <w:hyperlink w:anchor="__RefHeading___Toc9531443_73709187">
            <w:r>
              <w:rPr>
                <w:webHidden/>
                <w:rStyle w:val="IndexLink"/>
                <w:rtl w:val="true"/>
              </w:rPr>
              <w:t>إیضاح</w:t>
            </w:r>
            <w:r>
              <w:rPr>
                <w:rStyle w:val="IndexLink"/>
                <w:rtl w:val="true"/>
              </w:rPr>
              <w:t>:</w:t>
              <w:tab/>
            </w:r>
            <w:r>
              <w:rPr>
                <w:rStyle w:val="IndexLink"/>
              </w:rPr>
              <w:t>536</w:t>
            </w:r>
          </w:hyperlink>
        </w:p>
        <w:p>
          <w:pPr>
            <w:pStyle w:val="Contents3"/>
            <w:tabs>
              <w:tab w:val="clear" w:pos="8459"/>
              <w:tab w:val="right" w:pos="9026" w:leader="dot"/>
            </w:tabs>
            <w:rPr/>
          </w:pPr>
          <w:hyperlink w:anchor="__RefHeading___Toc9531445_73709187">
            <w:r>
              <w:rPr>
                <w:webHidden/>
                <w:rStyle w:val="IndexLink"/>
                <w:rtl w:val="true"/>
              </w:rPr>
              <w:t>الفصل الخامس</w:t>
            </w:r>
            <w:r>
              <w:rPr>
                <w:rStyle w:val="IndexLink"/>
                <w:rtl w:val="true"/>
              </w:rPr>
              <w:t xml:space="preserve">: </w:t>
            </w:r>
            <w:r>
              <w:rPr>
                <w:rStyle w:val="IndexLink"/>
                <w:rtl w:val="true"/>
              </w:rPr>
              <w:t>المساواة و العدالة بین الأطفال</w:t>
            </w:r>
            <w:r>
              <w:rPr>
                <w:rStyle w:val="IndexLink"/>
                <w:rtl w:val="true"/>
              </w:rPr>
              <w:tab/>
            </w:r>
            <w:r>
              <w:rPr>
                <w:rStyle w:val="IndexLink"/>
              </w:rPr>
              <w:t>537</w:t>
            </w:r>
          </w:hyperlink>
        </w:p>
        <w:p>
          <w:pPr>
            <w:pStyle w:val="Contents4"/>
            <w:tabs>
              <w:tab w:val="clear" w:pos="8176"/>
              <w:tab w:val="right" w:pos="9026" w:leader="dot"/>
            </w:tabs>
            <w:rPr/>
          </w:pPr>
          <w:hyperlink w:anchor="__RefHeading___Toc9531447_73709187">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9531449_73709187">
            <w:r>
              <w:rPr>
                <w:webHidden/>
                <w:rStyle w:val="IndexLink"/>
                <w:rtl w:val="true"/>
              </w:rPr>
              <w:t>الأوّل</w:t>
            </w:r>
            <w:r>
              <w:rPr>
                <w:rStyle w:val="IndexLink"/>
                <w:rtl w:val="true"/>
              </w:rPr>
              <w:t xml:space="preserve">: </w:t>
            </w:r>
            <w:r>
              <w:rPr>
                <w:rStyle w:val="IndexLink"/>
                <w:rtl w:val="true"/>
              </w:rPr>
              <w:t>حرمة تفضیل بعض الأولاد فی العطیّة</w:t>
            </w:r>
            <w:r>
              <w:rPr>
                <w:rStyle w:val="IndexLink"/>
                <w:rtl w:val="true"/>
              </w:rPr>
              <w:tab/>
            </w:r>
            <w:r>
              <w:rPr>
                <w:rStyle w:val="IndexLink"/>
              </w:rPr>
              <w:t>538</w:t>
            </w:r>
          </w:hyperlink>
        </w:p>
        <w:p>
          <w:pPr>
            <w:pStyle w:val="Contents4"/>
            <w:tabs>
              <w:tab w:val="clear" w:pos="8176"/>
              <w:tab w:val="right" w:pos="9026" w:leader="dot"/>
            </w:tabs>
            <w:rPr/>
          </w:pPr>
          <w:hyperlink w:anchor="__RefHeading___Toc9531451_73709187">
            <w:r>
              <w:rPr>
                <w:webHidden/>
                <w:rStyle w:val="IndexLink"/>
                <w:rtl w:val="true"/>
              </w:rPr>
              <w:t>استحباب التسویة بین الأولاد</w:t>
            </w:r>
            <w:r>
              <w:rPr>
                <w:rStyle w:val="IndexLink"/>
                <w:rtl w:val="true"/>
              </w:rPr>
              <w:tab/>
            </w:r>
            <w:r>
              <w:rPr>
                <w:rStyle w:val="IndexLink"/>
              </w:rPr>
              <w:t>542</w:t>
            </w:r>
          </w:hyperlink>
        </w:p>
        <w:p>
          <w:pPr>
            <w:pStyle w:val="Contents5"/>
            <w:tabs>
              <w:tab w:val="clear" w:pos="7892"/>
              <w:tab w:val="right" w:pos="9026" w:leader="dot"/>
            </w:tabs>
            <w:rPr/>
          </w:pPr>
          <w:hyperlink w:anchor="__RefHeading___Toc9531453_7370918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9531455_73709187">
            <w:r>
              <w:rPr>
                <w:webHidden/>
                <w:rStyle w:val="IndexLink"/>
                <w:rtl w:val="true"/>
              </w:rPr>
              <w:t>أدلّة استحباب التسویة بین الأولاد</w:t>
            </w:r>
            <w:r>
              <w:rPr>
                <w:rStyle w:val="IndexLink"/>
                <w:rtl w:val="true"/>
              </w:rPr>
              <w:tab/>
            </w:r>
            <w:r>
              <w:rPr>
                <w:rStyle w:val="IndexLink"/>
              </w:rPr>
              <w:t>544</w:t>
            </w:r>
          </w:hyperlink>
        </w:p>
        <w:p>
          <w:pPr>
            <w:pStyle w:val="Contents6"/>
            <w:tabs>
              <w:tab w:val="clear" w:pos="7609"/>
              <w:tab w:val="right" w:pos="9026" w:leader="dot"/>
            </w:tabs>
            <w:rPr/>
          </w:pPr>
          <w:hyperlink w:anchor="__RefHeading___Toc9531457_73709187">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9531459_73709187">
            <w:r>
              <w:rPr>
                <w:webHidden/>
                <w:rStyle w:val="IndexLink"/>
                <w:rtl w:val="true"/>
              </w:rPr>
              <w:t>الأوّل</w:t>
            </w:r>
            <w:r>
              <w:rPr>
                <w:rStyle w:val="IndexLink"/>
                <w:rtl w:val="true"/>
              </w:rPr>
              <w:t xml:space="preserve">: </w:t>
            </w:r>
            <w:r>
              <w:rPr>
                <w:rStyle w:val="IndexLink"/>
                <w:rtl w:val="true"/>
              </w:rPr>
              <w:t>الإجماع</w:t>
            </w:r>
            <w:r>
              <w:rPr>
                <w:rStyle w:val="IndexLink"/>
                <w:rtl w:val="true"/>
              </w:rPr>
              <w:tab/>
            </w:r>
            <w:r>
              <w:rPr>
                <w:rStyle w:val="IndexLink"/>
              </w:rPr>
              <w:t>544</w:t>
            </w:r>
          </w:hyperlink>
        </w:p>
        <w:p>
          <w:pPr>
            <w:pStyle w:val="Contents6"/>
            <w:tabs>
              <w:tab w:val="clear" w:pos="7609"/>
              <w:tab w:val="right" w:pos="9026" w:leader="dot"/>
            </w:tabs>
            <w:rPr/>
          </w:pPr>
          <w:hyperlink w:anchor="__RefHeading___Toc9531461_73709187">
            <w:r>
              <w:rPr>
                <w:webHidden/>
                <w:rStyle w:val="IndexLink"/>
                <w:rtl w:val="true"/>
              </w:rPr>
              <w:t>الثانی</w:t>
            </w:r>
            <w:r>
              <w:rPr>
                <w:rStyle w:val="IndexLink"/>
                <w:rtl w:val="true"/>
              </w:rPr>
              <w:t xml:space="preserve">: </w:t>
            </w:r>
            <w:r>
              <w:rPr>
                <w:rStyle w:val="IndexLink"/>
                <w:rtl w:val="true"/>
              </w:rPr>
              <w:t>الأصل کما فی المختلف</w:t>
            </w:r>
            <w:r>
              <w:rPr>
                <w:rStyle w:val="IndexLink"/>
                <w:rtl w:val="true"/>
              </w:rPr>
              <w:tab/>
            </w:r>
            <w:r>
              <w:rPr>
                <w:rStyle w:val="IndexLink"/>
              </w:rPr>
              <w:t>544</w:t>
            </w:r>
          </w:hyperlink>
        </w:p>
        <w:p>
          <w:pPr>
            <w:pStyle w:val="Contents6"/>
            <w:tabs>
              <w:tab w:val="clear" w:pos="7609"/>
              <w:tab w:val="right" w:pos="9026" w:leader="dot"/>
            </w:tabs>
            <w:rPr/>
          </w:pPr>
          <w:hyperlink w:anchor="__RefHeading___Toc9531463_73709187">
            <w:r>
              <w:rPr>
                <w:webHidden/>
                <w:rStyle w:val="IndexLink"/>
                <w:rtl w:val="true"/>
              </w:rPr>
              <w:t>الثالث</w:t>
            </w:r>
            <w:r>
              <w:rPr>
                <w:rStyle w:val="IndexLink"/>
                <w:rtl w:val="true"/>
              </w:rPr>
              <w:t xml:space="preserve">: </w:t>
            </w:r>
            <w:r>
              <w:rPr>
                <w:rStyle w:val="IndexLink"/>
                <w:rtl w:val="true"/>
              </w:rPr>
              <w:t>قوله صلی الله علیه و آله</w:t>
            </w:r>
            <w:r>
              <w:rPr>
                <w:rStyle w:val="IndexLink"/>
                <w:rtl w:val="true"/>
              </w:rPr>
              <w:t>: «</w:t>
            </w:r>
            <w:r>
              <w:rPr>
                <w:rStyle w:val="IndexLink"/>
                <w:rtl w:val="true"/>
              </w:rPr>
              <w:t>الناس مسلّطون علی أموالهم</w:t>
            </w:r>
            <w:r>
              <w:rPr>
                <w:rStyle w:val="IndexLink"/>
                <w:rtl w:val="true"/>
              </w:rPr>
              <w:t>»</w:t>
              <w:tab/>
            </w:r>
            <w:r>
              <w:rPr>
                <w:rStyle w:val="IndexLink"/>
              </w:rPr>
              <w:t>544</w:t>
            </w:r>
          </w:hyperlink>
        </w:p>
        <w:p>
          <w:pPr>
            <w:pStyle w:val="Contents6"/>
            <w:tabs>
              <w:tab w:val="clear" w:pos="7609"/>
              <w:tab w:val="right" w:pos="9026" w:leader="dot"/>
            </w:tabs>
            <w:rPr/>
          </w:pPr>
          <w:hyperlink w:anchor="__RefHeading___Toc9531465_73709187">
            <w:r>
              <w:rPr>
                <w:webHidden/>
                <w:rStyle w:val="IndexLink"/>
                <w:rtl w:val="true"/>
              </w:rPr>
              <w:t xml:space="preserve">الرابع </w:t>
            </w:r>
            <w:r>
              <w:rPr>
                <w:rStyle w:val="IndexLink"/>
                <w:rtl w:val="true"/>
              </w:rPr>
              <w:t xml:space="preserve">- </w:t>
            </w:r>
            <w:r>
              <w:rPr>
                <w:rStyle w:val="IndexLink"/>
                <w:rtl w:val="true"/>
              </w:rPr>
              <w:t xml:space="preserve">و هو العمدة </w:t>
            </w:r>
            <w:r>
              <w:rPr>
                <w:rStyle w:val="IndexLink"/>
                <w:rtl w:val="true"/>
              </w:rPr>
              <w:t xml:space="preserve">-: </w:t>
            </w:r>
            <w:r>
              <w:rPr>
                <w:rStyle w:val="IndexLink"/>
                <w:rtl w:val="true"/>
              </w:rPr>
              <w:t>النصوص الخاصّة</w:t>
            </w:r>
            <w:r>
              <w:rPr>
                <w:rStyle w:val="IndexLink"/>
                <w:rtl w:val="true"/>
              </w:rPr>
              <w:tab/>
            </w:r>
            <w:r>
              <w:rPr>
                <w:rStyle w:val="IndexLink"/>
              </w:rPr>
              <w:t>544</w:t>
            </w:r>
          </w:hyperlink>
        </w:p>
        <w:p>
          <w:pPr>
            <w:pStyle w:val="Contents4"/>
            <w:tabs>
              <w:tab w:val="clear" w:pos="8176"/>
              <w:tab w:val="right" w:pos="9026" w:leader="dot"/>
            </w:tabs>
            <w:rPr/>
          </w:pPr>
          <w:hyperlink w:anchor="__RefHeading___Toc9531467_73709187">
            <w:r>
              <w:rPr>
                <w:webHidden/>
                <w:rStyle w:val="IndexLink"/>
                <w:rtl w:val="true"/>
              </w:rPr>
              <w:t>کراهیّة التفضیل فی حال المرض أو الإعسار</w:t>
            </w:r>
            <w:r>
              <w:rPr>
                <w:rStyle w:val="IndexLink"/>
                <w:rtl w:val="true"/>
              </w:rPr>
              <w:tab/>
            </w:r>
            <w:r>
              <w:rPr>
                <w:rStyle w:val="IndexLink"/>
              </w:rPr>
              <w:t>547</w:t>
            </w:r>
          </w:hyperlink>
        </w:p>
        <w:p>
          <w:pPr>
            <w:pStyle w:val="Contents4"/>
            <w:tabs>
              <w:tab w:val="clear" w:pos="8176"/>
              <w:tab w:val="right" w:pos="9026" w:leader="dot"/>
            </w:tabs>
            <w:rPr/>
          </w:pPr>
          <w:hyperlink w:anchor="__RefHeading___Toc9531469_73709187">
            <w:r>
              <w:rPr>
                <w:webHidden/>
                <w:rStyle w:val="IndexLink"/>
                <w:rtl w:val="true"/>
              </w:rPr>
              <w:t>المقصود بالتسویة فی المقام</w:t>
            </w:r>
            <w:r>
              <w:rPr>
                <w:rStyle w:val="IndexLink"/>
                <w:rtl w:val="true"/>
              </w:rPr>
              <w:tab/>
            </w:r>
            <w:r>
              <w:rPr>
                <w:rStyle w:val="IndexLink"/>
              </w:rPr>
              <w:t>549</w:t>
            </w:r>
          </w:hyperlink>
        </w:p>
        <w:p>
          <w:pPr>
            <w:pStyle w:val="Contents4"/>
            <w:tabs>
              <w:tab w:val="clear" w:pos="8176"/>
              <w:tab w:val="right" w:pos="9026" w:leader="dot"/>
            </w:tabs>
            <w:rPr/>
          </w:pPr>
          <w:hyperlink w:anchor="__RefHeading___Toc9531471_73709187">
            <w:r>
              <w:rPr>
                <w:webHidden/>
                <w:rStyle w:val="IndexLink"/>
                <w:rtl w:val="true"/>
              </w:rPr>
              <w:t>فرع</w:t>
            </w:r>
            <w:r>
              <w:rPr>
                <w:rStyle w:val="IndexLink"/>
                <w:rtl w:val="true"/>
              </w:rPr>
              <w:t>:</w:t>
              <w:tab/>
            </w:r>
            <w:r>
              <w:rPr>
                <w:rStyle w:val="IndexLink"/>
              </w:rPr>
              <w:t>550</w:t>
            </w:r>
          </w:hyperlink>
        </w:p>
        <w:p>
          <w:pPr>
            <w:pStyle w:val="Contents4"/>
            <w:tabs>
              <w:tab w:val="clear" w:pos="8176"/>
              <w:tab w:val="right" w:pos="9026" w:leader="dot"/>
            </w:tabs>
            <w:rPr/>
          </w:pPr>
          <w:hyperlink w:anchor="__RefHeading___Toc9531473_73709187">
            <w:r>
              <w:rPr>
                <w:webHidden/>
                <w:rStyle w:val="IndexLink"/>
                <w:rtl w:val="true"/>
              </w:rPr>
              <w:t>آراء أهل السُنّة فی التسویة بین الأولاد فی العطیّة</w:t>
            </w:r>
            <w:r>
              <w:rPr>
                <w:rStyle w:val="IndexLink"/>
                <w:rtl w:val="true"/>
              </w:rPr>
              <w:tab/>
            </w:r>
            <w:r>
              <w:rPr>
                <w:rStyle w:val="IndexLink"/>
              </w:rPr>
              <w:t>551</w:t>
            </w:r>
          </w:hyperlink>
        </w:p>
        <w:p>
          <w:pPr>
            <w:pStyle w:val="Contents5"/>
            <w:tabs>
              <w:tab w:val="clear" w:pos="7892"/>
              <w:tab w:val="right" w:pos="9026" w:leader="dot"/>
            </w:tabs>
            <w:rPr/>
          </w:pPr>
          <w:hyperlink w:anchor="__RefHeading___Toc9531475_73709187">
            <w:r>
              <w:rPr>
                <w:webHidden/>
                <w:rStyle w:val="IndexLink"/>
                <w:rtl w:val="true"/>
              </w:rPr>
              <w:t>الحنابلة قالوا بالوجوب</w:t>
            </w:r>
            <w:r>
              <w:rPr>
                <w:rStyle w:val="IndexLink"/>
                <w:rtl w:val="true"/>
              </w:rPr>
              <w:tab/>
            </w:r>
            <w:r>
              <w:rPr>
                <w:rStyle w:val="IndexLink"/>
              </w:rPr>
              <w:t>551</w:t>
            </w:r>
          </w:hyperlink>
        </w:p>
        <w:p>
          <w:pPr>
            <w:pStyle w:val="Contents5"/>
            <w:tabs>
              <w:tab w:val="clear" w:pos="7892"/>
              <w:tab w:val="right" w:pos="9026" w:leader="dot"/>
            </w:tabs>
            <w:rPr/>
          </w:pPr>
          <w:hyperlink w:anchor="__RefHeading___Toc9531477_73709187">
            <w:r>
              <w:rPr>
                <w:webHidden/>
                <w:rStyle w:val="IndexLink"/>
                <w:rtl w:val="true"/>
              </w:rPr>
              <w:t>و أمّا الشافعیّة و الحنفیّة و المالکیّة</w:t>
            </w:r>
            <w:r>
              <w:rPr>
                <w:rStyle w:val="IndexLink"/>
                <w:rtl w:val="true"/>
              </w:rPr>
              <w:tab/>
            </w:r>
            <w:r>
              <w:rPr>
                <w:rStyle w:val="IndexLink"/>
              </w:rPr>
              <w:t>551</w:t>
            </w:r>
          </w:hyperlink>
        </w:p>
        <w:p>
          <w:pPr>
            <w:pStyle w:val="Contents2"/>
            <w:tabs>
              <w:tab w:val="clear" w:pos="8743"/>
              <w:tab w:val="right" w:pos="9026" w:leader="dot"/>
            </w:tabs>
            <w:rPr/>
          </w:pPr>
          <w:hyperlink w:anchor="__RefHeading___Toc9531479_73709187">
            <w:r>
              <w:rPr>
                <w:webHidden/>
                <w:rStyle w:val="IndexLink"/>
                <w:rtl w:val="true"/>
              </w:rPr>
              <w:t>فهرس المطالب</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4_112794"/>
      <w:bookmarkStart w:id="1" w:name="pg11754_112794"/>
      <w:bookmarkEnd w:id="1"/>
    </w:p>
    <w:p>
      <w:pPr>
        <w:pStyle w:val="Heading2"/>
        <w:numPr>
          <w:ilvl w:val="1"/>
          <w:numId w:val="1"/>
        </w:numPr>
        <w:rPr/>
      </w:pPr>
      <w:bookmarkStart w:id="2" w:name="pg11754_112794"/>
      <w:bookmarkStart w:id="3" w:name="__RefHeading___Toc953039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محمدجواد الفاضل‌اللنکرانی؛ تالیف جمع من‌المحققین فی اللجنه الفقهیه؛ رتبها و نظمها قدره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فقه‌الائمه‌الاطهار علیهم‌السلام،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و نشر در جلد ششم مرکز فقه‌الائمة‌الاطهار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 قدرت‌الله،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3039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موسوعه احکام الاطفال و ادلتها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 الجزء الثالث</w:t>
      </w:r>
    </w:p>
    <w:p>
      <w:pPr>
        <w:pStyle w:val="BookText"/>
        <w:rPr/>
      </w:pPr>
      <w:r>
        <w:rPr>
          <w:rFonts w:ascii="IRNazanin" w:hAnsi="IRNazanin" w:eastAsia="IRNazanin"/>
          <w:color w:val="111111"/>
          <w:sz w:val="28"/>
          <w:sz w:val="28"/>
          <w:szCs w:val="28"/>
          <w:rtl w:val="true"/>
          <w:lang w:bidi="fa-IR"/>
        </w:rPr>
        <w:t>اشراف محمدجواد الفاضل‌اللنکرانی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جمع من‌المحققین فی اللجنه الفقهیه؛ رتبها و نظمها قدره الله الانصاری</w:t>
      </w:r>
      <w:bookmarkStart w:id="7" w:name="pg11754_112798"/>
    </w:p>
    <w:p>
      <w:pPr>
        <w:pStyle w:val="Heading2"/>
        <w:numPr>
          <w:ilvl w:val="1"/>
          <w:numId w:val="1"/>
        </w:numPr>
        <w:rPr/>
      </w:pPr>
      <w:bookmarkStart w:id="8" w:name="__RefHeading___Toc9530401_73709187"/>
      <w:bookmarkStart w:id="9" w:name="_Toc3"/>
      <w:bookmarkEnd w:id="7"/>
      <w:bookmarkEnd w:id="8"/>
      <w:r>
        <w:rPr>
          <w:rtl w:val="true"/>
        </w:rPr>
        <w:t>شکر و ثناء</w:t>
      </w:r>
      <w:bookmarkEnd w:id="9"/>
    </w:p>
    <w:p>
      <w:pPr>
        <w:pStyle w:val="BookText"/>
        <w:rPr/>
      </w:pPr>
      <w:r>
        <w:rPr>
          <w:rFonts w:ascii="IRNazanin" w:hAnsi="IRNazanin" w:eastAsia="IRNazanin"/>
          <w:color w:val="111111"/>
          <w:sz w:val="28"/>
          <w:sz w:val="28"/>
          <w:szCs w:val="28"/>
          <w:rtl w:val="true"/>
          <w:lang w:bidi="fa-IR"/>
        </w:rPr>
        <w:t xml:space="preserve">نتقدّم بوافر شکرنا لسماحة الحجّة فقیه أهل بیت العصمة و الطهارة علیهم السلام الاُصولی الکریم، المرجع الدینی الأعلی آیة اللّه العظمی الشیخ محمّد الفاضل اللنکرانی، أدام اللّه عمره الشریف؛ الذی قدّم کثیراً من المؤلّفات النافعة و الخدمات العلمیّة و الاجتماعیّة، و من خیرة خدماته الجلیلة أمره بتأسیس مرکز فقه الأئمّة الأطهار علیهم السلام، الذی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حداثة تأسیسه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المراکز العلمیّة الهامّة فی مدینة قم المشرّفة، و له فروعٌ فی مدن اخری کمدینة مشهد المقدّسة و الأهواز؛ و دول اخری کسوریا و أفغانستان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نتقدّم بالشکر الجزیل و الثناء الجمیل إلی الاُستاذ المحقّق الشیخ محمّد جواد الفاضل نجل آیة اللّه العظمی الفاضل اللنکرانی دام ظلّه؛ رئیس المرکز الفقهی و الذی أمدّنا بالعون و النُّصح و الإرشاد طوال فترة العمل، مع بذله لقصاری جهده بکتابة تعلیقات علمیّة نافعة علی الموسوعة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اغتنمنا الفرصة لنقدِّم الشکر و الثناء إلی کلّ من ساعدنا و بذل جهداً فی إنجاز هذا المشروع العلمیّ القیّم المبارک، و ندعو اللّه عزّ و جلّ لهم بالتوفیق، إنّه نِعْمَ</w:t>
      </w:r>
    </w:p>
    <w:p>
      <w:pPr>
        <w:pStyle w:val="BookText"/>
        <w:rPr/>
      </w:pPr>
      <w:r>
        <w:rPr>
          <w:rFonts w:ascii="IRNazanin" w:hAnsi="IRNazanin" w:eastAsia="IRNazanin"/>
          <w:color w:val="111111"/>
          <w:sz w:val="28"/>
          <w:sz w:val="28"/>
          <w:szCs w:val="28"/>
          <w:rtl w:val="true"/>
          <w:lang w:bidi="fa-IR"/>
        </w:rPr>
        <w:t>المولی و نِعْمَ النصیر، و هم حجج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رضا الفاضل الکاشانی مدیر مرکز فقه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الإشراف المباشر و متابعة مراحل 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سیف اللّه الصرّامی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إلی تصحیح موارد الاشتباه المحتملة فی الاستدلالات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حسین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 و تقویم النصّ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عباد اللّه سرشار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النهائیة و إبداء الملاحظات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الرضا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و مراجعة المصادر و تخریجها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نسأل اللّه تعالی سبحانه أن یجعل عملنا فی هذا المشروع صالحاً خالصاً لوجهه مُقرِّباً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قدرت اللّه الأنصاری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bookmarkStart w:id="10" w:name="pg11754_112800"/>
    </w:p>
    <w:p>
      <w:pPr>
        <w:pStyle w:val="Heading2"/>
        <w:numPr>
          <w:ilvl w:val="1"/>
          <w:numId w:val="1"/>
        </w:numPr>
        <w:rPr/>
      </w:pPr>
      <w:bookmarkStart w:id="11" w:name="__RefHeading___Toc9530403_73709187"/>
      <w:bookmarkStart w:id="12" w:name="_Toc4"/>
      <w:bookmarkEnd w:id="10"/>
      <w:bookmarkEnd w:id="11"/>
      <w:r>
        <w:rPr>
          <w:rtl w:val="true"/>
        </w:rPr>
        <w:t>الباب السادس</w:t>
      </w:r>
      <w:r>
        <w:rPr>
          <w:rtl w:val="true"/>
        </w:rPr>
        <w:t xml:space="preserve">: </w:t>
      </w:r>
      <w:r>
        <w:rPr>
          <w:rtl w:val="true"/>
        </w:rPr>
        <w:t>تعیین نسب الأطفال و أحکام اللقیط</w:t>
      </w:r>
      <w:bookmarkEnd w:id="12"/>
    </w:p>
    <w:p>
      <w:pPr>
        <w:pStyle w:val="Heading3"/>
        <w:numPr>
          <w:ilvl w:val="2"/>
          <w:numId w:val="1"/>
        </w:numPr>
        <w:rPr/>
      </w:pPr>
      <w:bookmarkStart w:id="13" w:name="__RefHeading___Toc9530405_7370918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و فیه أربعة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نسب الطفل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الولد بوالدیه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التبنّی</w:t>
      </w:r>
      <w:bookmarkStart w:id="15" w:name="pg11754_112802"/>
    </w:p>
    <w:p>
      <w:pPr>
        <w:pStyle w:val="Heading3"/>
        <w:numPr>
          <w:ilvl w:val="2"/>
          <w:numId w:val="1"/>
        </w:numPr>
        <w:rPr/>
      </w:pPr>
      <w:bookmarkStart w:id="16" w:name="__RefHeading___Toc9530407_73709187"/>
      <w:bookmarkStart w:id="17" w:name="_Toc6"/>
      <w:bookmarkEnd w:id="15"/>
      <w:bookmarkEnd w:id="16"/>
      <w:r>
        <w:rPr>
          <w:rtl w:val="true"/>
        </w:rPr>
        <w:t>الفصل الأوّل</w:t>
      </w:r>
      <w:r>
        <w:rPr>
          <w:rtl w:val="true"/>
        </w:rPr>
        <w:t xml:space="preserve">: </w:t>
      </w:r>
      <w:r>
        <w:rPr>
          <w:rtl w:val="true"/>
        </w:rPr>
        <w:t>ثَبْتُ نَسَبِ الطفل</w:t>
      </w:r>
      <w:bookmarkEnd w:id="17"/>
    </w:p>
    <w:p>
      <w:pPr>
        <w:pStyle w:val="Heading4"/>
        <w:numPr>
          <w:ilvl w:val="3"/>
          <w:numId w:val="1"/>
        </w:numPr>
        <w:rPr/>
      </w:pPr>
      <w:bookmarkStart w:id="18" w:name="__RefHeading___Toc9530409_7370918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النسب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 الأصل و العرق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الشخصین، أحدهما من نسل الآخر، أو کلاهما من نسل ثالث، و بتعبیر آخر، النسب علقة بین الشخصین من أجل تولّد أحدهما من الآخر أو تولّدهما</w:t>
      </w:r>
      <w:r>
        <w:rPr>
          <w:rStyle w:val="FootnoteAnchor"/>
          <w:rtl w:val="true"/>
        </w:rPr>
        <w:footnoteReference w:id="3"/>
      </w:r>
      <w:r>
        <w:rPr>
          <w:rFonts w:ascii="IRNazanin" w:hAnsi="IRNazanin" w:eastAsia="IRNazanin"/>
          <w:color w:val="111111"/>
          <w:sz w:val="28"/>
          <w:sz w:val="28"/>
          <w:szCs w:val="28"/>
          <w:rtl w:val="true"/>
          <w:lang w:bidi="fa-IR"/>
        </w:rPr>
        <w:t>من ثالث، و هذا النسب بمعنی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النسب بمعنی الخاصّ الّذی هو المقصود فی المقام، هو علقة بین الأب و الاُمّ و ولدهما، و حیث کان الأولاد رجالاً و نساءً فی المستقبل أعطاهم التشریع الإسلامی عنایةً کبیرة</w:t>
      </w:r>
    </w:p>
    <w:p>
      <w:pPr>
        <w:pStyle w:val="BookText"/>
        <w:rPr/>
      </w:pPr>
      <w:r>
        <w:rPr>
          <w:rFonts w:ascii="IRNazanin" w:hAnsi="IRNazanin" w:eastAsia="IRNazanin"/>
          <w:color w:val="111111"/>
          <w:sz w:val="28"/>
          <w:sz w:val="28"/>
          <w:szCs w:val="28"/>
          <w:rtl w:val="true"/>
          <w:lang w:bidi="fa-IR"/>
        </w:rPr>
        <w:t>و خصّتهم الشریعة الإسلامیّة بجانب عظیم من الاهتمام، فشرّعت کثیراً من الأحکام الّتی تتعلّق بالأطفال، و لکی ینشأ هؤلاء الأولاد نشأةً کریمة طیّبة شرّع اللّه لهم حقوقاً مختلفة تؤدّی إلی ما یراد لهم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من أهمّ هذه الحقوق، هو ثبوت نسب کلّ طفل إلی أبیه و امّه حتی لا تختلط الأنساب و لا یضیع الأولاد،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العلل و عیون الأخبار بأسانیده عن محمّد بن سنان، أنّ أبا الحسن علیّ بن موسی الرضا علیهما السلام کتب إلیه فی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تحلیل مال الولد لوالده بغیر إذنه و لیس ذلک للولد؛ لأنّ الولد موهوب للوالد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المنسوب إلیه و المدعو له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الحدیث</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فالنسب حقّ‌</w:t>
      </w:r>
      <w:r>
        <w:rPr>
          <w:rStyle w:val="FootnoteAnchor"/>
          <w:rtl w:val="true"/>
        </w:rPr>
        <w:footnoteReference w:id="8"/>
      </w:r>
      <w:r>
        <w:rPr>
          <w:rFonts w:ascii="Amiri" w:hAnsi="Amiri" w:eastAsia="Amiri" w:cs="Amiri"/>
          <w:color w:val="111111"/>
          <w:sz w:val="28"/>
          <w:sz w:val="28"/>
          <w:szCs w:val="28"/>
          <w:rtl w:val="true"/>
          <w:lang w:bidi="ar-SA"/>
        </w:rPr>
        <w:t xml:space="preserve">من الحقوق الشرعیّة، لکنّه لیس حقّاً خالصاً لِلّه، بل هو مشترک بین اللّه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أطراف النسب؛ و هم</w:t>
      </w:r>
    </w:p>
    <w:p>
      <w:pPr>
        <w:pStyle w:val="BookText"/>
        <w:rPr/>
      </w:pPr>
      <w:r>
        <w:rPr>
          <w:rFonts w:ascii="IRNazanin" w:hAnsi="IRNazanin" w:eastAsia="IRNazanin"/>
          <w:color w:val="111111"/>
          <w:sz w:val="28"/>
          <w:sz w:val="28"/>
          <w:szCs w:val="28"/>
          <w:rtl w:val="true"/>
          <w:lang w:bidi="fa-IR"/>
        </w:rPr>
        <w:t>الأب</w:t>
      </w:r>
      <w:r>
        <w:rPr>
          <w:rStyle w:val="FootnoteAnchor"/>
          <w:rtl w:val="true"/>
        </w:rPr>
        <w:footnoteReference w:id="10"/>
      </w:r>
      <w:r>
        <w:rPr>
          <w:rFonts w:ascii="Amiri" w:hAnsi="Amiri" w:eastAsia="Amiri" w:cs="Amiri"/>
          <w:color w:val="111111"/>
          <w:sz w:val="28"/>
          <w:sz w:val="28"/>
          <w:szCs w:val="28"/>
          <w:rtl w:val="true"/>
          <w:lang w:bidi="ar-SA"/>
        </w:rPr>
        <w:t>و الاُمّ‌</w:t>
      </w:r>
      <w:r>
        <w:rPr>
          <w:rStyle w:val="FootnoteAnchor"/>
          <w:rtl w:val="true"/>
        </w:rPr>
        <w:footnoteReference w:id="11"/>
      </w:r>
      <w:r>
        <w:rPr>
          <w:rFonts w:ascii="IRNazanin" w:hAnsi="IRNazanin" w:eastAsia="IRNazanin"/>
          <w:color w:val="111111"/>
          <w:sz w:val="28"/>
          <w:sz w:val="28"/>
          <w:szCs w:val="28"/>
          <w:rtl w:val="true"/>
          <w:lang w:bidi="fa-IR"/>
        </w:rPr>
        <w:t>و الولد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حقّ الولد أن یثبت نسبه من أبیه الّذی خلقه اللّه من مائه؛ لاحتیاجه إلی دفع العار عن نفسه بکونه ولد زنی، و لأنّ ثبوت نسبه یستتبع للولد حقوقاً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النفقة، و حقّ الرضاع، و حقّ الحضانة،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التفریط بهذا الحقّ، و فَقْدُ الطفل حقّاً هامّاً من حقوقه الأساسیّة فی حیاته الکریمة، یجعل شخصیّته غیر متوازنةٍ، و یؤثّر علی علاقاته الاجتماعیّة عند ما یصبح ناضجاً، فمن الطبیعی أن یکون لکلّ إنسان نسب یفتخر به و یعتزّ بوالدیه طوال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تولّد الطفل من الرجل و المرأة بطریق الزواج الصحیح أو ما یلحق به، فمن الواضح أنّ الولد یثبت نسبه لاُمّه بولادته، و لا یمکن نفیه بعد ذلک، و یثبت نسبه لأبیه أیضاً، و طریق ثبوت النسب أحد 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و الإقرار، و البیّنة و یأتی البحث عنها فی هذا الفصل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أوراق شهادة الولادة و سجلات الإحصائیّة، أو بطاقة الأحوال الشخصیّة الّتی یعبّر عنها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أوراقاً رسمیّة؛ لصدورها من موظّف عمومیّ مختصّ صالحٍ فی دوائر الأحوال الشخصیّة، و لکن إذا طعن علیها بالتزویر مع التمکّن من الطعن، فلا یمکن إثبات النسب بها، و مع ذلک هی أحسن مستندٍ رسمیّ تعورف علیه فی العرض علی الدوائر و المدارس و المحاکم</w:t>
      </w:r>
      <w:bookmarkStart w:id="20" w:name="pg11754_112805"/>
    </w:p>
    <w:p>
      <w:pPr>
        <w:pStyle w:val="BookText"/>
        <w:rPr/>
      </w:pPr>
      <w:bookmarkEnd w:id="20"/>
      <w:r>
        <w:rPr>
          <w:rFonts w:ascii="IRNazanin" w:hAnsi="IRNazanin" w:eastAsia="IRNazanin"/>
          <w:color w:val="111111"/>
          <w:sz w:val="28"/>
          <w:sz w:val="28"/>
          <w:szCs w:val="28"/>
          <w:rtl w:val="true"/>
          <w:lang w:bidi="fa-IR"/>
        </w:rPr>
        <w:t>و غیرها، و تکون معتبرةٌ و لا یحتاج إلی مستند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 الولد للرجل و المرأة، یکلّفهما العرف و العقلاء تکلیفاً لازماً لتسجیل اسم ولدهما فی دوائر الأحوال الشخصیّة، و جاء فی بعض القوانین الموضوعة أنّه لو لم یقم الوالدان لتسجیل المولود فی الوقت المقرّر، أنّهما مستحقّان للعقوبة المعیّنة فی القانون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یسأل فی المقام أنّ القیام بتسجیل المولود فی دوائر الأحوال الشخصیّة</w:t>
      </w:r>
      <w:r>
        <w:rPr>
          <w:rStyle w:val="FootnoteAnchor"/>
          <w:rtl w:val="true"/>
        </w:rPr>
        <w:footnoteReference w:id="14"/>
      </w:r>
      <w:r>
        <w:rPr>
          <w:rFonts w:ascii="IRNazanin" w:hAnsi="IRNazanin" w:eastAsia="IRNazanin"/>
          <w:color w:val="111111"/>
          <w:sz w:val="28"/>
          <w:sz w:val="28"/>
          <w:szCs w:val="28"/>
          <w:rtl w:val="true"/>
          <w:lang w:bidi="fa-IR"/>
        </w:rPr>
        <w:t>، هل یکون حقّاً للطفل أو تکلیفاً علی الوالدین، أو کلاهما باعتبارین، و علی تقدیر أن یکون تکلیفاً علی الوالدین، هل یمکن إقامة الدلیل الشرعی علی إثباته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الأصحاب حکم هذه المسألة، و لعلّه لعدم کونها مبتلی بها، و لکن یمکن أن یستأنس بل یستظهر من بعض الأدلّة لزومها علی الوالدین؛ و هی ما یلی</w:t>
      </w:r>
      <w:r>
        <w:rPr>
          <w:rFonts w:eastAsia="IRNazanin" w:cs="IRNazanin"/>
          <w:color w:val="111111"/>
          <w:sz w:val="28"/>
          <w:szCs w:val="28"/>
          <w:rtl w:val="true"/>
          <w:lang w:bidi="fa-IR"/>
        </w:rPr>
        <w:t>:</w:t>
      </w:r>
    </w:p>
    <w:p>
      <w:pPr>
        <w:pStyle w:val="Heading4"/>
        <w:numPr>
          <w:ilvl w:val="3"/>
          <w:numId w:val="1"/>
        </w:numPr>
        <w:rPr/>
      </w:pPr>
      <w:bookmarkStart w:id="21" w:name="__RefHeading___Toc9530411_73709187"/>
      <w:bookmarkStart w:id="22" w:name="_Toc8"/>
      <w:bookmarkEnd w:id="21"/>
      <w:r>
        <w:rPr>
          <w:rtl w:val="true"/>
        </w:rPr>
        <w:t>أدلّة لزوم تسجیل الولادة</w:t>
      </w:r>
      <w:bookmarkEnd w:id="22"/>
    </w:p>
    <w:p>
      <w:pPr>
        <w:pStyle w:val="Heading5"/>
        <w:numPr>
          <w:ilvl w:val="4"/>
          <w:numId w:val="1"/>
        </w:numPr>
        <w:rPr/>
      </w:pPr>
      <w:bookmarkStart w:id="23" w:name="__RefHeading___Toc9530413_73709187"/>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 xml:space="preserve">یمکن أن یستظهر لزوم تسجیل ولادة الأطفال علی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کانوا ذوی سجلاّت إحصائیة فی مستقبل عمرهم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الآیات و الأخبار</w:t>
      </w:r>
      <w:r>
        <w:rPr>
          <w:rFonts w:eastAsia="IRNazanin" w:cs="IRNazanin"/>
          <w:color w:val="111111"/>
          <w:sz w:val="28"/>
          <w:szCs w:val="28"/>
          <w:rtl w:val="true"/>
          <w:lang w:bidi="fa-IR"/>
        </w:rPr>
        <w:t>.</w:t>
      </w:r>
    </w:p>
    <w:p>
      <w:pPr>
        <w:pStyle w:val="Heading5"/>
        <w:numPr>
          <w:ilvl w:val="4"/>
          <w:numId w:val="1"/>
        </w:numPr>
        <w:rPr/>
      </w:pPr>
      <w:bookmarkStart w:id="25" w:name="__RefHeading___Toc9530415_73709187"/>
      <w:bookmarkStart w:id="26" w:name="_Toc10"/>
      <w:bookmarkEnd w:id="25"/>
      <w:r>
        <w:rPr>
          <w:rtl w:val="true"/>
        </w:rPr>
        <w:t>الأوّل</w:t>
      </w:r>
      <w:r>
        <w:rPr>
          <w:rtl w:val="true"/>
        </w:rPr>
        <w:t xml:space="preserve">: </w:t>
      </w:r>
      <w:r>
        <w:rPr>
          <w:rtl w:val="true"/>
        </w:rPr>
        <w:t>الآیات</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w:t>
      </w:r>
    </w:p>
    <w:p>
      <w:pPr>
        <w:pStyle w:val="BookText"/>
        <w:rPr/>
      </w:pPr>
      <w:r>
        <w:rPr>
          <w:rFonts w:ascii="Amiri" w:hAnsi="Amiri" w:eastAsia="Amiri" w:cs="Amiri"/>
          <w:color w:val="111111"/>
          <w:sz w:val="28"/>
          <w:sz w:val="28"/>
          <w:szCs w:val="28"/>
          <w:rtl w:val="true"/>
          <w:lang w:bidi="ar-SA"/>
        </w:rPr>
        <w:t>عَلَّمَهُ اللّهُ فَلْیَکْتُبْ وَ لْیُمْلِلِ الَّذِی عَلَیْهِ الْحَقُّ وَ لْیَتَّقِ اللّهَ رَبَّهُ وَ لا یَبْخَسْ مِنْهُ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 فی 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الأمر بالکتابة، و اختلفوا فی مقتضاه،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مندوب إلیه، و بعض آخر أنّه فرض، و الأوّل أصحّ؛ لإجماع أهل عصرنا علی ذلک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هنا عند مالک للوجوب، و الأصحّ أنّه إمّا للندب أو للإرشاد إلی المصلحة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هاتین الآیتین ما یقرب من عشرین حکماً تتعلّق باُصول المعاملات و المعاوضات، کالبیع و الرهن و الدین و نحوها، و هی قواعد نظامیّة ثابتة فی فطرة العقلاء، قرّرها سیّد الأنبیاء بوحی من السماء، و بمراعاتها یحفظ المال عن الضیاع، و یرفع التنازع و الاختلاف بین أفراد الإنسان، و یصل کلّ ذی حقّ إلی حقّه، و العمل بها یوصل الناس إلی أغراضهم، و یحافظون علی مالیّة أموالهم، و قد أکّد سبحانه علی کثرة الاعتناء و الاهتمام بحقوق الناس، و بیّن عزّ و جلّ أنّ العمل طریق التقوی، بل هی و العمل الصحیح متلازمان، و أنّ التقوی من موجبات رحمة اللّه بالعبد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أَقْسَطُ عِنْدَ اللّهِ وَ أَقْوَمُ لِلشَّهادَةِ وَ أَدْنی أَلاّ تَرْتابُوا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 ما تقدّم من الأحکام فی الکتابة و الإشهاد و غیرها أعدل طریق للتقوی، و هو المحبوب عند اللّه تعالی، و أحفظ للشهادة، و أعون علی</w:t>
      </w:r>
    </w:p>
    <w:p>
      <w:pPr>
        <w:pStyle w:val="BookText"/>
        <w:rPr/>
      </w:pPr>
      <w:r>
        <w:rPr>
          <w:rFonts w:ascii="IRNazanin" w:hAnsi="IRNazanin" w:eastAsia="IRNazanin"/>
          <w:color w:val="111111"/>
          <w:sz w:val="28"/>
          <w:sz w:val="28"/>
          <w:szCs w:val="28"/>
          <w:rtl w:val="true"/>
          <w:lang w:bidi="fa-IR"/>
        </w:rPr>
        <w:t>إقامتها علی وجهها الصحیح، و أقْرب إلی نفی الشکّ و الریب؛ فإنّها تدفع ارتیاب بعضکم من بعض، و هذه الاُمور مطلوبة للناس مرغوب فیها، و یستفاد من هذه أنّ جمیع تلک الأحکام إنّما تکون لأجل هذه الغایات الحمیدة، فتکون الأوامر و النواهی فیها للإرشاد، لا الوجوب و الإلزام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فاکتبوا الدین فی صکٍّ‌</w:t>
      </w:r>
      <w:r>
        <w:rPr>
          <w:rStyle w:val="FootnoteAnchor"/>
          <w:rtl w:val="true"/>
        </w:rPr>
        <w:footnoteReference w:id="18"/>
      </w:r>
      <w:r>
        <w:rPr>
          <w:rFonts w:ascii="IRNazanin" w:hAnsi="IRNazanin" w:eastAsia="IRNazanin"/>
          <w:color w:val="111111"/>
          <w:sz w:val="28"/>
          <w:sz w:val="28"/>
          <w:szCs w:val="28"/>
          <w:rtl w:val="true"/>
          <w:lang w:bidi="fa-IR"/>
        </w:rPr>
        <w:t>لئلاّ یقع فیه نسیان أو جحود، و لیکون ذلک توثقةً للحقّ، و نظراً للّذی له علیه الحقّ و للشهود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التأکیدات فی أمر الکتابة للإرشاد إلی تلک المصالح و غیرها، أو أنّها مستحبة؛ لأنّها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الظاهر من الآیة الکریمة أنّ الکتابة و الإشهاد و غیرهما لا تختصّ بالدّین، بل یشمل غیره أیضاً، کالبیع و الرهن و الحقّ و غیرها، و یؤیّده بعض النصوص</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فقه القرآن</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للدین أو للحقّ، صغیراً کان أو کبیراً، علی أیّ حالٍ کان الحقّ من صغیر و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یستفاد من القرائن المختلفة أنّ الأمر بکتابة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إرشاد الی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 عن تضییع الحقوق، و أخذ التوثیق لها، و رفع التنازع فی الأموال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التعلیل المستفاد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أَقْسَطُ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بینّاه من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بما ذکر فی الآیة، بل یشمل کلّ ما هو محبوب عند اللّه، مطلوب للناس، مرغوب فیه، و تکون الکتابة و الإشهاد فیه طریقاً للتقوی، و سبباً لاقامة القسط</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کتابة شهادة الولادة و تسجیل المولود فی دوائر الأحوال الشخصیّة؛ إذ بمراعاتها یحفظ حقّ الطفل و نسبه عن الضیاع، و تترتّب علیها غایات حمیدة فی مستقبل عمره، و لعلّ هذا المعنی غیر بعید عن الحکم الإرشادی للآیة، و اللّه هو العالم بحکمه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تفسیر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علی الوالدة ألاّ تضارّ بولدها فیما یجب علیها من تعاهده و القیام بأمره و رضاعه و غذائه، و علی الوالد ألاّ یضارّ بولده فیما یجب علیه من النفقة علیه و علی امّه و فی حفظه و تعاهده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المضارّة بمعنی الإضرار؛ أی لا تضرّ الوالدة و لا الوالد بالولد</w:t>
      </w:r>
      <w:r>
        <w:rPr>
          <w:rStyle w:val="FootnoteAnchor"/>
          <w:rtl w:val="true"/>
        </w:rPr>
        <w:footnoteReference w:id="24"/>
      </w:r>
      <w:r>
        <w:rPr>
          <w:rFonts w:ascii="IRNazanin" w:hAnsi="IRNazanin" w:eastAsia="IRNazanin"/>
          <w:color w:val="111111"/>
          <w:sz w:val="28"/>
          <w:sz w:val="28"/>
          <w:szCs w:val="28"/>
          <w:rtl w:val="true"/>
          <w:lang w:bidi="fa-IR"/>
        </w:rPr>
        <w:t xml:space="preserve">، فأمر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الوالدین بالقیام بشئون الأولاد و العنایة بهم، بحیث أن لا یتوجّه إلیهم الضرر، و حیث إنّ عدم القیام بکتابة ولادة الطفل فی دوائر الأحوال الشخصیّة و تحصیل البطاقة یوجب ضرراً للطفل</w:t>
      </w:r>
      <w:r>
        <w:rPr>
          <w:rStyle w:val="FootnoteAnchor"/>
          <w:rtl w:val="true"/>
        </w:rPr>
        <w:footnoteReference w:id="25"/>
      </w:r>
      <w:r>
        <w:rPr>
          <w:rFonts w:ascii="IRNazanin" w:hAnsi="IRNazanin" w:eastAsia="IRNazanin"/>
          <w:color w:val="111111"/>
          <w:sz w:val="28"/>
          <w:sz w:val="28"/>
          <w:szCs w:val="28"/>
          <w:rtl w:val="true"/>
          <w:lang w:bidi="fa-IR"/>
        </w:rPr>
        <w:t>، فیجب علیهما القیام بذلک لکی لا یقع الطفل فی الضرر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جواز</w:t>
      </w:r>
      <w:r>
        <w:rPr>
          <w:rStyle w:val="FootnoteAnchor"/>
          <w:rtl w:val="true"/>
        </w:rPr>
        <w:footnoteReference w:id="26"/>
      </w:r>
      <w:r>
        <w:rPr>
          <w:rFonts w:ascii="IRNazanin" w:hAnsi="IRNazanin" w:eastAsia="IRNazanin"/>
          <w:color w:val="111111"/>
          <w:sz w:val="28"/>
          <w:sz w:val="28"/>
          <w:szCs w:val="28"/>
          <w:rtl w:val="true"/>
          <w:lang w:bidi="fa-IR"/>
        </w:rPr>
        <w:t>عدم القیام بتحصیل البطاقة، و تسجیل الولادة، یتوجّه علی الطفل الضیق و الشدائد العظیمة فی طول حیاته، حیث إنّ فی عصرنا الراهن لا یتمکّن الطفل من</w:t>
      </w:r>
      <w:bookmarkStart w:id="27" w:name="pg11754_112810"/>
    </w:p>
    <w:p>
      <w:pPr>
        <w:pStyle w:val="BookText"/>
        <w:rPr/>
      </w:pPr>
      <w:bookmarkEnd w:id="27"/>
      <w:r>
        <w:rPr>
          <w:rFonts w:ascii="IRNazanin" w:hAnsi="IRNazanin" w:eastAsia="IRNazanin"/>
          <w:color w:val="111111"/>
          <w:sz w:val="28"/>
          <w:sz w:val="28"/>
          <w:szCs w:val="28"/>
          <w:rtl w:val="true"/>
          <w:lang w:bidi="fa-IR"/>
        </w:rPr>
        <w:t>التحصیل فی المدارس المعدّة لذلک، و لا من السفر فی البلاد، و لا من ثبت نکاح زوجته، و لا الحضور فی المجامع و غیر ذلک، فینتج أنّه لا یجوز للوالدین التسامح و التساهل لتحصیل بطاقة الولادة</w:t>
      </w:r>
      <w:r>
        <w:rPr>
          <w:rFonts w:eastAsia="IRNazanin" w:cs="IRNazanin"/>
          <w:color w:val="111111"/>
          <w:sz w:val="28"/>
          <w:szCs w:val="28"/>
          <w:rtl w:val="true"/>
          <w:lang w:bidi="fa-IR"/>
        </w:rPr>
        <w:t>.</w:t>
      </w:r>
    </w:p>
    <w:p>
      <w:pPr>
        <w:pStyle w:val="Heading5"/>
        <w:numPr>
          <w:ilvl w:val="4"/>
          <w:numId w:val="1"/>
        </w:numPr>
        <w:rPr/>
      </w:pPr>
      <w:bookmarkStart w:id="28" w:name="__RefHeading___Toc9530417_73709187"/>
      <w:bookmarkStart w:id="29" w:name="_Toc11"/>
      <w:bookmarkEnd w:id="28"/>
      <w:r>
        <w:rPr>
          <w:rtl w:val="true"/>
        </w:rPr>
        <w:t>الثانی</w:t>
      </w:r>
      <w:r>
        <w:rPr>
          <w:rtl w:val="true"/>
        </w:rPr>
        <w:t xml:space="preserve">: </w:t>
      </w:r>
      <w:r>
        <w:rPr>
          <w:rtl w:val="true"/>
        </w:rPr>
        <w:t>النصوص</w:t>
      </w:r>
      <w:r>
        <w:rPr>
          <w:rtl w:val="true"/>
        </w:rPr>
        <w:t>:</w:t>
      </w:r>
      <w:bookmarkEnd w:id="2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العلل و العیون بأسانیده عن محمّد بن سنان، عن الرضا علیه السلام فیما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علّة ضرب القاذف و شارب الخمر ثمانین جلدةً؛ لأنّ فی القذف نفی الولد، و قطع النسل، و ذهاب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27"/>
      </w:r>
      <w:r>
        <w:rPr>
          <w:rFonts w:ascii="IRNazanin" w:hAnsi="IRNazanin" w:eastAsia="IRNazanin"/>
          <w:color w:val="111111"/>
          <w:sz w:val="28"/>
          <w:sz w:val="28"/>
          <w:szCs w:val="28"/>
          <w:rtl w:val="true"/>
          <w:lang w:bidi="fa-IR"/>
        </w:rPr>
        <w:t xml:space="preserve">؛ فإنّ هذه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ذهاب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عدم کتابة الولادة فی بعض الأحیان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p>
    <w:p>
      <w:pPr>
        <w:pStyle w:val="BookText"/>
        <w:rPr/>
      </w:pPr>
      <w:r>
        <w:rPr>
          <w:rFonts w:ascii="IRNazanin" w:hAnsi="IRNazanin" w:eastAsia="IRNazanin"/>
          <w:color w:val="111111"/>
          <w:sz w:val="28"/>
          <w:sz w:val="28"/>
          <w:szCs w:val="28"/>
          <w:rtl w:val="true"/>
          <w:lang w:bidi="fa-IR"/>
        </w:rPr>
        <w:t>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علی الناس برّهم و فاجرهم بالکتاب و الحساب، و لو لا ذلک لتغالطوا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فعدم ثبت الولادة یوجب التغالط و هو غیر محبوب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تحف العقول فی رسالة الحقوق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 ولدک، فتعلم أنّه منک و مضاف إلیک فی عاجل الدنیا بخیره و شرّه، و أنّک مسئول عمّا ولّیته من حُسن الأدب و الدلالة علی ربّه، الحدیث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فإضافة</w:t>
      </w:r>
      <w:r>
        <w:rPr>
          <w:rStyle w:val="FootnoteAnchor"/>
          <w:rtl w:val="true"/>
        </w:rPr>
        <w:footnoteReference w:id="30"/>
      </w:r>
      <w:r>
        <w:rPr>
          <w:rFonts w:ascii="IRNazanin" w:hAnsi="IRNazanin" w:eastAsia="IRNazanin"/>
          <w:color w:val="111111"/>
          <w:sz w:val="28"/>
          <w:sz w:val="28"/>
          <w:szCs w:val="28"/>
          <w:rtl w:val="true"/>
          <w:lang w:bidi="fa-IR"/>
        </w:rPr>
        <w:t xml:space="preserve">الطفل إلی والدیه فی طول حیاتهم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فی القرون</w:t>
      </w:r>
    </w:p>
    <w:p>
      <w:pPr>
        <w:pStyle w:val="BookText"/>
        <w:rPr/>
      </w:pPr>
      <w:r>
        <w:rPr>
          <w:rFonts w:ascii="IRNazanin" w:hAnsi="IRNazanin" w:eastAsia="IRNazanin"/>
          <w:color w:val="111111"/>
          <w:sz w:val="28"/>
          <w:sz w:val="28"/>
          <w:szCs w:val="28"/>
          <w:rtl w:val="true"/>
          <w:lang w:bidi="fa-IR"/>
        </w:rPr>
        <w:t xml:space="preserve">المتمادیة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یسجّل إلاّ بثبت الولادة کما هو ظاهر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ثبت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ثابت عند العرف و العقلاء، و لا یعتریه شکّ و لا ریب، و القول بوجوبه الشرعی علی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ما هو المستفاد من الآیات و الروایات المتقدِّمة و لو بقرینة المؤیّدات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w:t>
      </w:r>
      <w:bookmarkStart w:id="30" w:name="pg11754_112812"/>
    </w:p>
    <w:p>
      <w:pPr>
        <w:pStyle w:val="Heading3"/>
        <w:numPr>
          <w:ilvl w:val="2"/>
          <w:numId w:val="1"/>
        </w:numPr>
        <w:rPr/>
      </w:pPr>
      <w:bookmarkStart w:id="31" w:name="__RefHeading___Toc9530419_73709187"/>
      <w:bookmarkStart w:id="32" w:name="_Toc12"/>
      <w:bookmarkEnd w:id="30"/>
      <w:bookmarkEnd w:id="31"/>
      <w:r>
        <w:rPr>
          <w:rtl w:val="true"/>
        </w:rPr>
        <w:t>الفصل الثانی</w:t>
      </w:r>
      <w:r>
        <w:rPr>
          <w:rtl w:val="true"/>
        </w:rPr>
        <w:t xml:space="preserve">: </w:t>
      </w:r>
      <w:r>
        <w:rPr>
          <w:rtl w:val="true"/>
        </w:rPr>
        <w:t>إلحاق الولد بوالدیه و فیه مباحث</w:t>
      </w:r>
      <w:bookmarkEnd w:id="32"/>
    </w:p>
    <w:p>
      <w:pPr>
        <w:pStyle w:val="Heading4"/>
        <w:numPr>
          <w:ilvl w:val="3"/>
          <w:numId w:val="1"/>
        </w:numPr>
        <w:rPr/>
      </w:pPr>
      <w:bookmarkStart w:id="33" w:name="__RefHeading___Toc9530421_73709187"/>
      <w:bookmarkStart w:id="34" w:name="_Toc13"/>
      <w:bookmarkEnd w:id="33"/>
      <w:r>
        <w:rPr>
          <w:rtl w:val="true"/>
        </w:rPr>
        <w:t>المبحث الأوّل</w:t>
      </w:r>
      <w:r>
        <w:rPr>
          <w:rtl w:val="true"/>
        </w:rPr>
        <w:t xml:space="preserve">: </w:t>
      </w:r>
      <w:r>
        <w:rPr>
          <w:rtl w:val="true"/>
        </w:rPr>
        <w:t xml:space="preserve">معنی قاعدة </w:t>
      </w:r>
      <w:r>
        <w:rPr>
          <w:rtl w:val="true"/>
        </w:rPr>
        <w:t>«</w:t>
      </w:r>
      <w:r>
        <w:rPr>
          <w:rtl w:val="true"/>
        </w:rPr>
        <w:t>الولد للفراش</w:t>
      </w:r>
      <w:r>
        <w:rPr>
          <w:rtl w:val="true"/>
        </w:rPr>
        <w:t xml:space="preserve">» </w:t>
      </w:r>
      <w:r>
        <w:rPr>
          <w:rtl w:val="true"/>
        </w:rPr>
        <w:t>و دلیلها</w:t>
      </w:r>
      <w:bookmarkEnd w:id="34"/>
    </w:p>
    <w:p>
      <w:pPr>
        <w:pStyle w:val="Heading5"/>
        <w:numPr>
          <w:ilvl w:val="4"/>
          <w:numId w:val="1"/>
        </w:numPr>
        <w:rPr/>
      </w:pPr>
      <w:bookmarkStart w:id="35" w:name="__RefHeading___Toc9530423_73709187"/>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لا شک فی أنّ الطفل ینسب إلی والدیه فی أکثر الموارد، کما إذا لم یکن نزاع بین الزوجة و الزوج اللّذین تولّد منهما الطفل و یترتّب علیه آثار الانتساب؛ من وجوب الحضانة و التربیة و النفقة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بعض الأحیان لأجل وجود بعض الشبهات و الإیرادات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إنکار الزوج الدخول بزوجته و رمیها بالزنا، أو اعتقاده بأنّ أقصی مدّة الحمل تسعة أشهر، و تولّد الطفل فی الشهر العاشر من زمان الدخول مثلاً، و مثل أن یکون انتقال النطفة بالآلات العلمیّة الحدیثة، أو تکوّن الطفل بوط‌ء الشبهة، و غیر ذلک من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نسب الطفل مشکل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فیسأل ما هو المناط فی تعیین نسب الأطفال فی هذه الموارد و ما شابهها</w:t>
      </w:r>
      <w:r>
        <w:rPr>
          <w:rFonts w:eastAsia="IRNazanin" w:cs="IRNazanin"/>
          <w:color w:val="111111"/>
          <w:sz w:val="28"/>
          <w:szCs w:val="28"/>
          <w:rtl w:val="true"/>
          <w:lang w:bidi="fa-IR"/>
        </w:rPr>
        <w:t>.</w:t>
      </w:r>
      <w:bookmarkStart w:id="37" w:name="pg11754_112813"/>
    </w:p>
    <w:p>
      <w:pPr>
        <w:pStyle w:val="BookText"/>
        <w:rPr/>
      </w:pPr>
      <w:bookmarkEnd w:id="37"/>
      <w:r>
        <w:rPr>
          <w:rFonts w:ascii="IRNazanin" w:hAnsi="IRNazanin" w:eastAsia="IRNazanin"/>
          <w:color w:val="111111"/>
          <w:sz w:val="28"/>
          <w:sz w:val="28"/>
          <w:szCs w:val="28"/>
          <w:rtl w:val="true"/>
          <w:lang w:bidi="fa-IR"/>
        </w:rPr>
        <w:t>و أمّا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جاء لحفظ کینونة نظام المجتمع و الأنساب، و شرّع أحکاماً کلّیةً یمکن تعیین نسب الأطفال بها فی الموارد المشتبهة، فعقدنا للبحث عنها مباحث فی هذا الفصل، و أهمّها هی قاعدة عامةٌ الّتی سمّاها الفقهاء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أن نبیّن أوّلاً معنی القاعدة، و إلحاق الولد بالزوج استناداً بها ثانیاً، و إقامة الدلیل علیها ثالثاً، و تعمیم موضوع الفراش رابعاً</w:t>
      </w:r>
      <w:r>
        <w:rPr>
          <w:rFonts w:eastAsia="IRNazanin" w:cs="IRNazanin"/>
          <w:color w:val="111111"/>
          <w:sz w:val="28"/>
          <w:szCs w:val="28"/>
          <w:rtl w:val="true"/>
          <w:lang w:bidi="fa-IR"/>
        </w:rPr>
        <w:t>.</w:t>
      </w:r>
    </w:p>
    <w:p>
      <w:pPr>
        <w:pStyle w:val="Heading5"/>
        <w:numPr>
          <w:ilvl w:val="4"/>
          <w:numId w:val="1"/>
        </w:numPr>
        <w:rPr/>
      </w:pPr>
      <w:bookmarkStart w:id="38" w:name="__RefHeading___Toc9530425_73709187"/>
      <w:bookmarkStart w:id="39" w:name="_Toc15"/>
      <w:bookmarkEnd w:id="38"/>
      <w:r>
        <w:rPr>
          <w:rtl w:val="true"/>
        </w:rPr>
        <w:t xml:space="preserve">أ </w:t>
      </w:r>
      <w:r>
        <w:rPr>
          <w:rtl w:val="true"/>
        </w:rPr>
        <w:t xml:space="preserve">- </w:t>
      </w:r>
      <w:r>
        <w:rPr>
          <w:rtl w:val="true"/>
        </w:rPr>
        <w:t xml:space="preserve">معنی قاعدة </w:t>
      </w:r>
      <w:r>
        <w:rPr>
          <w:rtl w:val="true"/>
        </w:rPr>
        <w:t>«</w:t>
      </w:r>
      <w:r>
        <w:rPr>
          <w:rtl w:val="true"/>
        </w:rPr>
        <w:t>الولد للفراش</w:t>
      </w:r>
      <w:r>
        <w:rPr>
          <w:rtl w:val="true"/>
        </w:rPr>
        <w:t xml:space="preserve">» </w:t>
      </w:r>
      <w:r>
        <w:rPr>
          <w:rtl w:val="true"/>
        </w:rPr>
        <w:t>عند الفقهاء</w:t>
      </w:r>
      <w:bookmarkEnd w:id="39"/>
    </w:p>
    <w:p>
      <w:pPr>
        <w:pStyle w:val="BookText"/>
        <w:rPr/>
      </w:pPr>
      <w:r>
        <w:rPr>
          <w:rFonts w:ascii="IRNazanin" w:hAnsi="IRNazanin" w:eastAsia="IRNazanin"/>
          <w:color w:val="111111"/>
          <w:sz w:val="28"/>
          <w:sz w:val="28"/>
          <w:szCs w:val="28"/>
          <w:rtl w:val="true"/>
          <w:lang w:bidi="fa-IR"/>
        </w:rPr>
        <w:t>الفراش فی اللغة ما یفرش،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فراش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لم یجعلها حزنة غلیظة لا یمکن الاستقرار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زوجة الرجل فراشه، و إنّه مالک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للزوج؛ فإنّ کلّ واحد من الزوجین یسمّی فراشاً للآخر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ما افترش و یقال لامرأة الرجل هی فراشه و إزاره و لحافه</w:t>
      </w:r>
      <w:r>
        <w:rPr>
          <w:rStyle w:val="FootnoteAnchor"/>
          <w:rtl w:val="true"/>
        </w:rPr>
        <w:footnoteReference w:id="32"/>
      </w:r>
      <w:r>
        <w:rPr>
          <w:rFonts w:ascii="IRNazanin" w:hAnsi="IRNazanin" w:eastAsia="IRNazanin"/>
          <w:color w:val="111111"/>
          <w:sz w:val="28"/>
          <w:sz w:val="28"/>
          <w:szCs w:val="28"/>
          <w:rtl w:val="true"/>
          <w:lang w:bidi="fa-IR"/>
        </w:rPr>
        <w:t>، و کذا فی مجمع البحرین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 بالفِراش عن کُلّ واحِدٍ مِنَ الزوجین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الفراش عند الفقهاء هو معناه الکنائی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أهل العلم أنّ من نکح امرأةً نکاحاً صحیحاً، أنّها</w:t>
      </w:r>
    </w:p>
    <w:p>
      <w:pPr>
        <w:pStyle w:val="BookText"/>
        <w:rPr/>
      </w:pPr>
      <w:r>
        <w:rPr>
          <w:rFonts w:ascii="IRNazanin" w:hAnsi="IRNazanin" w:eastAsia="IRNazanin"/>
          <w:color w:val="111111"/>
          <w:sz w:val="28"/>
          <w:sz w:val="28"/>
          <w:szCs w:val="28"/>
          <w:rtl w:val="true"/>
          <w:lang w:bidi="fa-IR"/>
        </w:rPr>
        <w:t>تصیر فراشاً بالعقد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هاهنا کنایة عن الزوج الشرعی أو المالک، باعتبار أنّ من هو زوج شرعاً أو کان مالکاً لها، له حقّ أن ینام معها فیه شرعاً و یستمتع منها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من قاعدة الفراش عندهم، أنّه إذا تولّد طفل من المرأة التی کان لها زوج و أمکن انتسابه به، یحکم به له، و لا یجوز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ولدت امرأة الرجل ولداً علی فراشه، لزمه الإقرار به، و لم یجز له نفیه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أمکن انتساب الولد إلی الزوج یحکم به له، و لا یجوز له نفیه؛ سواء تحقّق فجور امّه أم لا، و سواء ظنّ انتفاءه عنه أم لا، عملاً بظاهر الشرع</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ببیان آخر مفاد قاعدة الفراش هو إلحاق ما ولدته الزوجة بالزوج مع شرائط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 المعقود علیها دائماً یلحقون بالزوج بشروط ثلاثة</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40"/>
      </w:r>
      <w:r>
        <w:rPr>
          <w:rFonts w:ascii="IRNazanin" w:hAnsi="IRNazanin" w:eastAsia="IRNazanin"/>
          <w:color w:val="111111"/>
          <w:sz w:val="28"/>
          <w:sz w:val="28"/>
          <w:szCs w:val="28"/>
          <w:rtl w:val="true"/>
          <w:lang w:bidi="fa-IR"/>
        </w:rPr>
        <w:t>و کشف اللثام</w:t>
      </w:r>
      <w:r>
        <w:rPr>
          <w:rStyle w:val="FootnoteAnchor"/>
          <w:rtl w:val="true"/>
        </w:rPr>
        <w:footnoteReference w:id="41"/>
      </w:r>
      <w:r>
        <w:rPr>
          <w:rFonts w:ascii="IRNazanin" w:hAnsi="IRNazanin" w:eastAsia="IRNazanin"/>
          <w:color w:val="111111"/>
          <w:sz w:val="28"/>
          <w:sz w:val="28"/>
          <w:szCs w:val="28"/>
          <w:rtl w:val="true"/>
          <w:lang w:bidi="fa-IR"/>
        </w:rPr>
        <w:t>، و جامع المدارک</w:t>
      </w:r>
      <w:r>
        <w:rPr>
          <w:rStyle w:val="FootnoteAnchor"/>
          <w:rtl w:val="true"/>
        </w:rPr>
        <w:footnoteReference w:id="42"/>
      </w:r>
      <w:r>
        <w:rPr>
          <w:rFonts w:ascii="IRNazanin" w:hAnsi="IRNazanin" w:eastAsia="IRNazanin"/>
          <w:color w:val="111111"/>
          <w:sz w:val="28"/>
          <w:sz w:val="28"/>
          <w:szCs w:val="28"/>
          <w:rtl w:val="true"/>
          <w:lang w:bidi="fa-IR"/>
        </w:rPr>
        <w:t>، و تفصیل</w:t>
      </w:r>
    </w:p>
    <w:p>
      <w:pPr>
        <w:pStyle w:val="BookText"/>
        <w:rPr/>
      </w:pPr>
      <w:r>
        <w:rPr>
          <w:rFonts w:ascii="IRNazanin" w:hAnsi="IRNazanin" w:eastAsia="IRNazanin"/>
          <w:color w:val="111111"/>
          <w:sz w:val="28"/>
          <w:sz w:val="28"/>
          <w:szCs w:val="28"/>
          <w:rtl w:val="true"/>
          <w:lang w:bidi="fa-IR"/>
        </w:rPr>
        <w:t>الشریعة</w:t>
      </w:r>
      <w:r>
        <w:rPr>
          <w:rStyle w:val="FootnoteAnchor"/>
          <w:rtl w:val="true"/>
        </w:rPr>
        <w:footnoteReference w:id="43"/>
      </w:r>
      <w:r>
        <w:rPr>
          <w:rFonts w:ascii="IRNazanin" w:hAnsi="IRNazanin" w:eastAsia="IRNazanin"/>
          <w:color w:val="111111"/>
          <w:sz w:val="28"/>
          <w:sz w:val="28"/>
          <w:szCs w:val="28"/>
          <w:rtl w:val="true"/>
          <w:lang w:bidi="fa-IR"/>
        </w:rPr>
        <w:t>، و غیرها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المعنی أیضاً من کلمات فقهاء الشافعیّة و الحنابلة و المالکیّة من مذاهب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و هو ممّن یولد لمثله، و أمکن اجتماعهما علی الوط‌ء و أتت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فی الظاهر</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الحاوی</w:t>
      </w:r>
      <w:r>
        <w:rPr>
          <w:rStyle w:val="FootnoteAnchor"/>
          <w:rtl w:val="true"/>
        </w:rPr>
        <w:footnoteReference w:id="46"/>
      </w:r>
      <w:r>
        <w:rPr>
          <w:rFonts w:ascii="Amiri" w:hAnsi="Amiri" w:eastAsia="Amiri" w:cs="Amiri"/>
          <w:color w:val="111111"/>
          <w:sz w:val="28"/>
          <w:sz w:val="28"/>
          <w:szCs w:val="28"/>
          <w:rtl w:val="true"/>
          <w:lang w:bidi="ar-SA"/>
        </w:rPr>
        <w:t>و الاُمّ‌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ولدت امرأته من أمکن کونه منه و لو مع غیبة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نسبه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الإنصاف</w:t>
      </w:r>
      <w:r>
        <w:rPr>
          <w:rStyle w:val="FootnoteAnchor"/>
          <w:rtl w:val="true"/>
        </w:rPr>
        <w:footnoteReference w:id="49"/>
      </w:r>
      <w:r>
        <w:rPr>
          <w:rFonts w:ascii="IRNazanin" w:hAnsi="IRNazanin" w:eastAsia="IRNazanin"/>
          <w:color w:val="111111"/>
          <w:sz w:val="28"/>
          <w:sz w:val="28"/>
          <w:szCs w:val="28"/>
          <w:rtl w:val="true"/>
          <w:lang w:bidi="fa-IR"/>
        </w:rPr>
        <w:t>و المبدع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أوجز المسالک فی فقه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امرأة أو أمَة صارت فراشاً له فأتت بولد بمدّة الإمکان، لحقه و صار ولداً له یجری بینهما المواریث و غیره من الأحکام</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المدونة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 معنی الفراش هو العقد، و لا یعتبر إمکان الدخول؛ إذ النکاح قائم مقام الماء، کما فی تزوّج المشرقی بالمغربیّة و بینهما مسیرة سنة، فجاءت بالولد لستّة أشهر یثبت النسب و إن لم یتوهّم الدخول لبعده عنها</w:t>
      </w:r>
      <w:r>
        <w:rPr>
          <w:rStyle w:val="FootnoteAnchor"/>
          <w:rtl w:val="true"/>
        </w:rPr>
        <w:footnoteReference w:id="53"/>
      </w:r>
      <w:bookmarkStart w:id="40" w:name="pg11754_112816"/>
    </w:p>
    <w:p>
      <w:pPr>
        <w:pStyle w:val="BookText"/>
        <w:rPr/>
      </w:pPr>
      <w:bookmarkEnd w:id="40"/>
      <w:r>
        <w:rPr>
          <w:rFonts w:ascii="IRNazanin" w:hAnsi="IRNazanin" w:eastAsia="IRNazanin"/>
          <w:color w:val="111111"/>
          <w:sz w:val="28"/>
          <w:sz w:val="28"/>
          <w:szCs w:val="28"/>
          <w:rtl w:val="true"/>
          <w:lang w:bidi="fa-IR"/>
        </w:rPr>
        <w:t>قال فی المجموع بعد نقل هذا القول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ضعیف ظاهر الفساد، و علی خلافه کافّة العلماء</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9530427_73709187"/>
      <w:bookmarkStart w:id="42" w:name="_Toc16"/>
      <w:bookmarkEnd w:id="41"/>
      <w:r>
        <w:rPr>
          <w:rtl w:val="true"/>
        </w:rPr>
        <w:t>ب</w:t>
      </w:r>
      <w:r>
        <w:rPr>
          <w:rtl w:val="true"/>
        </w:rPr>
        <w:t xml:space="preserve">: </w:t>
      </w:r>
      <w:r>
        <w:rPr>
          <w:rtl w:val="true"/>
        </w:rPr>
        <w:t>وجوب إلحاق الولد بالزّوج</w:t>
      </w:r>
      <w:bookmarkEnd w:id="42"/>
    </w:p>
    <w:p>
      <w:pPr>
        <w:pStyle w:val="BookText"/>
        <w:rPr/>
      </w:pPr>
      <w:r>
        <w:rPr>
          <w:rFonts w:ascii="IRNazanin" w:hAnsi="IRNazanin" w:eastAsia="IRNazanin"/>
          <w:color w:val="111111"/>
          <w:sz w:val="28"/>
          <w:sz w:val="28"/>
          <w:szCs w:val="28"/>
          <w:rtl w:val="true"/>
          <w:lang w:bidi="fa-IR"/>
        </w:rPr>
        <w:t>الظاهر أنّه لا خلاف بین الفقهاء، بل ثبت الإجماع علی أنّه مع تحقّق الفراش و شرائطه یلحق الولد بالزوج، و یترتّب علیه آثاره من إثبات النسب و غیره، و لا یجوز نفیه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ولدت زوجته علی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ولده بحکم الشریعة، و قضاء العادة، و لا یحلّ له نفیه و لا إنکاره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الزوجة الدائمة و المتعة و الأمَة السریّة فراش، فإذا ولدت إحداهنّ ولداً الحق به مع إمکان الوط‌ء</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57"/>
      </w:r>
      <w:r>
        <w:rPr>
          <w:rFonts w:ascii="IRNazanin" w:hAnsi="IRNazanin" w:eastAsia="IRNazanin"/>
          <w:color w:val="111111"/>
          <w:sz w:val="28"/>
          <w:sz w:val="28"/>
          <w:szCs w:val="28"/>
          <w:rtl w:val="true"/>
          <w:lang w:bidi="fa-IR"/>
        </w:rPr>
        <w:t>و المبسوط‌</w:t>
      </w:r>
      <w:r>
        <w:rPr>
          <w:rStyle w:val="FootnoteAnchor"/>
          <w:rtl w:val="true"/>
        </w:rPr>
        <w:footnoteReference w:id="58"/>
      </w:r>
      <w:r>
        <w:rPr>
          <w:rFonts w:ascii="IRNazanin" w:hAnsi="IRNazanin" w:eastAsia="IRNazanin"/>
          <w:color w:val="111111"/>
          <w:sz w:val="28"/>
          <w:sz w:val="28"/>
          <w:szCs w:val="28"/>
          <w:rtl w:val="true"/>
          <w:lang w:bidi="fa-IR"/>
        </w:rPr>
        <w:t>، و ادّعی عدم الخلاف بین أهل العلم فیه، و السرائر</w:t>
      </w:r>
      <w:r>
        <w:rPr>
          <w:rStyle w:val="FootnoteAnchor"/>
          <w:rtl w:val="true"/>
        </w:rPr>
        <w:footnoteReference w:id="59"/>
      </w:r>
      <w:r>
        <w:rPr>
          <w:rFonts w:ascii="IRNazanin" w:hAnsi="IRNazanin" w:eastAsia="IRNazanin"/>
          <w:color w:val="111111"/>
          <w:sz w:val="28"/>
          <w:sz w:val="28"/>
          <w:szCs w:val="28"/>
          <w:rtl w:val="true"/>
          <w:lang w:bidi="fa-IR"/>
        </w:rPr>
        <w:t>، و الوسیلة</w:t>
      </w:r>
      <w:r>
        <w:rPr>
          <w:rStyle w:val="FootnoteAnchor"/>
          <w:rtl w:val="true"/>
        </w:rPr>
        <w:footnoteReference w:id="60"/>
      </w:r>
      <w:r>
        <w:rPr>
          <w:rFonts w:ascii="IRNazanin" w:hAnsi="IRNazanin" w:eastAsia="IRNazanin"/>
          <w:color w:val="111111"/>
          <w:sz w:val="28"/>
          <w:sz w:val="28"/>
          <w:szCs w:val="28"/>
          <w:rtl w:val="true"/>
          <w:lang w:bidi="fa-IR"/>
        </w:rPr>
        <w:t>، و الشرائع</w:t>
      </w:r>
      <w:r>
        <w:rPr>
          <w:rStyle w:val="FootnoteAnchor"/>
          <w:rtl w:val="true"/>
        </w:rPr>
        <w:footnoteReference w:id="61"/>
      </w:r>
      <w:r>
        <w:rPr>
          <w:rFonts w:ascii="IRNazanin" w:hAnsi="IRNazanin" w:eastAsia="IRNazanin"/>
          <w:color w:val="111111"/>
          <w:sz w:val="28"/>
          <w:sz w:val="28"/>
          <w:szCs w:val="28"/>
          <w:rtl w:val="true"/>
          <w:lang w:bidi="fa-IR"/>
        </w:rPr>
        <w:t>، و القواعد</w:t>
      </w:r>
      <w:r>
        <w:rPr>
          <w:rStyle w:val="FootnoteAnchor"/>
          <w:rtl w:val="true"/>
        </w:rPr>
        <w:footnoteReference w:id="62"/>
      </w:r>
      <w:r>
        <w:rPr>
          <w:rFonts w:ascii="IRNazanin" w:hAnsi="IRNazanin" w:eastAsia="IRNazanin"/>
          <w:color w:val="111111"/>
          <w:sz w:val="28"/>
          <w:sz w:val="28"/>
          <w:szCs w:val="28"/>
          <w:rtl w:val="true"/>
          <w:lang w:bidi="fa-IR"/>
        </w:rPr>
        <w:t>، و التحریر</w:t>
      </w:r>
      <w:r>
        <w:rPr>
          <w:rStyle w:val="FootnoteAnchor"/>
          <w:rtl w:val="true"/>
        </w:rPr>
        <w:footnoteReference w:id="63"/>
      </w:r>
      <w:r>
        <w:rPr>
          <w:rFonts w:ascii="IRNazanin" w:hAnsi="IRNazanin" w:eastAsia="IRNazanin"/>
          <w:color w:val="111111"/>
          <w:sz w:val="28"/>
          <w:sz w:val="28"/>
          <w:szCs w:val="28"/>
          <w:rtl w:val="true"/>
          <w:lang w:bidi="fa-IR"/>
        </w:rPr>
        <w:t>، و کشف اللثام</w:t>
      </w:r>
      <w:r>
        <w:rPr>
          <w:rStyle w:val="FootnoteAnchor"/>
          <w:rtl w:val="true"/>
        </w:rPr>
        <w:footnoteReference w:id="64"/>
      </w:r>
      <w:r>
        <w:rPr>
          <w:rFonts w:ascii="IRNazanin" w:hAnsi="IRNazanin" w:eastAsia="IRNazanin"/>
          <w:color w:val="111111"/>
          <w:sz w:val="28"/>
          <w:sz w:val="28"/>
          <w:szCs w:val="28"/>
          <w:rtl w:val="true"/>
          <w:lang w:bidi="fa-IR"/>
        </w:rPr>
        <w:t>،</w:t>
      </w:r>
      <w:bookmarkStart w:id="43" w:name="pg11754_112817"/>
    </w:p>
    <w:p>
      <w:pPr>
        <w:pStyle w:val="BookText"/>
        <w:rPr/>
      </w:pPr>
      <w:bookmarkEnd w:id="43"/>
      <w:r>
        <w:rPr>
          <w:rFonts w:ascii="IRNazanin" w:hAnsi="IRNazanin" w:eastAsia="IRNazanin"/>
          <w:color w:val="111111"/>
          <w:sz w:val="28"/>
          <w:sz w:val="28"/>
          <w:szCs w:val="28"/>
          <w:rtl w:val="true"/>
          <w:lang w:bidi="fa-IR"/>
        </w:rPr>
        <w:t>و عبّر فی المسالک بالمجمع علیه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جملة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ولد الزوجة الدائمة یلحق بالزوج</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المهذّب، و ادّعی علیه الإجماع</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9530429_73709187"/>
      <w:bookmarkStart w:id="45" w:name="_Toc17"/>
      <w:bookmarkEnd w:id="44"/>
      <w:r>
        <w:rPr>
          <w:rtl w:val="true"/>
        </w:rPr>
        <w:t>ج</w:t>
      </w:r>
      <w:r>
        <w:rPr>
          <w:rtl w:val="true"/>
        </w:rPr>
        <w:t xml:space="preserve">: </w:t>
      </w:r>
      <w:r>
        <w:rPr>
          <w:rtl w:val="true"/>
        </w:rPr>
        <w:t xml:space="preserve">دلیل قاعدة </w:t>
      </w:r>
      <w:r>
        <w:rPr>
          <w:rtl w:val="true"/>
        </w:rPr>
        <w:t>«</w:t>
      </w:r>
      <w:r>
        <w:rPr>
          <w:rtl w:val="true"/>
        </w:rPr>
        <w:t>الولد للفراش</w:t>
      </w:r>
      <w:r>
        <w:rPr>
          <w:rtl w:val="true"/>
        </w:rPr>
        <w:t>»</w:t>
      </w:r>
      <w:bookmarkEnd w:id="45"/>
    </w:p>
    <w:p>
      <w:pPr>
        <w:pStyle w:val="Heading6"/>
        <w:numPr>
          <w:ilvl w:val="5"/>
          <w:numId w:val="1"/>
        </w:numPr>
        <w:rPr/>
      </w:pPr>
      <w:bookmarkStart w:id="46" w:name="__RefHeading___Toc9530431_73709187"/>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 یدلّ علی إثبات القاعدة وجوه</w:t>
      </w:r>
      <w:r>
        <w:rPr>
          <w:rFonts w:eastAsia="IRNazanin" w:cs="IRNazanin"/>
          <w:color w:val="111111"/>
          <w:sz w:val="28"/>
          <w:szCs w:val="28"/>
          <w:rtl w:val="true"/>
          <w:lang w:bidi="fa-IR"/>
        </w:rPr>
        <w:t>:</w:t>
      </w:r>
    </w:p>
    <w:p>
      <w:pPr>
        <w:pStyle w:val="Heading6"/>
        <w:numPr>
          <w:ilvl w:val="5"/>
          <w:numId w:val="1"/>
        </w:numPr>
        <w:rPr/>
      </w:pPr>
      <w:bookmarkStart w:id="48" w:name="__RefHeading___Toc9530433_73709187"/>
      <w:bookmarkStart w:id="49" w:name="_Toc19"/>
      <w:bookmarkEnd w:id="48"/>
      <w:r>
        <w:rPr>
          <w:rtl w:val="true"/>
        </w:rPr>
        <w:t>الأوّل</w:t>
      </w:r>
      <w:r>
        <w:rPr>
          <w:rtl w:val="true"/>
        </w:rPr>
        <w:t xml:space="preserve">: </w:t>
      </w:r>
      <w:r>
        <w:rPr>
          <w:rtl w:val="true"/>
        </w:rPr>
        <w:t>الإجماع</w:t>
      </w:r>
      <w:bookmarkEnd w:id="49"/>
    </w:p>
    <w:p>
      <w:pPr>
        <w:pStyle w:val="BookText"/>
        <w:rPr/>
      </w:pPr>
      <w:r>
        <w:rPr>
          <w:rFonts w:ascii="IRNazanin" w:hAnsi="IRNazanin" w:eastAsia="IRNazanin"/>
          <w:color w:val="111111"/>
          <w:sz w:val="28"/>
          <w:sz w:val="28"/>
          <w:szCs w:val="28"/>
          <w:rtl w:val="true"/>
          <w:lang w:bidi="fa-IR"/>
        </w:rPr>
        <w:t>کما تقدّم، و عبّر بعضهم بعدم الخلاف، و لکنّه مدرکیّ</w:t>
      </w:r>
      <w:r>
        <w:rPr>
          <w:rFonts w:eastAsia="IRNazanin" w:cs="IRNazanin"/>
          <w:color w:val="111111"/>
          <w:sz w:val="28"/>
          <w:szCs w:val="28"/>
          <w:rtl w:val="true"/>
          <w:lang w:bidi="fa-IR"/>
        </w:rPr>
        <w:t>.</w:t>
      </w:r>
    </w:p>
    <w:p>
      <w:pPr>
        <w:pStyle w:val="Heading6"/>
        <w:numPr>
          <w:ilvl w:val="5"/>
          <w:numId w:val="1"/>
        </w:numPr>
        <w:rPr/>
      </w:pPr>
      <w:bookmarkStart w:id="50" w:name="__RefHeading___Toc9530435_73709187"/>
      <w:bookmarkStart w:id="51" w:name="_Toc20"/>
      <w:bookmarkEnd w:id="50"/>
      <w:r>
        <w:rPr>
          <w:rtl w:val="true"/>
        </w:rPr>
        <w:t>الثانی</w:t>
      </w:r>
      <w:r>
        <w:rPr>
          <w:rtl w:val="true"/>
        </w:rPr>
        <w:t xml:space="preserve">: - </w:t>
      </w:r>
      <w:r>
        <w:rPr>
          <w:rtl w:val="true"/>
        </w:rPr>
        <w:t xml:space="preserve">و هو العمدة </w:t>
      </w:r>
      <w:r>
        <w:rPr>
          <w:rtl w:val="true"/>
        </w:rPr>
        <w:t xml:space="preserve">- </w:t>
      </w:r>
      <w:r>
        <w:rPr>
          <w:rtl w:val="true"/>
        </w:rPr>
        <w:t>الحدیث المشهور المعروف بین المسلمین عن النبیّ‌</w:t>
      </w:r>
      <w:bookmarkEnd w:id="51"/>
    </w:p>
    <w:p>
      <w:pPr>
        <w:pStyle w:val="BookText"/>
        <w:rPr/>
      </w:pPr>
      <w:r>
        <w:rPr>
          <w:rFonts w:ascii="IRNazanin" w:hAnsi="IRNazanin" w:eastAsia="IRNazanin"/>
          <w:color w:val="111111"/>
          <w:sz w:val="28"/>
          <w:sz w:val="28"/>
          <w:szCs w:val="28"/>
          <w:rtl w:val="true"/>
          <w:lang w:bidi="fa-IR"/>
        </w:rPr>
        <w:t>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الحدیث المشهور المعروف بین جمیع الفرق و الطوائف الإسلامیّة، و لم ینکره أحد من المسلمین</w:t>
      </w:r>
      <w:r>
        <w:rPr>
          <w:rStyle w:val="FootnoteAnchor"/>
          <w:rtl w:val="true"/>
        </w:rPr>
        <w:footnoteReference w:id="70"/>
      </w:r>
      <w:r>
        <w:rPr>
          <w:rFonts w:ascii="IRNazanin" w:hAnsi="IRNazanin" w:eastAsia="IRNazanin"/>
          <w:color w:val="111111"/>
          <w:sz w:val="28"/>
          <w:sz w:val="28"/>
          <w:szCs w:val="28"/>
          <w:rtl w:val="true"/>
          <w:lang w:bidi="fa-IR"/>
        </w:rPr>
        <w:t>، و ادّعی فی الجواهر الاتّفاق علی مضمونه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بهذا الحدیث فی لسان أهل البیت علیهم السلام</w:t>
      </w:r>
      <w:r>
        <w:rPr>
          <w:rStyle w:val="FootnoteAnchor"/>
          <w:rtl w:val="true"/>
        </w:rPr>
        <w:footnoteReference w:id="72"/>
      </w:r>
      <w:r>
        <w:rPr>
          <w:rFonts w:ascii="Amiri" w:hAnsi="Amiri" w:eastAsia="Amiri" w:cs="Amiri"/>
          <w:color w:val="111111"/>
          <w:sz w:val="28"/>
          <w:sz w:val="28"/>
          <w:szCs w:val="28"/>
          <w:rtl w:val="true"/>
          <w:lang w:bidi="ar-SA"/>
        </w:rPr>
        <w:t>کثیراً، کما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فی جواب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ذکرت من نفی زیاد فإنّی لم أنفه، بل نفاه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لا ینبغی البحث فی سند الحدیث؛ لأنّه قطعیّ، بل مضمونه متواترة، فیصحّ أن یدّعی أنّ کبری القاعدة قطعیّة و إن اختلفوا فی الصغری؛ کقول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الأمة لیست فراشاً</w:t>
      </w:r>
      <w:r>
        <w:rPr>
          <w:rStyle w:val="FootnoteAnchor"/>
          <w:rtl w:val="true"/>
        </w:rPr>
        <w:footnoteReference w:id="74"/>
      </w:r>
      <w:r>
        <w:rPr>
          <w:rFonts w:ascii="IRNazanin" w:hAnsi="IRNazanin" w:eastAsia="IRNazanin"/>
          <w:color w:val="111111"/>
          <w:sz w:val="28"/>
          <w:sz w:val="28"/>
          <w:szCs w:val="28"/>
          <w:rtl w:val="true"/>
          <w:lang w:bidi="fa-IR"/>
        </w:rPr>
        <w:t>، و اختلافهم فی العقد المؤجّل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المتفاهم العرفی من الجملتین فی الروایة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الاُولی عبارة عن أنّ الولد مخصوص بالزوج، و لیس لغیره حقّ و نصیب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نتیجة حصر المبتدأ فی الخبر الذی یقولون به فی علم البلاغة إذا کان المبتدأ معرّفاً بالألف و اللاّم،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و الفصاحة فی العرب، و لا شکّ فی أنّه صلی الله علیه و آله فی مقام بیان الحکم الشرعی، لا فی مقام الإخبار عن أمر خارجیّ، و ظاهر القضایا الشرعیّة التی بصورة الإخبار من هذا القبیل؛ أی و إن کانت بحسب الصورة جمل خبریّة لکنّها فی الواقع إنشاءات بصورة الإخبار عن وقوعها فی أحد الأزمنة الثلاثة، مضافاً إلی أنّه لو کان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عن أمر واقع، ربما لا یکون کذلک؛ أی یکون الولد لغیر الفراش، خصوصاً فی الأزمنة التی تشیع فیها الفجور، و لا یمکن أن یصدر الکذب منه صلی الله علیه و آله؛ لأنّه معصوم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کذلک، فلا بدّ من القول بأنّه صلی الله علیه و آله فی مقام جعل الفراش أمارةً معتبرةً شرعیّةً فی مقام تعیین النسب لإثبات أنّ المولود فی فراش شخص یکون له، و لیس لآخر نصیب فیه، و من المعلوم أنّ جمیع الأمارات الشرعیّة کالعرفیّة قد یتخطّی، لکنّها غالباً تطابق، و هذا مناط جعلها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معلوم أنّ أماریّة الأمارة منوطة بعدم القطع علی خلافها، و عدم القطع علی وفاقها أیضاً؛ إذ مع القطع بأحد الطرفین لا یبقی مجال للتعبّد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صورة القطع علی وفاقها، فحجیة الأمارة تکون من قبیل تحصیل ما هو حاصل بالوجدان، بالتعبّد، الذی هو أسوأ من تحصیل الحاصل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کونه علی خلافها، فمن جهة عدم إمکان جعل الطریق و المثبت للذی خلافه ثابت لدیه، فإذن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أمارة فی مورد الشکّ فی أنّ الولد هل لصاحب الفراش أو لغیره، و إلاّ فمع القطع بکونه له أو لغیره لا یبقی مجال للتمسّک به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لا یعتنی بالظنون غیر المعتبرة علی خلافها، مثل کون الولد شبیهاً بالزانی قیافة و إن کان یوجب الظنّ بأنّه له، و لکنّ الشارع لم یعتبر هذا الظنّ، و کذا لا یعتنی بقول القافة و إن استند إلی أمارة مقبولة عندهم، و لا شکّ فی أنّ قولهم یوجب الظنّ، و لکنّ الشارع لم یعتبره، بل لا خلاف فی تحریمها، و کذلک الأمارات الظنّیة غیر المعتبرة شرعاً و إن کان العرف یعتمد علیها من قبیل تحلیل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انطباق دم الولد مع الزانی مثلاً و مخالفتها مع دم زوج المرأة و أمثاله الشائعة فی هذه الأعصار عند الأطبّاء لا اعتبار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لأحد نفی من وُلِدَ علی فراشه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أوجب الأمارات غیر المعتبرة المقبولة عند العرف القطع بأنّ الولد لغیر صاحب الفراش، فلا یبقی مجال لإجراء هذه القاعدة؛ لأنّها أمارة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العاهر هو الزانی و الحجر معناه معلوم، و هی کنایة عن طرد الزانی و ردّه عن دعواه الولد، کما أنّ الکلب یطّرد</w:t>
      </w:r>
      <w:bookmarkStart w:id="52" w:name="pg11754_112820"/>
    </w:p>
    <w:p>
      <w:pPr>
        <w:pStyle w:val="BookText"/>
        <w:rPr/>
      </w:pPr>
      <w:bookmarkEnd w:id="52"/>
      <w:r>
        <w:rPr>
          <w:rFonts w:ascii="IRNazanin" w:hAnsi="IRNazanin" w:eastAsia="IRNazanin"/>
          <w:color w:val="111111"/>
          <w:sz w:val="28"/>
          <w:sz w:val="28"/>
          <w:szCs w:val="28"/>
          <w:rtl w:val="true"/>
          <w:lang w:bidi="fa-IR"/>
        </w:rPr>
        <w:t>بالحجارة،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الزانی هو المحصن، و هو لا یعطی له الولد، بل یرمی بالحجارة حتی یهلک؛ أی یحدّ بهذا الحدّ الذی عیّنه الشارع للزانی المهین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9530437_73709187"/>
      <w:bookmarkStart w:id="54" w:name="_Toc21"/>
      <w:bookmarkEnd w:id="53"/>
      <w:r>
        <w:rPr>
          <w:rtl w:val="true"/>
        </w:rPr>
        <w:t>د</w:t>
      </w:r>
      <w:r>
        <w:rPr>
          <w:rtl w:val="true"/>
        </w:rPr>
        <w:t xml:space="preserve">: </w:t>
      </w:r>
      <w:r>
        <w:rPr>
          <w:rtl w:val="true"/>
        </w:rPr>
        <w:t>تعمیم موضوع الفراش</w:t>
      </w:r>
      <w:bookmarkEnd w:id="54"/>
    </w:p>
    <w:p>
      <w:pPr>
        <w:pStyle w:val="BookText"/>
        <w:rPr/>
      </w:pPr>
      <w:r>
        <w:rPr>
          <w:rFonts w:ascii="IRNazanin" w:hAnsi="IRNazanin" w:eastAsia="IRNazanin"/>
          <w:color w:val="111111"/>
          <w:sz w:val="28"/>
          <w:sz w:val="28"/>
          <w:szCs w:val="28"/>
          <w:rtl w:val="true"/>
          <w:lang w:bidi="fa-IR"/>
        </w:rPr>
        <w:t>هل تکون للفراش التعمیم فیشمل کلّ من له حلّیة الوط‌ء بحسب الظاهر، و لا فرق بین المعقودة الدائمة أو المنقطعة و الأمَة و الوط‌ء بالشبهة؟ أو لم یکن کذلک؟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الفقهاء فی أنّه إذا کانت المرأة المعقودة دائماً یصیر الزوج ذا الفراش، و یشمله قاعدة الفراش قطعاً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القدر المتیقّن من الإجماع</w:t>
      </w:r>
      <w:r>
        <w:rPr>
          <w:rStyle w:val="FootnoteAnchor"/>
          <w:rtl w:val="true"/>
        </w:rPr>
        <w:footnoteReference w:id="78"/>
      </w:r>
      <w:r>
        <w:rPr>
          <w:rFonts w:ascii="IRNazanin" w:hAnsi="IRNazanin" w:eastAsia="IRNazanin"/>
          <w:color w:val="111111"/>
          <w:sz w:val="28"/>
          <w:sz w:val="28"/>
          <w:szCs w:val="28"/>
          <w:rtl w:val="true"/>
          <w:lang w:bidi="fa-IR"/>
        </w:rPr>
        <w:t>المدّعی فی المقام هو ذلک، و الظاهر أنّ نکاح المؤجّل أیضاً کذلک و یشمله حکم الفراش، صرّح بذلک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الدائمة و المتعة و الأمة السریّة فراش</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السرائر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الاعتراف بولد المتعة مع حصول شرائط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نفیه لمکان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اشترط إلحاقه به فی العقد أو لا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المؤجّل، فإن اجتمعت الشرائط الثلاثة لم یحلّ له نفیه عنه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84"/>
      </w:r>
      <w:r>
        <w:rPr>
          <w:rFonts w:ascii="IRNazanin" w:hAnsi="IRNazanin" w:eastAsia="IRNazanin"/>
          <w:color w:val="111111"/>
          <w:sz w:val="28"/>
          <w:sz w:val="28"/>
          <w:szCs w:val="28"/>
          <w:rtl w:val="true"/>
          <w:lang w:bidi="fa-IR"/>
        </w:rPr>
        <w:t>، و مبانی منهاج الصالحین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یستفاد التعمیم من إطلاق کلام بعض آخر، کما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امرأة الرجل ولداً علی فراشه، لزمه الإقرار به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ولدت زوجته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ولده</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88"/>
      </w:r>
      <w:r>
        <w:rPr>
          <w:rFonts w:ascii="IRNazanin" w:hAnsi="IRNazanin" w:eastAsia="IRNazanin"/>
          <w:color w:val="111111"/>
          <w:sz w:val="28"/>
          <w:sz w:val="28"/>
          <w:szCs w:val="28"/>
          <w:rtl w:val="true"/>
          <w:lang w:bidi="fa-IR"/>
        </w:rPr>
        <w:t>و المسالک</w:t>
      </w:r>
      <w:r>
        <w:rPr>
          <w:rStyle w:val="FootnoteAnchor"/>
          <w:rtl w:val="true"/>
        </w:rPr>
        <w:footnoteReference w:id="89"/>
      </w:r>
      <w:r>
        <w:rPr>
          <w:rFonts w:ascii="IRNazanin" w:hAnsi="IRNazanin" w:eastAsia="IRNazanin"/>
          <w:color w:val="111111"/>
          <w:sz w:val="28"/>
          <w:sz w:val="28"/>
          <w:szCs w:val="28"/>
          <w:rtl w:val="true"/>
          <w:lang w:bidi="fa-IR"/>
        </w:rPr>
        <w:t>و غیرها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یعمّ المتعة أیضاً و یشملها حکم نکاح الدائم، و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الشرائط غیر مختصّة بولد الدائم، بل هی شرائط أیضاً لولد المتعة و الملک و الشبهة، و حینئذٍ لا وجه لتخصیص ذلک بالزوجة الدائمة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الإجماع الذی ادّعی بعضهم بعدم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المتعة فی الأحکام المذکورة؛ من اللحوق به، و لزوم الاعتراف به مع عدم علم بانتفائه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p>
    <w:p>
      <w:pPr>
        <w:pStyle w:val="BookText"/>
        <w:rPr/>
      </w:pPr>
      <w:r>
        <w:rPr>
          <w:rFonts w:ascii="IRNazanin" w:hAnsi="IRNazanin" w:eastAsia="IRNazanin"/>
          <w:color w:val="111111"/>
          <w:sz w:val="28"/>
          <w:sz w:val="28"/>
          <w:szCs w:val="28"/>
          <w:rtl w:val="true"/>
          <w:lang w:bidi="fa-IR"/>
        </w:rPr>
        <w:t>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الإجماع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تعمیم حکم الفراش بالنسبة الی وط‌ء الأمة المملوکة ففیه خلاف؟</w:t>
      </w:r>
    </w:p>
    <w:p>
      <w:pPr>
        <w:pStyle w:val="BookText"/>
        <w:rPr/>
      </w:pPr>
      <w:r>
        <w:rPr>
          <w:rFonts w:ascii="IRNazanin" w:hAnsi="IRNazanin" w:eastAsia="IRNazanin"/>
          <w:color w:val="111111"/>
          <w:sz w:val="28"/>
          <w:sz w:val="28"/>
          <w:szCs w:val="28"/>
          <w:rtl w:val="true"/>
          <w:lang w:bidi="fa-IR"/>
        </w:rPr>
        <w:t>و حیث لا موضوع لها فی عصرنا ترکنا البحث عنه لعدم الفائدة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الوط‌ء بالشبهة یلحق الولد بالواطئ و یعمّ حکم الفراش قطعاً، و سیأتی التحقیق فیه فی مبحث مستقلّ فانتظره، و یلزم أن نذکر أنّ المقصود من الفراش هو الافتراش فعلاً بحیث کان الزوج متمکِّناً من الوط‌ء، لا ما یقوله أهل السنّة من الافتراش شرعاً؛ بمعنی أنّه یحلّ له وطؤها، فلو ولدت و إن لم یفترشها فعلاً ألحق به الولد علی مذهبهم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نقول به، إذ هو مع ما فیه من فتح باب الفساد للنساء أشبه شیء بالخرافات، کما فی الجواهر</w:t>
      </w:r>
      <w:r>
        <w:rPr>
          <w:rStyle w:val="FootnoteAnchor"/>
          <w:rtl w:val="true"/>
        </w:rPr>
        <w:footnoteReference w:id="94"/>
      </w:r>
      <w:r>
        <w:rPr>
          <w:rFonts w:ascii="IRNazanin" w:hAnsi="IRNazanin" w:eastAsia="IRNazanin"/>
          <w:color w:val="111111"/>
          <w:sz w:val="28"/>
          <w:sz w:val="28"/>
          <w:szCs w:val="28"/>
          <w:rtl w:val="true"/>
          <w:lang w:bidi="fa-IR"/>
        </w:rPr>
        <w:t>و تفصیل الشریعة</w:t>
      </w:r>
      <w:r>
        <w:rPr>
          <w:rStyle w:val="FootnoteAnchor"/>
          <w:rtl w:val="true"/>
        </w:rPr>
        <w:footnoteReference w:id="95"/>
      </w:r>
      <w:bookmarkStart w:id="55" w:name="pg11754_112823"/>
    </w:p>
    <w:p>
      <w:pPr>
        <w:pStyle w:val="Heading4"/>
        <w:numPr>
          <w:ilvl w:val="3"/>
          <w:numId w:val="1"/>
        </w:numPr>
        <w:rPr/>
      </w:pPr>
      <w:bookmarkStart w:id="56" w:name="__RefHeading___Toc9530439_73709187"/>
      <w:bookmarkStart w:id="57" w:name="_Toc22"/>
      <w:bookmarkEnd w:id="55"/>
      <w:bookmarkEnd w:id="56"/>
      <w:r>
        <w:rPr>
          <w:rtl w:val="true"/>
        </w:rPr>
        <w:t>المبحث الثانی</w:t>
      </w:r>
      <w:r>
        <w:rPr>
          <w:rtl w:val="true"/>
        </w:rPr>
        <w:t xml:space="preserve">: </w:t>
      </w:r>
      <w:r>
        <w:rPr>
          <w:rtl w:val="true"/>
        </w:rPr>
        <w:t>شرائط الإلحاق</w:t>
      </w:r>
      <w:bookmarkEnd w:id="57"/>
    </w:p>
    <w:p>
      <w:pPr>
        <w:pStyle w:val="Heading5"/>
        <w:numPr>
          <w:ilvl w:val="4"/>
          <w:numId w:val="1"/>
        </w:numPr>
        <w:rPr/>
      </w:pPr>
      <w:bookmarkStart w:id="58" w:name="__RefHeading___Toc9530441_73709187"/>
      <w:bookmarkStart w:id="59" w:name="_Toc23"/>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ذکر الأصحاب فی إلحاق الولد بالزوج شرائط</w:t>
      </w:r>
      <w:r>
        <w:rPr>
          <w:rFonts w:eastAsia="IRNazanin" w:cs="IRNazanin"/>
          <w:color w:val="111111"/>
          <w:sz w:val="28"/>
          <w:szCs w:val="28"/>
          <w:rtl w:val="true"/>
          <w:lang w:bidi="fa-IR"/>
        </w:rPr>
        <w:t>:</w:t>
      </w:r>
    </w:p>
    <w:p>
      <w:pPr>
        <w:pStyle w:val="Heading5"/>
        <w:numPr>
          <w:ilvl w:val="4"/>
          <w:numId w:val="1"/>
        </w:numPr>
        <w:rPr/>
      </w:pPr>
      <w:bookmarkStart w:id="60" w:name="__RefHeading___Toc9530443_73709187"/>
      <w:bookmarkStart w:id="61" w:name="_Toc24"/>
      <w:bookmarkEnd w:id="60"/>
      <w:r>
        <w:rPr>
          <w:rtl w:val="true"/>
        </w:rPr>
        <w:t>الشرط الأوّل</w:t>
      </w:r>
      <w:r>
        <w:rPr>
          <w:rtl w:val="true"/>
        </w:rPr>
        <w:t xml:space="preserve">: </w:t>
      </w:r>
      <w:r>
        <w:rPr>
          <w:rtl w:val="true"/>
        </w:rPr>
        <w:t>الدخول أو مثله</w:t>
      </w:r>
      <w:bookmarkEnd w:id="61"/>
    </w:p>
    <w:p>
      <w:pPr>
        <w:pStyle w:val="Heading6"/>
        <w:numPr>
          <w:ilvl w:val="5"/>
          <w:numId w:val="1"/>
        </w:numPr>
        <w:rPr/>
      </w:pPr>
      <w:bookmarkStart w:id="62" w:name="__RefHeading___Toc9530445_73709187"/>
      <w:bookmarkStart w:id="63" w:name="_Toc25"/>
      <w:bookmarkEnd w:id="62"/>
      <w:r>
        <w:rPr>
          <w:rtl w:val="true"/>
        </w:rPr>
        <w:t>اشارة</w:t>
      </w:r>
      <w:bookmarkEnd w:id="63"/>
    </w:p>
    <w:p>
      <w:pPr>
        <w:pStyle w:val="BookText"/>
        <w:rPr/>
      </w:pP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هل یشترط فی إلحاق الولد بالزوج الدخول بالزوجة و إن لم ینزل، أو یکفی إمکان الوط‌ء و إن لم یدخل بها، أو یشترط الإنزال فقط؟</w:t>
      </w:r>
    </w:p>
    <w:p>
      <w:pPr>
        <w:pStyle w:val="Heading6"/>
        <w:numPr>
          <w:ilvl w:val="5"/>
          <w:numId w:val="1"/>
        </w:numPr>
        <w:rPr/>
      </w:pPr>
      <w:bookmarkStart w:id="64" w:name="__RefHeading___Toc9530447_73709187"/>
      <w:bookmarkStart w:id="65" w:name="_Toc26"/>
      <w:bookmarkEnd w:id="64"/>
      <w:r>
        <w:rPr>
          <w:rtl w:val="true"/>
        </w:rPr>
        <w:t>أقوال</w:t>
      </w:r>
      <w:r>
        <w:rPr>
          <w:rtl w:val="true"/>
        </w:rPr>
        <w:t>:</w:t>
      </w:r>
      <w:bookmarkEnd w:id="65"/>
    </w:p>
    <w:p>
      <w:pPr>
        <w:pStyle w:val="Heading6"/>
        <w:numPr>
          <w:ilvl w:val="5"/>
          <w:numId w:val="1"/>
        </w:numPr>
        <w:rPr/>
      </w:pPr>
      <w:bookmarkStart w:id="66" w:name="__RefHeading___Toc9530449_73709187"/>
      <w:bookmarkStart w:id="67" w:name="_Toc27"/>
      <w:bookmarkEnd w:id="66"/>
      <w:r>
        <w:rPr>
          <w:rtl w:val="true"/>
        </w:rPr>
        <w:t>القول الأوّل</w:t>
      </w:r>
      <w:r>
        <w:rPr>
          <w:rtl w:val="true"/>
        </w:rPr>
        <w:t xml:space="preserve">: </w:t>
      </w:r>
      <w:r>
        <w:rPr>
          <w:rtl w:val="true"/>
        </w:rPr>
        <w:t>أنّه یشترط فی إلحاق الولد بالزوج الدخول بالزوجة</w:t>
      </w:r>
      <w:bookmarkEnd w:id="67"/>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الدائم فیلحق فیه الأولاد بالزوج بشروط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به أیضاً فی العقد المؤجّل و الوط‌ء بالشبهة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98"/>
      </w:r>
      <w:r>
        <w:rPr>
          <w:rFonts w:ascii="IRNazanin" w:hAnsi="IRNazanin" w:eastAsia="IRNazanin"/>
          <w:color w:val="111111"/>
          <w:sz w:val="28"/>
          <w:sz w:val="28"/>
          <w:szCs w:val="28"/>
          <w:rtl w:val="true"/>
          <w:lang w:bidi="fa-IR"/>
        </w:rPr>
        <w:t>، و النهایة</w:t>
      </w:r>
      <w:r>
        <w:rPr>
          <w:rStyle w:val="FootnoteAnchor"/>
          <w:rtl w:val="true"/>
        </w:rPr>
        <w:footnoteReference w:id="99"/>
      </w:r>
      <w:r>
        <w:rPr>
          <w:rFonts w:ascii="Amiri" w:hAnsi="Amiri" w:eastAsia="Amiri" w:cs="Amiri"/>
          <w:color w:val="111111"/>
          <w:sz w:val="28"/>
          <w:sz w:val="28"/>
          <w:szCs w:val="28"/>
          <w:rtl w:val="true"/>
          <w:lang w:bidi="ar-SA"/>
        </w:rPr>
        <w:t>، و المقنعة</w:t>
      </w:r>
      <w:r>
        <w:rPr>
          <w:rStyle w:val="FootnoteAnchor"/>
          <w:rtl w:val="true"/>
        </w:rPr>
        <w:footnoteReference w:id="100"/>
      </w:r>
      <w:r>
        <w:rPr>
          <w:rFonts w:ascii="IRNazanin" w:hAnsi="IRNazanin" w:eastAsia="IRNazanin"/>
          <w:color w:val="111111"/>
          <w:sz w:val="28"/>
          <w:sz w:val="28"/>
          <w:szCs w:val="28"/>
          <w:rtl w:val="true"/>
          <w:lang w:bidi="fa-IR"/>
        </w:rPr>
        <w:t>، و السرائر</w:t>
      </w:r>
      <w:r>
        <w:rPr>
          <w:rStyle w:val="FootnoteAnchor"/>
          <w:rtl w:val="true"/>
        </w:rPr>
        <w:footnoteReference w:id="101"/>
      </w:r>
      <w:r>
        <w:rPr>
          <w:rFonts w:ascii="IRNazanin" w:hAnsi="IRNazanin" w:eastAsia="IRNazanin"/>
          <w:color w:val="111111"/>
          <w:sz w:val="28"/>
          <w:sz w:val="28"/>
          <w:szCs w:val="28"/>
          <w:rtl w:val="true"/>
          <w:lang w:bidi="fa-IR"/>
        </w:rPr>
        <w:t>، و المختصر النافع</w:t>
      </w:r>
      <w:r>
        <w:rPr>
          <w:rStyle w:val="FootnoteAnchor"/>
          <w:rtl w:val="true"/>
        </w:rPr>
        <w:footnoteReference w:id="102"/>
      </w:r>
      <w:r>
        <w:rPr>
          <w:rFonts w:ascii="IRNazanin" w:hAnsi="IRNazanin" w:eastAsia="IRNazanin"/>
          <w:color w:val="111111"/>
          <w:sz w:val="28"/>
          <w:sz w:val="28"/>
          <w:szCs w:val="28"/>
          <w:rtl w:val="true"/>
          <w:lang w:bidi="fa-IR"/>
        </w:rPr>
        <w:t>،</w:t>
      </w:r>
      <w:bookmarkStart w:id="68" w:name="pg11754_112824"/>
    </w:p>
    <w:p>
      <w:pPr>
        <w:pStyle w:val="BookText"/>
        <w:rPr/>
      </w:pPr>
      <w:bookmarkEnd w:id="68"/>
      <w:r>
        <w:rPr>
          <w:rFonts w:ascii="IRNazanin" w:hAnsi="IRNazanin" w:eastAsia="IRNazanin"/>
          <w:color w:val="111111"/>
          <w:sz w:val="28"/>
          <w:sz w:val="28"/>
          <w:szCs w:val="28"/>
          <w:rtl w:val="true"/>
          <w:lang w:bidi="fa-IR"/>
        </w:rPr>
        <w:t>و إرشاد الأذهان</w:t>
      </w:r>
      <w:r>
        <w:rPr>
          <w:rStyle w:val="FootnoteAnchor"/>
          <w:rtl w:val="true"/>
        </w:rPr>
        <w:footnoteReference w:id="103"/>
      </w:r>
      <w:r>
        <w:rPr>
          <w:rFonts w:ascii="IRNazanin" w:hAnsi="IRNazanin" w:eastAsia="IRNazanin"/>
          <w:color w:val="111111"/>
          <w:sz w:val="28"/>
          <w:sz w:val="28"/>
          <w:szCs w:val="28"/>
          <w:rtl w:val="true"/>
          <w:lang w:bidi="fa-IR"/>
        </w:rPr>
        <w:t>، و نهایة المرام</w:t>
      </w:r>
      <w:r>
        <w:rPr>
          <w:rStyle w:val="FootnoteAnchor"/>
          <w:rtl w:val="true"/>
        </w:rPr>
        <w:footnoteReference w:id="104"/>
      </w:r>
      <w:r>
        <w:rPr>
          <w:rFonts w:ascii="IRNazanin" w:hAnsi="IRNazanin" w:eastAsia="IRNazanin"/>
          <w:color w:val="111111"/>
          <w:sz w:val="28"/>
          <w:sz w:val="28"/>
          <w:szCs w:val="28"/>
          <w:rtl w:val="true"/>
          <w:lang w:bidi="fa-IR"/>
        </w:rPr>
        <w:t>، و التنقیح الرائع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یلحقون بالزوج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یتحقّق الدخول الموجب لإلحاق الولد و غیره من الأحکام بغیبوبة الحشفة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قدرها من مقطوعها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 و لو لم ینزل</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کشف اللثام</w:t>
      </w:r>
      <w:r>
        <w:rPr>
          <w:rStyle w:val="FootnoteAnchor"/>
          <w:rtl w:val="true"/>
        </w:rPr>
        <w:footnoteReference w:id="108"/>
      </w:r>
      <w:r>
        <w:rPr>
          <w:rFonts w:ascii="IRNazanin" w:hAnsi="IRNazanin" w:eastAsia="IRNazanin"/>
          <w:color w:val="111111"/>
          <w:sz w:val="28"/>
          <w:sz w:val="28"/>
          <w:szCs w:val="28"/>
          <w:rtl w:val="true"/>
          <w:lang w:bidi="fa-IR"/>
        </w:rPr>
        <w:t>و الجواهر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الشهید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الوط‌ء فی الدبر یساوی القبل فی هذا الحکم و غیره إلاّ فی مواضع قلیلة استثناها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فی الروضة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یخلو ذلک من إشکال إن لم یکن مجمعاً علیه؛ للقطع بانتفاء التولّد عنه عادةً فی کثیر من موارده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9530451_73709187"/>
      <w:bookmarkStart w:id="70" w:name="_Toc28"/>
      <w:bookmarkEnd w:id="69"/>
      <w:r>
        <w:rPr>
          <w:rtl w:val="true"/>
        </w:rPr>
        <w:t>أدلّة اشتراط الدخول فی اللحوق</w:t>
      </w:r>
      <w:bookmarkEnd w:id="70"/>
    </w:p>
    <w:p>
      <w:pPr>
        <w:pStyle w:val="BookText"/>
        <w:rPr/>
      </w:pPr>
      <w:r>
        <w:rPr>
          <w:rFonts w:ascii="IRNazanin" w:hAnsi="IRNazanin" w:eastAsia="IRNazanin"/>
          <w:color w:val="111111"/>
          <w:sz w:val="28"/>
          <w:sz w:val="28"/>
          <w:szCs w:val="28"/>
          <w:rtl w:val="true"/>
          <w:lang w:bidi="fa-IR"/>
        </w:rPr>
        <w:t>ما استدلّ به أو یمکن أن یکون دلیلاً علی اللحوق مع الدخول امور</w:t>
      </w:r>
      <w:r>
        <w:rPr>
          <w:rFonts w:eastAsia="IRNazanin" w:cs="IRNazanin"/>
          <w:color w:val="111111"/>
          <w:sz w:val="28"/>
          <w:szCs w:val="28"/>
          <w:rtl w:val="true"/>
          <w:lang w:bidi="fa-IR"/>
        </w:rPr>
        <w:t>:</w:t>
      </w:r>
    </w:p>
    <w:p>
      <w:pPr>
        <w:pStyle w:val="Heading6"/>
        <w:numPr>
          <w:ilvl w:val="5"/>
          <w:numId w:val="1"/>
        </w:numPr>
        <w:rPr/>
      </w:pPr>
      <w:bookmarkStart w:id="71" w:name="__RefHeading___Toc9530453_73709187"/>
      <w:bookmarkStart w:id="72" w:name="_Toc29"/>
      <w:bookmarkEnd w:id="71"/>
      <w:r>
        <w:rPr>
          <w:rtl w:val="true"/>
        </w:rPr>
        <w:t>الأوّل</w:t>
      </w:r>
      <w:r>
        <w:rPr>
          <w:rtl w:val="true"/>
        </w:rPr>
        <w:t xml:space="preserve">: </w:t>
      </w:r>
      <w:r>
        <w:rPr>
          <w:rtl w:val="true"/>
        </w:rPr>
        <w:t>الإجماع، کما هو ظاهر کلام بعضهم</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یدخل بها لم یلحقه إجماعاً بقسمیه</w:t>
      </w:r>
      <w:r>
        <w:rPr>
          <w:rFonts w:eastAsia="IRNazanin" w:cs="IRNazanin"/>
          <w:color w:val="111111"/>
          <w:sz w:val="28"/>
          <w:szCs w:val="28"/>
          <w:rtl w:val="true"/>
          <w:lang w:bidi="fa-IR"/>
        </w:rPr>
        <w:t>»</w:t>
      </w:r>
      <w:r>
        <w:rPr>
          <w:rStyle w:val="FootnoteAnchor"/>
          <w:rtl w:val="true"/>
        </w:rPr>
        <w:footnoteReference w:id="113"/>
      </w:r>
      <w:bookmarkStart w:id="73" w:name="pg11754_112825"/>
    </w:p>
    <w:p>
      <w:pPr>
        <w:pStyle w:val="BookText"/>
        <w:rPr/>
      </w:pPr>
      <w:bookmarkEnd w:id="73"/>
      <w:r>
        <w:rPr>
          <w:rFonts w:ascii="IRNazanin" w:hAnsi="IRNazanin" w:eastAsia="IRNazanin"/>
          <w:color w:val="111111"/>
          <w:sz w:val="28"/>
          <w:sz w:val="28"/>
          <w:szCs w:val="28"/>
          <w:rtl w:val="true"/>
          <w:lang w:bidi="fa-IR"/>
        </w:rPr>
        <w:t>و عبّر بعضهم بعدم الخلاف کما فی الحدائق،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جملة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ولد الزوجة الدائمة یلحق بالزوج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الدخول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یتحقّق الإجماع؛ لأنّه ذهب جماعة إلی أنّه یلحق الولد بالزّوج بالإنزال؛ سواء تحقّق ذلک بالدخول، أو بالآلات الحدیثة للتلقیح، أو بإهراقه فی أطراف الرحم، و هو أیضاً مقتضی بعض النصوص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تحقّقه لا اعتبار به، لأنّ المسألة ذات دلیل، و لعلّ نظر المجمعین متّجه إلی ذلک، فلا یکون إجماعاً تعبّدیاً کاشفاً عن قول المعصوم علیه السلام أو عن دلیل معتبر، مضافاً إلی أنّ کثیراً من الفقهاء ذکروا الدخول بنحو الإطلاق شرطاً للإلحاق، مع القطع بأنّه مع عدم الإنزال لم یلحق، و لا أقلّ من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قیّد بعضهم بالإنزال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بما فیه علی إطلاقه من الإشکال، فإنّه مع العلم بعدم الإنزال و إن کان الجماع فی القبل، و کذا مع الجماع فی الدبر کیف یحکم بالإلحاق و الحال هذه، و لم أرَ من تنبّه لذلک إلاّ السیّد السند 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أنزل لکنّه عزل عن الزوجة فإنّ الإلحاق فی هذه الصورة کما قطعوا به جیّد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9530455_73709187"/>
      <w:bookmarkStart w:id="75" w:name="_Toc30"/>
      <w:bookmarkEnd w:id="74"/>
      <w:r>
        <w:rPr>
          <w:rtl w:val="true"/>
        </w:rPr>
        <w:t>الثانی</w:t>
      </w:r>
      <w:r>
        <w:rPr>
          <w:rtl w:val="true"/>
        </w:rPr>
        <w:t xml:space="preserve">: </w:t>
      </w:r>
      <w:r>
        <w:rPr>
          <w:rtl w:val="true"/>
        </w:rPr>
        <w:t>أنّه اعتبر الشارع الدخول حفظاً لنظام التناسل و التوالد</w:t>
      </w:r>
      <w:bookmarkEnd w:id="75"/>
    </w:p>
    <w:p>
      <w:pPr>
        <w:pStyle w:val="BookText"/>
        <w:rPr/>
      </w:pPr>
      <w:r>
        <w:rPr>
          <w:rFonts w:ascii="IRNazanin" w:hAnsi="IRNazanin" w:eastAsia="IRNazanin"/>
          <w:color w:val="111111"/>
          <w:sz w:val="28"/>
          <w:sz w:val="28"/>
          <w:szCs w:val="28"/>
          <w:rtl w:val="true"/>
          <w:lang w:bidi="fa-IR"/>
        </w:rPr>
        <w:t>، و لئلّا یفتح باب الفساد علی النساء کما فی المهذّب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هذا علی الدخول، و یصحّ أن یتوقّف علی ما هو ملاک</w:t>
      </w:r>
      <w:bookmarkStart w:id="76" w:name="pg11754_112826"/>
    </w:p>
    <w:p>
      <w:pPr>
        <w:pStyle w:val="BookText"/>
        <w:rPr/>
      </w:pPr>
      <w:bookmarkEnd w:id="76"/>
      <w:r>
        <w:rPr>
          <w:rFonts w:ascii="IRNazanin" w:hAnsi="IRNazanin" w:eastAsia="IRNazanin"/>
          <w:color w:val="111111"/>
          <w:sz w:val="28"/>
          <w:sz w:val="28"/>
          <w:szCs w:val="28"/>
          <w:rtl w:val="true"/>
          <w:lang w:bidi="fa-IR"/>
        </w:rPr>
        <w:t>الدخول، و هو الإنزال و لو فی حوالی الفرج، و ینشأ الولد من ماء الرجل من غیر دخول، کما أثبتته العلوم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هذه استحسانات لا اعتبار لها فی الفقه، و لعلّه لذلک اعترف المستدلّ بکفایة الإنزال فقط‌</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9530457_73709187"/>
      <w:bookmarkStart w:id="78" w:name="_Toc31"/>
      <w:bookmarkEnd w:id="77"/>
      <w:r>
        <w:rPr>
          <w:rtl w:val="true"/>
        </w:rPr>
        <w:t>الثالث</w:t>
      </w:r>
      <w:r>
        <w:rPr>
          <w:rtl w:val="true"/>
        </w:rPr>
        <w:t xml:space="preserve">: </w:t>
      </w:r>
      <w:r>
        <w:rPr>
          <w:rtl w:val="true"/>
        </w:rPr>
        <w:t>لا منیّ للمرأة بدون الدخول</w:t>
      </w:r>
      <w:bookmarkEnd w:id="78"/>
    </w:p>
    <w:p>
      <w:pPr>
        <w:pStyle w:val="BookText"/>
        <w:rPr/>
      </w:pPr>
      <w:r>
        <w:rPr>
          <w:rFonts w:ascii="IRNazanin" w:hAnsi="IRNazanin" w:eastAsia="IRNazanin"/>
          <w:color w:val="111111"/>
          <w:sz w:val="28"/>
          <w:sz w:val="28"/>
          <w:szCs w:val="28"/>
          <w:rtl w:val="true"/>
          <w:lang w:bidi="fa-IR"/>
        </w:rPr>
        <w:t>، قال فی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تصادقا علی أنّها استدخلت منیّه من غیر جماع فحملت منه فالأقرب عدم اللحوق بها؛ إذ لا منیّ لها هنا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الوجدان؛ لأنّ کثیراً ما یتحقّق الحمل</w:t>
      </w:r>
      <w:r>
        <w:rPr>
          <w:rStyle w:val="FootnoteAnchor"/>
          <w:rtl w:val="true"/>
        </w:rPr>
        <w:footnoteReference w:id="120"/>
      </w:r>
      <w:r>
        <w:rPr>
          <w:rFonts w:ascii="IRNazanin" w:hAnsi="IRNazanin" w:eastAsia="IRNazanin"/>
          <w:color w:val="111111"/>
          <w:sz w:val="28"/>
          <w:sz w:val="28"/>
          <w:szCs w:val="28"/>
          <w:rtl w:val="true"/>
          <w:lang w:bidi="fa-IR"/>
        </w:rPr>
        <w:t>بإدخال منیّ الرجل فی فرج المرأة من غیر إیلاج</w:t>
      </w:r>
      <w:r>
        <w:rPr>
          <w:rFonts w:eastAsia="IRNazanin" w:cs="IRNazanin"/>
          <w:color w:val="111111"/>
          <w:sz w:val="28"/>
          <w:szCs w:val="28"/>
          <w:rtl w:val="true"/>
          <w:lang w:bidi="fa-IR"/>
        </w:rPr>
        <w:t>.</w:t>
      </w:r>
    </w:p>
    <w:p>
      <w:pPr>
        <w:pStyle w:val="Heading6"/>
        <w:numPr>
          <w:ilvl w:val="5"/>
          <w:numId w:val="1"/>
        </w:numPr>
        <w:rPr/>
      </w:pPr>
      <w:bookmarkStart w:id="79" w:name="__RefHeading___Toc9530459_73709187"/>
      <w:bookmarkStart w:id="80" w:name="_Toc32"/>
      <w:bookmarkEnd w:id="79"/>
      <w:r>
        <w:rPr>
          <w:rtl w:val="true"/>
        </w:rPr>
        <w:t>الرابع</w:t>
      </w:r>
      <w:r>
        <w:rPr>
          <w:rtl w:val="true"/>
        </w:rPr>
        <w:t xml:space="preserve">: </w:t>
      </w:r>
      <w:r>
        <w:rPr>
          <w:rtl w:val="true"/>
        </w:rPr>
        <w:t>ما ذکره فی الجواهر من أنّه یمکن التولّد من الرجل بالدخول و إن لم ینزل</w:t>
      </w:r>
      <w:bookmarkEnd w:id="80"/>
    </w:p>
    <w:p>
      <w:pPr>
        <w:pStyle w:val="BookText"/>
        <w:rPr/>
      </w:pPr>
      <w:r>
        <w:rPr>
          <w:rFonts w:ascii="IRNazanin" w:hAnsi="IRNazanin" w:eastAsia="IRNazanin"/>
          <w:color w:val="111111"/>
          <w:sz w:val="28"/>
          <w:sz w:val="28"/>
          <w:szCs w:val="28"/>
          <w:rtl w:val="true"/>
          <w:lang w:bidi="fa-IR"/>
        </w:rPr>
        <w:t>، و لعلّه لتحرّک نطفة المرأة و اکتسابها العلوق من نطفة الرجل فی محلّها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الترکیب المتعارف، کما یؤیّده علم الحدیث، و ما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ثابت، و لا أقلّ من الشّک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 بعض ذلک فی تفصیل الشریعة</w:t>
      </w:r>
      <w:r>
        <w:rPr>
          <w:rStyle w:val="FootnoteAnchor"/>
          <w:rtl w:val="true"/>
        </w:rPr>
        <w:footnoteReference w:id="122"/>
      </w:r>
      <w:bookmarkStart w:id="81" w:name="pg11754_112827"/>
    </w:p>
    <w:p>
      <w:pPr>
        <w:pStyle w:val="Heading6"/>
        <w:numPr>
          <w:ilvl w:val="5"/>
          <w:numId w:val="1"/>
        </w:numPr>
        <w:rPr/>
      </w:pPr>
      <w:bookmarkStart w:id="82" w:name="__RefHeading___Toc9530461_73709187"/>
      <w:bookmarkStart w:id="83" w:name="_Toc33"/>
      <w:bookmarkEnd w:id="81"/>
      <w:bookmarkEnd w:id="82"/>
      <w:r>
        <w:rPr>
          <w:rtl w:val="true"/>
        </w:rPr>
        <w:t>الخامس</w:t>
      </w:r>
      <w:r>
        <w:rPr>
          <w:rtl w:val="true"/>
        </w:rPr>
        <w:t xml:space="preserve">: </w:t>
      </w:r>
      <w:r>
        <w:rPr>
          <w:rtl w:val="true"/>
        </w:rPr>
        <w:t>النصوص</w:t>
      </w:r>
      <w:bookmarkEnd w:id="83"/>
    </w:p>
    <w:p>
      <w:pPr>
        <w:pStyle w:val="BookText"/>
        <w:rPr/>
      </w:pPr>
      <w:r>
        <w:rPr>
          <w:rFonts w:ascii="IRNazanin" w:hAnsi="IRNazanin" w:eastAsia="IRNazanin"/>
          <w:color w:val="111111"/>
          <w:sz w:val="28"/>
          <w:sz w:val="28"/>
          <w:szCs w:val="28"/>
          <w:rtl w:val="true"/>
          <w:lang w:bidi="fa-IR"/>
        </w:rPr>
        <w:t>،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ما یکون ظاهراً فیه، و بعضها ما لا یکون کذلک، بل یومئ إلیه</w:t>
      </w:r>
      <w:r>
        <w:rPr>
          <w:rFonts w:eastAsia="IRNazanin" w:cs="IRNazanin"/>
          <w:color w:val="111111"/>
          <w:sz w:val="28"/>
          <w:szCs w:val="28"/>
          <w:rtl w:val="true"/>
          <w:lang w:bidi="fa-IR"/>
        </w:rPr>
        <w:t>.</w:t>
      </w:r>
    </w:p>
    <w:p>
      <w:pPr>
        <w:pStyle w:val="Heading6"/>
        <w:numPr>
          <w:ilvl w:val="5"/>
          <w:numId w:val="1"/>
        </w:numPr>
        <w:rPr/>
      </w:pPr>
      <w:bookmarkStart w:id="84" w:name="__RefHeading___Toc9530463_73709187"/>
      <w:bookmarkStart w:id="85" w:name="_Toc34"/>
      <w:bookmarkEnd w:id="84"/>
      <w:r>
        <w:rPr>
          <w:rtl w:val="true"/>
        </w:rPr>
        <w:t>أمّا القسم الأوّل</w:t>
      </w:r>
      <w:r>
        <w:rPr>
          <w:rtl w:val="true"/>
        </w:rPr>
        <w:t xml:space="preserve">: </w:t>
      </w:r>
      <w:r>
        <w:rPr>
          <w:rtl w:val="true"/>
        </w:rPr>
        <w:t>فمنها</w:t>
      </w:r>
      <w:r>
        <w:rPr>
          <w:rtl w:val="true"/>
        </w:rPr>
        <w:t>:</w:t>
      </w:r>
      <w:bookmarkEnd w:id="85"/>
    </w:p>
    <w:p>
      <w:pPr>
        <w:pStyle w:val="BookText"/>
        <w:rPr/>
      </w:pPr>
      <w:r>
        <w:rPr>
          <w:rFonts w:ascii="IRNazanin" w:hAnsi="IRNazanin" w:eastAsia="IRNazanin"/>
          <w:color w:val="111111"/>
          <w:sz w:val="28"/>
          <w:sz w:val="28"/>
          <w:szCs w:val="28"/>
          <w:rtl w:val="true"/>
          <w:lang w:bidi="fa-IR"/>
        </w:rPr>
        <w:t>روایة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آتی فلانة أطلب ولدها فهی حرّة بعد أن یأتیها، أ له أن یأتیها و لا ینزل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أتاها فقد طلب ولدها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إطلاق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کونه جواباً عن سؤال الإتیان و عدم الإنزال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الإتیان یکفی فی طلب الولد و لو کان خالیاً عن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ظهور لها فی أنّ مجرّد الدخول یکفی فی اللحوق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عدم التقیید بعدم الإنزال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کونه محطّ السؤال ضرورة أنّه مع ثبوت الإنزال لم یکن وجه للسؤال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یوجب ضعف ظهور الروایة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 w:name="__RefHeading___Toc9530465_73709187"/>
      <w:bookmarkStart w:id="87" w:name="_Toc35"/>
      <w:bookmarkEnd w:id="86"/>
      <w:r>
        <w:rPr>
          <w:rtl w:val="true"/>
        </w:rPr>
        <w:t>و أمّا القسم الثانی</w:t>
      </w:r>
      <w:r>
        <w:rPr>
          <w:rtl w:val="true"/>
        </w:rPr>
        <w:t>:</w:t>
      </w:r>
      <w:bookmarkEnd w:id="87"/>
    </w:p>
    <w:p>
      <w:pPr>
        <w:pStyle w:val="BookText"/>
        <w:rPr/>
      </w:pPr>
      <w:r>
        <w:rPr>
          <w:rFonts w:ascii="IRNazanin" w:hAnsi="IRNazanin" w:eastAsia="IRNazanin"/>
          <w:color w:val="111111"/>
          <w:sz w:val="28"/>
          <w:sz w:val="28"/>
          <w:szCs w:val="28"/>
          <w:rtl w:val="true"/>
          <w:lang w:bidi="fa-IR"/>
        </w:rPr>
        <w:t>فقد تومئ إلیه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البختری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قرب الإسناد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أعزل عن جاریة لی فجاءت بولد،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الوکاء قد ینفلت، فألحق به الولد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طاهر البلالی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قدس سره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جعفر بن حمدان فخرجت إلیه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استحللت بجاریة و شرطت علیها أن لا أطلب ولدها و لم ألزمها منزلی، فلمّا أتی لذلک مدّة قالت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حبلت، ثمّ أتت بولد فلم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صاحب الزمان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الرجل الذی استحلّ بالجاریة و شرط علیها أن لا یطلب ولدها فسبحان من لا شریک له فی قدرته، شرطه علی الجاریة شرط علی اللّه، هذا ما لا یؤمن أن یکون، و حیث عرض له فی هذا الشکّ و لیس یعرف الوقت الذی أتاها، فلیس ذلک بموجب للبراءة من ولده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إسماعیل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 علیه السلام و أنا أسمع، عن الرجل یتزوّج المرأة متعة و یشترط علیها أن لا یطلب ولدها فتأتی بعد ذلک بولد فینکر الولد؟ فشدّد فی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یجحد؟ إعظاماً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فیها إیماء إلی أنّ الدخول هو الموجب للإلحاق کما هو الظاهر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ضعف سند بعضها، کروایة أبی البختری؛ لأنّه لا توثیق له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تومئ بل ظاهرة فی أنّ الملاک فی إلحاق الولد هو الإنزال لا الدخول فقط؛ لأنّه صلی الله علیه و آله علّل حکم الإلحاق بأنّ الوکاء قد ینفلت، و الظاهر أنّ الوکاء</w:t>
      </w:r>
      <w:r>
        <w:rPr>
          <w:rStyle w:val="FootnoteAnchor"/>
          <w:rtl w:val="true"/>
        </w:rPr>
        <w:footnoteReference w:id="130"/>
      </w:r>
      <w:r>
        <w:rPr>
          <w:rFonts w:ascii="IRNazanin" w:hAnsi="IRNazanin" w:eastAsia="IRNazanin"/>
          <w:color w:val="111111"/>
          <w:sz w:val="28"/>
          <w:sz w:val="28"/>
          <w:szCs w:val="28"/>
          <w:rtl w:val="true"/>
          <w:lang w:bidi="fa-IR"/>
        </w:rPr>
        <w:t>کنایة عن آلة الرجولیّة، و هی قد تنفلت أی زادت عطیة، بمعنی أنّه یمکن أن یکون الولد من ماء زائد خرج من الرجل، و هذا یشمل الإنزال من غیر دخول أیضاً</w:t>
      </w:r>
      <w:r>
        <w:rPr>
          <w:rFonts w:eastAsia="IRNazanin" w:cs="IRNazanin"/>
          <w:color w:val="111111"/>
          <w:sz w:val="28"/>
          <w:szCs w:val="28"/>
          <w:rtl w:val="true"/>
          <w:lang w:bidi="fa-IR"/>
        </w:rPr>
        <w:t>.</w:t>
      </w:r>
      <w:bookmarkStart w:id="88" w:name="pg11754_112829"/>
    </w:p>
    <w:p>
      <w:pPr>
        <w:pStyle w:val="BookText"/>
        <w:rPr/>
      </w:pPr>
      <w:bookmarkEnd w:id="88"/>
      <w:r>
        <w:rPr>
          <w:rFonts w:ascii="IRNazanin" w:hAnsi="IRNazanin" w:eastAsia="IRNazanin"/>
          <w:color w:val="111111"/>
          <w:sz w:val="28"/>
          <w:sz w:val="28"/>
          <w:szCs w:val="28"/>
          <w:rtl w:val="true"/>
          <w:lang w:bidi="fa-IR"/>
        </w:rPr>
        <w:t>و کذا الروایة الثانیة؛ فإنّ الإتیان کنایة عن الدخول مع الإنزال، و الروایة الثالثة یستفاد منها الإطلاق، أی إلحاق الولد بالزوج؛ سواء تحقّق الدخول أم لا، کما لو صبّ ماء الرجل فی حواشی فرج الزوجة</w:t>
      </w:r>
      <w:r>
        <w:rPr>
          <w:rFonts w:eastAsia="IRNazanin" w:cs="IRNazanin"/>
          <w:color w:val="111111"/>
          <w:sz w:val="28"/>
          <w:szCs w:val="28"/>
          <w:rtl w:val="true"/>
          <w:lang w:bidi="fa-IR"/>
        </w:rPr>
        <w:t>.</w:t>
      </w:r>
    </w:p>
    <w:p>
      <w:pPr>
        <w:pStyle w:val="Heading6"/>
        <w:numPr>
          <w:ilvl w:val="5"/>
          <w:numId w:val="1"/>
        </w:numPr>
        <w:rPr/>
      </w:pPr>
      <w:bookmarkStart w:id="89" w:name="__RefHeading___Toc9530467_73709187"/>
      <w:bookmarkStart w:id="90" w:name="_Toc36"/>
      <w:bookmarkEnd w:id="89"/>
      <w:r>
        <w:rPr>
          <w:rtl w:val="true"/>
        </w:rPr>
        <w:t>السادس</w:t>
      </w:r>
      <w:r>
        <w:rPr>
          <w:rtl w:val="true"/>
        </w:rPr>
        <w:t xml:space="preserve">: </w:t>
      </w:r>
      <w:r>
        <w:rPr>
          <w:rtl w:val="true"/>
        </w:rPr>
        <w:t>عموم قوله صلی الله علیه و آله</w:t>
      </w:r>
      <w:r>
        <w:rPr>
          <w:rtl w:val="true"/>
        </w:rPr>
        <w:t>: «</w:t>
      </w:r>
      <w:r>
        <w:rPr>
          <w:rtl w:val="true"/>
        </w:rPr>
        <w:t>الولد للفراش</w:t>
      </w:r>
      <w:r>
        <w:rPr>
          <w:rtl w:val="true"/>
        </w:rPr>
        <w:t>»</w:t>
      </w:r>
      <w:bookmarkEnd w:id="90"/>
    </w:p>
    <w:p>
      <w:pPr>
        <w:pStyle w:val="BookText"/>
        <w:rPr/>
      </w:pPr>
      <w:r>
        <w:rPr>
          <w:rFonts w:ascii="IRNazanin" w:hAnsi="IRNazanin" w:eastAsia="IRNazanin"/>
          <w:color w:val="111111"/>
          <w:sz w:val="28"/>
          <w:sz w:val="28"/>
          <w:szCs w:val="28"/>
          <w:rtl w:val="true"/>
          <w:lang w:bidi="fa-IR"/>
        </w:rPr>
        <w:t>الّذی یکون دلیلاً لقاعدة الفراش، 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الافتراش فعلاً، و الافتراش الفعلی یتحقّق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الفراش الفعلی</w:t>
      </w:r>
      <w:r>
        <w:rPr>
          <w:rStyle w:val="FootnoteAnchor"/>
          <w:rtl w:val="true"/>
        </w:rPr>
        <w:footnoteReference w:id="131"/>
      </w:r>
      <w:r>
        <w:rPr>
          <w:rFonts w:ascii="IRNazanin" w:hAnsi="IRNazanin" w:eastAsia="IRNazanin"/>
          <w:color w:val="111111"/>
          <w:sz w:val="28"/>
          <w:sz w:val="28"/>
          <w:szCs w:val="28"/>
          <w:rtl w:val="true"/>
          <w:lang w:bidi="fa-IR"/>
        </w:rPr>
        <w:t>ملازم للإنزال أو لاحتمال سبق الماء، کما فی تفصیل الشریعة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قاعدة الفراش أمارة شرعیّة، فإذا شککنا فی أنّ الولد من الزوج أم لا، نلحقه به استناداً لهذه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قَطَع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بأنّ الولد لا یتولّد بدون 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الاستناد إلیها لإلحاق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لک أنّه لا دلیل یعتمد علیه علی اللحوق بمجرّد الدخول، مع القطع بعدم الإنزال فی الرحم و حوالیه، و عدم دخول منیّ الرجل فی فرج المرأة</w:t>
      </w:r>
      <w:r>
        <w:rPr>
          <w:rFonts w:eastAsia="IRNazanin" w:cs="IRNazanin"/>
          <w:color w:val="111111"/>
          <w:sz w:val="28"/>
          <w:szCs w:val="28"/>
          <w:rtl w:val="true"/>
          <w:lang w:bidi="fa-IR"/>
        </w:rPr>
        <w:t>.</w:t>
      </w:r>
    </w:p>
    <w:p>
      <w:pPr>
        <w:pStyle w:val="Heading6"/>
        <w:numPr>
          <w:ilvl w:val="5"/>
          <w:numId w:val="1"/>
        </w:numPr>
        <w:rPr/>
      </w:pPr>
      <w:bookmarkStart w:id="91" w:name="__RefHeading___Toc9530469_73709187"/>
      <w:bookmarkStart w:id="92" w:name="_Toc37"/>
      <w:bookmarkEnd w:id="91"/>
      <w:r>
        <w:rPr>
          <w:rtl w:val="true"/>
        </w:rPr>
        <w:t>القول الثانی إمکان الوط‌ء</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إلحاق الولد بالزوج إمکان الوط‌ء فقط، ذهب إلیه الشیخ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عندنا و عند جماعة فی باب لحوق الولد إمکان الوط‌ء، فإذا نکحها و أمکن أن یکون وطؤها ظاهراً و باطناً، ثمّ أتت بالولد</w:t>
      </w:r>
      <w:bookmarkStart w:id="93" w:name="pg11754_112830"/>
    </w:p>
    <w:p>
      <w:pPr>
        <w:pStyle w:val="BookText"/>
        <w:rPr/>
      </w:pPr>
      <w:bookmarkEnd w:id="93"/>
      <w:r>
        <w:rPr>
          <w:rFonts w:ascii="IRNazanin" w:hAnsi="IRNazanin" w:eastAsia="IRNazanin"/>
          <w:color w:val="111111"/>
          <w:sz w:val="28"/>
          <w:sz w:val="28"/>
          <w:szCs w:val="28"/>
          <w:rtl w:val="true"/>
          <w:lang w:bidi="fa-IR"/>
        </w:rPr>
        <w:t>لمدّة یمکن أن یکون حدث بعد العقد، فإنّا نلحقه به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الجامع للشرائع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ولدت إحداهنّ ولداً الحق به مع إمکان الوط‌ء و أن یکون منه و مع العزل و عدمه</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أیضاً المجلسی فی ملاذ الأخیار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یدلّ علیه دلیل إلاّ الإجماع الذی ادّعاه الشیخ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لم یثبت، مع ذهاب جمع کثیر إلی خلافه کما تقدّم، و لعلّه لذلک عدل الشیخ عنه فی النهایة،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للرجل امرأة لم یدخل بها أو یکون قد دخل بها غیر أنّه یکون قد غاب عنها غیبة تزید علی زمان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ولداً 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الشیخ و غیره من الإمکان هو الدخول و إن لم یساعده ظاهر کلامهم، فلا یکون هذا قولاً مستقلاًّ، و یندرج فی القول الأوّل</w:t>
      </w:r>
      <w:r>
        <w:rPr>
          <w:rFonts w:eastAsia="IRNazanin" w:cs="IRNazanin"/>
          <w:color w:val="111111"/>
          <w:sz w:val="28"/>
          <w:szCs w:val="28"/>
          <w:rtl w:val="true"/>
          <w:lang w:bidi="fa-IR"/>
        </w:rPr>
        <w:t>.</w:t>
      </w:r>
    </w:p>
    <w:p>
      <w:pPr>
        <w:pStyle w:val="Heading6"/>
        <w:numPr>
          <w:ilvl w:val="5"/>
          <w:numId w:val="1"/>
        </w:numPr>
        <w:rPr/>
      </w:pPr>
      <w:bookmarkStart w:id="94" w:name="__RefHeading___Toc9530471_73709187"/>
      <w:bookmarkStart w:id="95" w:name="_Toc38"/>
      <w:bookmarkEnd w:id="94"/>
      <w:r>
        <w:rPr>
          <w:rtl w:val="true"/>
        </w:rPr>
        <w:t>القول الثالث الإنزال هو الشرط فی الإلحاق</w:t>
      </w:r>
      <w:bookmarkEnd w:id="95"/>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للحوق الولد بالزوج هو الإنزال؛ سواء تحقّق ذلک بالدخول، أو بالآلات الحدیثة للتلقیح، أو بالتهریق فی أطراف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جمع من المتأخّرین و المعاصرین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 کلام غیرهم أیضاً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قد أنزل لکنّه عزل عن الزوجة فإنّ الإلحاق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قطعوا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فی تحقّق الفراش إلی الدخول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الظاهر من کلام صاحب الجواهر فی کتاب اللعان، حیث قال بلحوق الولد بمجرّد إمکان کونه منه</w:t>
      </w:r>
      <w:r>
        <w:rPr>
          <w:rStyle w:val="FootnoteAnchor"/>
          <w:rtl w:val="true"/>
        </w:rPr>
        <w:footnoteReference w:id="139"/>
      </w:r>
      <w:r>
        <w:rPr>
          <w:rFonts w:ascii="IRNazanin" w:hAnsi="IRNazanin" w:eastAsia="IRNazanin"/>
          <w:color w:val="111111"/>
          <w:sz w:val="28"/>
          <w:sz w:val="28"/>
          <w:szCs w:val="28"/>
          <w:rtl w:val="true"/>
          <w:lang w:bidi="fa-IR"/>
        </w:rPr>
        <w:t>؛ لأنّه مع الإنزال یمکن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الفقیه الخوئی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الولد بالأب فی الدائم و المنقطع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مع العلم بالإنزال أو احتماله، أو الإنزال علی فم الفرج</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 و مستنده و جامع المدارک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 الإنزال،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عدمه، و علی کلّ منهما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الدبر، و مع الإنزال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 المحلّ،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الرحم، و ثالثة بإدخال المنی بالآلات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 یلحق به الولد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الإنزال سواء کان مع الدخول أو بدونه، و سواء کان فی الفرج، أو فی حوالیه مع احتمال الجذب، أو دخل منیّه فیه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الولادة من هذا الطریق کثیر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السیّد السیستانی</w:t>
      </w:r>
      <w:r>
        <w:rPr>
          <w:rStyle w:val="FootnoteAnchor"/>
          <w:rtl w:val="true"/>
        </w:rPr>
        <w:footnoteReference w:id="144"/>
      </w:r>
      <w:r>
        <w:rPr>
          <w:rFonts w:ascii="IRNazanin" w:hAnsi="IRNazanin" w:eastAsia="IRNazanin"/>
          <w:color w:val="111111"/>
          <w:sz w:val="28"/>
          <w:sz w:val="28"/>
          <w:szCs w:val="28"/>
          <w:rtl w:val="true"/>
          <w:lang w:bidi="fa-IR"/>
        </w:rPr>
        <w:t>و الفقیه الأراکی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یستظهر ذلک من کلام الشهید فی الروضة، حیث استشکل علی</w:t>
      </w:r>
      <w:bookmarkStart w:id="96" w:name="pg11754_112832"/>
    </w:p>
    <w:p>
      <w:pPr>
        <w:pStyle w:val="BookText"/>
        <w:rPr/>
      </w:pPr>
      <w:bookmarkEnd w:id="96"/>
      <w:r>
        <w:rPr>
          <w:rFonts w:ascii="IRNazanin" w:hAnsi="IRNazanin" w:eastAsia="IRNazanin"/>
          <w:color w:val="111111"/>
          <w:sz w:val="28"/>
          <w:sz w:val="28"/>
          <w:szCs w:val="28"/>
          <w:rtl w:val="true"/>
          <w:lang w:bidi="fa-IR"/>
        </w:rPr>
        <w:t>کلام المصنّف فی القواعد بالحکم بالإلحاق و إن لم ینزل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ما فی الریاض؛ لأنّه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بعدم العبرة بالوط‌ء فی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الإمناء و احتمال سبق الماء فی الرحم و لو لم یشعر به یکفی فی الإلحاق</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9530473_73709187"/>
      <w:bookmarkStart w:id="98" w:name="_Toc39"/>
      <w:bookmarkEnd w:id="97"/>
      <w:r>
        <w:rPr>
          <w:rtl w:val="true"/>
        </w:rPr>
        <w:t>أدلّة اللحوق مع الإنزال</w:t>
      </w:r>
      <w:bookmarkEnd w:id="98"/>
    </w:p>
    <w:p>
      <w:pPr>
        <w:pStyle w:val="BookText"/>
        <w:rPr/>
      </w:pPr>
      <w:r>
        <w:rPr>
          <w:rFonts w:ascii="IRNazanin" w:hAnsi="IRNazanin" w:eastAsia="IRNazanin"/>
          <w:color w:val="111111"/>
          <w:sz w:val="28"/>
          <w:sz w:val="28"/>
          <w:szCs w:val="28"/>
          <w:rtl w:val="true"/>
          <w:lang w:bidi="fa-IR"/>
        </w:rPr>
        <w:t>و ما یمکن أن یستدلّ به لإثبات هذا الحکم وجوهٌ</w:t>
      </w:r>
      <w:r>
        <w:rPr>
          <w:rFonts w:eastAsia="IRNazanin" w:cs="IRNazanin"/>
          <w:color w:val="111111"/>
          <w:sz w:val="28"/>
          <w:szCs w:val="28"/>
          <w:rtl w:val="true"/>
          <w:lang w:bidi="fa-IR"/>
        </w:rPr>
        <w:t>:</w:t>
      </w:r>
    </w:p>
    <w:p>
      <w:pPr>
        <w:pStyle w:val="Heading6"/>
        <w:numPr>
          <w:ilvl w:val="5"/>
          <w:numId w:val="1"/>
        </w:numPr>
        <w:rPr/>
      </w:pPr>
      <w:bookmarkStart w:id="99" w:name="__RefHeading___Toc9530475_73709187"/>
      <w:bookmarkStart w:id="100" w:name="_Toc40"/>
      <w:bookmarkEnd w:id="99"/>
      <w:r>
        <w:rPr>
          <w:rtl w:val="true"/>
        </w:rPr>
        <w:t>الأوّل</w:t>
      </w:r>
      <w:r>
        <w:rPr>
          <w:rtl w:val="true"/>
        </w:rPr>
        <w:t xml:space="preserve">: </w:t>
      </w:r>
      <w:r>
        <w:rPr>
          <w:rtl w:val="true"/>
        </w:rPr>
        <w:t xml:space="preserve">عموم قوله صلی الله علیه و آله </w:t>
      </w:r>
      <w:r>
        <w:rPr>
          <w:rtl w:val="true"/>
        </w:rPr>
        <w:t>«</w:t>
      </w:r>
      <w:r>
        <w:rPr>
          <w:rtl w:val="true"/>
        </w:rPr>
        <w:t>الولد للفراش</w:t>
      </w:r>
      <w:r>
        <w:rPr>
          <w:rtl w:val="true"/>
        </w:rPr>
        <w:t>»</w:t>
      </w:r>
      <w:bookmarkEnd w:id="100"/>
    </w:p>
    <w:p>
      <w:pPr>
        <w:pStyle w:val="BookText"/>
        <w:rPr/>
      </w:pPr>
      <w:r>
        <w:rPr>
          <w:rStyle w:val="FootnoteAnchor"/>
          <w:rtl w:val="true"/>
        </w:rPr>
        <w:footnoteReference w:id="148"/>
      </w:r>
      <w:r>
        <w:rPr>
          <w:rFonts w:ascii="IRNazanin" w:hAnsi="IRNazanin" w:eastAsia="IRNazanin"/>
          <w:color w:val="111111"/>
          <w:sz w:val="28"/>
          <w:sz w:val="28"/>
          <w:szCs w:val="28"/>
          <w:rtl w:val="true"/>
          <w:lang w:bidi="fa-IR"/>
        </w:rPr>
        <w:t>بالتقریب المتقدّم من أنّ الفراش الفعلی ملازم للإنزال، أو لاحتمال سبق الماء</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فرض الإمکان عنده و لو بعد لا یجوز له نفیه؛ لأنّ الولد للفراش شرعاً مع إمکانه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9530477_73709187"/>
      <w:bookmarkStart w:id="102" w:name="_Toc41"/>
      <w:bookmarkEnd w:id="101"/>
      <w:r>
        <w:rPr>
          <w:rtl w:val="true"/>
        </w:rPr>
        <w:t>الثانی</w:t>
      </w:r>
      <w:r>
        <w:rPr>
          <w:rtl w:val="true"/>
        </w:rPr>
        <w:t xml:space="preserve">: </w:t>
      </w:r>
      <w:r>
        <w:rPr>
          <w:rtl w:val="true"/>
        </w:rPr>
        <w:t>النصوص المستفیضة</w:t>
      </w:r>
      <w:bookmarkEnd w:id="10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إسماعیل بن بزیع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یتزوّج المرأة متعة و یشترط علیها أن لا یطلب ولدها، فتأتی بعد ذلک بولد، فینکر الولد؟ فشدّد فی ذلک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یجحد؟ إعظاماً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 الإمام علیه السلام علی الرجل بإنکاره الولد فی</w:t>
      </w:r>
    </w:p>
    <w:p>
      <w:pPr>
        <w:pStyle w:val="BookText"/>
        <w:rPr/>
      </w:pPr>
      <w:r>
        <w:rPr>
          <w:rFonts w:ascii="IRNazanin" w:hAnsi="IRNazanin" w:eastAsia="IRNazanin"/>
          <w:color w:val="111111"/>
          <w:sz w:val="28"/>
          <w:sz w:val="28"/>
          <w:szCs w:val="28"/>
          <w:rtl w:val="true"/>
          <w:lang w:bidi="fa-IR"/>
        </w:rPr>
        <w:t>المتعة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ثبت بالضرورة أنّه یمکن أن تأتی الولد بالإنزال فی حوالی الرحم فقط و لو لم یتحقّق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منها أنّ الإنزال أیضاً یکفی فی إلحاق الولد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ابن أبی عمیر،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ماء الرجل یضعه حیث یشاء، إلاّ أنّه إذا جاء ولد لم ینکره، و شدّد فی إنکار الولد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إطلاقها یشمل المدّعی قطعاً؛ بمعنی أنّه لا یجوز للزوج إنکار الطفل؛ سواء نشأ من دخوله بالمرأة، أو أنزل فی حوالی الرحم فجذب الرحم ماء الرجل من غیر أن یتحقّق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صحیحة</w:t>
      </w:r>
    </w:p>
    <w:p>
      <w:pPr>
        <w:pStyle w:val="BookText"/>
        <w:rPr/>
      </w:pPr>
      <w:r>
        <w:rPr>
          <w:rFonts w:ascii="IRNazanin" w:hAnsi="IRNazanin" w:eastAsia="IRNazanin"/>
          <w:color w:val="111111"/>
          <w:sz w:val="28"/>
          <w:sz w:val="28"/>
          <w:szCs w:val="28"/>
          <w:rtl w:val="true"/>
          <w:lang w:bidi="fa-IR"/>
        </w:rPr>
        <w:t>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حبلت؟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فتح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الشروط فی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الشرط فیها بکذا إلی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رزقت ولداً قبله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و الأمر واضح</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أبو البختری، عن جعفر بن محمّد، عن أبیه علیهما السلام أنّ رجلاً أتی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هذه حامل و هی جاریة حدثة، و هی</w:t>
      </w:r>
      <w:bookmarkStart w:id="103" w:name="pg11754_112834"/>
    </w:p>
    <w:p>
      <w:pPr>
        <w:pStyle w:val="BookText"/>
        <w:rPr/>
      </w:pPr>
      <w:bookmarkEnd w:id="103"/>
      <w:r>
        <w:rPr>
          <w:rFonts w:ascii="IRNazanin" w:hAnsi="IRNazanin" w:eastAsia="IRNazanin"/>
          <w:color w:val="111111"/>
          <w:sz w:val="28"/>
          <w:sz w:val="28"/>
          <w:szCs w:val="28"/>
          <w:rtl w:val="true"/>
          <w:lang w:bidi="fa-IR"/>
        </w:rPr>
        <w:t>عذراء، و هی حامل فی تسعة أشهر، و لا أعلم إلاّ خیراً، و أنا شیخ کبیر ما افترعتها، و أنّها لعلی حالها،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کنت تهریق علی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6"/>
      </w:r>
      <w:r>
        <w:rPr>
          <w:rFonts w:ascii="IRNazanin" w:hAnsi="IRNazanin" w:eastAsia="IRNazanin"/>
          <w:color w:val="111111"/>
          <w:sz w:val="28"/>
          <w:sz w:val="28"/>
          <w:szCs w:val="28"/>
          <w:rtl w:val="true"/>
          <w:lang w:bidi="fa-IR"/>
        </w:rPr>
        <w:t>،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فرج ثقبین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یدخل فیه ماء الرجل، و ثقب یخرج منه البول، و أنّ أفواه الرحم تحت الثقب الذی یدخل فیه ماء الرجل، فإذا دخل الماء فی فم واحد من أفواه الرحم حملت المرأة بولد، و إذا دخل من اثنین حملت باثنین، و إذا دخل من ثلاثة، حملت بثلاثة، و إذا دخل من أربعة حملت بأربعة و لیس هناک غیر ذلک، و قد ألحقت بک ولدها فشقّ عنها القوابل، فجاءت بغلام فعاش</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نقلة الآثار من العامّة و الخاصّة أنّ امرأة نکحها شیخ کبیر فحملت، فزعم الشیخ أنّه لم یصل إلیها و أنکر حملها، فالتبس الأمر علی عثمان و سأل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اقتضّک</w:t>
      </w:r>
      <w:r>
        <w:rPr>
          <w:rStyle w:val="FootnoteAnchor"/>
          <w:rtl w:val="true"/>
        </w:rPr>
        <w:footnoteReference w:id="158"/>
      </w:r>
      <w:r>
        <w:rPr>
          <w:rFonts w:ascii="IRNazanin" w:hAnsi="IRNazanin" w:eastAsia="IRNazanin"/>
          <w:color w:val="111111"/>
          <w:sz w:val="28"/>
          <w:sz w:val="28"/>
          <w:szCs w:val="28"/>
          <w:rtl w:val="true"/>
          <w:lang w:bidi="fa-IR"/>
        </w:rPr>
        <w:t>الشیخ؟ و کانت بکراً،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 علیها،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للمرأة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البول و سمّ المحیض، فلعلّ الشیخ کان ینال منها، فسال ماؤه فی سمّ المحیض فحملت منه، فاسألوا الرجل عن ذلک، 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انزل فی قبلها من غیر وصول إلیها بالاقتضاض،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له و الولد ولده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9530479_73709187"/>
      <w:bookmarkStart w:id="105" w:name="_Toc42"/>
      <w:bookmarkEnd w:id="104"/>
      <w:r>
        <w:rPr>
          <w:rtl w:val="true"/>
        </w:rPr>
        <w:t>الثالث</w:t>
      </w:r>
      <w:r>
        <w:rPr>
          <w:rtl w:val="true"/>
        </w:rPr>
        <w:t xml:space="preserve">: </w:t>
      </w:r>
      <w:r>
        <w:rPr>
          <w:rtl w:val="true"/>
        </w:rPr>
        <w:t>أنّ الضرورة و الوجدان حاکمان بأنّ بالإمناء یتولّد الطفل</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فی الرحم، أو فی أطرافه و جذبه ماء المرأة، أو انتقل إلی الرحم بالآلات الحدیثة</w:t>
      </w:r>
      <w:r>
        <w:rPr>
          <w:rFonts w:eastAsia="IRNazanin" w:cs="IRNazanin"/>
          <w:color w:val="111111"/>
          <w:sz w:val="28"/>
          <w:szCs w:val="28"/>
          <w:rtl w:val="true"/>
          <w:lang w:bidi="fa-IR"/>
        </w:rPr>
        <w:t>.</w:t>
      </w:r>
      <w:bookmarkStart w:id="106" w:name="pg11754_112835"/>
    </w:p>
    <w:p>
      <w:pPr>
        <w:pStyle w:val="BookText"/>
        <w:rPr/>
      </w:pPr>
      <w:bookmarkEnd w:id="106"/>
      <w:r>
        <w:rPr>
          <w:rFonts w:ascii="IRNazanin" w:hAnsi="IRNazanin" w:eastAsia="IRNazanin"/>
          <w:color w:val="111111"/>
          <w:sz w:val="28"/>
          <w:sz w:val="28"/>
          <w:szCs w:val="28"/>
          <w:rtl w:val="true"/>
          <w:lang w:bidi="fa-IR"/>
        </w:rPr>
        <w:t>ثمّ إنّه ینبغی أن یعلم أنّه لا بدّ أن یکون الزوج ممّن یمکن التولّد منه، من جهة السنّ، فلو کان صغیراً لا یمکن حصول ذلک منه لم یلحق به الولد کما فی الحدائق</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9530481_73709187"/>
      <w:bookmarkStart w:id="108" w:name="_Toc43"/>
      <w:bookmarkEnd w:id="107"/>
      <w:r>
        <w:rPr>
          <w:rtl w:val="true"/>
        </w:rPr>
        <w:t>الشرط الثانی</w:t>
      </w:r>
      <w:r>
        <w:rPr>
          <w:rtl w:val="true"/>
        </w:rPr>
        <w:t xml:space="preserve">: </w:t>
      </w:r>
      <w:r>
        <w:rPr>
          <w:rtl w:val="true"/>
        </w:rPr>
        <w:t>مضیّ أقلّ مدّة الحمل</w:t>
      </w:r>
      <w:bookmarkEnd w:id="108"/>
    </w:p>
    <w:p>
      <w:pPr>
        <w:pStyle w:val="BookText"/>
        <w:rPr/>
      </w:pPr>
      <w:r>
        <w:rPr>
          <w:rFonts w:ascii="IRNazanin" w:hAnsi="IRNazanin" w:eastAsia="IRNazanin"/>
          <w:color w:val="111111"/>
          <w:sz w:val="28"/>
          <w:sz w:val="28"/>
          <w:szCs w:val="28"/>
          <w:rtl w:val="true"/>
          <w:lang w:bidi="fa-IR"/>
        </w:rPr>
        <w:t>الظاهر أنّه لا خلاف بین الفقهاء، بل تحقّق الإجماع علی أنّه یشترط فی إلحاق الولد مضیّ أقلّ مدّة الحمل من حین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بینهم أیضاً فی أنّ أقلّ مدّة الحمل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الحمل لخروج الولد حیّاً ستّة أشهر</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النهایة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المهذّب</w:t>
      </w:r>
      <w:r>
        <w:rPr>
          <w:rStyle w:val="FootnoteAnchor"/>
          <w:rtl w:val="true"/>
        </w:rPr>
        <w:footnoteReference w:id="163"/>
      </w:r>
      <w:r>
        <w:rPr>
          <w:rFonts w:ascii="IRNazanin" w:hAnsi="IRNazanin" w:eastAsia="IRNazanin"/>
          <w:color w:val="111111"/>
          <w:sz w:val="28"/>
          <w:sz w:val="28"/>
          <w:szCs w:val="28"/>
          <w:rtl w:val="true"/>
          <w:lang w:bidi="fa-IR"/>
        </w:rPr>
        <w:t>و الکافی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یلحقون بالزوج بشروط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و مضیّ ستّة أشهر من حین الوط‌ء</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166"/>
      </w:r>
      <w:r>
        <w:rPr>
          <w:rFonts w:ascii="IRNazanin" w:hAnsi="IRNazanin" w:eastAsia="IRNazanin"/>
          <w:color w:val="111111"/>
          <w:sz w:val="28"/>
          <w:sz w:val="28"/>
          <w:szCs w:val="28"/>
          <w:rtl w:val="true"/>
          <w:lang w:bidi="fa-IR"/>
        </w:rPr>
        <w:t>، و السرائر</w:t>
      </w:r>
      <w:r>
        <w:rPr>
          <w:rStyle w:val="FootnoteAnchor"/>
          <w:rtl w:val="true"/>
        </w:rPr>
        <w:footnoteReference w:id="167"/>
      </w:r>
      <w:r>
        <w:rPr>
          <w:rFonts w:ascii="IRNazanin" w:hAnsi="IRNazanin" w:eastAsia="IRNazanin"/>
          <w:color w:val="111111"/>
          <w:sz w:val="28"/>
          <w:sz w:val="28"/>
          <w:szCs w:val="28"/>
          <w:rtl w:val="true"/>
          <w:lang w:bidi="fa-IR"/>
        </w:rPr>
        <w:t>، و تحریر الأحکام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الشریف المرتضی فی رسائله الإجماع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الحمل عندنا علی ما أطبقت علیه طائفتنا هو ستّة أشهر، و ما نعرف أیضاً مخالفاً من فقهاء العامّة علی ذلک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علماء الإسلام علی أنّ أقلّ المدّة التی یمکن فیها تولّد الإنسان حیّاً کاملاً و نشوّه من حین الوط‌ء إلی حین الولادة ستّة أشهر</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172"/>
      </w:r>
      <w:r>
        <w:rPr>
          <w:rFonts w:ascii="IRNazanin" w:hAnsi="IRNazanin" w:eastAsia="IRNazanin"/>
          <w:color w:val="111111"/>
          <w:sz w:val="28"/>
          <w:sz w:val="28"/>
          <w:szCs w:val="28"/>
          <w:rtl w:val="true"/>
          <w:lang w:bidi="fa-IR"/>
        </w:rPr>
        <w:t>، و الجواهر</w:t>
      </w:r>
      <w:r>
        <w:rPr>
          <w:rStyle w:val="FootnoteAnchor"/>
          <w:rtl w:val="true"/>
        </w:rPr>
        <w:footnoteReference w:id="173"/>
      </w:r>
      <w:r>
        <w:rPr>
          <w:rFonts w:ascii="IRNazanin" w:hAnsi="IRNazanin" w:eastAsia="IRNazanin"/>
          <w:color w:val="111111"/>
          <w:sz w:val="28"/>
          <w:sz w:val="28"/>
          <w:szCs w:val="28"/>
          <w:rtl w:val="true"/>
          <w:lang w:bidi="fa-IR"/>
        </w:rPr>
        <w:t>، و مهذّب الأحکام</w:t>
      </w:r>
      <w:r>
        <w:rPr>
          <w:rStyle w:val="FootnoteAnchor"/>
          <w:rtl w:val="true"/>
        </w:rPr>
        <w:footnoteReference w:id="174"/>
      </w:r>
      <w:r>
        <w:rPr>
          <w:rFonts w:ascii="IRNazanin" w:hAnsi="IRNazanin" w:eastAsia="IRNazanin"/>
          <w:color w:val="111111"/>
          <w:sz w:val="28"/>
          <w:sz w:val="28"/>
          <w:szCs w:val="28"/>
          <w:rtl w:val="true"/>
          <w:lang w:bidi="fa-IR"/>
        </w:rPr>
        <w:t>، و تفصیل الشریعة</w:t>
      </w:r>
      <w:r>
        <w:rPr>
          <w:rStyle w:val="FootnoteAnchor"/>
          <w:rtl w:val="true"/>
        </w:rPr>
        <w:footnoteReference w:id="175"/>
      </w:r>
      <w:r>
        <w:rPr>
          <w:rFonts w:ascii="IRNazanin" w:hAnsi="IRNazanin" w:eastAsia="IRNazanin"/>
          <w:color w:val="111111"/>
          <w:sz w:val="28"/>
          <w:sz w:val="28"/>
          <w:szCs w:val="28"/>
          <w:rtl w:val="true"/>
          <w:lang w:bidi="fa-IR"/>
        </w:rPr>
        <w:t>، و فی کشف اللثام أنّ الاتّفاق قائم بذلک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الحکم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و إجماع الفقهاء فی ذلک،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 حیث إنّ مدّة الفصال و الرضاع کما یدلّ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أربع و عشرین شهراً، فحینئذٍ ما بقی من الثلاثین و هو ستّة أشهر یکون أقلّ مدّة الحمل؛ لأنّها هی الباقیة من الثلاثین شهراً بعد عامی الفصال، و لیست هذه المدّة هی أقصی مدّة الحمل للإجماع و الوجدان فتعیّن أن یکون أقلّ مدّته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 أو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عن الحلبی فی الصحیح،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للرجل منکم الجاریة یطؤها فیعتقها فاعتدّت و نکحت، فإن وضعت لخمسة</w:t>
      </w:r>
      <w:bookmarkStart w:id="109" w:name="pg11754_112837"/>
    </w:p>
    <w:p>
      <w:pPr>
        <w:pStyle w:val="BookText"/>
        <w:rPr/>
      </w:pPr>
      <w:bookmarkEnd w:id="109"/>
      <w:r>
        <w:rPr>
          <w:rFonts w:ascii="IRNazanin" w:hAnsi="IRNazanin" w:eastAsia="IRNazanin"/>
          <w:color w:val="111111"/>
          <w:sz w:val="28"/>
          <w:sz w:val="28"/>
          <w:szCs w:val="28"/>
          <w:rtl w:val="true"/>
          <w:lang w:bidi="fa-IR"/>
        </w:rPr>
        <w:t>أشهر فإنّه لمولاها الذی أعتقها، و إن وضعت بعد ما تزوّجت لستّة أشهر فإنّه لزوجها الأخیر</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عن جعفر بن محمّد،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تحمل المرأة لستّة أشهر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فی التهذیب عن جمیل بن صالح، عن أحدهما علیهما السلام فی المرأة تزوّج فی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 تعتدّ عدّة واحدة منهما جمیعاً، فإن جاءت بولد لستّة أشهر أو أکثر فهو للأخیر، و إن جاءت بولد لأقلّ من ستّة أشهر فهو للأوّل</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و غیرها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9530483_73709187"/>
      <w:bookmarkStart w:id="111" w:name="_Toc44"/>
      <w:bookmarkEnd w:id="110"/>
      <w:r>
        <w:rPr>
          <w:rtl w:val="true"/>
        </w:rPr>
        <w:t>الشرط الثالث</w:t>
      </w:r>
      <w:r>
        <w:rPr>
          <w:rtl w:val="true"/>
        </w:rPr>
        <w:t xml:space="preserve">: </w:t>
      </w:r>
      <w:r>
        <w:rPr>
          <w:rtl w:val="true"/>
        </w:rPr>
        <w:t>عدم التجاوز عن أقصی مدّة الحمل</w:t>
      </w:r>
      <w:bookmarkEnd w:id="111"/>
    </w:p>
    <w:p>
      <w:pPr>
        <w:pStyle w:val="Heading6"/>
        <w:numPr>
          <w:ilvl w:val="5"/>
          <w:numId w:val="1"/>
        </w:numPr>
        <w:rPr/>
      </w:pPr>
      <w:bookmarkStart w:id="112" w:name="__RefHeading___Toc9530485_73709187"/>
      <w:bookmarkStart w:id="113" w:name="_Toc45"/>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 قبل بیان الحکم فیه لا بدّ أن نذکر أمرین</w:t>
      </w:r>
      <w:r>
        <w:rPr>
          <w:rFonts w:eastAsia="IRNazanin" w:cs="IRNazanin"/>
          <w:color w:val="111111"/>
          <w:sz w:val="28"/>
          <w:szCs w:val="28"/>
          <w:rtl w:val="true"/>
          <w:lang w:bidi="fa-IR"/>
        </w:rPr>
        <w:t>:</w:t>
      </w:r>
    </w:p>
    <w:p>
      <w:pPr>
        <w:pStyle w:val="Heading6"/>
        <w:numPr>
          <w:ilvl w:val="5"/>
          <w:numId w:val="1"/>
        </w:numPr>
        <w:rPr/>
      </w:pPr>
      <w:bookmarkStart w:id="114" w:name="__RefHeading___Toc9530487_73709187"/>
      <w:bookmarkStart w:id="115" w:name="_Toc46"/>
      <w:bookmarkEnd w:id="114"/>
      <w:r>
        <w:rPr>
          <w:rtl w:val="true"/>
        </w:rPr>
        <w:t>الأمر الأوّل</w:t>
      </w:r>
      <w:r>
        <w:rPr>
          <w:rtl w:val="true"/>
        </w:rPr>
        <w:t xml:space="preserve">: </w:t>
      </w:r>
      <w:r>
        <w:rPr>
          <w:rtl w:val="true"/>
        </w:rPr>
        <w:t>أنّ البحث فی ذلک الشرط فیما إذا کان وضع حمل المرأة علی نحو العادی و الطبیعی</w:t>
      </w:r>
      <w:bookmarkEnd w:id="115"/>
    </w:p>
    <w:p>
      <w:pPr>
        <w:pStyle w:val="BookText"/>
        <w:rPr/>
      </w:pPr>
      <w:r>
        <w:rPr>
          <w:rFonts w:ascii="IRNazanin" w:hAnsi="IRNazanin" w:eastAsia="IRNazanin"/>
          <w:color w:val="111111"/>
          <w:sz w:val="28"/>
          <w:sz w:val="28"/>
          <w:szCs w:val="28"/>
          <w:rtl w:val="true"/>
          <w:lang w:bidi="fa-IR"/>
        </w:rPr>
        <w:t>، أمّا إذا تأخّر لعارض فلا یجری البحث عن هذا الشرط؛ لأنّ فی تلک الصورة نقطع بتجاوز أکثر مدّة الحمل، لعارض</w:t>
      </w:r>
      <w:r>
        <w:rPr>
          <w:rFonts w:eastAsia="IRNazanin" w:cs="IRNazanin"/>
          <w:color w:val="111111"/>
          <w:sz w:val="28"/>
          <w:szCs w:val="28"/>
          <w:rtl w:val="true"/>
          <w:lang w:bidi="fa-IR"/>
        </w:rPr>
        <w:t>.</w:t>
      </w:r>
    </w:p>
    <w:p>
      <w:pPr>
        <w:pStyle w:val="Heading6"/>
        <w:numPr>
          <w:ilvl w:val="5"/>
          <w:numId w:val="1"/>
        </w:numPr>
        <w:rPr/>
      </w:pPr>
      <w:bookmarkStart w:id="116" w:name="__RefHeading___Toc9530489_73709187"/>
      <w:bookmarkStart w:id="117" w:name="_Toc47"/>
      <w:bookmarkEnd w:id="116"/>
      <w:r>
        <w:rPr>
          <w:rtl w:val="true"/>
        </w:rPr>
        <w:t>الأمر الثانی</w:t>
      </w:r>
      <w:r>
        <w:rPr>
          <w:rtl w:val="true"/>
        </w:rPr>
        <w:t xml:space="preserve">: </w:t>
      </w:r>
      <w:r>
        <w:rPr>
          <w:rtl w:val="true"/>
        </w:rPr>
        <w:t>أنّ مبدأ زمان الحمل بحسب ما اختیر من تحقّق الفراش</w:t>
      </w:r>
      <w:bookmarkEnd w:id="117"/>
    </w:p>
    <w:p>
      <w:pPr>
        <w:pStyle w:val="BookText"/>
        <w:rPr/>
      </w:pPr>
      <w:r>
        <w:rPr>
          <w:rFonts w:ascii="IRNazanin" w:hAnsi="IRNazanin" w:eastAsia="IRNazanin"/>
          <w:color w:val="111111"/>
          <w:sz w:val="28"/>
          <w:sz w:val="28"/>
          <w:szCs w:val="28"/>
          <w:rtl w:val="true"/>
          <w:lang w:bidi="fa-IR"/>
        </w:rPr>
        <w:t>من أن یکون بتحقّق الوط‌ء کما علیه المشهور، أو الإنزال، أو إمکان الوط‌ء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الشرط ممّا لا خلاف فیه، و إنّما الخلاف فی تقدیر المدّة المذکورة، هل هی سنة، أو تسعة أشهر، أو عشرة أشهر، أو غیر ذلک، مع الاتّفاق علی أنّه لا یزید علی السنة، فعمدة الأقوال فیها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w:t>
      </w:r>
    </w:p>
    <w:p>
      <w:pPr>
        <w:pStyle w:val="BookText"/>
        <w:rPr/>
      </w:pPr>
      <w:r>
        <w:rPr>
          <w:rFonts w:ascii="IRNazanin" w:hAnsi="IRNazanin" w:eastAsia="IRNazanin"/>
          <w:color w:val="111111"/>
          <w:sz w:val="28"/>
          <w:sz w:val="28"/>
          <w:szCs w:val="28"/>
          <w:rtl w:val="true"/>
          <w:lang w:bidi="fa-IR"/>
        </w:rPr>
        <w:t>المشهور بین الفقهاء أنّ أقصی مدّة الحمل 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 الحمل تسعة أشهر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و اختاره فی النهایة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الحمل عندنا تسعة أشهر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الخلاف</w:t>
      </w:r>
      <w:r>
        <w:rPr>
          <w:rStyle w:val="FootnoteAnchor"/>
          <w:rtl w:val="true"/>
        </w:rPr>
        <w:footnoteReference w:id="187"/>
      </w:r>
      <w:r>
        <w:rPr>
          <w:rFonts w:ascii="IRNazanin" w:hAnsi="IRNazanin" w:eastAsia="IRNazanin"/>
          <w:color w:val="111111"/>
          <w:sz w:val="28"/>
          <w:sz w:val="28"/>
          <w:szCs w:val="28"/>
          <w:rtl w:val="true"/>
          <w:lang w:bidi="fa-IR"/>
        </w:rPr>
        <w:t>و المحکیّ عن ظاهر الإسکافی</w:t>
      </w:r>
      <w:r>
        <w:rPr>
          <w:rStyle w:val="FootnoteAnchor"/>
          <w:rtl w:val="true"/>
        </w:rPr>
        <w:footnoteReference w:id="188"/>
      </w:r>
      <w:r>
        <w:rPr>
          <w:rFonts w:ascii="IRNazanin" w:hAnsi="IRNazanin" w:eastAsia="IRNazanin"/>
          <w:color w:val="111111"/>
          <w:sz w:val="28"/>
          <w:sz w:val="28"/>
          <w:szCs w:val="28"/>
          <w:rtl w:val="true"/>
          <w:lang w:bidi="fa-IR"/>
        </w:rPr>
        <w:t>، و به قال سلاّر</w:t>
      </w:r>
      <w:r>
        <w:rPr>
          <w:rStyle w:val="FootnoteAnchor"/>
          <w:rtl w:val="true"/>
        </w:rPr>
        <w:footnoteReference w:id="189"/>
      </w:r>
      <w:r>
        <w:rPr>
          <w:rFonts w:ascii="IRNazanin" w:hAnsi="IRNazanin" w:eastAsia="IRNazanin"/>
          <w:color w:val="111111"/>
          <w:sz w:val="28"/>
          <w:sz w:val="28"/>
          <w:szCs w:val="28"/>
          <w:rtl w:val="true"/>
          <w:lang w:bidi="fa-IR"/>
        </w:rPr>
        <w:t>، و ابن إدریس</w:t>
      </w:r>
      <w:r>
        <w:rPr>
          <w:rStyle w:val="FootnoteAnchor"/>
          <w:rtl w:val="true"/>
        </w:rPr>
        <w:footnoteReference w:id="190"/>
      </w:r>
      <w:r>
        <w:rPr>
          <w:rFonts w:ascii="Amiri" w:hAnsi="Amiri" w:eastAsia="Amiri" w:cs="Amiri"/>
          <w:color w:val="111111"/>
          <w:sz w:val="28"/>
          <w:sz w:val="28"/>
          <w:szCs w:val="28"/>
          <w:rtl w:val="true"/>
          <w:lang w:bidi="ar-SA"/>
        </w:rPr>
        <w:t>، و ابن برّاج</w:t>
      </w:r>
      <w:r>
        <w:rPr>
          <w:rStyle w:val="FootnoteAnchor"/>
          <w:rtl w:val="true"/>
        </w:rPr>
        <w:footnoteReference w:id="191"/>
      </w:r>
      <w:r>
        <w:rPr>
          <w:rFonts w:ascii="IRNazanin" w:hAnsi="IRNazanin" w:eastAsia="IRNazanin"/>
          <w:color w:val="111111"/>
          <w:sz w:val="28"/>
          <w:sz w:val="28"/>
          <w:szCs w:val="28"/>
          <w:rtl w:val="true"/>
          <w:lang w:bidi="fa-IR"/>
        </w:rPr>
        <w:t>، 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هو الأقوی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اختاره فی الریاض</w:t>
      </w:r>
      <w:r>
        <w:rPr>
          <w:rStyle w:val="FootnoteAnchor"/>
          <w:rtl w:val="true"/>
        </w:rPr>
        <w:footnoteReference w:id="193"/>
      </w:r>
      <w:r>
        <w:rPr>
          <w:rFonts w:ascii="IRNazanin" w:hAnsi="IRNazanin" w:eastAsia="IRNazanin"/>
          <w:color w:val="111111"/>
          <w:sz w:val="28"/>
          <w:sz w:val="28"/>
          <w:szCs w:val="28"/>
          <w:rtl w:val="true"/>
          <w:lang w:bidi="fa-IR"/>
        </w:rPr>
        <w:t>، و الجواهر</w:t>
      </w:r>
      <w:r>
        <w:rPr>
          <w:rStyle w:val="FootnoteAnchor"/>
          <w:rtl w:val="true"/>
        </w:rPr>
        <w:footnoteReference w:id="194"/>
      </w:r>
      <w:r>
        <w:rPr>
          <w:rFonts w:ascii="IRNazanin" w:hAnsi="IRNazanin" w:eastAsia="IRNazanin"/>
          <w:color w:val="111111"/>
          <w:sz w:val="28"/>
          <w:sz w:val="28"/>
          <w:szCs w:val="28"/>
          <w:rtl w:val="true"/>
          <w:lang w:bidi="fa-IR"/>
        </w:rPr>
        <w:t>، و به قال أیضاً بعض الفقهاء المعاصرین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کون أقصی مدّة الحمل تسعة أشهر</w:t>
      </w:r>
    </w:p>
    <w:p>
      <w:pPr>
        <w:pStyle w:val="BookText"/>
        <w:rPr/>
      </w:pPr>
      <w:r>
        <w:rPr>
          <w:rFonts w:ascii="IRNazanin" w:hAnsi="IRNazanin" w:eastAsia="IRNazanin"/>
          <w:color w:val="111111"/>
          <w:sz w:val="28"/>
          <w:sz w:val="28"/>
          <w:szCs w:val="28"/>
          <w:rtl w:val="true"/>
          <w:lang w:bidi="fa-IR"/>
        </w:rPr>
        <w:t>و یمکن أن یستدلّ لهذا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مع ذهاب جمع علی خلافه، مضافاً إلی أنّ مستنده النصوص التی سنذکرها</w:t>
      </w:r>
      <w:r>
        <w:rPr>
          <w:rFonts w:eastAsia="IRNazanin" w:cs="IRNazanin"/>
          <w:color w:val="111111"/>
          <w:sz w:val="28"/>
          <w:szCs w:val="28"/>
          <w:rtl w:val="true"/>
          <w:lang w:bidi="fa-IR"/>
        </w:rPr>
        <w:t>.</w:t>
      </w:r>
      <w:bookmarkStart w:id="118" w:name="pg11754_112839"/>
    </w:p>
    <w:p>
      <w:pPr>
        <w:pStyle w:val="Heading6"/>
        <w:numPr>
          <w:ilvl w:val="5"/>
          <w:numId w:val="1"/>
        </w:numPr>
        <w:rPr/>
      </w:pPr>
      <w:bookmarkStart w:id="119" w:name="__RefHeading___Toc9530491_73709187"/>
      <w:bookmarkStart w:id="120" w:name="_Toc48"/>
      <w:bookmarkEnd w:id="118"/>
      <w:bookmarkEnd w:id="119"/>
      <w:r>
        <w:rPr>
          <w:rtl w:val="true"/>
        </w:rPr>
        <w:t>الثانی</w:t>
      </w:r>
      <w:r>
        <w:rPr>
          <w:rtl w:val="true"/>
        </w:rPr>
        <w:t xml:space="preserve">: </w:t>
      </w:r>
      <w:r>
        <w:rPr>
          <w:rtl w:val="true"/>
        </w:rPr>
        <w:t>النصوص الکثیرة</w:t>
      </w:r>
      <w:r>
        <w:rPr>
          <w:rtl w:val="true"/>
        </w:rPr>
        <w:t>:</w:t>
      </w:r>
      <w:bookmarkEnd w:id="12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عبد الرحمن بن سیّابة، عمّن حدّثه،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غایة الحمل بالولد فی بطن امّه کم هو؟ فإنّ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بقی فی بطنها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أقصی مدّة الحمل تسعة أشهر، و لا یزید لحظة، و لو زاد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امّه قبل أن یخرج</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ظاهرة؛ إلاّ أنّها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الفقیه الأراکی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أدلّ خبر استدلّ به للقول بالتسعة، و لکنّ التأمّل یقضی بدلالته علی خلافه؛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القائل بالتسعة إنّما هو من مبدأ الوط‌ء و قرار النطفة فی الرحم إلی حین الوضع، فلو حملنا الخبر علی هذا المعنی فکیف یستقیم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 ساعة لقتل امّه، و الحال أنّا نقطع بزیادة هذا المقدار مع عدم حصول القتل</w:t>
      </w:r>
      <w:r>
        <w:rPr>
          <w:rStyle w:val="FootnoteAnchor"/>
          <w:rtl w:val="true"/>
        </w:rPr>
        <w:footnoteReference w:id="197"/>
      </w:r>
      <w:r>
        <w:rPr>
          <w:rFonts w:ascii="IRNazanin" w:hAnsi="IRNazanin" w:eastAsia="IRNazanin"/>
          <w:color w:val="111111"/>
          <w:sz w:val="28"/>
          <w:sz w:val="28"/>
          <w:szCs w:val="28"/>
          <w:rtl w:val="true"/>
          <w:lang w:bidi="fa-IR"/>
        </w:rPr>
        <w:t>، فلا یمکن حمل الکلام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 المقصود هو التسعة من مبدأ ولوج الروح؛ فإنّه أوّل زمان تسمیته</w:t>
      </w:r>
      <w:r>
        <w:rPr>
          <w:rStyle w:val="FootnoteAnchor"/>
          <w:rtl w:val="true"/>
        </w:rPr>
        <w:footnoteReference w:id="198"/>
      </w:r>
      <w:r>
        <w:rPr>
          <w:rFonts w:ascii="IRNazanin" w:hAnsi="IRNazanin" w:eastAsia="IRNazanin"/>
          <w:color w:val="111111"/>
          <w:sz w:val="28"/>
          <w:sz w:val="28"/>
          <w:szCs w:val="28"/>
          <w:rtl w:val="true"/>
          <w:lang w:bidi="fa-IR"/>
        </w:rPr>
        <w:t>ولداً و طفلاً، و أوّل زمان نموّه و ترقّی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قبله فهو نطفة أو دم أو مضغة و لا نماء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المکث الذی لا نماء فیه، لا مدخلیّة</w:t>
      </w:r>
      <w:r>
        <w:rPr>
          <w:rStyle w:val="FootnoteAnchor"/>
          <w:rtl w:val="true"/>
        </w:rPr>
        <w:footnoteReference w:id="199"/>
      </w:r>
      <w:r>
        <w:rPr>
          <w:rFonts w:ascii="IRNazanin" w:hAnsi="IRNazanin" w:eastAsia="IRNazanin"/>
          <w:color w:val="111111"/>
          <w:sz w:val="28"/>
          <w:sz w:val="28"/>
          <w:szCs w:val="28"/>
          <w:rtl w:val="true"/>
          <w:lang w:bidi="fa-IR"/>
        </w:rPr>
        <w:t>له فی</w:t>
      </w:r>
    </w:p>
    <w:p>
      <w:pPr>
        <w:pStyle w:val="BookText"/>
        <w:rPr/>
      </w:pPr>
      <w:r>
        <w:rPr>
          <w:rFonts w:ascii="IRNazanin" w:hAnsi="IRNazanin" w:eastAsia="IRNazanin"/>
          <w:color w:val="111111"/>
          <w:sz w:val="28"/>
          <w:sz w:val="28"/>
          <w:szCs w:val="28"/>
          <w:rtl w:val="true"/>
          <w:lang w:bidi="fa-IR"/>
        </w:rPr>
        <w:t>قتل الاُمّ، فإذا ولج الروح و هو علی رأس أربعة أشهر من الوط‌ء ثمّ مضی علیه تسعة أشهر فهو فی هذه المدّة لا یزال فی النموّ و کبر الجسم، فهذا یناسبه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یبقی الولد و یکبر و ینمو فی بطن امّه أزید من تسعة أشهر، و لو زاد ساعة لقتل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ضمّ ما لا مدخلیّة فیه من أیّام النطفة و العلقة و المضغة إلی ما له المدخلیّة، و یلزم خلاف القطع، و یلزم إطلاق الولد علی أوّل زمان کونه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ذکرنا فسالم عن جمیع ذلک کما عرفت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الولد لستّة أشهر، و لسبعة أشهر، و لتسعة أشهر، و لا یعیش لثمانیة أشهر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صریحة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الروایة فی مقام تعیین عیش</w:t>
      </w:r>
      <w:r>
        <w:rPr>
          <w:rStyle w:val="FootnoteAnchor"/>
          <w:rtl w:val="true"/>
        </w:rPr>
        <w:footnoteReference w:id="202"/>
      </w:r>
      <w:r>
        <w:rPr>
          <w:rFonts w:ascii="IRNazanin" w:hAnsi="IRNazanin" w:eastAsia="IRNazanin"/>
          <w:color w:val="111111"/>
          <w:sz w:val="28"/>
          <w:sz w:val="28"/>
          <w:szCs w:val="28"/>
          <w:rtl w:val="true"/>
          <w:lang w:bidi="fa-IR"/>
        </w:rPr>
        <w:t>الطفل فی الرحم، فیستفاد منها أنّ أقصی مدّة الحمل تسعة أشهر، فلا إشکال فی دلالتها، إلاّ أنّه لا اعتبار بها سنداً أیضاً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حکیم، عن أبی الحسن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الحمل بعد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مریم حملت بعیسی تسع</w:t>
      </w:r>
    </w:p>
    <w:p>
      <w:pPr>
        <w:pStyle w:val="BookText"/>
        <w:rPr/>
      </w:pPr>
      <w:r>
        <w:rPr>
          <w:rFonts w:ascii="Amiri" w:hAnsi="Amiri" w:eastAsia="Amiri" w:cs="Amiri"/>
          <w:color w:val="111111"/>
          <w:sz w:val="28"/>
          <w:sz w:val="28"/>
          <w:szCs w:val="28"/>
          <w:rtl w:val="true"/>
          <w:lang w:bidi="ar-SA"/>
        </w:rPr>
        <w:t>ساعات کلّ ساعة شهراً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أیضاً کسابقتیهما</w:t>
      </w:r>
      <w:r>
        <w:rPr>
          <w:rStyle w:val="FootnoteAnchor"/>
          <w:rtl w:val="true"/>
        </w:rPr>
        <w:footnoteReference w:id="206"/>
      </w:r>
      <w:r>
        <w:rPr>
          <w:rFonts w:ascii="IRNazanin" w:hAnsi="IRNazanin" w:eastAsia="IRNazanin"/>
          <w:color w:val="111111"/>
          <w:sz w:val="28"/>
          <w:sz w:val="28"/>
          <w:szCs w:val="28"/>
          <w:rtl w:val="true"/>
          <w:lang w:bidi="fa-IR"/>
        </w:rPr>
        <w:t>فی الضعف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فادّعت حبلاً انتظر بها تسعة أشهر، فإن ولدت و إلاّ اعتدّت بثلاثة أشهر، ثمّ قد بانت منه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الروایة بأنّه إذا ادّعت المرأة الحبل انتظر بها تسعة أشهر، فتکون هذه المدّة أقصی مدّة الحمل؛ لأنّه لو کان غیر هذا لبیّنه الإمام علیه السلام، و إلاّ یلزم تأخیر البیان عن وقت الحاجة، ثمّ أمر علیه السلام بأنّه إذا انقضی</w:t>
      </w:r>
      <w:r>
        <w:rPr>
          <w:rStyle w:val="FootnoteAnchor"/>
          <w:rtl w:val="true"/>
        </w:rPr>
        <w:footnoteReference w:id="208"/>
      </w:r>
      <w:r>
        <w:rPr>
          <w:rFonts w:ascii="IRNazanin" w:hAnsi="IRNazanin" w:eastAsia="IRNazanin"/>
          <w:color w:val="111111"/>
          <w:sz w:val="28"/>
          <w:sz w:val="28"/>
          <w:szCs w:val="28"/>
          <w:rtl w:val="true"/>
          <w:lang w:bidi="fa-IR"/>
        </w:rPr>
        <w:t>تسعة أشهر و لم یتولّد الطفل اعتدّت بثلاثة أشهر، فهذه الثلاثة عدّة شرعیّة المأمور بها بعد الطلاق، و مضیّ التسعة أشهر و إن حصل به براءة الرحم و حصل الیقین بعدم الحبل لمضیّ المدّة التی هی أکثر الحمل، لکنّه لا ینافی وجوب الاعتداء؛ فإنّ ما علّل به وجوب الاعتداء من تحصیل براءة الرحم لیس کلّیاً یجب اطراده، لتخلّفه فی مواضع لا تحصی، کمن مات عنها زوجها بعد عشرین سنة من</w:t>
      </w:r>
    </w:p>
    <w:p>
      <w:pPr>
        <w:pStyle w:val="BookText"/>
        <w:rPr/>
      </w:pPr>
      <w:r>
        <w:rPr>
          <w:rFonts w:ascii="IRNazanin" w:hAnsi="IRNazanin" w:eastAsia="IRNazanin"/>
          <w:color w:val="111111"/>
          <w:sz w:val="28"/>
          <w:sz w:val="28"/>
          <w:szCs w:val="28"/>
          <w:rtl w:val="true"/>
          <w:lang w:bidi="fa-IR"/>
        </w:rPr>
        <w:t>مفارقتها، کما فی الحدائق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الروایة فی أنّ أقصی الحمل تسعة أشهر غیر قابل للإنکار، کما لا یخفی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الکلام فی مفاد الروایة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محمّد بن حکیم،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تزوّجت بعد ثلاثة أشهر، فتبیّن بها بعد ما دخلت علی زوجها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ذلک یا ابن حکیم، رفع الطمث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فساد من حیضة، فقد حلّ لها الأزواج و لیس بحامل، و إمّا حامل فهو یستبین فی ثلاثة أشهر؛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 وقتاً یستبین فیه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الحمل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بثلاثة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ریبة تزوّج</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روایة أبی حمزة، عن أبی جعفر علیه السلام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الاستدلال بها کالتی قبلها، فدلالتها علی أنّ أقصی الحمل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لأجل ذکرها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ظاهرة، إلاّ أنّها ضعیفة السند</w:t>
      </w:r>
      <w:r>
        <w:rPr>
          <w:rFonts w:eastAsia="IRNazanin" w:cs="IRNazanin"/>
          <w:color w:val="111111"/>
          <w:sz w:val="28"/>
          <w:szCs w:val="28"/>
          <w:rtl w:val="true"/>
          <w:lang w:bidi="fa-IR"/>
        </w:rPr>
        <w:t>.</w:t>
      </w:r>
      <w:bookmarkStart w:id="121" w:name="pg11754_112843"/>
    </w:p>
    <w:p>
      <w:pPr>
        <w:pStyle w:val="BookText"/>
        <w:rPr/>
      </w:pPr>
      <w:bookmarkEnd w:id="121"/>
      <w:r>
        <w:rPr>
          <w:rFonts w:ascii="IRNazanin" w:hAnsi="IRNazanin" w:eastAsia="IRNazanin"/>
          <w:color w:val="111111"/>
          <w:sz w:val="28"/>
          <w:sz w:val="28"/>
          <w:szCs w:val="28"/>
          <w:rtl w:val="true"/>
          <w:lang w:bidi="fa-IR"/>
        </w:rPr>
        <w:t>ثمّ المشهور الذی یقولون بالتسعة، هل یکون مرادهم التسعة الحقیقیّة بلا زیادة و نقیصة، أو المقصود منها ما هو المتعارف بین النساء زیادة علیها أیّاماً أو ناقصاً کذلک؟ الظاهر هو الثانی، فربما تزید علی تسعة أشهر عشرة أیّام، بل 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أنّها لا تزید لحظة، فمع قصور سنده إنّما هو فی مقابل نفی سنتین، کما فی مهذّب الأحکام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9530493_73709187"/>
      <w:bookmarkStart w:id="123" w:name="_Toc49"/>
      <w:bookmarkEnd w:id="122"/>
      <w:r>
        <w:rPr>
          <w:rtl w:val="true"/>
        </w:rPr>
        <w:t>القول الثانی</w:t>
      </w:r>
      <w:r>
        <w:rPr>
          <w:rtl w:val="true"/>
        </w:rPr>
        <w:t xml:space="preserve">: </w:t>
      </w:r>
      <w:r>
        <w:rPr>
          <w:rtl w:val="true"/>
        </w:rPr>
        <w:t>أنّ أکثر الحمل عشرة أشهر،</w:t>
      </w:r>
      <w:bookmarkEnd w:id="123"/>
    </w:p>
    <w:p>
      <w:pPr>
        <w:pStyle w:val="BookText"/>
        <w:rPr/>
      </w:pPr>
      <w:r>
        <w:rPr>
          <w:rFonts w:ascii="IRNazanin" w:hAnsi="IRNazanin" w:eastAsia="IRNazanin"/>
          <w:color w:val="111111"/>
          <w:sz w:val="28"/>
          <w:sz w:val="28"/>
          <w:szCs w:val="28"/>
          <w:rtl w:val="true"/>
          <w:lang w:bidi="fa-IR"/>
        </w:rPr>
        <w:t>قد أفتی بذلک عدّة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أشهر، و هو حسن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الشرائع</w:t>
      </w:r>
      <w:r>
        <w:rPr>
          <w:rStyle w:val="FootnoteAnchor"/>
          <w:rtl w:val="true"/>
        </w:rPr>
        <w:footnoteReference w:id="215"/>
      </w:r>
      <w:r>
        <w:rPr>
          <w:rFonts w:ascii="IRNazanin" w:hAnsi="IRNazanin" w:eastAsia="IRNazanin"/>
          <w:color w:val="111111"/>
          <w:sz w:val="28"/>
          <w:sz w:val="28"/>
          <w:szCs w:val="28"/>
          <w:rtl w:val="true"/>
          <w:lang w:bidi="fa-IR"/>
        </w:rPr>
        <w:t>، و إرشاد الأذهان</w:t>
      </w:r>
      <w:r>
        <w:rPr>
          <w:rStyle w:val="FootnoteAnchor"/>
          <w:rtl w:val="true"/>
        </w:rPr>
        <w:footnoteReference w:id="216"/>
      </w:r>
      <w:r>
        <w:rPr>
          <w:rFonts w:ascii="IRNazanin" w:hAnsi="IRNazanin" w:eastAsia="IRNazanin"/>
          <w:color w:val="111111"/>
          <w:sz w:val="28"/>
          <w:sz w:val="28"/>
          <w:szCs w:val="28"/>
          <w:rtl w:val="true"/>
          <w:lang w:bidi="fa-IR"/>
        </w:rPr>
        <w:t>، و تحریر الأحکام</w:t>
      </w:r>
      <w:r>
        <w:rPr>
          <w:rStyle w:val="FootnoteAnchor"/>
          <w:rtl w:val="true"/>
        </w:rPr>
        <w:footnoteReference w:id="217"/>
      </w:r>
      <w:r>
        <w:rPr>
          <w:rFonts w:ascii="IRNazanin" w:hAnsi="IRNazanin" w:eastAsia="IRNazanin"/>
          <w:color w:val="111111"/>
          <w:sz w:val="28"/>
          <w:sz w:val="28"/>
          <w:szCs w:val="28"/>
          <w:rtl w:val="true"/>
          <w:lang w:bidi="fa-IR"/>
        </w:rPr>
        <w:t>، و التنقیح الرائع</w:t>
      </w:r>
      <w:r>
        <w:rPr>
          <w:rStyle w:val="FootnoteAnchor"/>
          <w:rtl w:val="true"/>
        </w:rPr>
        <w:footnoteReference w:id="218"/>
      </w:r>
      <w:r>
        <w:rPr>
          <w:rFonts w:ascii="IRNazanin" w:hAnsi="IRNazanin" w:eastAsia="IRNazanin"/>
          <w:color w:val="111111"/>
          <w:sz w:val="28"/>
          <w:sz w:val="28"/>
          <w:szCs w:val="28"/>
          <w:rtl w:val="true"/>
          <w:lang w:bidi="fa-IR"/>
        </w:rPr>
        <w:t>، و کشف الرموز</w:t>
      </w:r>
      <w:r>
        <w:rPr>
          <w:rStyle w:val="FootnoteAnchor"/>
          <w:rtl w:val="true"/>
        </w:rPr>
        <w:footnoteReference w:id="219"/>
      </w:r>
      <w:r>
        <w:rPr>
          <w:rFonts w:ascii="IRNazanin" w:hAnsi="IRNazanin" w:eastAsia="IRNazanin"/>
          <w:color w:val="111111"/>
          <w:sz w:val="28"/>
          <w:sz w:val="28"/>
          <w:szCs w:val="28"/>
          <w:rtl w:val="true"/>
          <w:lang w:bidi="fa-IR"/>
        </w:rPr>
        <w:t>، و قواعد الأحکام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لهذا القول بعموم</w:t>
      </w:r>
      <w:r>
        <w:rPr>
          <w:rStyle w:val="FootnoteAnchor"/>
          <w:rtl w:val="true"/>
        </w:rPr>
        <w:footnoteReference w:id="221"/>
      </w:r>
      <w:r>
        <w:rPr>
          <w:rFonts w:ascii="IRNazanin" w:hAnsi="IRNazanin" w:eastAsia="IRNazanin"/>
          <w:color w:val="111111"/>
          <w:sz w:val="28"/>
          <w:sz w:val="28"/>
          <w:szCs w:val="28"/>
          <w:rtl w:val="true"/>
          <w:lang w:bidi="fa-IR"/>
        </w:rPr>
        <w:t>کون الولد للفراش</w:t>
      </w:r>
      <w:r>
        <w:rPr>
          <w:rStyle w:val="FootnoteAnchor"/>
          <w:rtl w:val="true"/>
        </w:rPr>
        <w:footnoteReference w:id="222"/>
      </w:r>
      <w:r>
        <w:rPr>
          <w:rFonts w:ascii="IRNazanin" w:hAnsi="IRNazanin" w:eastAsia="IRNazanin"/>
          <w:color w:val="111111"/>
          <w:sz w:val="28"/>
          <w:sz w:val="28"/>
          <w:szCs w:val="28"/>
          <w:rtl w:val="true"/>
          <w:lang w:bidi="fa-IR"/>
        </w:rPr>
        <w:t>؛ فإنّ عمومها یقتضی أن یلحق الولد للفراش و إن تجاوز عن تسعة أشهر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بالأصل، أی أصالة عدم الزنا و الشبهة، و بالوجدان بمعنی أنّ کثیراً ما یوجد</w:t>
      </w:r>
      <w:bookmarkStart w:id="124" w:name="pg11754_112844"/>
    </w:p>
    <w:p>
      <w:pPr>
        <w:pStyle w:val="BookText"/>
        <w:rPr/>
      </w:pPr>
      <w:bookmarkEnd w:id="124"/>
      <w:r>
        <w:rPr>
          <w:rFonts w:ascii="IRNazanin" w:hAnsi="IRNazanin" w:eastAsia="IRNazanin"/>
          <w:color w:val="111111"/>
          <w:sz w:val="28"/>
          <w:sz w:val="28"/>
          <w:szCs w:val="28"/>
          <w:rtl w:val="true"/>
          <w:lang w:bidi="fa-IR"/>
        </w:rPr>
        <w:t>تولّد الطفل فی شهر العاشر</w:t>
      </w:r>
      <w:r>
        <w:rPr>
          <w:rStyle w:val="FootnoteAnchor"/>
          <w:rtl w:val="true"/>
        </w:rPr>
        <w:footnoteReference w:id="223"/>
      </w:r>
      <w:r>
        <w:rPr>
          <w:rFonts w:ascii="IRNazanin" w:hAnsi="IRNazanin" w:eastAsia="IRNazanin"/>
          <w:color w:val="111111"/>
          <w:sz w:val="28"/>
          <w:sz w:val="28"/>
          <w:szCs w:val="28"/>
          <w:rtl w:val="true"/>
          <w:lang w:bidi="fa-IR"/>
        </w:rPr>
        <w:t>، و أدلّ الدلیل علی شیء هو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فی مفاد القاعدة، و أنّها تشمل القول بأنّ أکثر مدّة الحمل سنة أیضاً، و أمّا الأصل، فلا یجری مع وجود الدلیل</w:t>
      </w:r>
      <w:r>
        <w:rPr>
          <w:rStyle w:val="FootnoteAnchor"/>
          <w:rtl w:val="true"/>
        </w:rPr>
        <w:footnoteReference w:id="224"/>
      </w:r>
      <w:r>
        <w:rPr>
          <w:rFonts w:ascii="IRNazanin" w:hAnsi="IRNazanin" w:eastAsia="IRNazanin"/>
          <w:color w:val="111111"/>
          <w:sz w:val="28"/>
          <w:sz w:val="28"/>
          <w:szCs w:val="28"/>
          <w:rtl w:val="true"/>
          <w:lang w:bidi="fa-IR"/>
        </w:rPr>
        <w:t>، و الفرض أنّ الدلیل دلّ علی أنّ أقصی الحمل تسعة أشهر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وقوع التولّد فی شهر العاشر أحیاناً فیمکن للالتباس علیهنّ، فتتصوّرن الحمل لانقطاع دم الحیض، مع أنّ فی الواقع یمکن أن یکون الانقطاع لموانع اخری؛ و هی کثیرة، أو أنّ الحمل وقع فی أواخر الطهر فتتصوّرن فی أوّله،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أشبه بالاستحسان و لا یکون دلیلاً، و لم ترد روایة تدلّ علی أنّ أقصی الحمل عشرة أشهر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9530495_73709187"/>
      <w:bookmarkStart w:id="126" w:name="_Toc50"/>
      <w:bookmarkEnd w:id="125"/>
      <w:r>
        <w:rPr>
          <w:rtl w:val="true"/>
        </w:rPr>
        <w:t>القول الثالث</w:t>
      </w:r>
      <w:r>
        <w:rPr>
          <w:rtl w:val="true"/>
        </w:rPr>
        <w:t xml:space="preserve">: - </w:t>
      </w:r>
      <w:r>
        <w:rPr>
          <w:rtl w:val="true"/>
        </w:rPr>
        <w:t xml:space="preserve">و هو الحقّ </w:t>
      </w:r>
      <w:r>
        <w:rPr>
          <w:rtl w:val="true"/>
        </w:rPr>
        <w:t xml:space="preserve">- </w:t>
      </w:r>
      <w:r>
        <w:rPr>
          <w:rtl w:val="true"/>
        </w:rPr>
        <w:t>أنّ أقصی مدّة الحمل سنةٌ‌</w:t>
      </w:r>
      <w:bookmarkEnd w:id="126"/>
    </w:p>
    <w:p>
      <w:pPr>
        <w:pStyle w:val="BookText"/>
        <w:rPr/>
      </w:pPr>
      <w:r>
        <w:rPr>
          <w:rFonts w:ascii="IRNazanin" w:hAnsi="IRNazanin" w:eastAsia="IRNazanin"/>
          <w:color w:val="111111"/>
          <w:sz w:val="28"/>
          <w:sz w:val="28"/>
          <w:szCs w:val="28"/>
          <w:rtl w:val="true"/>
          <w:lang w:bidi="fa-IR"/>
        </w:rPr>
        <w:t xml:space="preserve">قال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الأرجح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مدّة الحمل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انفردت به الإمامیّة القول بأنّ أکثر مدّة الحمل سنة واحدة</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الحلبی</w:t>
      </w:r>
      <w:r>
        <w:rPr>
          <w:rStyle w:val="FootnoteAnchor"/>
          <w:rtl w:val="true"/>
        </w:rPr>
        <w:footnoteReference w:id="227"/>
      </w:r>
      <w:r>
        <w:rPr>
          <w:rFonts w:ascii="IRNazanin" w:hAnsi="IRNazanin" w:eastAsia="IRNazanin"/>
          <w:color w:val="111111"/>
          <w:sz w:val="28"/>
          <w:sz w:val="28"/>
          <w:szCs w:val="28"/>
          <w:rtl w:val="true"/>
          <w:lang w:bidi="fa-IR"/>
        </w:rPr>
        <w:t>، و ابن سعید</w:t>
      </w:r>
      <w:r>
        <w:rPr>
          <w:rStyle w:val="FootnoteAnchor"/>
          <w:rtl w:val="true"/>
        </w:rPr>
        <w:footnoteReference w:id="228"/>
      </w:r>
      <w:r>
        <w:rPr>
          <w:rFonts w:ascii="Amiri" w:hAnsi="Amiri" w:eastAsia="Amiri" w:cs="Amiri"/>
          <w:color w:val="111111"/>
          <w:sz w:val="28"/>
          <w:sz w:val="28"/>
          <w:szCs w:val="28"/>
          <w:rtl w:val="true"/>
          <w:lang w:bidi="ar-SA"/>
        </w:rPr>
        <w:t>، و ابن زهرة</w:t>
      </w:r>
      <w:r>
        <w:rPr>
          <w:rStyle w:val="FootnoteAnchor"/>
          <w:rtl w:val="true"/>
        </w:rPr>
        <w:footnoteReference w:id="229"/>
      </w:r>
      <w:r>
        <w:rPr>
          <w:rFonts w:ascii="IRNazanin" w:hAnsi="IRNazanin" w:eastAsia="IRNazanin"/>
          <w:color w:val="111111"/>
          <w:sz w:val="28"/>
          <w:sz w:val="28"/>
          <w:szCs w:val="28"/>
          <w:rtl w:val="true"/>
          <w:lang w:bidi="fa-IR"/>
        </w:rPr>
        <w:t>، و مال إلیه فی المختلف</w:t>
      </w:r>
      <w:r>
        <w:rPr>
          <w:rStyle w:val="FootnoteAnchor"/>
          <w:rtl w:val="true"/>
        </w:rPr>
        <w:footnoteReference w:id="230"/>
      </w:r>
      <w:r>
        <w:rPr>
          <w:rFonts w:ascii="IRNazanin" w:hAnsi="IRNazanin" w:eastAsia="IRNazanin"/>
          <w:color w:val="111111"/>
          <w:sz w:val="28"/>
          <w:sz w:val="28"/>
          <w:szCs w:val="28"/>
          <w:rtl w:val="true"/>
          <w:lang w:bidi="fa-IR"/>
        </w:rPr>
        <w:t>، و کذا فی نهایة المرام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أقرب إلی الصواب و إن وصفه المصنّف بالترک؛</w:t>
      </w:r>
    </w:p>
    <w:p>
      <w:pPr>
        <w:pStyle w:val="BookText"/>
        <w:rPr/>
      </w:pPr>
      <w:r>
        <w:rPr>
          <w:rFonts w:ascii="IRNazanin" w:hAnsi="IRNazanin" w:eastAsia="IRNazanin"/>
          <w:color w:val="111111"/>
          <w:sz w:val="28"/>
          <w:sz w:val="28"/>
          <w:szCs w:val="28"/>
          <w:rtl w:val="true"/>
          <w:lang w:bidi="fa-IR"/>
        </w:rPr>
        <w:t>إذ لم یرد دلیل معتبر علی کون أقصاه أقلّ من السنة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اختاره المجلسی</w:t>
      </w:r>
      <w:r>
        <w:rPr>
          <w:rStyle w:val="FootnoteAnchor"/>
          <w:rtl w:val="true"/>
        </w:rPr>
        <w:footnoteReference w:id="233"/>
      </w:r>
      <w:r>
        <w:rPr>
          <w:rFonts w:ascii="IRNazanin" w:hAnsi="IRNazanin" w:eastAsia="IRNazanin"/>
          <w:color w:val="111111"/>
          <w:sz w:val="28"/>
          <w:sz w:val="28"/>
          <w:szCs w:val="28"/>
          <w:rtl w:val="true"/>
          <w:lang w:bidi="fa-IR"/>
        </w:rPr>
        <w:t>، و السید الفقیه الخوانساری</w:t>
      </w:r>
      <w:r>
        <w:rPr>
          <w:rStyle w:val="FootnoteAnchor"/>
          <w:rtl w:val="true"/>
        </w:rPr>
        <w:footnoteReference w:id="234"/>
      </w:r>
      <w:r>
        <w:rPr>
          <w:rFonts w:ascii="IRNazanin" w:hAnsi="IRNazanin" w:eastAsia="IRNazanin"/>
          <w:color w:val="111111"/>
          <w:sz w:val="28"/>
          <w:sz w:val="28"/>
          <w:szCs w:val="28"/>
          <w:rtl w:val="true"/>
          <w:lang w:bidi="fa-IR"/>
        </w:rPr>
        <w:t>، و الإمام الخمینی</w:t>
      </w:r>
      <w:r>
        <w:rPr>
          <w:rStyle w:val="FootnoteAnchor"/>
          <w:rtl w:val="true"/>
        </w:rPr>
        <w:footnoteReference w:id="235"/>
      </w:r>
      <w:r>
        <w:rPr>
          <w:rFonts w:ascii="IRNazanin" w:hAnsi="IRNazanin" w:eastAsia="IRNazanin"/>
          <w:color w:val="111111"/>
          <w:sz w:val="28"/>
          <w:sz w:val="28"/>
          <w:szCs w:val="28"/>
          <w:rtl w:val="true"/>
          <w:lang w:bidi="fa-IR"/>
        </w:rPr>
        <w:t>، و بعض الفقهاء المعاصرین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کون أقصی مدّة الحمل سنة</w:t>
      </w:r>
    </w:p>
    <w:p>
      <w:pPr>
        <w:pStyle w:val="BookText"/>
        <w:rPr/>
      </w:pPr>
      <w:r>
        <w:rPr>
          <w:rFonts w:ascii="IRNazanin" w:hAnsi="IRNazanin" w:eastAsia="IRNazanin"/>
          <w:color w:val="111111"/>
          <w:sz w:val="28"/>
          <w:sz w:val="28"/>
          <w:szCs w:val="28"/>
          <w:rtl w:val="true"/>
          <w:lang w:bidi="fa-IR"/>
        </w:rPr>
        <w:t>یمکن أن یستدلّ لهذا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الذی ادّعاه السیّد المرتضی</w:t>
      </w:r>
      <w:r>
        <w:rPr>
          <w:rStyle w:val="FootnoteAnchor"/>
          <w:rtl w:val="true"/>
        </w:rPr>
        <w:footnoteReference w:id="237"/>
      </w:r>
      <w:r>
        <w:rPr>
          <w:rFonts w:ascii="IRNazanin" w:hAnsi="IRNazanin" w:eastAsia="IRNazanin"/>
          <w:color w:val="111111"/>
          <w:sz w:val="28"/>
          <w:sz w:val="28"/>
          <w:szCs w:val="28"/>
          <w:rtl w:val="true"/>
          <w:lang w:bidi="fa-IR"/>
        </w:rPr>
        <w:t>، و المفید</w:t>
      </w:r>
      <w:r>
        <w:rPr>
          <w:rStyle w:val="FootnoteAnchor"/>
          <w:rtl w:val="true"/>
        </w:rPr>
        <w:footnoteReference w:id="238"/>
      </w:r>
      <w:r>
        <w:rPr>
          <w:rFonts w:ascii="Amiri" w:hAnsi="Amiri" w:eastAsia="Amiri" w:cs="Amiri"/>
          <w:color w:val="111111"/>
          <w:sz w:val="28"/>
          <w:sz w:val="28"/>
          <w:szCs w:val="28"/>
          <w:rtl w:val="true"/>
          <w:lang w:bidi="ar-SA"/>
        </w:rPr>
        <w:t>، و ابن زهرة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بالتقریب المتقدّم فی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عبد الرحمن بن الحجّاج المتقدّمة</w:t>
      </w:r>
      <w:r>
        <w:rPr>
          <w:rStyle w:val="FootnoteAnchor"/>
          <w:rtl w:val="true"/>
        </w:rPr>
        <w:footnoteReference w:id="241"/>
      </w:r>
      <w:r>
        <w:rPr>
          <w:rFonts w:ascii="Amiri" w:hAnsi="Amiri" w:eastAsia="Amiri" w:cs="Amiri"/>
          <w:color w:val="111111"/>
          <w:sz w:val="28"/>
          <w:sz w:val="28"/>
          <w:szCs w:val="28"/>
          <w:rtl w:val="true"/>
          <w:lang w:bidi="ar-SA"/>
        </w:rPr>
        <w:t>؛ فإنّ فیها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فادّعت حبلاً انتظر بها تسعة أشهر، فإن ولدت و إلاّ اعتدّت بثلاثة أشهر ثمّ قد بانت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روایة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الحکیم المتقدّمة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ascii="Amiri" w:hAnsi="Amiri" w:eastAsia="Amiri" w:cs="Amiri"/>
          <w:color w:val="111111"/>
          <w:sz w:val="28"/>
          <w:sz w:val="28"/>
          <w:szCs w:val="28"/>
          <w:rtl w:val="true"/>
          <w:lang w:bidi="ar-SA"/>
        </w:rPr>
        <w:t>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بثلاثة أشهر،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بعد ثلاثة أشهر؟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ریبة علیها، تزوّج إن شاءت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خبره الآخر عن أبی الحسن علیه السلام بهذا المضمون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 بعد ذکر هذه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کما تری دالّة علی جواز بلوغ الحمل سنة و إن کان الغالب التسعة، فلهذا أطلق التسعة ثمّ أمرها بالاحتیاط ثلاثة لأجل احتمال الحمل، لا لأنّ العدّة بعده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أقوی الأدلّة علی أنّ أکثر الحمل سنة، و قد أوردها فی الکافی</w:t>
      </w:r>
      <w:r>
        <w:rPr>
          <w:rStyle w:val="FootnoteAnchor"/>
          <w:rtl w:val="true"/>
        </w:rPr>
        <w:footnoteReference w:id="244"/>
      </w:r>
      <w:r>
        <w:rPr>
          <w:rFonts w:ascii="IRNazanin" w:hAnsi="IRNazanin" w:eastAsia="IRNazanin"/>
          <w:color w:val="111111"/>
          <w:sz w:val="28"/>
          <w:sz w:val="28"/>
          <w:szCs w:val="28"/>
          <w:rtl w:val="true"/>
          <w:lang w:bidi="fa-IR"/>
        </w:rPr>
        <w:t>و التهذیب</w:t>
      </w:r>
      <w:r>
        <w:rPr>
          <w:rStyle w:val="FootnoteAnchor"/>
          <w:rtl w:val="true"/>
        </w:rPr>
        <w:footnoteReference w:id="245"/>
      </w:r>
      <w:r>
        <w:rPr>
          <w:rFonts w:ascii="IRNazanin" w:hAnsi="IRNazanin" w:eastAsia="IRNazanin"/>
          <w:color w:val="111111"/>
          <w:sz w:val="28"/>
          <w:sz w:val="28"/>
          <w:szCs w:val="28"/>
          <w:rtl w:val="true"/>
          <w:lang w:bidi="fa-IR"/>
        </w:rPr>
        <w:t xml:space="preserve">بأسانید کثیرة و متون متقاربة مشترکة فی هذا المعنی، و أجود طرقها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القول أقرب إلی الصواب و إن وصفه المصنّف بالترک؛ إذ لم یرد دلیل معتبر علی کون أقصاه أقلّ من السنة، فاستصحاب حکمه و حکم الفراش أنسب و إن کان خلاف الغالب، و قد وقع فی زماننا ما یدلّ علیه، مع أنّه یمکن تنزیل تلک الأخبار علی الغالب کما یشعر 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بالاحتیاط ثلاثة نظراً إلی النادر، و لکن مراعاة النادر أولی من الحکم بنفی النسب عن أهله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قال السیّد العاملی فی نهایة المرام</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قال السیّد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حجّیة خبر محمّد بن حکیم تقع المعارضة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بین الأخبار السابقة، و هذا الخبر، و لا یبعد حمل</w:t>
      </w:r>
      <w:r>
        <w:rPr>
          <w:rStyle w:val="FootnoteAnchor"/>
          <w:rtl w:val="true"/>
        </w:rPr>
        <w:footnoteReference w:id="249"/>
      </w:r>
      <w:r>
        <w:rPr>
          <w:rFonts w:ascii="IRNazanin" w:hAnsi="IRNazanin" w:eastAsia="IRNazanin"/>
          <w:color w:val="111111"/>
          <w:sz w:val="28"/>
          <w:sz w:val="28"/>
          <w:szCs w:val="28"/>
          <w:rtl w:val="true"/>
          <w:lang w:bidi="fa-IR"/>
        </w:rPr>
        <w:t>الأخبار السابقة علی الغلبة، لبُعد حملها علی الحدّ الذی لا یزید علیه کسائر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مانع من البلوغ إلی السنة نادراً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تدلّ علی أنّ أقصی الحمل سنة روایة</w:t>
      </w:r>
    </w:p>
    <w:p>
      <w:pPr>
        <w:pStyle w:val="BookText"/>
        <w:rPr/>
      </w:pPr>
      <w:r>
        <w:rPr>
          <w:rFonts w:ascii="IRNazanin" w:hAnsi="IRNazanin" w:eastAsia="IRNazanin"/>
          <w:color w:val="111111"/>
          <w:sz w:val="28"/>
          <w:sz w:val="28"/>
          <w:szCs w:val="28"/>
          <w:rtl w:val="true"/>
          <w:lang w:bidi="fa-IR"/>
        </w:rPr>
        <w:t>غیاث، عن جعفر،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تحمل المرأة لستّة أشهر، و أکثر ما تحمل 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نقله فی الحدائق</w:t>
      </w:r>
      <w:r>
        <w:rPr>
          <w:rStyle w:val="FootnoteAnchor"/>
          <w:rtl w:val="true"/>
        </w:rPr>
        <w:footnoteReference w:id="251"/>
      </w:r>
      <w:r>
        <w:rPr>
          <w:rFonts w:ascii="IRNazanin" w:hAnsi="IRNazanin" w:eastAsia="IRNazanin"/>
          <w:color w:val="111111"/>
          <w:sz w:val="28"/>
          <w:sz w:val="28"/>
          <w:szCs w:val="28"/>
          <w:rtl w:val="true"/>
          <w:lang w:bidi="fa-IR"/>
        </w:rPr>
        <w:t>و الجواهر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تحمل لسنتین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أضاف الشیخ الحرّ العاملی فی ذیله، بأنّ هذا محمول علی التقیّة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حکیم، عن أبی إبراهیم، أو ابنه علیهما السلام أنّه قال فی المطلّقة یطلّقها</w:t>
      </w:r>
      <w:bookmarkStart w:id="127" w:name="pg11754_112848"/>
    </w:p>
    <w:p>
      <w:pPr>
        <w:pStyle w:val="BookText"/>
        <w:rPr/>
      </w:pPr>
      <w:bookmarkEnd w:id="127"/>
      <w:r>
        <w:rPr>
          <w:rFonts w:ascii="IRNazanin" w:hAnsi="IRNazanin" w:eastAsia="IRNazanin"/>
          <w:color w:val="111111"/>
          <w:sz w:val="28"/>
          <w:sz w:val="28"/>
          <w:szCs w:val="28"/>
          <w:rtl w:val="true"/>
          <w:lang w:bidi="fa-IR"/>
        </w:rPr>
        <w:t>زوجها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حبلی فتمکث 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لأکثر من سنة لم تصدّق و لو ساعة واحدة فی دعواها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الفقیه الأراکی ردّاً علی من قال بأنّ الأخبار المتقدّمة دلّت علی أنّ أقصی الحمل تسعة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لکنّک خبیر بعدم ظهورها فی هذا المدعی، أمّا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الظاهر منها بل صریح ما عبّر</w:t>
      </w:r>
      <w:r>
        <w:rPr>
          <w:rStyle w:val="FootnoteAnchor"/>
          <w:rtl w:val="true"/>
        </w:rPr>
        <w:footnoteReference w:id="255"/>
      </w:r>
      <w:r>
        <w:rPr>
          <w:rFonts w:ascii="IRNazanin" w:hAnsi="IRNazanin" w:eastAsia="IRNazanin"/>
          <w:color w:val="111111"/>
          <w:sz w:val="28"/>
          <w:sz w:val="28"/>
          <w:szCs w:val="28"/>
          <w:rtl w:val="true"/>
          <w:lang w:bidi="fa-IR"/>
        </w:rPr>
        <w:t>فیه بلفظ العدّة، کون مبدأ التسعة من حین الطلاق، و بملاحظة أنّ من شرط الطلاق أن یقع فی طهر غیر المواقعة یزید المدّة من حین الوط‌ء عن التسعة أشهر بأیّام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التعبّد بالعدّة علی ما ذکره لیس محتاجاً إلی ادّعاء الزوجة ذلک، بل و لو لم تدّع، بل و لو قطعنا ببراءة الرحم من الولد کان محلاًّ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مجموع ما استفید من هذه الأخبار أنّها تتربّص مع الاسترابة سنة من حین الطلاق، و هذا ربما ینطبق</w:t>
      </w:r>
      <w:r>
        <w:rPr>
          <w:rStyle w:val="FootnoteAnchor"/>
          <w:rtl w:val="true"/>
        </w:rPr>
        <w:footnoteReference w:id="256"/>
      </w:r>
      <w:r>
        <w:rPr>
          <w:rFonts w:ascii="IRNazanin" w:hAnsi="IRNazanin" w:eastAsia="IRNazanin"/>
          <w:color w:val="111111"/>
          <w:sz w:val="28"/>
          <w:sz w:val="28"/>
          <w:szCs w:val="28"/>
          <w:rtl w:val="true"/>
          <w:lang w:bidi="fa-IR"/>
        </w:rPr>
        <w:t>علی ثلاثة عشر، أو أربعة عشر، أو خمسة عشر شهراً من حین الوط‌ء، ثمّ بعد مضیّ السنة یحکم بانقضاء العدّة و جواز التزویج، و إن احتمل مع ذلک کون الولد الذی أتت به بعدها من الزوج الأوّل بواسطة عدم مضیّ تسعة أشهر من زمان ولوج الروح، لکنّ الشارع ألغی هذا الاحتمال و حکم بانتفاء الولد، و هذا و إن کان لا ینطبق علی شیء من الأقوال الثلاثة المتقدّمة، لکن لا بأس به بعد مساعدة الأخبار علیه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9530497_73709187"/>
      <w:bookmarkStart w:id="129" w:name="_Toc51"/>
      <w:bookmarkEnd w:id="128"/>
      <w:r>
        <w:rPr>
          <w:rtl w:val="true"/>
        </w:rPr>
        <w:t>و ینبغی فی الختام التنبیه علی أمرین</w:t>
      </w:r>
      <w:r>
        <w:rPr>
          <w:rtl w:val="true"/>
        </w:rPr>
        <w:t>:</w:t>
      </w:r>
      <w:bookmarkEnd w:id="1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0" w:name="__RefHeading___Toc9530499_73709187"/>
      <w:bookmarkStart w:id="131" w:name="_Toc52"/>
      <w:bookmarkEnd w:id="130"/>
      <w:r>
        <w:rPr>
          <w:rtl w:val="true"/>
        </w:rPr>
        <w:t>اشارة</w:t>
      </w:r>
      <w:bookmarkStart w:id="132" w:name="pg11754_112849"/>
      <w:bookmarkEnd w:id="131"/>
    </w:p>
    <w:p>
      <w:pPr>
        <w:pStyle w:val="Heading6"/>
        <w:numPr>
          <w:ilvl w:val="5"/>
          <w:numId w:val="1"/>
        </w:numPr>
        <w:rPr/>
      </w:pPr>
      <w:bookmarkStart w:id="133" w:name="__RefHeading___Toc9530501_73709187"/>
      <w:bookmarkStart w:id="134" w:name="_Toc53"/>
      <w:bookmarkEnd w:id="132"/>
      <w:bookmarkEnd w:id="133"/>
      <w:r>
        <w:rPr>
          <w:rtl w:val="true"/>
        </w:rPr>
        <w:t>الأوّل</w:t>
      </w:r>
      <w:r>
        <w:rPr>
          <w:rtl w:val="true"/>
        </w:rPr>
        <w:t xml:space="preserve">: </w:t>
      </w:r>
      <w:r>
        <w:rPr>
          <w:rtl w:val="true"/>
        </w:rPr>
        <w:t>و هو أنّ الاُمور الثلاثة المذکورة معتبرة فی لحوق الولد الکامل الحیّ‌</w:t>
      </w:r>
      <w:bookmarkEnd w:id="134"/>
    </w:p>
    <w:p>
      <w:pPr>
        <w:pStyle w:val="BookText"/>
        <w:rPr/>
      </w:pPr>
      <w:r>
        <w:rPr>
          <w:rFonts w:ascii="IRNazanin" w:hAnsi="IRNazanin" w:eastAsia="IRNazanin"/>
          <w:color w:val="111111"/>
          <w:sz w:val="28"/>
          <w:sz w:val="28"/>
          <w:szCs w:val="28"/>
          <w:rtl w:val="true"/>
          <w:lang w:bidi="fa-IR"/>
        </w:rPr>
        <w:t>و أمّا فی السقط، فلا یعتبر فی بلوغه أقلّ الحمل، و لا عدم التجاوز عن 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شکّ فی اعتبار الإنزال بالنحو المذکور، و یترتّب علی اللحوق و عدمه إرث الدیة و عدمها فیما لو أسقطه مسقط، و سیجیء فی البحث عن دیة السقط زیادة توضیح إن شاء اللّه</w:t>
      </w:r>
      <w:r>
        <w:rPr>
          <w:rFonts w:eastAsia="IRNazanin" w:cs="IRNazanin"/>
          <w:color w:val="111111"/>
          <w:sz w:val="28"/>
          <w:szCs w:val="28"/>
          <w:rtl w:val="true"/>
          <w:lang w:bidi="fa-IR"/>
        </w:rPr>
        <w:t>.</w:t>
      </w:r>
    </w:p>
    <w:p>
      <w:pPr>
        <w:pStyle w:val="Heading6"/>
        <w:numPr>
          <w:ilvl w:val="5"/>
          <w:numId w:val="1"/>
        </w:numPr>
        <w:rPr/>
      </w:pPr>
      <w:bookmarkStart w:id="135" w:name="__RefHeading___Toc9530503_73709187"/>
      <w:bookmarkStart w:id="136" w:name="_Toc54"/>
      <w:bookmarkEnd w:id="135"/>
      <w:r>
        <w:rPr>
          <w:rtl w:val="true"/>
        </w:rPr>
        <w:t>الأمر الثانی</w:t>
      </w:r>
      <w:r>
        <w:rPr>
          <w:rtl w:val="true"/>
        </w:rPr>
        <w:t>:</w:t>
      </w:r>
      <w:bookmarkEnd w:id="136"/>
    </w:p>
    <w:p>
      <w:pPr>
        <w:pStyle w:val="BookText"/>
        <w:rPr/>
      </w:pPr>
      <w:r>
        <w:rPr>
          <w:rFonts w:ascii="IRNazanin" w:hAnsi="IRNazanin" w:eastAsia="IRNazanin"/>
          <w:color w:val="111111"/>
          <w:sz w:val="28"/>
          <w:sz w:val="28"/>
          <w:szCs w:val="28"/>
          <w:rtl w:val="true"/>
          <w:lang w:bidi="fa-IR"/>
        </w:rPr>
        <w:t xml:space="preserve">أنّ ما اختاره جماعة من المتقدّمین و بعض المحقّقین من أصحابنا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أقصی مدّة الحمل سنة، و هو أیضاً مقتضی النصوص المستفیضة، و فیها جملة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لما جاء به الطبّ الحدیث، من أنّه یعتبر أقصی مدّة الحمل الطبیعیّة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من آخر حیضةٍ حاضتها المرأة، و بما أنّ الحمل یحدث عادةً فی الیوم الرابع عشر من بدء الحیض تقریباً؛ فإنّ مدّة الحمل 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266280</w:t>
      </w:r>
      <w:r>
        <w:rPr>
          <w:rFonts w:ascii="IRNazanin" w:hAnsi="IRNazanin" w:eastAsia="IRNazanin"/>
          <w:color w:val="111111"/>
          <w:sz w:val="28"/>
          <w:sz w:val="28"/>
          <w:szCs w:val="28"/>
          <w:rtl w:val="true"/>
          <w:lang w:bidi="fa-IR"/>
        </w:rPr>
        <w:t>، و إذا کانت العادة الشهریّة غیر منتظمة؛ فإنّ بعض الاُمّهات یتحدّثن عن فترات حمل طویلة، و فی الأحوال العادیة فقد یتقدّم الحمل أو یتأخّر لمدّة اسبوعین عن المدّة المحسوبة، و هذا أمر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بعض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الحمل قد یتأخّر علی الرغم من ضبط الحساب إلی شهر کامل، و هذا أمر طبیعیّ، فإذا تأخّر المیلاد عن ذلک ففی المشیمة بقیّة رصید یخدم الجنین بکفاءة لمدّة اسبوعین آخرین، ثمّ یعانی الجنین المجاعة من بعد ذلک لدرجة ترفع نسبة وفاة الجنین فی الاُسبوع الثالث و الأربعین و الرابع و الأربعین، و من النادر أن ینجو من الموت جنین بقی فی الرحم خمسة و أربعین أسبوعاً؛ أی بعد إتمام الجنین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لاستیعاب النادر و الشاذّ تمدّ هذه المدّة اعتباراً من اسبوعین آخرین لتصبح</w:t>
      </w:r>
      <w:bookmarkStart w:id="137" w:name="pg11754_112850"/>
    </w:p>
    <w:p>
      <w:pPr>
        <w:pStyle w:val="BookText"/>
        <w:rPr/>
      </w:pPr>
      <w:bookmarkEnd w:id="137"/>
      <w:r>
        <w:rPr>
          <w:rFonts w:ascii="IRNazanin" w:hAnsi="IRNazanin" w:eastAsia="IRNazanin"/>
          <w:color w:val="111111"/>
          <w:sz w:val="28"/>
          <w:sz w:val="28"/>
          <w:szCs w:val="28"/>
          <w:rtl w:val="true"/>
          <w:lang w:bidi="fa-IR"/>
        </w:rPr>
        <w:t>ثلاثمائة و ثلاثون یوماً، و قد توسّع القانون فی الاحتیاط مستنداً إلی بعض الآراء الفقهیّة بجانب الرأی العلمی، فجعل أقصی مدّة الحمل سنةً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9530505_73709187"/>
      <w:bookmarkStart w:id="139" w:name="_Toc55"/>
      <w:bookmarkEnd w:id="138"/>
      <w:r>
        <w:rPr>
          <w:rtl w:val="true"/>
        </w:rPr>
        <w:t>آثار شرائط الإلحاق</w:t>
      </w:r>
      <w:bookmarkEnd w:id="139"/>
    </w:p>
    <w:p>
      <w:pPr>
        <w:pStyle w:val="BookText"/>
        <w:rPr/>
      </w:pPr>
      <w:r>
        <w:rPr>
          <w:rFonts w:ascii="IRNazanin" w:hAnsi="IRNazanin" w:eastAsia="IRNazanin"/>
          <w:color w:val="111111"/>
          <w:sz w:val="28"/>
          <w:sz w:val="28"/>
          <w:szCs w:val="28"/>
          <w:rtl w:val="true"/>
          <w:lang w:bidi="fa-IR"/>
        </w:rPr>
        <w:t>لا یخفی أنّه مع تحقّق الشرائط المتقدّمة، یلحق الولد بالزوج بإجماع الفقهاء، و من آثار لحوقه عدم جواز نفیه، و لزوم الالتزام بالولدیّة و إن وطأها واطئُ آخر فجوراً، فضلاً عمّا لو اتّهمها به؛ لأنّ الفرض أنّ الولد ولد تکوینیّ و شرعیّ للزوج فیُلحق به، و لا موجب لإلحاق الولد بالفاجر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ولدت امرأة الرجل ولداً علی فراشه، لزمه الإقرار به، و لم یجز له نفیه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وطأها واطئٌ، فجوراً، کان الولد لصاحب الفراش، و لا ینتفی عنه إلاّ باللعان؛ لأنّ الزانی لا ولد له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261"/>
      </w:r>
      <w:r>
        <w:rPr>
          <w:rFonts w:ascii="IRNazanin" w:hAnsi="IRNazanin" w:eastAsia="IRNazanin"/>
          <w:color w:val="111111"/>
          <w:sz w:val="28"/>
          <w:sz w:val="28"/>
          <w:szCs w:val="28"/>
          <w:rtl w:val="true"/>
          <w:lang w:bidi="fa-IR"/>
        </w:rPr>
        <w:t>، و القواعد، و أضاف فی الأخیر أنّه سواء شابه الولدُ الأبَ أو الزانی فی الصفات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بین کون الولد مشبهاً للزانی فی الخلق و الخلق و عدمه، عملاً بالإطلاق، و تمسّکاً بالاتّفاق</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ممّا اتّفق علیه الفقهاء، بل هو متسالم علیه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یدلّ علیه إطلاق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Style w:val="FootnoteAnchor"/>
          <w:rtl w:val="true"/>
        </w:rPr>
        <w:footnoteReference w:id="264"/>
      </w:r>
      <w:r>
        <w:rPr>
          <w:rFonts w:ascii="IRNazanin" w:hAnsi="IRNazanin" w:eastAsia="IRNazanin"/>
          <w:color w:val="111111"/>
          <w:sz w:val="28"/>
          <w:sz w:val="28"/>
          <w:szCs w:val="28"/>
          <w:rtl w:val="true"/>
          <w:lang w:bidi="fa-IR"/>
        </w:rPr>
        <w:t>أظهر أفراد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Style w:val="FootnoteAnchor"/>
          <w:rtl w:val="true"/>
        </w:rPr>
        <w:footnoteReference w:id="265"/>
      </w:r>
      <w:r>
        <w:rPr>
          <w:rFonts w:ascii="IRNazanin" w:hAnsi="IRNazanin" w:eastAsia="IRNazanin"/>
          <w:color w:val="111111"/>
          <w:sz w:val="28"/>
          <w:sz w:val="28"/>
          <w:szCs w:val="28"/>
          <w:rtl w:val="true"/>
          <w:lang w:bidi="fa-IR"/>
        </w:rPr>
        <w:t>، المتّفق علی مضمونه، فلا ینتفی عنه حینئذٍ إلاّ باللعان إذا لم یصرّح باستناد النفی إلیه، و إلاّ لم ینتف به أیضاً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داود بن فرقد، عن أبی عبد اللّه علیه السلام یدلّ علی خلاف هذا الحکم و إلیک نصّها،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خرجت و امرأتی حائض، فرجعت و هی حبلی،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 رجلین فجاء بهما،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 ابن هذا فیخرج قطعاً کذا و کذا، فخرج کما قال رسول اللّه صلی الله علیه و آله، فجعل معقلته علی قوم امّه و میراثه لهم</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إرسال هذا الحدیث و إعراض الأصحاب عن العمل بمضمونه، و هو موجب لضعفه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طول غیبة الزوج بحیث لا یمکن إلحاق الولد به، کما فی کشف اللثام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ینتفی عنه لو نفاه إن کان العقد دائماً إلاّ باللعان، بخلاف ما إذا کان العقد منقطعاً و جاءت بولد أمکن إلحاقه به؛ فإنّه و إن لم یجز له نفیه، لکن لو نفاه ینتفی منه ظاهراً من غیر لعان؛ لأنّه یشترط فی تحقّق اللعان أن یکون العقد دائماً، لکن علیه الیمین مع دعواها، أو دعوی الولد النسب؛ لأنّها</w:t>
      </w:r>
      <w:bookmarkStart w:id="140" w:name="pg11754_112852"/>
    </w:p>
    <w:p>
      <w:pPr>
        <w:pStyle w:val="BookText"/>
        <w:rPr/>
      </w:pPr>
      <w:bookmarkEnd w:id="140"/>
      <w:r>
        <w:rPr>
          <w:rFonts w:ascii="Amiri" w:hAnsi="Amiri" w:eastAsia="Amiri" w:cs="Amiri"/>
          <w:color w:val="111111"/>
          <w:sz w:val="28"/>
          <w:sz w:val="28"/>
          <w:szCs w:val="28"/>
          <w:rtl w:val="true"/>
          <w:lang w:bidi="ar-SA"/>
        </w:rPr>
        <w:t>قاطعة للخصومة</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تحریر الوسیلة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النکاحین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و المنقطع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اشتراکهما فی عدم جَواز النفی إذا کانت شروط اللحوق المذکورة فی المسألة السابقة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النفی فی النکاح المنقطع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یفترقان فی أنّه فی ولد الدائمة لا ینتفی الولد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ولد المنقطعة إذا نفاه ینتفی عنه بحسب الظاهر من دون افتقار إلی اللعان، لکن لو کان فی مقابل الزوج دعوی الزوجة، أو دعوی الولد النسب، یجب علیه الیمین لإثبات دعواه فی مقابل دعواهما بعد عدم إمکان إقامتهما البیِّنة، کما لا یخفی</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9530507_73709187"/>
      <w:bookmarkStart w:id="142" w:name="_Toc56"/>
      <w:bookmarkEnd w:id="141"/>
      <w:r>
        <w:rPr>
          <w:rtl w:val="true"/>
        </w:rPr>
        <w:t>شرائط إلحاق الولد عند أهل السنّة</w:t>
      </w:r>
      <w:bookmarkEnd w:id="142"/>
    </w:p>
    <w:p>
      <w:pPr>
        <w:pStyle w:val="Heading6"/>
        <w:numPr>
          <w:ilvl w:val="5"/>
          <w:numId w:val="1"/>
        </w:numPr>
        <w:rPr/>
      </w:pPr>
      <w:bookmarkStart w:id="143" w:name="__RefHeading___Toc9530509_73709187"/>
      <w:bookmarkStart w:id="144" w:name="_Toc57"/>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ذهب جمهور الفقهاء إلی أنّه یشترط فی إلحاق الولد شرائط، کما قال به فقهاء الشیعة و إن خالفوهم فی أقصی مدّة الحمل،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مدّة الحمل أربع سنین، و بعض ستّة سنین، و المشهور منهم سنتین، فنذکر شطراً من کلماتهم</w:t>
      </w:r>
      <w:r>
        <w:rPr>
          <w:rFonts w:eastAsia="IRNazanin" w:cs="IRNazanin"/>
          <w:color w:val="111111"/>
          <w:sz w:val="28"/>
          <w:szCs w:val="28"/>
          <w:rtl w:val="true"/>
          <w:lang w:bidi="fa-IR"/>
        </w:rPr>
        <w:t>:</w:t>
      </w:r>
    </w:p>
    <w:p>
      <w:pPr>
        <w:pStyle w:val="Heading6"/>
        <w:numPr>
          <w:ilvl w:val="5"/>
          <w:numId w:val="1"/>
        </w:numPr>
        <w:rPr/>
      </w:pPr>
      <w:bookmarkStart w:id="145" w:name="__RefHeading___Toc9530511_73709187"/>
      <w:bookmarkStart w:id="146" w:name="_Toc58"/>
      <w:bookmarkEnd w:id="145"/>
      <w:r>
        <w:rPr>
          <w:rtl w:val="true"/>
        </w:rPr>
        <w:t xml:space="preserve">أ </w:t>
      </w:r>
      <w:r>
        <w:rPr>
          <w:rtl w:val="true"/>
        </w:rPr>
        <w:t xml:space="preserve">- </w:t>
      </w:r>
      <w:r>
        <w:rPr>
          <w:rtl w:val="true"/>
        </w:rPr>
        <w:t>الشافعیة</w:t>
      </w:r>
      <w:bookmarkEnd w:id="146"/>
    </w:p>
    <w:p>
      <w:p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و هو ممّن یولد لمثله، و أمکن اجتماعهما علی الوط‌ء و أتت بولد لمدّة یمکن أن یکون الحمل فیها، لحقه فی الظاهر؛ لقوله صلی الله علیه و آله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مع وجود هذه الشروط یمکن أن یکون الولد منه، و لیس هاهنا ما یعارضه و لا ما یسقطه فوجب أن یلحق به</w:t>
      </w:r>
      <w:r>
        <w:rPr>
          <w:rFonts w:eastAsia="IRNazanin" w:cs="IRNazanin"/>
          <w:color w:val="111111"/>
          <w:sz w:val="28"/>
          <w:szCs w:val="28"/>
          <w:rtl w:val="true"/>
          <w:lang w:bidi="fa-IR"/>
        </w:rPr>
        <w:t>»</w:t>
      </w:r>
      <w:r>
        <w:rPr>
          <w:rStyle w:val="FootnoteAnchor"/>
          <w:rtl w:val="true"/>
        </w:rPr>
        <w:footnoteReference w:id="273"/>
      </w:r>
      <w:bookmarkStart w:id="147" w:name="pg11754_112853"/>
    </w:p>
    <w:p>
      <w:pPr>
        <w:pStyle w:val="BookText"/>
        <w:rPr/>
      </w:pPr>
      <w:bookmarkEnd w:id="147"/>
      <w:r>
        <w:rPr>
          <w:rFonts w:ascii="IRNazanin" w:hAnsi="IRNazanin" w:eastAsia="IRNazanin"/>
          <w:color w:val="111111"/>
          <w:sz w:val="28"/>
          <w:sz w:val="28"/>
          <w:szCs w:val="28"/>
          <w:rtl w:val="true"/>
          <w:lang w:bidi="fa-IR"/>
        </w:rPr>
        <w:t>و قال النووی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تصیر به المرأة فراشاً، فإن کانت زوجة صارت فراشاً بمجرّد عقد النکاح، و نقلوا الإجماع فیه ثمّ شرطوا إمکان الوط‌ء بعد ثبوت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تضعه بعد العقد فی مدّة یجوز أن یکون حادثاً فیها؛ و هی مدّة ستّة أشهر فصاعداً، فإذا أتت به لأقلّ من ستّة أشهر لم یلحق به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فی الاُمّ‌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وضعته لستّة أشهر فما زاد، أو لأربع سنین من وقت الطلاق، أو لدون ستّة أشهر من وقت الطلاق، لحقه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أکثر الحمل عندنا أربع سنین، و قد تری الحامل الدم علی الحَمل، و إذا أمکن إثبات الحمل لم یجز نفیه</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9530513_73709187"/>
      <w:bookmarkStart w:id="149" w:name="_Toc59"/>
      <w:bookmarkEnd w:id="148"/>
      <w:r>
        <w:rPr>
          <w:rtl w:val="true"/>
        </w:rPr>
        <w:t xml:space="preserve">ب </w:t>
      </w:r>
      <w:r>
        <w:rPr>
          <w:rtl w:val="true"/>
        </w:rPr>
        <w:t xml:space="preserve">- </w:t>
      </w:r>
      <w:r>
        <w:rPr>
          <w:rtl w:val="true"/>
        </w:rPr>
        <w:t>الحنابلة</w:t>
      </w:r>
      <w:bookmarkEnd w:id="149"/>
    </w:p>
    <w:p>
      <w:pPr>
        <w:pStyle w:val="BookText"/>
        <w:rPr/>
      </w:pPr>
      <w:r>
        <w:rPr>
          <w:rFonts w:ascii="IRNazanin" w:hAnsi="IRNazanin" w:eastAsia="IRNazanin"/>
          <w:color w:val="111111"/>
          <w:sz w:val="28"/>
          <w:sz w:val="28"/>
          <w:szCs w:val="28"/>
          <w:rtl w:val="true"/>
          <w:lang w:bidi="fa-IR"/>
        </w:rPr>
        <w:t>ففی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أتت امرأته بولد یمکن کونه منه، و هو أن تأتی به بعد ستّة أشهر منذ أمکن اجتماعه بها، و لأقلّ من أربع سنین منذ أبانها، و هو ممّن یولد لمثله، لحقه نسبه، و إن لم یمکن کونه منه، مثل أن تأتی به لأقلّ من ستّة أشهر منذ تزویجها، أو لأکثر من أربع سنین منذ أبانها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یلحقه نسبه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فی الإنصاف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المذهب مطلقاً، و علیه جماهیر الأصحاب، و قطع به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منه علی أنّ أکثر مدّة الحمل أربع</w:t>
      </w:r>
      <w:bookmarkStart w:id="150" w:name="pg11754_112854"/>
    </w:p>
    <w:p>
      <w:pPr>
        <w:pStyle w:val="BookText"/>
        <w:rPr/>
      </w:pPr>
      <w:bookmarkEnd w:id="150"/>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المبدع</w:t>
      </w:r>
      <w:r>
        <w:rPr>
          <w:rStyle w:val="FootnoteAnchor"/>
          <w:rtl w:val="true"/>
        </w:rPr>
        <w:footnoteReference w:id="279"/>
      </w:r>
      <w:r>
        <w:rPr>
          <w:rFonts w:ascii="IRNazanin" w:hAnsi="IRNazanin" w:eastAsia="IRNazanin"/>
          <w:color w:val="111111"/>
          <w:sz w:val="28"/>
          <w:sz w:val="28"/>
          <w:szCs w:val="28"/>
          <w:rtl w:val="true"/>
          <w:lang w:bidi="fa-IR"/>
        </w:rPr>
        <w:t>و کشاف القناع</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9530515_73709187"/>
      <w:bookmarkStart w:id="152" w:name="_Toc60"/>
      <w:bookmarkEnd w:id="151"/>
      <w:r>
        <w:rPr>
          <w:rtl w:val="true"/>
        </w:rPr>
        <w:t xml:space="preserve">ج </w:t>
      </w:r>
      <w:r>
        <w:rPr>
          <w:rtl w:val="true"/>
        </w:rPr>
        <w:t xml:space="preserve">- </w:t>
      </w:r>
      <w:r>
        <w:rPr>
          <w:rtl w:val="true"/>
        </w:rPr>
        <w:t>المالکیة</w:t>
      </w:r>
      <w:bookmarkEnd w:id="152"/>
    </w:p>
    <w:p>
      <w:pPr>
        <w:pStyle w:val="BookText"/>
        <w:rPr/>
      </w:pPr>
      <w:r>
        <w:rPr>
          <w:rFonts w:ascii="IRNazanin" w:hAnsi="IRNazanin" w:eastAsia="IRNazanin"/>
          <w:color w:val="111111"/>
          <w:sz w:val="28"/>
          <w:sz w:val="28"/>
          <w:szCs w:val="28"/>
          <w:rtl w:val="true"/>
          <w:lang w:bidi="fa-IR"/>
        </w:rPr>
        <w:t>ففی أوجز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جماعة من العلماء بأنّ الحرّة فراش بالعقد مع إمکان الوط‌ء و إمکان الحمل، فإذا کان عقد النکاح یمکن معه الوط‌ء و الحمل فالولد لصاحب الفراش لا ینتفی عنه أبداً بدعوی غیره و لا بوجه من الوجوه إلاّ باللعان</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اللعان یحتاج إلیه إذا أمکن أن یکون الولد من الزوج، فإن لم یمکن فلا لعان، و ذلک إمّا لقصر المدّة عن ستّة أشهر، أو لطول المسافة بین الزوجین، أو لکون الزوج صبیّاً لا یولد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یلحقه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9530517_73709187"/>
      <w:bookmarkStart w:id="154" w:name="_Toc61"/>
      <w:bookmarkEnd w:id="153"/>
      <w:r>
        <w:rPr>
          <w:rtl w:val="true"/>
        </w:rPr>
        <w:t xml:space="preserve">د </w:t>
      </w:r>
      <w:r>
        <w:rPr>
          <w:rtl w:val="true"/>
        </w:rPr>
        <w:t xml:space="preserve">- </w:t>
      </w:r>
      <w:r>
        <w:rPr>
          <w:rtl w:val="true"/>
        </w:rPr>
        <w:t>الحنفیّة</w:t>
      </w:r>
      <w:bookmarkEnd w:id="154"/>
    </w:p>
    <w:p>
      <w:pPr>
        <w:pStyle w:val="BookText"/>
        <w:rPr/>
      </w:pPr>
      <w:r>
        <w:rPr>
          <w:rFonts w:ascii="IRNazanin" w:hAnsi="IRNazanin" w:eastAsia="IRNazanin"/>
          <w:color w:val="111111"/>
          <w:sz w:val="28"/>
          <w:sz w:val="28"/>
          <w:szCs w:val="28"/>
          <w:rtl w:val="true"/>
          <w:lang w:bidi="fa-IR"/>
        </w:rPr>
        <w:t>ففی مجمع الأنهر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مدّة الحمل ستّة أشهر، و أکثره سنتان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و هو المشهور من مذهب مالک و أحمد، و عن مالک خمس سنین، و عنه سبع سنین، و هو قول ربیعة، و عن الزهری ستّ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الغالب فتسعة أشهر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فهی طالق، فتزوّجها فولدت ولداً</w:t>
      </w:r>
    </w:p>
    <w:p>
      <w:pPr>
        <w:pStyle w:val="BookText"/>
        <w:rPr/>
      </w:pPr>
      <w:r>
        <w:rPr>
          <w:rFonts w:ascii="IRNazanin" w:hAnsi="IRNazanin" w:eastAsia="IRNazanin"/>
          <w:color w:val="111111"/>
          <w:sz w:val="28"/>
          <w:sz w:val="28"/>
          <w:szCs w:val="28"/>
          <w:rtl w:val="true"/>
          <w:lang w:bidi="fa-IR"/>
        </w:rPr>
        <w:t>لستّة أشهر من یوم زوّجها فهو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نسب ولد المطلّقة الرجعیة إذا جاءت به لسنتین أو أکثر ما لم تقرّ بانقضاء عدّتها؛ لاحتمال العلوق فی حالة العدّة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البنایة</w:t>
      </w:r>
      <w:r>
        <w:rPr>
          <w:rStyle w:val="FootnoteAnchor"/>
          <w:rtl w:val="true"/>
        </w:rPr>
        <w:footnoteReference w:id="285"/>
      </w:r>
      <w:r>
        <w:rPr>
          <w:rFonts w:ascii="IRNazanin" w:hAnsi="IRNazanin" w:eastAsia="IRNazanin"/>
          <w:color w:val="111111"/>
          <w:sz w:val="28"/>
          <w:sz w:val="28"/>
          <w:szCs w:val="28"/>
          <w:rtl w:val="true"/>
          <w:lang w:bidi="fa-IR"/>
        </w:rPr>
        <w:t>و المبسوط‌</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أقصی مدّة الحمل لا یساعده أیّ دلیل، و مخالف للوجدان و ما یقع خارجاً، و کذا ما أثبتته العلوم الطبّیة الحدیثة کما تقدّم</w:t>
      </w:r>
      <w:r>
        <w:rPr>
          <w:rFonts w:eastAsia="IRNazanin" w:cs="IRNazanin"/>
          <w:color w:val="111111"/>
          <w:sz w:val="28"/>
          <w:szCs w:val="28"/>
          <w:rtl w:val="true"/>
          <w:lang w:bidi="fa-IR"/>
        </w:rPr>
        <w:t>.</w:t>
      </w:r>
      <w:bookmarkStart w:id="155" w:name="pg11754_112856"/>
    </w:p>
    <w:p>
      <w:pPr>
        <w:pStyle w:val="Heading4"/>
        <w:numPr>
          <w:ilvl w:val="3"/>
          <w:numId w:val="1"/>
        </w:numPr>
        <w:rPr/>
      </w:pPr>
      <w:bookmarkStart w:id="156" w:name="__RefHeading___Toc9530519_73709187"/>
      <w:bookmarkStart w:id="157" w:name="_Toc62"/>
      <w:bookmarkEnd w:id="155"/>
      <w:bookmarkEnd w:id="156"/>
      <w:r>
        <w:rPr>
          <w:rtl w:val="true"/>
        </w:rPr>
        <w:t>المبحث الثالث</w:t>
      </w:r>
      <w:r>
        <w:rPr>
          <w:rtl w:val="true"/>
        </w:rPr>
        <w:t xml:space="preserve">: </w:t>
      </w:r>
      <w:r>
        <w:rPr>
          <w:rtl w:val="true"/>
        </w:rPr>
        <w:t>الفروع التی تنشأ من الإخلال بشرائط الإلحاق</w:t>
      </w:r>
      <w:bookmarkEnd w:id="157"/>
    </w:p>
    <w:p>
      <w:pPr>
        <w:pStyle w:val="Heading5"/>
        <w:numPr>
          <w:ilvl w:val="4"/>
          <w:numId w:val="1"/>
        </w:numPr>
        <w:rPr/>
      </w:pPr>
      <w:bookmarkStart w:id="158" w:name="__RefHeading___Toc9530521_73709187"/>
      <w:bookmarkStart w:id="159" w:name="_Toc63"/>
      <w:bookmarkEnd w:id="158"/>
      <w:r>
        <w:rPr>
          <w:rtl w:val="true"/>
        </w:rPr>
        <w:t>الفرع الأوّل</w:t>
      </w:r>
      <w:r>
        <w:rPr>
          <w:rtl w:val="true"/>
        </w:rPr>
        <w:t xml:space="preserve">: </w:t>
      </w:r>
      <w:r>
        <w:rPr>
          <w:rtl w:val="true"/>
        </w:rPr>
        <w:t>لو دخل الزوج بزوجته و جاءت بولدٍ لأقلّ من ستّة أشهر</w:t>
      </w:r>
      <w:bookmarkEnd w:id="159"/>
    </w:p>
    <w:p>
      <w:pPr>
        <w:pStyle w:val="Heading6"/>
        <w:numPr>
          <w:ilvl w:val="5"/>
          <w:numId w:val="1"/>
        </w:numPr>
        <w:rPr/>
      </w:pPr>
      <w:bookmarkStart w:id="160" w:name="__RefHeading___Toc9530523_73709187"/>
      <w:bookmarkStart w:id="161" w:name="_Toc64"/>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جاءت به لأقلّ من ستّة أشهر حیّاً سلیماً جاز له نفیه عن نفسه، و کذلک إن جاءت بالولد لأکثر من تسعة أشهر، کان له نفیه، إلاّ أنّه متی نفاه و رافعته المرأة إلی الحاکم کان علیه ملاعنتها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المهذّب</w:t>
      </w:r>
      <w:r>
        <w:rPr>
          <w:rStyle w:val="FootnoteAnchor"/>
          <w:rtl w:val="true"/>
        </w:rPr>
        <w:footnoteReference w:id="288"/>
      </w:r>
      <w:r>
        <w:rPr>
          <w:rFonts w:ascii="IRNazanin" w:hAnsi="IRNazanin" w:eastAsia="IRNazanin"/>
          <w:color w:val="111111"/>
          <w:sz w:val="28"/>
          <w:sz w:val="28"/>
          <w:szCs w:val="28"/>
          <w:rtl w:val="true"/>
          <w:lang w:bidi="fa-IR"/>
        </w:rPr>
        <w:t>، و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بالخیار إن شاء أقرّ به، و إن شاء نفاه عنه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 فی ذلک ابن إدریس،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نفیه؛ لأنّه لیس بولدٍ له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یدخل أو ولدته حیّاً کاملاً لأقلّ من ستّة أشهر من حین الوط‌ء أو لأکثر من أقصی الحمل باتّفاقهما أو بغیبته، لم یجز إلحاقه به، و ینتفی عنه بغیر لعان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 کذا فی التحریر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المعتمد، لنا أنّه لیس ولداً له، فسکوته عن نفیه یوجب لحاقه به و اعترافه بنسبه، و هو حرام إجماعاً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به قال ابن سعید الحلّی</w:t>
      </w:r>
      <w:r>
        <w:rPr>
          <w:rStyle w:val="FootnoteAnchor"/>
          <w:rtl w:val="true"/>
        </w:rPr>
        <w:footnoteReference w:id="294"/>
      </w:r>
      <w:r>
        <w:rPr>
          <w:rFonts w:ascii="Amiri" w:hAnsi="Amiri" w:eastAsia="Amiri" w:cs="Amiri"/>
          <w:color w:val="111111"/>
          <w:sz w:val="28"/>
          <w:sz w:val="28"/>
          <w:szCs w:val="28"/>
          <w:rtl w:val="true"/>
          <w:lang w:bidi="ar-SA"/>
        </w:rPr>
        <w:t>و المحقّق</w:t>
      </w:r>
      <w:r>
        <w:rPr>
          <w:rStyle w:val="FootnoteAnchor"/>
          <w:rtl w:val="true"/>
        </w:rPr>
        <w:footnoteReference w:id="295"/>
      </w:r>
      <w:r>
        <w:rPr>
          <w:rFonts w:ascii="IRNazanin" w:hAnsi="IRNazanin" w:eastAsia="IRNazanin"/>
          <w:color w:val="111111"/>
          <w:sz w:val="28"/>
          <w:sz w:val="28"/>
          <w:szCs w:val="28"/>
          <w:rtl w:val="true"/>
          <w:lang w:bidi="fa-IR"/>
        </w:rPr>
        <w:t>و الشهید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هو المشهور بین المتأخّرین</w:t>
      </w:r>
      <w:r>
        <w:rPr>
          <w:rStyle w:val="FootnoteAnchor"/>
          <w:rtl w:val="true"/>
        </w:rPr>
        <w:footnoteReference w:id="297"/>
      </w:r>
      <w:r>
        <w:rPr>
          <w:rFonts w:ascii="IRNazanin" w:hAnsi="IRNazanin" w:eastAsia="IRNazanin"/>
          <w:color w:val="111111"/>
          <w:sz w:val="28"/>
          <w:sz w:val="28"/>
          <w:szCs w:val="28"/>
          <w:rtl w:val="true"/>
          <w:lang w:bidi="fa-IR"/>
        </w:rPr>
        <w:t>و المعاصرین</w:t>
      </w:r>
      <w:r>
        <w:rPr>
          <w:rStyle w:val="FootnoteAnchor"/>
          <w:rtl w:val="true"/>
        </w:rPr>
        <w:footnoteReference w:id="298"/>
      </w:r>
      <w:r>
        <w:rPr>
          <w:rFonts w:ascii="Amiri" w:hAnsi="Amiri" w:eastAsia="Amiri" w:cs="Amiri"/>
          <w:color w:val="111111"/>
          <w:sz w:val="28"/>
          <w:sz w:val="28"/>
          <w:szCs w:val="28"/>
          <w:rtl w:val="true"/>
          <w:lang w:bidi="ar-SA"/>
        </w:rPr>
        <w:t>، و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هو المشهور؛ لعدم جواز ما نفاه الشارع، و قد عرفت الإطباق علی کون الأقلّ ستّة أشهر، و لکنّ المفید خیّره إن وضعت لأقلّ منها بین النفی و الإقرار، و لا یظهر له وجه إلاّ خبر</w:t>
      </w:r>
    </w:p>
    <w:p>
      <w:pPr>
        <w:pStyle w:val="BookText"/>
        <w:rPr/>
      </w:pPr>
      <w:r>
        <w:rPr>
          <w:rFonts w:ascii="IRNazanin" w:hAnsi="IRNazanin" w:eastAsia="IRNazanin"/>
          <w:color w:val="111111"/>
          <w:sz w:val="28"/>
          <w:sz w:val="28"/>
          <w:szCs w:val="28"/>
          <w:rtl w:val="true"/>
          <w:lang w:bidi="fa-IR"/>
        </w:rPr>
        <w:t>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فلم تلبث بعد ما اهدیت إلیه إلاّ أربعة أشهر حتّی ولدت جاریة، فأنکر ولدها، و زعمت هی أنّها حبلت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ذلک منها، و إن ترافعا إلی السلطان تلاعنا و فرّق بینهما و لم تحلّ له أبداً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مع الضعف یحتمل عدم حیاة الولد أو تمامه و إن یتنازعا فی المدّة</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حمل هذا الخبر علی ما إذا لم یثبت عند الحاکم کونه لأقلّ من ستّة أشهر؛ بأن تدّعی المرأة کونها عنده أکثر من ذلک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نر مخالفاً فی أصل الحکم، فیجب نفی الولد إذا ولدته حیّاً کاملاً لأقلّ من ستّة أشهر من حین الوط‌ء، و کذا یجب أن یکون الحکم کذلک فیما إذا ولدت الزوجة بعد أقصی زمان الحمل من حین الوط‌ء، کما اشیر إلیه فی کلام</w:t>
      </w:r>
    </w:p>
    <w:p>
      <w:pPr>
        <w:pStyle w:val="BookText"/>
        <w:rPr/>
      </w:pPr>
      <w:r>
        <w:rPr>
          <w:rFonts w:ascii="IRNazanin" w:hAnsi="IRNazanin" w:eastAsia="IRNazanin"/>
          <w:color w:val="111111"/>
          <w:sz w:val="28"/>
          <w:sz w:val="28"/>
          <w:szCs w:val="28"/>
          <w:rtl w:val="true"/>
          <w:lang w:bidi="fa-IR"/>
        </w:rPr>
        <w:t>بعضهم؛ فإنّه یجب علی الزوج نفیه لانتفائه عنه فی نفس الأمر، فهو فی معلومیّة نفیه عنه، کما لو ولدت به قبل الدخول، أو ولدت به لأقلّ من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جملة من الفقهاء هنا أنّ ذلک یعلم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اتّفاق الزوجین علی عدم الوط‌ء فی المدّة المذکورة، أو ثبوت ذلک بغیبة أحدهما عن الآخر فی جمیع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ورد بالنسبة إلی الغیبة</w:t>
      </w:r>
    </w:p>
    <w:p>
      <w:pPr>
        <w:pStyle w:val="BookText"/>
        <w:rPr/>
      </w:pPr>
      <w:r>
        <w:rPr>
          <w:rFonts w:ascii="IRNazanin" w:hAnsi="IRNazanin" w:eastAsia="IRNazanin"/>
          <w:color w:val="111111"/>
          <w:sz w:val="28"/>
          <w:sz w:val="28"/>
          <w:szCs w:val="28"/>
          <w:rtl w:val="true"/>
          <w:lang w:bidi="fa-IR"/>
        </w:rPr>
        <w:t>ما رواه فی الکافی فی الصحیح عن یونس فی المرأة یغیب عنها زوجها فتجیء بولد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یلحق الولد بالرجل، و لا تُصدّق أنّه قدم فأحبلها إذا کانت غیبته معروفة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غیبته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محلّ المسألة</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الحکم علی الولد بالانتفاء فمشکل؛ لأنّه غیرهما، فلا ینفذ فیه إقرارهما مع عموم کون الولد للفراش، و یقوّیه ورود الأخبار</w:t>
      </w:r>
      <w:r>
        <w:rPr>
          <w:rStyle w:val="FootnoteAnchor"/>
          <w:rtl w:val="true"/>
        </w:rPr>
        <w:footnoteReference w:id="304"/>
      </w:r>
      <w:r>
        <w:rPr>
          <w:rFonts w:ascii="IRNazanin" w:hAnsi="IRNazanin" w:eastAsia="IRNazanin"/>
          <w:color w:val="111111"/>
          <w:sz w:val="28"/>
          <w:sz w:val="28"/>
          <w:szCs w:val="28"/>
          <w:rtl w:val="true"/>
          <w:lang w:bidi="fa-IR"/>
        </w:rPr>
        <w:t>بترک قولهما إذا أنکر الدخول مع تحقّق الخلوة</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الروایات تدلّ علی عدم قبول قولهما؛ لأنّهما متّهمان، و الشاهد علی ذلک ذیل الروایة،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ترید أن تدفع العدّة عن نفسها، و یرید هو أن یدفع المهر عن نفسه، و ذلک لا علاقة له بمسألتنا هذه، التی توافقا فی عدم الوط‌ء أو غیبة أحدهما عن الآخر فی جمیع المدّة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أجاد الشهید رحمه الله فی المسالک فی الجواب عن هذه الشبهة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bookmarkStart w:id="162" w:name="pg11754_112859"/>
    </w:p>
    <w:p>
      <w:pPr>
        <w:pStyle w:val="BookText"/>
        <w:rPr/>
      </w:pPr>
      <w:bookmarkEnd w:id="162"/>
      <w:r>
        <w:rPr>
          <w:rFonts w:ascii="IRNazanin" w:hAnsi="IRNazanin" w:eastAsia="IRNazanin"/>
          <w:color w:val="111111"/>
          <w:sz w:val="28"/>
          <w:sz w:val="28"/>
          <w:szCs w:val="28"/>
          <w:rtl w:val="true"/>
          <w:lang w:bidi="fa-IR"/>
        </w:rPr>
        <w:t>ثبوت الحکم بمجرّد اتّفاقهما علی عدم الوط‌ء فی المدّة، فوجهه أنّ الحقّ منحصر فیهما، و الفعل لا یعلم إلاّ منهما، و إقامة البیِّنة علی ذلک متعذّرة أو متعسّرة، فلو لم نکتف باتّفاقهما علیه و ألحقنا به الولد حتماً نظراً إلی الفراش، لزم الحرج و الإضرار به، حیث یعلم انتفاؤه عنه فی الواقع، و لا یمکنه نفیه ظاهراً، و لأنّ الشارع أوجب علیه نفیه عنه مع العلم بانتفائه، و جعل له وسیلة إلیه مع إنکار المرأة باللعان، فلا بدّ فی الحکم من نصب وسیلة إلی نفیه مع تصادقهما لیثبت له الحکم اللازم له شرعاً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9530525_73709187"/>
      <w:bookmarkStart w:id="164" w:name="_Toc65"/>
      <w:bookmarkEnd w:id="163"/>
      <w:r>
        <w:rPr>
          <w:rtl w:val="true"/>
        </w:rPr>
        <w:t>آراء فقهاء أهل السنّة</w:t>
      </w:r>
      <w:bookmarkEnd w:id="164"/>
    </w:p>
    <w:p>
      <w:pPr>
        <w:pStyle w:val="BookText"/>
        <w:rPr/>
      </w:pPr>
      <w:r>
        <w:rPr>
          <w:rFonts w:ascii="IRNazanin" w:hAnsi="IRNazanin" w:eastAsia="IRNazanin"/>
          <w:color w:val="111111"/>
          <w:sz w:val="28"/>
          <w:sz w:val="28"/>
          <w:szCs w:val="28"/>
          <w:rtl w:val="true"/>
          <w:lang w:bidi="fa-IR"/>
        </w:rPr>
        <w:t>ذهب جمهور الفقهاء إلی أنّه إذا ولدت بأقلّ من ستّة أشهر من حین الوط‌ء أو لأکثر من أقصی الحمل، لم یثبت نسبه و یجب نفیه، کما فی المقنع</w:t>
      </w:r>
      <w:r>
        <w:rPr>
          <w:rStyle w:val="FootnoteAnchor"/>
          <w:rtl w:val="true"/>
        </w:rPr>
        <w:footnoteReference w:id="307"/>
      </w:r>
      <w:r>
        <w:rPr>
          <w:rFonts w:ascii="IRNazanin" w:hAnsi="IRNazanin" w:eastAsia="IRNazanin"/>
          <w:color w:val="111111"/>
          <w:sz w:val="28"/>
          <w:sz w:val="28"/>
          <w:szCs w:val="28"/>
          <w:rtl w:val="true"/>
          <w:lang w:bidi="fa-IR"/>
        </w:rPr>
        <w:t>و مجمع الأنهر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بولد لدون ستّة أشهر من وقت العقد، انتفی عنه الولد من غیر لعان؛ لأنّنا نعلم یقیناً أنّها علقت به قبل حدوث الفراش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وضعته لأکثر من أربع سنین فینظر، إذا کان الطلاق بائناً فقد انتفی الولد من غیر لعان؛ لأنّ العلوق قد حدث بعد زوال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الطلاق رجعیّاً ففیه قولان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و کذا فی البیان</w:t>
      </w:r>
      <w:r>
        <w:rPr>
          <w:rStyle w:val="FootnoteAnchor"/>
          <w:rtl w:val="true"/>
        </w:rPr>
        <w:footnoteReference w:id="310"/>
      </w:r>
      <w:r>
        <w:rPr>
          <w:rFonts w:ascii="IRNazanin" w:hAnsi="IRNazanin" w:eastAsia="IRNazanin"/>
          <w:color w:val="111111"/>
          <w:sz w:val="28"/>
          <w:sz w:val="28"/>
          <w:szCs w:val="28"/>
          <w:rtl w:val="true"/>
          <w:lang w:bidi="fa-IR"/>
        </w:rPr>
        <w:t>و المبدع</w:t>
      </w:r>
      <w:r>
        <w:rPr>
          <w:rStyle w:val="FootnoteAnchor"/>
          <w:rtl w:val="true"/>
        </w:rPr>
        <w:footnoteReference w:id="311"/>
      </w:r>
      <w:r>
        <w:rPr>
          <w:rFonts w:ascii="IRNazanin" w:hAnsi="IRNazanin" w:eastAsia="IRNazanin"/>
          <w:color w:val="111111"/>
          <w:sz w:val="28"/>
          <w:sz w:val="28"/>
          <w:szCs w:val="28"/>
          <w:rtl w:val="true"/>
          <w:lang w:bidi="fa-IR"/>
        </w:rPr>
        <w:t>و الإنصاف</w:t>
      </w:r>
      <w:r>
        <w:rPr>
          <w:rStyle w:val="FootnoteAnchor"/>
          <w:rtl w:val="true"/>
        </w:rPr>
        <w:footnoteReference w:id="312"/>
      </w:r>
      <w:bookmarkStart w:id="165" w:name="pg11754_112860"/>
    </w:p>
    <w:p>
      <w:pPr>
        <w:pStyle w:val="Heading5"/>
        <w:numPr>
          <w:ilvl w:val="4"/>
          <w:numId w:val="1"/>
        </w:numPr>
        <w:rPr/>
      </w:pPr>
      <w:bookmarkStart w:id="166" w:name="__RefHeading___Toc9530527_73709187"/>
      <w:bookmarkStart w:id="167" w:name="_Toc66"/>
      <w:bookmarkEnd w:id="165"/>
      <w:bookmarkEnd w:id="166"/>
      <w:r>
        <w:rPr>
          <w:rtl w:val="true"/>
        </w:rPr>
        <w:t>الفرع الثانی</w:t>
      </w:r>
      <w:r>
        <w:rPr>
          <w:rtl w:val="true"/>
        </w:rPr>
        <w:t xml:space="preserve">: </w:t>
      </w:r>
      <w:r>
        <w:rPr>
          <w:rtl w:val="true"/>
        </w:rPr>
        <w:t>إذا اختلف الزوجان فی الدخول و عدمه، فادّعته المرأة لیلحق به الولد، و أنکره الزوج</w:t>
      </w:r>
      <w:bookmarkEnd w:id="167"/>
    </w:p>
    <w:p>
      <w:pPr>
        <w:pStyle w:val="Heading6"/>
        <w:numPr>
          <w:ilvl w:val="5"/>
          <w:numId w:val="1"/>
        </w:numPr>
        <w:rPr/>
      </w:pPr>
      <w:bookmarkStart w:id="168" w:name="__RefHeading___Toc9530529_73709187"/>
      <w:bookmarkStart w:id="169" w:name="_Toc67"/>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فلا ریب فی أنّ القول قوله مع یمینه، کما فی الشرائع</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التحریر</w:t>
      </w:r>
      <w:r>
        <w:rPr>
          <w:rStyle w:val="FootnoteAnchor"/>
          <w:rtl w:val="true"/>
        </w:rPr>
        <w:footnoteReference w:id="314"/>
      </w:r>
      <w:r>
        <w:rPr>
          <w:rFonts w:ascii="IRNazanin" w:hAnsi="IRNazanin" w:eastAsia="IRNazanin"/>
          <w:color w:val="111111"/>
          <w:sz w:val="28"/>
          <w:sz w:val="28"/>
          <w:szCs w:val="28"/>
          <w:rtl w:val="true"/>
          <w:lang w:bidi="fa-IR"/>
        </w:rPr>
        <w:t>و القواعد</w:t>
      </w:r>
      <w:r>
        <w:rPr>
          <w:rStyle w:val="FootnoteAnchor"/>
          <w:rtl w:val="true"/>
        </w:rPr>
        <w:footnoteReference w:id="315"/>
      </w:r>
      <w:r>
        <w:rPr>
          <w:rFonts w:ascii="IRNazanin" w:hAnsi="IRNazanin" w:eastAsia="IRNazanin"/>
          <w:color w:val="111111"/>
          <w:sz w:val="28"/>
          <w:sz w:val="28"/>
          <w:szCs w:val="28"/>
          <w:rtl w:val="true"/>
          <w:lang w:bidi="fa-IR"/>
        </w:rPr>
        <w:t>و الریاض</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اختلفا فی الدخول، فادّعته المرأة لیُلْحَقَ به الولد و أنکره، أو اتّفقا علیه و لکن أنکر الزوج ولادتها للولد، و ادّعی أنّها أتت به من خارج، فالقول قوله فی الموضعین</w:t>
      </w:r>
      <w:r>
        <w:rPr>
          <w:rStyle w:val="FootnoteAnchor"/>
          <w:rtl w:val="true"/>
        </w:rPr>
        <w:footnoteReference w:id="317"/>
      </w:r>
      <w:r>
        <w:rPr>
          <w:rFonts w:ascii="Amiri" w:hAnsi="Amiri" w:eastAsia="Amiri" w:cs="Amiri"/>
          <w:color w:val="111111"/>
          <w:sz w:val="28"/>
          <w:sz w:val="28"/>
          <w:szCs w:val="28"/>
          <w:rtl w:val="true"/>
          <w:lang w:bidi="ar-SA"/>
        </w:rPr>
        <w:t>؛ لأصالة عدم الدخول و عدم ولادتها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الأوّل من فعله، فیقبل قوله فیه، و الثانی یمکنها إقامة البیّنة علیه، فلا یقبل قولها فیه بغیر بیّنة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الجواهر</w:t>
      </w:r>
      <w:r>
        <w:rPr>
          <w:rStyle w:val="FootnoteAnchor"/>
          <w:rtl w:val="true"/>
        </w:rPr>
        <w:footnoteReference w:id="319"/>
      </w:r>
      <w:r>
        <w:rPr>
          <w:rFonts w:ascii="IRNazanin" w:hAnsi="IRNazanin" w:eastAsia="IRNazanin"/>
          <w:color w:val="111111"/>
          <w:sz w:val="28"/>
          <w:sz w:val="28"/>
          <w:szCs w:val="28"/>
          <w:rtl w:val="true"/>
          <w:lang w:bidi="fa-IR"/>
        </w:rPr>
        <w:t>و الحدائق</w:t>
      </w:r>
      <w:r>
        <w:rPr>
          <w:rStyle w:val="FootnoteAnchor"/>
          <w:rtl w:val="true"/>
        </w:rPr>
        <w:footnoteReference w:id="320"/>
      </w:r>
      <w:r>
        <w:rPr>
          <w:rFonts w:ascii="IRNazanin" w:hAnsi="IRNazanin" w:eastAsia="IRNazanin"/>
          <w:color w:val="111111"/>
          <w:sz w:val="28"/>
          <w:sz w:val="28"/>
          <w:szCs w:val="28"/>
          <w:rtl w:val="true"/>
          <w:lang w:bidi="fa-IR"/>
        </w:rPr>
        <w:t>و تفصیل الشریعة</w:t>
      </w:r>
      <w:r>
        <w:rPr>
          <w:rStyle w:val="FootnoteAnchor"/>
          <w:rtl w:val="true"/>
        </w:rPr>
        <w:footnoteReference w:id="321"/>
      </w:r>
      <w:r>
        <w:rPr>
          <w:rFonts w:ascii="IRNazanin" w:hAnsi="IRNazanin" w:eastAsia="IRNazanin"/>
          <w:color w:val="111111"/>
          <w:sz w:val="28"/>
          <w:sz w:val="28"/>
          <w:szCs w:val="28"/>
          <w:rtl w:val="true"/>
          <w:lang w:bidi="fa-IR"/>
        </w:rPr>
        <w:t>و مهذّب الأحکام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اتّفقا فی الدخول و الولادة و اختلفا فی المدّة، فادّعی الزوج ولادته لدون ستّة أشهر، أو لأزید من أقصی الحمل، و ادّعت الزوجة ولادته بعد مضیّ أقلّ</w:t>
      </w:r>
    </w:p>
    <w:p>
      <w:pPr>
        <w:pStyle w:val="BookText"/>
        <w:rPr/>
      </w:pPr>
      <w:r>
        <w:rPr>
          <w:rFonts w:ascii="IRNazanin" w:hAnsi="IRNazanin" w:eastAsia="IRNazanin"/>
          <w:color w:val="111111"/>
          <w:sz w:val="28"/>
          <w:sz w:val="28"/>
          <w:szCs w:val="28"/>
          <w:rtl w:val="true"/>
          <w:lang w:bidi="fa-IR"/>
        </w:rPr>
        <w:t>مدّته، أو قبل مضیّ أقصاه، فظاهر بعض العبارات أنّ القول قول المرأة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اختلفا فی المدّة حلفت</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تغلیبٌ للفراش، و لأصالة عدم زیادة المدّة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فالأصل معه، فیحتمل قبول قوله فیه عملاً بالأصل، و لأنّ مآله إلی النزاع فی الدخول؛ فإنّه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تَنقض ستّة أشهر من حین الوط‌ء، فمعناه أنّه لم یطأ منذ مدّة ستّة أشهر، و إنّما وقع الوط‌ء فیما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فسّر بعضهم النزاع فی المدّة بالمعنی الثانی خاصّة لیوافق الأصل، و لیس ببعید إن تحقّق فی ذلک خلاف، إلاّ أنّ کلام الأصحاب مطلق</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ذلک فی المسالک</w:t>
      </w:r>
      <w:r>
        <w:rPr>
          <w:rStyle w:val="FootnoteAnchor"/>
          <w:rtl w:val="true"/>
        </w:rPr>
        <w:footnoteReference w:id="325"/>
      </w:r>
      <w:r>
        <w:rPr>
          <w:rFonts w:ascii="IRNazanin" w:hAnsi="IRNazanin" w:eastAsia="IRNazanin"/>
          <w:color w:val="111111"/>
          <w:sz w:val="28"/>
          <w:sz w:val="28"/>
          <w:szCs w:val="28"/>
          <w:rtl w:val="true"/>
          <w:lang w:bidi="fa-IR"/>
        </w:rPr>
        <w:t>، و الریاض</w:t>
      </w:r>
      <w:r>
        <w:rPr>
          <w:rStyle w:val="FootnoteAnchor"/>
          <w:rtl w:val="true"/>
        </w:rPr>
        <w:footnoteReference w:id="326"/>
      </w:r>
      <w:r>
        <w:rPr>
          <w:rFonts w:ascii="IRNazanin" w:hAnsi="IRNazanin" w:eastAsia="IRNazanin"/>
          <w:color w:val="111111"/>
          <w:sz w:val="28"/>
          <w:sz w:val="28"/>
          <w:szCs w:val="28"/>
          <w:rtl w:val="true"/>
          <w:lang w:bidi="fa-IR"/>
        </w:rPr>
        <w:t>، و کشف اللثام</w:t>
      </w:r>
      <w:r>
        <w:rPr>
          <w:rStyle w:val="FootnoteAnchor"/>
          <w:rtl w:val="true"/>
        </w:rPr>
        <w:footnoteReference w:id="327"/>
      </w:r>
      <w:r>
        <w:rPr>
          <w:rFonts w:ascii="IRNazanin" w:hAnsi="IRNazanin" w:eastAsia="IRNazanin"/>
          <w:color w:val="111111"/>
          <w:sz w:val="28"/>
          <w:sz w:val="28"/>
          <w:szCs w:val="28"/>
          <w:rtl w:val="true"/>
          <w:lang w:bidi="fa-IR"/>
        </w:rPr>
        <w:t>، و مهذّب الأحکام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صاحب الجواهر قدس سره فی تحقیق المسألة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الفراش حجّة شرعیّة کقاعدة الید، فالموافق لمقتضاها منکر، فلو فرض کون النزاع بینهما علی وجه إبراز التداعی، فالقول قول مدّعی الإلحاق بیمینه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Style w:val="FootnoteAnchor"/>
          <w:rtl w:val="true"/>
        </w:rPr>
        <w:footnoteReference w:id="329"/>
      </w:r>
      <w:r>
        <w:rPr>
          <w:rFonts w:ascii="IRNazanin" w:hAnsi="IRNazanin" w:eastAsia="IRNazanin"/>
          <w:color w:val="111111"/>
          <w:sz w:val="28"/>
          <w:sz w:val="28"/>
          <w:szCs w:val="28"/>
          <w:rtl w:val="true"/>
          <w:lang w:bidi="fa-IR"/>
        </w:rPr>
        <w:t>، لو لم یقتصر فی الدعوی، بل أسنده إلی سبب خاصّ یکون لحوق الولد به تبعاً، کما لو ادّعت المرأة الدخول بها بحیث یلحق به الولد، نحو ما لو أسند</w:t>
      </w:r>
      <w:bookmarkStart w:id="170" w:name="pg11754_112862"/>
    </w:p>
    <w:p>
      <w:pPr>
        <w:pStyle w:val="BookText"/>
        <w:rPr/>
      </w:pPr>
      <w:bookmarkEnd w:id="170"/>
      <w:r>
        <w:rPr>
          <w:rFonts w:ascii="IRNazanin" w:hAnsi="IRNazanin" w:eastAsia="IRNazanin"/>
          <w:color w:val="111111"/>
          <w:sz w:val="28"/>
          <w:sz w:val="28"/>
          <w:szCs w:val="28"/>
          <w:rtl w:val="true"/>
          <w:lang w:bidi="fa-IR"/>
        </w:rPr>
        <w:t>المسلم ما فی یده إلی سبب خاصّ یقتضی بطلان دعوی المدّعی،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 منک، هذا بالإضافة إلی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بالإضافة إلی المسألة الثانیة؛ و هی الاختلاف فی المدّة، فالظاهر أنّ مبناها أصالة لحوق الولد بالوط‌ء المحترم حتّی یتبیّن فساد ذلک، و هی قاعدة اخری غیر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لکونها</w:t>
      </w:r>
      <w:r>
        <w:rPr>
          <w:rStyle w:val="FootnoteAnchor"/>
          <w:rtl w:val="true"/>
        </w:rPr>
        <w:footnoteReference w:id="330"/>
      </w:r>
      <w:r>
        <w:rPr>
          <w:rFonts w:ascii="IRNazanin" w:hAnsi="IRNazanin" w:eastAsia="IRNazanin"/>
          <w:color w:val="111111"/>
          <w:sz w:val="28"/>
          <w:sz w:val="28"/>
          <w:szCs w:val="28"/>
          <w:rtl w:val="true"/>
          <w:lang w:bidi="fa-IR"/>
        </w:rPr>
        <w:t>أخصّ منها، و حینئذٍ فمتی تحقّق الوط‌ء حکم شرعاً بلحوق الولد إلاّ إذا علم العدم بالوضع لأقلّ الحمل، أو لأقصاه، أو لغیر ذلک، ففی الفرض الذی تحقّق فیه الوط‌ء و اختلفا فی المدّة تکون المرأة منکرة مطلقاً؛ لموافقة دعواها للأصل المزبور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ثبوت قاعدتین هنا خصوصاً مع عدم ثبوت المستند للقاعدة الثانیة فی غایة البُعد، سیّما مع کون الشروط الثلاثة للحوق فی عرض واحد، و اللازم بالإضافة إلی کلّ منهما الإحراز، و لا مجال لاشتراط العلم بالعدم فی عدم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احتمله صاحب الروضة من قبول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الاختلاف راجعاً إلی ثبوت أقلّ الحمل و عدمه، نظراً إلی موافقة قوله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کما فی تفصیل الشریعة</w:t>
      </w:r>
      <w:r>
        <w:rPr>
          <w:rStyle w:val="FootnoteAnchor"/>
          <w:rtl w:val="true"/>
        </w:rPr>
        <w:footnoteReference w:id="332"/>
      </w:r>
      <w:r>
        <w:rPr>
          <w:rFonts w:ascii="IRNazanin" w:hAnsi="IRNazanin" w:eastAsia="IRNazanin"/>
          <w:color w:val="111111"/>
          <w:sz w:val="28"/>
          <w:sz w:val="28"/>
          <w:szCs w:val="28"/>
          <w:rtl w:val="true"/>
          <w:lang w:bidi="fa-IR"/>
        </w:rPr>
        <w:t>و الحدائق</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9530531_73709187"/>
      <w:bookmarkStart w:id="172" w:name="_Toc68"/>
      <w:bookmarkEnd w:id="171"/>
      <w:r>
        <w:rPr>
          <w:rtl w:val="true"/>
        </w:rPr>
        <w:t>رأی بعض أهل السنّة فی المسألة</w:t>
      </w:r>
      <w:bookmarkEnd w:id="1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مختصر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أدخل بها لستّة أشهر</w:t>
      </w:r>
      <w:bookmarkStart w:id="173" w:name="pg11754_112863"/>
    </w:p>
    <w:p>
      <w:pPr>
        <w:pStyle w:val="BookText"/>
        <w:rPr/>
      </w:pPr>
      <w:bookmarkEnd w:id="173"/>
      <w:r>
        <w:rPr>
          <w:rFonts w:ascii="IRNazanin" w:hAnsi="IRNazanin" w:eastAsia="IRNazanin"/>
          <w:color w:val="111111"/>
          <w:sz w:val="28"/>
          <w:sz w:val="28"/>
          <w:szCs w:val="28"/>
          <w:rtl w:val="true"/>
          <w:lang w:bidi="fa-IR"/>
        </w:rPr>
        <w:t xml:space="preserve">أو لأکثر ما یلد له النساء من یوم عقد نکاحها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نسبه، و علیه المهر إذا ألزمناه الولد حکمنا علیه بأنّه مصیب ما لم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الماوردی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إذا أنکر الإصابة فجعلنا القول قوله مع یمینه، و لم یحکم لها إلاّ بنصف المهر، إمّا مع عدم الخلوة قولاً واحداً، و إمّا مع وجودها علی أصحّ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بولد لستّة أشهر فصاعداً من یوم العقد، و لأربع سنین فما دونها من یوم الطلاق، فالولد لاحق به إن صدّقها علی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أکذبها و ادّعی أنّها التقطته حلف، و هو منفیّ عنه بغیر لعان، إلاّ أن تقیم البیّنة علی ولادته، فیصیر لاحقاً به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خلا الرجل بامرأته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أصابنی و لا ولد، فقد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مدّعیة و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الاختلاف فی الإصابة بعد الخلوة فقولان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المنکر مع یمینه؛ لأنّ الأصل عدم الإصابة، 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المدّعی؛ لأنّ الخلوة تدلّ علی الإصابة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9530533_73709187"/>
      <w:bookmarkStart w:id="175" w:name="_Toc69"/>
      <w:bookmarkEnd w:id="174"/>
      <w:r>
        <w:rPr>
          <w:rtl w:val="true"/>
        </w:rPr>
        <w:t>الفرع الثالث</w:t>
      </w:r>
      <w:r>
        <w:rPr>
          <w:rtl w:val="true"/>
        </w:rPr>
        <w:t xml:space="preserve">: </w:t>
      </w:r>
      <w:r>
        <w:rPr>
          <w:rtl w:val="true"/>
        </w:rPr>
        <w:t>لو طلّق زوجته المدخول بها فاعتدّت و تزوّجت ثمّ أتت بولد،</w:t>
      </w:r>
      <w:bookmarkEnd w:id="175"/>
    </w:p>
    <w:p>
      <w:pPr>
        <w:pStyle w:val="Heading6"/>
        <w:numPr>
          <w:ilvl w:val="5"/>
          <w:numId w:val="1"/>
        </w:numPr>
        <w:rPr/>
      </w:pPr>
      <w:bookmarkStart w:id="176" w:name="__RefHeading___Toc9530535_73709187"/>
      <w:bookmarkStart w:id="177" w:name="_Toc70"/>
      <w:bookmarkEnd w:id="176"/>
      <w:r>
        <w:rPr>
          <w:rtl w:val="true"/>
        </w:rPr>
        <w:t>فیمکن أن یتصوّر لها صور نذکرها علی الترتیب التالی</w:t>
      </w:r>
      <w:r>
        <w:rPr>
          <w:rtl w:val="true"/>
        </w:rPr>
        <w:t>:</w:t>
      </w:r>
      <w:bookmarkEnd w:id="177"/>
    </w:p>
    <w:p>
      <w:pPr>
        <w:pStyle w:val="Heading6"/>
        <w:numPr>
          <w:ilvl w:val="5"/>
          <w:numId w:val="1"/>
        </w:numPr>
        <w:rPr/>
      </w:pPr>
      <w:bookmarkStart w:id="178" w:name="__RefHeading___Toc9530537_73709187"/>
      <w:bookmarkStart w:id="179" w:name="_Toc71"/>
      <w:bookmarkEnd w:id="178"/>
      <w:r>
        <w:rPr>
          <w:rtl w:val="true"/>
        </w:rPr>
        <w:t>الصورة الأولی</w:t>
      </w:r>
      <w:r>
        <w:rPr>
          <w:rtl w:val="true"/>
        </w:rPr>
        <w:t xml:space="preserve">: </w:t>
      </w:r>
      <w:r>
        <w:rPr>
          <w:rtl w:val="true"/>
        </w:rPr>
        <w:t>إذا لم یمکن لحوقه بالزوج الثانی و أمکن لحوقه بالأوّل</w:t>
      </w:r>
      <w:bookmarkEnd w:id="1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ولدته لدون ستّة أشهر من وط‌ء الثانی من غیر تجاوز عن أقصی الحمل من وط‌ء الأوّل، فإذا کان کذلک یلحق بالأوّل، و الوجه فیه ظاهر؛ لانتفاء الولد فی هذه الحال عن الثانی بعدم مضیّ أقلّ مدّة الحمل من وطئه، و لأصالة الإلحاق بعد تحقّق الدخول</w:t>
      </w:r>
      <w:bookmarkStart w:id="180" w:name="pg11754_112864"/>
    </w:p>
    <w:p>
      <w:pPr>
        <w:pStyle w:val="BookText"/>
        <w:rPr/>
      </w:pPr>
      <w:bookmarkEnd w:id="180"/>
      <w:r>
        <w:rPr>
          <w:rFonts w:ascii="IRNazanin" w:hAnsi="IRNazanin" w:eastAsia="IRNazanin"/>
          <w:color w:val="111111"/>
          <w:sz w:val="28"/>
          <w:sz w:val="28"/>
          <w:szCs w:val="28"/>
          <w:rtl w:val="true"/>
          <w:lang w:bidi="fa-IR"/>
        </w:rPr>
        <w:t>الصحیح مؤیّداً بالأخبار الواردة فی المقام، و سنذکرها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فی هذه الصورة، کما فی المقنعة</w:t>
      </w:r>
      <w:r>
        <w:rPr>
          <w:rStyle w:val="FootnoteAnchor"/>
          <w:rtl w:val="true"/>
        </w:rPr>
        <w:footnoteReference w:id="337"/>
      </w:r>
      <w:r>
        <w:rPr>
          <w:rFonts w:ascii="IRNazanin" w:hAnsi="IRNazanin" w:eastAsia="IRNazanin"/>
          <w:color w:val="111111"/>
          <w:sz w:val="28"/>
          <w:sz w:val="28"/>
          <w:szCs w:val="28"/>
          <w:rtl w:val="true"/>
          <w:lang w:bidi="fa-IR"/>
        </w:rPr>
        <w:t>، و النهایة</w:t>
      </w:r>
      <w:r>
        <w:rPr>
          <w:rStyle w:val="FootnoteAnchor"/>
          <w:rtl w:val="true"/>
        </w:rPr>
        <w:footnoteReference w:id="338"/>
      </w:r>
      <w:r>
        <w:rPr>
          <w:rFonts w:ascii="IRNazanin" w:hAnsi="IRNazanin" w:eastAsia="IRNazanin"/>
          <w:color w:val="111111"/>
          <w:sz w:val="28"/>
          <w:sz w:val="28"/>
          <w:szCs w:val="28"/>
          <w:rtl w:val="true"/>
          <w:lang w:bidi="fa-IR"/>
        </w:rPr>
        <w:t>، و الجامع للشرائع</w:t>
      </w:r>
      <w:r>
        <w:rPr>
          <w:rStyle w:val="FootnoteAnchor"/>
          <w:rtl w:val="true"/>
        </w:rPr>
        <w:footnoteReference w:id="339"/>
      </w:r>
      <w:r>
        <w:rPr>
          <w:rFonts w:ascii="IRNazanin" w:hAnsi="IRNazanin" w:eastAsia="IRNazanin"/>
          <w:color w:val="111111"/>
          <w:sz w:val="28"/>
          <w:sz w:val="28"/>
          <w:szCs w:val="28"/>
          <w:rtl w:val="true"/>
          <w:lang w:bidi="fa-IR"/>
        </w:rPr>
        <w:t>، و الشرائع</w:t>
      </w:r>
      <w:r>
        <w:rPr>
          <w:rStyle w:val="FootnoteAnchor"/>
          <w:rtl w:val="true"/>
        </w:rPr>
        <w:footnoteReference w:id="340"/>
      </w:r>
      <w:r>
        <w:rPr>
          <w:rFonts w:ascii="IRNazanin" w:hAnsi="IRNazanin" w:eastAsia="IRNazanin"/>
          <w:color w:val="111111"/>
          <w:sz w:val="28"/>
          <w:sz w:val="28"/>
          <w:szCs w:val="28"/>
          <w:rtl w:val="true"/>
          <w:lang w:bidi="fa-IR"/>
        </w:rPr>
        <w:t>، و القواعد</w:t>
      </w:r>
      <w:r>
        <w:rPr>
          <w:rStyle w:val="FootnoteAnchor"/>
          <w:rtl w:val="true"/>
        </w:rPr>
        <w:footnoteReference w:id="341"/>
      </w:r>
      <w:r>
        <w:rPr>
          <w:rFonts w:ascii="IRNazanin" w:hAnsi="IRNazanin" w:eastAsia="IRNazanin"/>
          <w:color w:val="111111"/>
          <w:sz w:val="28"/>
          <w:sz w:val="28"/>
          <w:szCs w:val="28"/>
          <w:rtl w:val="true"/>
          <w:lang w:bidi="fa-IR"/>
        </w:rPr>
        <w:t>، و التحریر</w:t>
      </w:r>
      <w:r>
        <w:rPr>
          <w:rStyle w:val="FootnoteAnchor"/>
          <w:rtl w:val="true"/>
        </w:rPr>
        <w:footnoteReference w:id="342"/>
      </w:r>
      <w:r>
        <w:rPr>
          <w:rFonts w:ascii="IRNazanin" w:hAnsi="IRNazanin" w:eastAsia="IRNazanin"/>
          <w:color w:val="111111"/>
          <w:sz w:val="28"/>
          <w:sz w:val="28"/>
          <w:szCs w:val="28"/>
          <w:rtl w:val="true"/>
          <w:lang w:bidi="fa-IR"/>
        </w:rPr>
        <w:t>، و الریاض</w:t>
      </w:r>
      <w:r>
        <w:rPr>
          <w:rStyle w:val="FootnoteAnchor"/>
          <w:rtl w:val="true"/>
        </w:rPr>
        <w:footnoteReference w:id="343"/>
      </w:r>
      <w:r>
        <w:rPr>
          <w:rFonts w:ascii="IRNazanin" w:hAnsi="IRNazanin" w:eastAsia="IRNazanin"/>
          <w:color w:val="111111"/>
          <w:sz w:val="28"/>
          <w:sz w:val="28"/>
          <w:szCs w:val="28"/>
          <w:rtl w:val="true"/>
          <w:lang w:bidi="fa-IR"/>
        </w:rPr>
        <w:t>، و الجواهر</w:t>
      </w:r>
      <w:r>
        <w:rPr>
          <w:rStyle w:val="FootnoteAnchor"/>
          <w:rtl w:val="true"/>
        </w:rPr>
        <w:footnoteReference w:id="344"/>
      </w:r>
      <w:r>
        <w:rPr>
          <w:rFonts w:ascii="IRNazanin" w:hAnsi="IRNazanin" w:eastAsia="IRNazanin"/>
          <w:color w:val="111111"/>
          <w:sz w:val="28"/>
          <w:sz w:val="28"/>
          <w:szCs w:val="28"/>
          <w:rtl w:val="true"/>
          <w:lang w:bidi="fa-IR"/>
        </w:rPr>
        <w:t>، و غیرها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فی تلک الصورة بطلان نکاح الثانی؛ لتبیّن وقوعه فی العدّة، و حرمت علیه مؤبّداً، لوطئه إیّاها فی العدّة کما فی مهذّب الأحکام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9530539_73709187"/>
      <w:bookmarkStart w:id="182" w:name="_Toc72"/>
      <w:bookmarkEnd w:id="181"/>
      <w:r>
        <w:rPr>
          <w:rtl w:val="true"/>
        </w:rPr>
        <w:t>الصورة الثانیة</w:t>
      </w:r>
      <w:r>
        <w:rPr>
          <w:rtl w:val="true"/>
        </w:rPr>
        <w:t xml:space="preserve">: </w:t>
      </w:r>
      <w:r>
        <w:rPr>
          <w:rtl w:val="true"/>
        </w:rPr>
        <w:t>عکس الاُولی</w:t>
      </w:r>
      <w:bookmarkEnd w:id="182"/>
    </w:p>
    <w:p>
      <w:pPr>
        <w:pStyle w:val="BookText"/>
        <w:rPr/>
      </w:pPr>
      <w:r>
        <w:rPr>
          <w:rFonts w:ascii="IRNazanin" w:hAnsi="IRNazanin" w:eastAsia="IRNazanin"/>
          <w:color w:val="111111"/>
          <w:sz w:val="28"/>
          <w:sz w:val="28"/>
          <w:szCs w:val="28"/>
          <w:rtl w:val="true"/>
          <w:lang w:bidi="fa-IR"/>
        </w:rPr>
        <w:t>؛ بأن أمکن لحوقه بالثانی دون الأوّل؛ بأن ولدته لأزید من أکثر الحمل من وط‌ء الأوّل، و لأقلّ الحمل فصاعداً إلی الأقصی من وط‌ء الثانی، فَیُلْحَقُ بالثانی، و لا یمکن إلحاقه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خلاف فی تلک الصورة أیضاً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انعکس؛ بأن ولدته لأزید من أکثر الحمل من وط‌ء الأوّل، و لأقلّ الحمل فصاعداً إلی الأقصی من وط‌ء الثانی، لحق بالثانی قطعاً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9530541_73709187"/>
      <w:bookmarkStart w:id="184" w:name="_Toc73"/>
      <w:bookmarkEnd w:id="183"/>
      <w:r>
        <w:rPr>
          <w:rtl w:val="true"/>
        </w:rPr>
        <w:t>الصورة الثالثة</w:t>
      </w:r>
      <w:r>
        <w:rPr>
          <w:rtl w:val="true"/>
        </w:rPr>
        <w:t xml:space="preserve">: </w:t>
      </w:r>
      <w:r>
        <w:rPr>
          <w:rtl w:val="true"/>
        </w:rPr>
        <w:t>ما لو أمکن إلحاقه بکلیهما</w:t>
      </w:r>
      <w:bookmarkEnd w:id="1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کانت ولادته لستّة أشهر من</w:t>
      </w:r>
    </w:p>
    <w:p>
      <w:pPr>
        <w:pStyle w:val="BookText"/>
        <w:rPr/>
      </w:pPr>
      <w:r>
        <w:rPr>
          <w:rFonts w:ascii="IRNazanin" w:hAnsi="IRNazanin" w:eastAsia="IRNazanin"/>
          <w:color w:val="111111"/>
          <w:sz w:val="28"/>
          <w:sz w:val="28"/>
          <w:szCs w:val="28"/>
          <w:rtl w:val="true"/>
          <w:lang w:bidi="fa-IR"/>
        </w:rPr>
        <w:t xml:space="preserve">وط‌ء الثانی، و لدون أقصی الحمل من وط‌ء الأوّل، فالمشهور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یلحق بالثانی، کما اختاره الشیخ فی النهایة،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الولد لستّة أشهر فصاعداً کان لاحقاً بمن عنده المرأة، أو الجاریة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 إدریس</w:t>
      </w:r>
      <w:r>
        <w:rPr>
          <w:rStyle w:val="FootnoteAnchor"/>
          <w:rtl w:val="true"/>
        </w:rPr>
        <w:footnoteReference w:id="350"/>
      </w:r>
      <w:r>
        <w:rPr>
          <w:rFonts w:ascii="IRNazanin" w:hAnsi="IRNazanin" w:eastAsia="IRNazanin"/>
          <w:color w:val="111111"/>
          <w:sz w:val="28"/>
          <w:sz w:val="28"/>
          <w:szCs w:val="28"/>
          <w:rtl w:val="true"/>
          <w:lang w:bidi="fa-IR"/>
        </w:rPr>
        <w:t>، و ابن سعید الحلّی</w:t>
      </w:r>
      <w:r>
        <w:rPr>
          <w:rStyle w:val="FootnoteAnchor"/>
          <w:rtl w:val="true"/>
        </w:rPr>
        <w:footnoteReference w:id="351"/>
      </w:r>
      <w:r>
        <w:rPr>
          <w:rFonts w:ascii="IRNazanin" w:hAnsi="IRNazanin" w:eastAsia="IRNazanin"/>
          <w:color w:val="111111"/>
          <w:sz w:val="28"/>
          <w:sz w:val="28"/>
          <w:szCs w:val="28"/>
          <w:rtl w:val="true"/>
          <w:lang w:bidi="fa-IR"/>
        </w:rPr>
        <w:t>، و یظهر هذا من الشرائع</w:t>
      </w:r>
      <w:r>
        <w:rPr>
          <w:rStyle w:val="FootnoteAnchor"/>
          <w:rtl w:val="true"/>
        </w:rPr>
        <w:footnoteReference w:id="352"/>
      </w:r>
      <w:r>
        <w:rPr>
          <w:rFonts w:ascii="IRNazanin" w:hAnsi="IRNazanin" w:eastAsia="IRNazanin"/>
          <w:color w:val="111111"/>
          <w:sz w:val="28"/>
          <w:sz w:val="28"/>
          <w:szCs w:val="28"/>
          <w:rtl w:val="true"/>
          <w:lang w:bidi="fa-IR"/>
        </w:rPr>
        <w:t>، و المختصر النافع</w:t>
      </w:r>
      <w:r>
        <w:rPr>
          <w:rStyle w:val="FootnoteAnchor"/>
          <w:rtl w:val="true"/>
        </w:rPr>
        <w:footnoteReference w:id="353"/>
      </w:r>
      <w:r>
        <w:rPr>
          <w:rFonts w:ascii="IRNazanin" w:hAnsi="IRNazanin" w:eastAsia="IRNazanin"/>
          <w:color w:val="111111"/>
          <w:sz w:val="28"/>
          <w:sz w:val="28"/>
          <w:szCs w:val="28"/>
          <w:rtl w:val="true"/>
          <w:lang w:bidi="fa-IR"/>
        </w:rPr>
        <w:t>، و إرشاد الأذهان</w:t>
      </w:r>
      <w:r>
        <w:rPr>
          <w:rStyle w:val="FootnoteAnchor"/>
          <w:rtl w:val="true"/>
        </w:rPr>
        <w:footnoteReference w:id="354"/>
      </w:r>
      <w:r>
        <w:rPr>
          <w:rFonts w:ascii="IRNazanin" w:hAnsi="IRNazanin" w:eastAsia="IRNazanin"/>
          <w:color w:val="111111"/>
          <w:sz w:val="28"/>
          <w:sz w:val="28"/>
          <w:szCs w:val="28"/>
          <w:rtl w:val="true"/>
          <w:lang w:bidi="fa-IR"/>
        </w:rPr>
        <w:t>، و اختاره فی التحریر</w:t>
      </w:r>
      <w:r>
        <w:rPr>
          <w:rStyle w:val="FootnoteAnchor"/>
          <w:rtl w:val="true"/>
        </w:rPr>
        <w:footnoteReference w:id="355"/>
      </w:r>
      <w:r>
        <w:rPr>
          <w:rFonts w:ascii="IRNazanin" w:hAnsi="IRNazanin" w:eastAsia="IRNazanin"/>
          <w:color w:val="111111"/>
          <w:sz w:val="28"/>
          <w:sz w:val="28"/>
          <w:szCs w:val="28"/>
          <w:rtl w:val="true"/>
          <w:lang w:bidi="fa-IR"/>
        </w:rPr>
        <w:t>، و الریاض، و علّله بأصالة التأخّر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ریب فی أنّ الأقوی منهما ما هو المشهور بین الأصحاب من کونه للثانی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الحدائق</w:t>
      </w:r>
      <w:r>
        <w:rPr>
          <w:rStyle w:val="FootnoteAnchor"/>
          <w:rtl w:val="true"/>
        </w:rPr>
        <w:footnoteReference w:id="358"/>
      </w:r>
      <w:r>
        <w:rPr>
          <w:rFonts w:ascii="Amiri" w:hAnsi="Amiri" w:eastAsia="Amiri" w:cs="Amiri"/>
          <w:color w:val="111111"/>
          <w:sz w:val="28"/>
          <w:sz w:val="28"/>
          <w:szCs w:val="28"/>
          <w:rtl w:val="true"/>
          <w:lang w:bidi="ar-SA"/>
        </w:rPr>
        <w:t>، و المهذّب</w:t>
      </w:r>
      <w:r>
        <w:rPr>
          <w:rStyle w:val="FootnoteAnchor"/>
          <w:rtl w:val="true"/>
        </w:rPr>
        <w:footnoteReference w:id="359"/>
      </w:r>
      <w:r>
        <w:rPr>
          <w:rFonts w:ascii="IRNazanin" w:hAnsi="IRNazanin" w:eastAsia="IRNazanin"/>
          <w:color w:val="111111"/>
          <w:sz w:val="28"/>
          <w:sz w:val="28"/>
          <w:szCs w:val="28"/>
          <w:rtl w:val="true"/>
          <w:lang w:bidi="fa-IR"/>
        </w:rPr>
        <w:t>، و تفصیل الشریعة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القول المشهور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فی الصحیح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للرجل منکم الجاریة یطؤها فیعتقها فاعتدّت و نکحت، فإن وضعت لخمسة أشهر فإنّه لمولاها الذی أعتقها، و إن وضعت بعد ما تزوّجت لستّة أشهر فإنّه</w:t>
      </w:r>
    </w:p>
    <w:p>
      <w:pPr>
        <w:pStyle w:val="BookText"/>
        <w:rPr/>
      </w:pPr>
      <w:r>
        <w:rPr>
          <w:rFonts w:ascii="IRNazanin" w:hAnsi="IRNazanin" w:eastAsia="IRNazanin"/>
          <w:color w:val="111111"/>
          <w:sz w:val="28"/>
          <w:sz w:val="28"/>
          <w:szCs w:val="28"/>
          <w:rtl w:val="true"/>
          <w:lang w:bidi="fa-IR"/>
        </w:rPr>
        <w:t>لزوجها الأخیر</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واضحة؛ فإنّ مقتضی إطلاقها هو لحوق الولد بالثانی فیما إذا ولد لستّة أشهر أو أکثر؛ سواء أمکن إلحاقه بالأوّل أیضاً، أم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الصدوق فی الفقیه 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تتزوّج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تعتدّ عدّة واحدة منهما، فإن جاءت بولد لستّة أشهر أو أکثر فهو للأخیر، و إن جاءت بولد لأقلّ من ستّة أشهر فهو للأوّل</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التهذیب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 السلام عن الرجل إذا طلّق امرأته ثمّ نکحت و قد اعتدّت و وضعت لخمسة أشهر فهو للأوّل، و إن کان ولد أنقص من ستّة أشهر فلاُمّه و لأبیه الأوّل، و إن ولدت لستّة أشهر فهو للأخیر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عن أبی العبّاس البقباق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بولد لستّة أشهر فهو للأخیر، و إن کان أقلّ من ستّة أشهر فهو للأوّل</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اشترکت هذه الروایات فی الدلالة علی أنّه مع تعدّد صاحب الفراش یحکم للأوّل إن نقص تولّد الطفل عن الستّة من حین الوط‌ء، و إن کان ستّة فصاعداً فهو للثانی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هذا القول، قول الشیخ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أمکن أن یکون من کلّ واحد منهما؛ بأن تأتی فیه لأکثر من ستّة أشهر من وقت نکاح</w:t>
      </w:r>
      <w:bookmarkStart w:id="185" w:name="pg11754_112867"/>
    </w:p>
    <w:p>
      <w:pPr>
        <w:pStyle w:val="BookText"/>
        <w:rPr/>
      </w:pPr>
      <w:bookmarkEnd w:id="185"/>
      <w:r>
        <w:rPr>
          <w:rFonts w:ascii="IRNazanin" w:hAnsi="IRNazanin" w:eastAsia="IRNazanin"/>
          <w:color w:val="111111"/>
          <w:sz w:val="28"/>
          <w:sz w:val="28"/>
          <w:szCs w:val="28"/>
          <w:rtl w:val="true"/>
          <w:lang w:bidi="fa-IR"/>
        </w:rPr>
        <w:t>الثانی، و أقلّ من تسعة أشهر من وقت طلاق الأوّل، فیمکن أن یکون من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یستعمل القرعة، فمن خرج اسمه الحق به، و لیس له نفیه باللعان</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احتمله العلاّمة فی القواعد</w:t>
      </w:r>
      <w:r>
        <w:rPr>
          <w:rStyle w:val="FootnoteAnchor"/>
          <w:rtl w:val="true"/>
        </w:rPr>
        <w:footnoteReference w:id="366"/>
      </w:r>
      <w:r>
        <w:rPr>
          <w:rFonts w:ascii="IRNazanin" w:hAnsi="IRNazanin" w:eastAsia="IRNazanin"/>
          <w:color w:val="111111"/>
          <w:sz w:val="28"/>
          <w:sz w:val="28"/>
          <w:szCs w:val="28"/>
          <w:rtl w:val="true"/>
          <w:lang w:bidi="fa-IR"/>
        </w:rPr>
        <w:t>، و 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الأخبار إمّا ضعیفة من حیث السند، و إمّا لا دلالة فیها، فلا مجال لاستفادة لحوق الولد بالزوج الأوّل أو الثانی من شیء منها، إذن ینحصر أمر تعیین لحوق الولد بأحدهما بالقرعة؛ فإنّها لکلّ أمرٍ مشکل، و هذا منه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أنّه لا وجه للقول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للمبسوط، فالقرعة، مؤذناً بدعوی الإجماع علیه، و هو موهون بمصیر الأکثر إلی الخلاف کما حکی، و مع ذا فغایته أنّه خبر واحد صحیح، و لا یعارض المستفیض الذی فیه الصحیحان، و مع ذلک معتضد بالأصل المتقدّم ذکره، و التعلیل بثبوت الفراش لهما حین الوط‌ء و إمکان الکون منهما مع غلبة الولادة للأقصی فی مقابل النصّ المستفیض المعتضد بالشهرة، علیل</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الروایات لجری</w:t>
      </w:r>
      <w:r>
        <w:rPr>
          <w:rStyle w:val="FootnoteAnchor"/>
          <w:rtl w:val="true"/>
        </w:rPr>
        <w:footnoteReference w:id="369"/>
      </w:r>
      <w:r>
        <w:rPr>
          <w:rFonts w:ascii="IRNazanin" w:hAnsi="IRNazanin" w:eastAsia="IRNazanin"/>
          <w:color w:val="111111"/>
          <w:sz w:val="28"/>
          <w:sz w:val="28"/>
          <w:szCs w:val="28"/>
          <w:rtl w:val="true"/>
          <w:lang w:bidi="fa-IR"/>
        </w:rPr>
        <w:t>احتمال الإقراع بینهما؛ لأنّ المفروض إمکان اللحوق بکلیهما، فلا بدّ من التعیین بالقرعة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9530543_73709187"/>
      <w:bookmarkStart w:id="187" w:name="_Toc74"/>
      <w:bookmarkEnd w:id="186"/>
      <w:r>
        <w:rPr>
          <w:rtl w:val="true"/>
        </w:rPr>
        <w:t>الصورة الرابعة</w:t>
      </w:r>
      <w:r>
        <w:rPr>
          <w:rtl w:val="true"/>
        </w:rPr>
        <w:t xml:space="preserve">: </w:t>
      </w:r>
      <w:r>
        <w:rPr>
          <w:rtl w:val="true"/>
        </w:rPr>
        <w:t>أن لا یمکن الإلحاق بأحدهما</w:t>
      </w:r>
      <w:bookmarkEnd w:id="1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ولدته لأزید من أقصی</w:t>
      </w:r>
      <w:bookmarkStart w:id="188" w:name="pg11754_112868"/>
    </w:p>
    <w:p>
      <w:pPr>
        <w:pStyle w:val="BookText"/>
        <w:rPr/>
      </w:pPr>
      <w:bookmarkEnd w:id="188"/>
      <w:r>
        <w:rPr>
          <w:rFonts w:ascii="IRNazanin" w:hAnsi="IRNazanin" w:eastAsia="IRNazanin"/>
          <w:color w:val="111111"/>
          <w:sz w:val="28"/>
          <w:sz w:val="28"/>
          <w:szCs w:val="28"/>
          <w:rtl w:val="true"/>
          <w:lang w:bidi="fa-IR"/>
        </w:rPr>
        <w:t>الحمل من وط‌ء الأوّل، و لدون ستّة أشهر من وط‌ء الثانی، فینتفی عنهما بغیر لعان؛ لفرض عدم إمکان الإلحاق لکلّ منهما شرعاً، فلا موضوع للإلحاق بأحدهما، کما فی المبسوط‌</w:t>
      </w:r>
      <w:r>
        <w:rPr>
          <w:rStyle w:val="FootnoteAnchor"/>
          <w:rtl w:val="true"/>
        </w:rPr>
        <w:footnoteReference w:id="371"/>
      </w:r>
      <w:r>
        <w:rPr>
          <w:rFonts w:ascii="IRNazanin" w:hAnsi="IRNazanin" w:eastAsia="IRNazanin"/>
          <w:color w:val="111111"/>
          <w:sz w:val="28"/>
          <w:sz w:val="28"/>
          <w:szCs w:val="28"/>
          <w:rtl w:val="true"/>
          <w:lang w:bidi="fa-IR"/>
        </w:rPr>
        <w:t>، و الجواهر</w:t>
      </w:r>
      <w:r>
        <w:rPr>
          <w:rStyle w:val="FootnoteAnchor"/>
          <w:rtl w:val="true"/>
        </w:rPr>
        <w:footnoteReference w:id="372"/>
      </w:r>
      <w:r>
        <w:rPr>
          <w:rFonts w:ascii="IRNazanin" w:hAnsi="IRNazanin" w:eastAsia="IRNazanin"/>
          <w:color w:val="111111"/>
          <w:sz w:val="28"/>
          <w:sz w:val="28"/>
          <w:szCs w:val="28"/>
          <w:rtl w:val="true"/>
          <w:lang w:bidi="fa-IR"/>
        </w:rPr>
        <w:t>، و مهذّب الأحکام</w:t>
      </w:r>
      <w:r>
        <w:rPr>
          <w:rStyle w:val="FootnoteAnchor"/>
          <w:rtl w:val="true"/>
        </w:rPr>
        <w:footnoteReference w:id="373"/>
      </w:r>
      <w:r>
        <w:rPr>
          <w:rFonts w:ascii="IRNazanin" w:hAnsi="IRNazanin" w:eastAsia="IRNazanin"/>
          <w:color w:val="111111"/>
          <w:sz w:val="28"/>
          <w:sz w:val="28"/>
          <w:szCs w:val="28"/>
          <w:rtl w:val="true"/>
          <w:lang w:bidi="fa-IR"/>
        </w:rPr>
        <w:t>، و تحریر الوسیلة</w:t>
      </w:r>
      <w:r>
        <w:rPr>
          <w:rStyle w:val="FootnoteAnchor"/>
          <w:rtl w:val="true"/>
        </w:rPr>
        <w:footnoteReference w:id="374"/>
      </w:r>
      <w:r>
        <w:rPr>
          <w:rFonts w:ascii="IRNazanin" w:hAnsi="IRNazanin" w:eastAsia="IRNazanin"/>
          <w:color w:val="111111"/>
          <w:sz w:val="28"/>
          <w:sz w:val="28"/>
          <w:szCs w:val="28"/>
          <w:rtl w:val="true"/>
          <w:lang w:bidi="fa-IR"/>
        </w:rPr>
        <w:t>، و الظاهر أنّه لا خلاف فی تلک الصورة</w:t>
      </w:r>
      <w:r>
        <w:rPr>
          <w:rFonts w:eastAsia="IRNazanin" w:cs="IRNazanin"/>
          <w:color w:val="111111"/>
          <w:sz w:val="28"/>
          <w:szCs w:val="28"/>
          <w:rtl w:val="true"/>
          <w:lang w:bidi="fa-IR"/>
        </w:rPr>
        <w:t>.</w:t>
      </w:r>
    </w:p>
    <w:p>
      <w:pPr>
        <w:pStyle w:val="Heading6"/>
        <w:numPr>
          <w:ilvl w:val="5"/>
          <w:numId w:val="1"/>
        </w:numPr>
        <w:rPr/>
      </w:pPr>
      <w:bookmarkStart w:id="189" w:name="__RefHeading___Toc9530545_73709187"/>
      <w:bookmarkStart w:id="190" w:name="_Toc75"/>
      <w:bookmarkEnd w:id="189"/>
      <w:r>
        <w:rPr>
          <w:rtl w:val="true"/>
        </w:rPr>
        <w:t>الصورة الخامسة</w:t>
      </w:r>
      <w:r>
        <w:rPr>
          <w:rtl w:val="true"/>
        </w:rPr>
        <w:t xml:space="preserve">: </w:t>
      </w:r>
      <w:r>
        <w:rPr>
          <w:rtl w:val="true"/>
        </w:rPr>
        <w:t>قال فی المبسوط</w:t>
      </w:r>
      <w:r>
        <w:rPr>
          <w:rtl w:val="true"/>
        </w:rPr>
        <w:t>: «</w:t>
      </w:r>
      <w:r>
        <w:rPr>
          <w:rtl w:val="true"/>
        </w:rPr>
        <w:t>و إن أتت بولدٍ لأکثر من تسعة أشهر من وقت الطلاق</w:t>
      </w:r>
      <w:bookmarkEnd w:id="190"/>
    </w:p>
    <w:p>
      <w:pPr>
        <w:pStyle w:val="BookText"/>
        <w:rPr/>
      </w:pPr>
      <w:r>
        <w:rPr>
          <w:rFonts w:ascii="IRNazanin" w:hAnsi="IRNazanin" w:eastAsia="IRNazanin"/>
          <w:color w:val="111111"/>
          <w:sz w:val="28"/>
          <w:sz w:val="28"/>
          <w:szCs w:val="28"/>
          <w:rtl w:val="true"/>
          <w:lang w:bidi="fa-IR"/>
        </w:rPr>
        <w:t xml:space="preserve">، فلا یخلو إمّا أن یکون رجعیّاً أو بائناً، فإن کان بائناً لم یلحقه النسب؛ لأنّ الولد لا یبقی أکثر من تسعة أشهر، و لا یلحقه لأنّها لیست بفراش، و ینتفی عنه بغیر لعان،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ینقضی العدّة بوضعه؛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کونه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الطلاق رجعیّاً، فهل یلحقه نسبه أم لا؟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یلحقه؛ لأنّها محرّمة علیه کتحریم البائن،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یلحقه النسب، و هو الذی یقتضیه مذهبنا؛ لأنّ الرجعیّة فی معنی الزوجات بدلالة أنّ أحکام الزوجات ثابتة فی حقّها و مبنی القولین أنّ الرجعیّة فراش أم لا؟ فعلی ما قالوه لیست بفراش، و لا یلحقه نسبه، و علی ما قلناه هی فراش و یلحقه نسبه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اختاره فی الریاض،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تتزوّج و لم تطأ لشبهة بعد الطلاق، و مع ذلک ولدت فهو للأوّل ما لم یتجاوز أقصی الحمل و لم ینقص عن أدناه بلا خلاف؛ لأنّها بعد فراشه، و لم یلحقه فراش آخر یشارکه</w:t>
      </w:r>
      <w:r>
        <w:rPr>
          <w:rFonts w:eastAsia="IRNazanin" w:cs="IRNazanin"/>
          <w:color w:val="111111"/>
          <w:sz w:val="28"/>
          <w:szCs w:val="28"/>
          <w:rtl w:val="true"/>
          <w:lang w:bidi="fa-IR"/>
        </w:rPr>
        <w:t>»</w:t>
      </w:r>
      <w:r>
        <w:rPr>
          <w:rStyle w:val="FootnoteAnchor"/>
          <w:rtl w:val="true"/>
        </w:rPr>
        <w:footnoteReference w:id="376"/>
      </w:r>
      <w:bookmarkStart w:id="191" w:name="pg11754_112869"/>
    </w:p>
    <w:p>
      <w:pPr>
        <w:pStyle w:val="BookText"/>
        <w:rPr/>
      </w:pPr>
      <w:bookmarkEnd w:id="191"/>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المطلّقة الرجعیّة زوجة أو بحکم الزوجة، فیستباح منها للزوج ما یستباح منها کما قبل تحقّق الطلاق، فیلحق الولد بالزوج بحکم الفراش</w:t>
      </w:r>
      <w:r>
        <w:rPr>
          <w:rFonts w:eastAsia="IRNazanin" w:cs="IRNazanin"/>
          <w:color w:val="111111"/>
          <w:sz w:val="28"/>
          <w:szCs w:val="28"/>
          <w:rtl w:val="true"/>
          <w:lang w:bidi="fa-IR"/>
        </w:rPr>
        <w:t>.</w:t>
      </w:r>
    </w:p>
    <w:p>
      <w:pPr>
        <w:pStyle w:val="Heading6"/>
        <w:numPr>
          <w:ilvl w:val="5"/>
          <w:numId w:val="1"/>
        </w:numPr>
        <w:rPr/>
      </w:pPr>
      <w:bookmarkStart w:id="192" w:name="__RefHeading___Toc9530547_73709187"/>
      <w:bookmarkStart w:id="193" w:name="_Toc76"/>
      <w:bookmarkEnd w:id="192"/>
      <w:r>
        <w:rPr>
          <w:rtl w:val="true"/>
        </w:rPr>
        <w:t>آراء بعض أهل السنّة فی الفرع الثالث</w:t>
      </w:r>
      <w:bookmarkEnd w:id="193"/>
    </w:p>
    <w:p>
      <w:pPr>
        <w:pStyle w:val="BookText"/>
        <w:rPr/>
      </w:pP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طلّقها الزوج و انقضت عدّتها منه و تزوّجت بآخر و أتت بولد، فإن وضعته لأربع سنین فما دونها من طلاق الأوّل، و لدون ستّة أشهر من عقد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یلحق بالثانی و لحق بالأوّل علی المذهب، و لا ینتفی عنه إلاّ باللعان، و علی قول أبی العبّاس لا یلحق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أتت به لأقلّ من ستّة أشهر من عقد الثانی، و لأکثر من أربع سنین من طلاق الأوّل؛ فإنّ الولد لا یلحق بالثانی و ینتفی عنه بغیر لعان، و هل یلحق بالأوّل؟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طلاقه بائناً لم یلحق به و انتفی عنه بغیر لعان، و إن کان طلاقه رجعیّاً فهل یلحق به؟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أتت به لأربع سنین فما دونها من طلاق الأوّل، و لستّة أشهر فما زاد من نکاح الثانی، فذکر الشیخ أبو حامد أنّ الولد یلحق بالثانی؛ لأنّ الفراش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أبو إسحاق أنّ الثانی إذا ادّعی أنّه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یعرض معهما علی القافة، فإن ألحقته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و انتفی عن الثانی بغیر لعان، و إن ألحقته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به و انتسب إلی الثانی، و لا ینتفی عنه إلاّ باللّعان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یعرف وقت طلاق الأوّل، و وقت النکاح الثانی حلف الثانی أنّه لا یعلم أنّها ولدته علی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انتفی عنه نسبه بغیر لعان</w:t>
      </w:r>
      <w:r>
        <w:rPr>
          <w:rFonts w:eastAsia="IRNazanin" w:cs="IRNazanin"/>
          <w:color w:val="111111"/>
          <w:sz w:val="28"/>
          <w:szCs w:val="28"/>
          <w:rtl w:val="true"/>
          <w:lang w:bidi="fa-IR"/>
        </w:rPr>
        <w:t>»</w:t>
      </w:r>
      <w:r>
        <w:rPr>
          <w:rStyle w:val="FootnoteAnchor"/>
          <w:rtl w:val="true"/>
        </w:rPr>
        <w:footnoteReference w:id="3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العزیز</w:t>
      </w:r>
      <w:r>
        <w:rPr>
          <w:rStyle w:val="FootnoteAnchor"/>
          <w:rtl w:val="true"/>
        </w:rPr>
        <w:footnoteReference w:id="378"/>
      </w:r>
      <w:r>
        <w:rPr>
          <w:rFonts w:ascii="IRNazanin" w:hAnsi="IRNazanin" w:eastAsia="IRNazanin"/>
          <w:color w:val="111111"/>
          <w:sz w:val="28"/>
          <w:sz w:val="28"/>
          <w:szCs w:val="28"/>
          <w:rtl w:val="true"/>
          <w:lang w:bidi="fa-IR"/>
        </w:rPr>
        <w:t>، و المجموع شرح المهذّب</w:t>
      </w:r>
      <w:r>
        <w:rPr>
          <w:rStyle w:val="FootnoteAnchor"/>
          <w:rtl w:val="true"/>
        </w:rPr>
        <w:footnoteReference w:id="379"/>
      </w:r>
      <w:r>
        <w:rPr>
          <w:rFonts w:ascii="IRNazanin" w:hAnsi="IRNazanin" w:eastAsia="IRNazanin"/>
          <w:color w:val="111111"/>
          <w:sz w:val="28"/>
          <w:sz w:val="28"/>
          <w:szCs w:val="28"/>
          <w:rtl w:val="true"/>
          <w:lang w:bidi="fa-IR"/>
        </w:rPr>
        <w:t>، و قریب من هذا فی المقنع</w:t>
      </w:r>
      <w:r>
        <w:rPr>
          <w:rStyle w:val="FootnoteAnchor"/>
          <w:rtl w:val="true"/>
        </w:rPr>
        <w:footnoteReference w:id="380"/>
      </w:r>
      <w:r>
        <w:rPr>
          <w:rFonts w:ascii="IRNazanin" w:hAnsi="IRNazanin" w:eastAsia="IRNazanin"/>
          <w:color w:val="111111"/>
          <w:sz w:val="28"/>
          <w:sz w:val="28"/>
          <w:szCs w:val="28"/>
          <w:rtl w:val="true"/>
          <w:lang w:bidi="fa-IR"/>
        </w:rPr>
        <w:t>، و کشّاف القناع</w:t>
      </w:r>
      <w:r>
        <w:rPr>
          <w:rStyle w:val="FootnoteAnchor"/>
          <w:rtl w:val="true"/>
        </w:rPr>
        <w:footnoteReference w:id="381"/>
      </w:r>
      <w:r>
        <w:rPr>
          <w:rFonts w:ascii="IRNazanin" w:hAnsi="IRNazanin" w:eastAsia="IRNazanin"/>
          <w:color w:val="111111"/>
          <w:sz w:val="28"/>
          <w:sz w:val="28"/>
          <w:szCs w:val="28"/>
          <w:rtl w:val="true"/>
          <w:lang w:bidi="fa-IR"/>
        </w:rPr>
        <w:t>، و مجمع الأنهر</w:t>
      </w:r>
      <w:r>
        <w:rPr>
          <w:rStyle w:val="FootnoteAnchor"/>
          <w:rtl w:val="true"/>
        </w:rPr>
        <w:footnoteReference w:id="382"/>
      </w:r>
      <w:bookmarkStart w:id="194" w:name="pg11754_112871"/>
    </w:p>
    <w:p>
      <w:pPr>
        <w:pStyle w:val="Heading4"/>
        <w:numPr>
          <w:ilvl w:val="3"/>
          <w:numId w:val="1"/>
        </w:numPr>
        <w:rPr/>
      </w:pPr>
      <w:bookmarkStart w:id="195" w:name="__RefHeading___Toc9530549_73709187"/>
      <w:bookmarkStart w:id="196" w:name="_Toc77"/>
      <w:bookmarkEnd w:id="194"/>
      <w:bookmarkEnd w:id="195"/>
      <w:r>
        <w:rPr>
          <w:rtl w:val="true"/>
        </w:rPr>
        <w:t>المبحث الرابع</w:t>
      </w:r>
      <w:r>
        <w:rPr>
          <w:rtl w:val="true"/>
        </w:rPr>
        <w:t xml:space="preserve">: </w:t>
      </w:r>
      <w:r>
        <w:rPr>
          <w:rtl w:val="true"/>
        </w:rPr>
        <w:t>حکم ولد الشبهة</w:t>
      </w:r>
      <w:bookmarkEnd w:id="196"/>
    </w:p>
    <w:p>
      <w:pPr>
        <w:pStyle w:val="Heading5"/>
        <w:numPr>
          <w:ilvl w:val="4"/>
          <w:numId w:val="1"/>
        </w:numPr>
        <w:rPr/>
      </w:pPr>
      <w:bookmarkStart w:id="197" w:name="__RefHeading___Toc9530551_73709187"/>
      <w:bookmarkStart w:id="198" w:name="_Toc78"/>
      <w:bookmarkEnd w:id="197"/>
      <w:r>
        <w:rPr>
          <w:rtl w:val="true"/>
        </w:rPr>
        <w:t>تمهید</w:t>
      </w:r>
      <w:r>
        <w:rPr>
          <w:rtl w:val="true"/>
        </w:rPr>
        <w:t>:</w:t>
      </w:r>
      <w:bookmarkEnd w:id="198"/>
    </w:p>
    <w:p>
      <w:pPr>
        <w:pStyle w:val="BookText"/>
        <w:rPr/>
      </w:pPr>
      <w:r>
        <w:rPr>
          <w:rFonts w:ascii="IRNazanin" w:hAnsi="IRNazanin" w:eastAsia="IRNazanin"/>
          <w:color w:val="111111"/>
          <w:sz w:val="28"/>
          <w:sz w:val="28"/>
          <w:szCs w:val="28"/>
          <w:rtl w:val="true"/>
          <w:lang w:bidi="fa-IR"/>
        </w:rPr>
        <w:t>الطفل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 من طرق شرعیّة؛ مثل النکاح و الملک فیُلْحَقُ بوالدیه قطعاً، کما تقدّم،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بالتلقیح و غیره من الطرق الحدیثة،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غیر مشروع کولد الزنا،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مجهول الهویّة و لا یعلم أبواه، و یسمّی اللقیط، و سیجیء الکلام فی هذه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یتولّد بشبهة؛ بأن یتصوّر الرجل أنّ المرأة المعیّنة زوجته و جامعها و لیس فی الواقع کذلک، و یتولّد منهما الولد، و البحث هنا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المعیار فی تمییز وط‌ء الشبهة الذی یلحق الولد بالواطئ عن الزنا الذی لیس کذلک، و لا یلحق بالزانی، و للتحقیق فی هذه المسألة عقدنا هذا البحث</w:t>
      </w:r>
      <w:r>
        <w:rPr>
          <w:rFonts w:eastAsia="IRNazanin" w:cs="IRNazanin"/>
          <w:color w:val="111111"/>
          <w:sz w:val="28"/>
          <w:szCs w:val="28"/>
          <w:rtl w:val="true"/>
          <w:lang w:bidi="fa-IR"/>
        </w:rPr>
        <w:t>.</w:t>
      </w:r>
    </w:p>
    <w:p>
      <w:pPr>
        <w:pStyle w:val="Heading5"/>
        <w:numPr>
          <w:ilvl w:val="4"/>
          <w:numId w:val="1"/>
        </w:numPr>
        <w:rPr/>
      </w:pPr>
      <w:bookmarkStart w:id="199" w:name="__RefHeading___Toc9530553_73709187"/>
      <w:bookmarkStart w:id="200" w:name="_Toc79"/>
      <w:bookmarkEnd w:id="199"/>
      <w:r>
        <w:rPr>
          <w:rtl w:val="true"/>
        </w:rPr>
        <w:t>وط‌ء الشبهة عند الفقهاء</w:t>
      </w:r>
      <w:bookmarkEnd w:id="200"/>
    </w:p>
    <w:p>
      <w:pPr>
        <w:pStyle w:val="Heading6"/>
        <w:numPr>
          <w:ilvl w:val="5"/>
          <w:numId w:val="1"/>
        </w:numPr>
        <w:rPr/>
      </w:pPr>
      <w:bookmarkStart w:id="201" w:name="__RefHeading___Toc9530555_73709187"/>
      <w:bookmarkStart w:id="202" w:name="_Toc80"/>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الشبهة لغةً بمعنی الالتباس، کما فی لسان العرب</w:t>
      </w:r>
      <w:r>
        <w:rPr>
          <w:rStyle w:val="FootnoteAnchor"/>
          <w:rtl w:val="true"/>
        </w:rPr>
        <w:footnoteReference w:id="383"/>
      </w:r>
      <w:r>
        <w:rPr>
          <w:rFonts w:ascii="IRNazanin" w:hAnsi="IRNazanin" w:eastAsia="IRNazanin"/>
          <w:color w:val="111111"/>
          <w:sz w:val="28"/>
          <w:sz w:val="28"/>
          <w:szCs w:val="28"/>
          <w:rtl w:val="true"/>
          <w:lang w:bidi="fa-IR"/>
        </w:rPr>
        <w:t>و تاج العروس</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اشتبهت الاُمور و تشابهت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التبست فلم تتمیّز و لم تظهر، و منه اشتبهت القبلة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شبهة لأنّها تشبه الحقّ، و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العلقة و الجمع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و شُبَهات، مثل غرفة و غرف و غرفات</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یعتبر فی تحقّق الشبهة</w:t>
      </w:r>
      <w:r>
        <w:rPr>
          <w:rStyle w:val="FootnoteAnchor"/>
          <w:rtl w:val="true"/>
        </w:rPr>
        <w:footnoteReference w:id="386"/>
      </w:r>
      <w:r>
        <w:rPr>
          <w:rFonts w:ascii="IRNazanin" w:hAnsi="IRNazanin" w:eastAsia="IRNazanin"/>
          <w:color w:val="111111"/>
          <w:sz w:val="28"/>
          <w:sz w:val="28"/>
          <w:szCs w:val="28"/>
          <w:rtl w:val="true"/>
          <w:lang w:bidi="fa-IR"/>
        </w:rPr>
        <w:t>عند الفقهاء فی المقام، اعتقاد فاعله الاستحقاق</w:t>
      </w:r>
      <w:bookmarkStart w:id="203" w:name="pg11754_112872"/>
    </w:p>
    <w:p>
      <w:pPr>
        <w:pStyle w:val="BookText"/>
        <w:rPr/>
      </w:pPr>
      <w:bookmarkEnd w:id="203"/>
      <w:r>
        <w:rPr>
          <w:rFonts w:ascii="IRNazanin" w:hAnsi="IRNazanin" w:eastAsia="IRNazanin"/>
          <w:color w:val="111111"/>
          <w:sz w:val="28"/>
          <w:sz w:val="28"/>
          <w:szCs w:val="28"/>
          <w:rtl w:val="true"/>
          <w:lang w:bidi="fa-IR"/>
        </w:rPr>
        <w:t>و لو لم یکن فی الواقع کذلک، أو یکفی عدم العلم بالتحریم، أو الظنّ بالاستحقاق أو البناء علیه و لو کان جاهلاً مقصّراً، أو یکفی نفس احتمال الاستحقاق؟ قد اختلفت کلماتهم فی تعریف وط‌ء الشبهة، فلا بدّ أن نتعرّض لها ثمّ نبیّن مقصودهم فی المقام</w:t>
      </w:r>
      <w:r>
        <w:rPr>
          <w:rFonts w:eastAsia="IRNazanin" w:cs="IRNazanin"/>
          <w:color w:val="111111"/>
          <w:sz w:val="28"/>
          <w:szCs w:val="28"/>
          <w:rtl w:val="true"/>
          <w:lang w:bidi="fa-IR"/>
        </w:rPr>
        <w:t>.</w:t>
      </w:r>
    </w:p>
    <w:p>
      <w:pPr>
        <w:pStyle w:val="Heading6"/>
        <w:numPr>
          <w:ilvl w:val="5"/>
          <w:numId w:val="1"/>
        </w:numPr>
        <w:rPr/>
      </w:pPr>
      <w:bookmarkStart w:id="204" w:name="__RefHeading___Toc9530557_73709187"/>
      <w:bookmarkStart w:id="205" w:name="_Toc81"/>
      <w:bookmarkEnd w:id="204"/>
      <w:r>
        <w:rPr>
          <w:rtl w:val="true"/>
        </w:rPr>
        <w:t>أ</w:t>
      </w:r>
      <w:r>
        <w:rPr>
          <w:rtl w:val="true"/>
        </w:rPr>
        <w:t xml:space="preserve">: </w:t>
      </w:r>
      <w:r>
        <w:rPr>
          <w:rtl w:val="true"/>
        </w:rPr>
        <w:t>عدم العلم بالتحریم</w:t>
      </w:r>
      <w:r>
        <w:rPr>
          <w:rtl w:val="true"/>
        </w:rPr>
        <w:t>:</w:t>
      </w:r>
      <w:bookmarkEnd w:id="205"/>
    </w:p>
    <w:p>
      <w:pPr>
        <w:pStyle w:val="BookText"/>
        <w:rPr/>
      </w:pPr>
      <w:r>
        <w:rPr>
          <w:rFonts w:ascii="IRNazanin" w:hAnsi="IRNazanin" w:eastAsia="IRNazanin"/>
          <w:color w:val="111111"/>
          <w:sz w:val="28"/>
          <w:sz w:val="28"/>
          <w:szCs w:val="28"/>
          <w:rtl w:val="true"/>
          <w:lang w:bidi="fa-IR"/>
        </w:rPr>
        <w:t>یستفاد من کلمات بعضهم أنّه یکفی فی تحقّق الشبهة عدم العلم بالتحریم، فیشمل کلّ شبهة مطلقاً، فضلاً عن الظنّ و الاطمئنان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شبهة العقد، فهو أن یعقد الرجل علی ذی محرم له من امّ أو بنت، أو اخت، أو عمّة، أو خالة، أو بنت أخ، أو بنت اخت، و هو لا یعرفها و لا یتحقّقها، أو یعقد علی امرأة لها زوج و هو لا یعلم ذلک، أو یعقد علی امرأة و هی فی عدّة لزوج؛ إمّا عدّة طلاق رجعی، أو بائن، أو عدّة المتوفّی عنها زوجها و هو جاهل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یدرأ عنها الحدّ و لم یحکم له بالزنا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بوط‌ء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الذی لیس بمستحقّ مع عدم العلم بتحریمه، فیدخل فیه وط‌ء الصبی و المجنون و النائم و شبهه، فیثبت به النسب کالصحیح</w:t>
      </w:r>
      <w:r>
        <w:rPr>
          <w:rFonts w:eastAsia="IRNazanin" w:cs="IRNazanin"/>
          <w:color w:val="111111"/>
          <w:sz w:val="28"/>
          <w:szCs w:val="28"/>
          <w:rtl w:val="true"/>
          <w:lang w:bidi="fa-IR"/>
        </w:rPr>
        <w:t>»</w:t>
      </w:r>
      <w:r>
        <w:rPr>
          <w:rStyle w:val="FootnoteAnchor"/>
          <w:rtl w:val="true"/>
        </w:rPr>
        <w:footnoteReference w:id="388"/>
      </w:r>
      <w:bookmarkStart w:id="206" w:name="pg11754_112873"/>
    </w:p>
    <w:p>
      <w:pPr>
        <w:pStyle w:val="BookText"/>
        <w:rPr/>
      </w:pPr>
      <w:bookmarkEnd w:id="206"/>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الاکتفاء بمطلق عدم العلم بالحرمة لا واقعاً و لا ظاهراً؛ بأن کان متردّداً و متنبّهاً للسؤال فلم یسأل و أقدم علی الوط‌ء</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أیضاً من کلام الفقیه السبزواری فی المهذّب، حیث بیّن أنّ أقسام وط‌ء الشبهة 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مجرّد الاحتمال مع عدم حصول الاعتقاد بأنّه یکفی فی الحلیّة، و مقتضی الأصل عدم جریان أحکام وط‌ء الشبهة علی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مجرّد الاحتمال مع عدم حصول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إمکان الفحص مع عدم وجود إطلاق صحیح فی البین، بعد ملاحظة مجموع الأخبار و القرائن الداخلیّة و الخارجیّة،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اهتمام الشارع بحفظ الأنساب مهما أمکنه ذلک، فیدخل القسم الرابع فی الوط‌ء الشبهة أیضاً، و یشهد له جعل الوط‌ء فی الشریعة المقدّسة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 الحرام، فما لیس بحرام فعلیّ داخل فی الأوّل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سنذکر قریباً أنّ المستفاد من النصوص المعتبرة أنّ صرف احتمال الجواز لا یکون مجوّزاً للوط‌ء، خصوصاً مع إمکان الفحص و التفاته بذلک، فمفاد حکم الظاهری فی هذه الحالة عدم جواز الوط‌ء، فلو وط‌ء یکون محرّماً ظاهراً، فکیف یمکن أن یلحق به الطفل</w:t>
      </w:r>
      <w:r>
        <w:rPr>
          <w:rFonts w:eastAsia="IRNazanin" w:cs="IRNazanin"/>
          <w:color w:val="111111"/>
          <w:sz w:val="28"/>
          <w:szCs w:val="28"/>
          <w:rtl w:val="true"/>
          <w:lang w:bidi="fa-IR"/>
        </w:rPr>
        <w:t>.</w:t>
      </w:r>
    </w:p>
    <w:p>
      <w:pPr>
        <w:pStyle w:val="Heading6"/>
        <w:numPr>
          <w:ilvl w:val="5"/>
          <w:numId w:val="1"/>
        </w:numPr>
        <w:rPr/>
      </w:pPr>
      <w:bookmarkStart w:id="207" w:name="__RefHeading___Toc9530559_73709187"/>
      <w:bookmarkStart w:id="208" w:name="_Toc82"/>
      <w:bookmarkEnd w:id="207"/>
      <w:r>
        <w:rPr>
          <w:rtl w:val="true"/>
        </w:rPr>
        <w:t>ب</w:t>
      </w:r>
      <w:r>
        <w:rPr>
          <w:rtl w:val="true"/>
        </w:rPr>
        <w:t xml:space="preserve">: </w:t>
      </w:r>
      <w:r>
        <w:rPr>
          <w:rtl w:val="true"/>
        </w:rPr>
        <w:t>ظنّ الحلیّة</w:t>
      </w:r>
      <w:bookmarkEnd w:id="208"/>
    </w:p>
    <w:p>
      <w:pPr>
        <w:pStyle w:val="BookText"/>
        <w:rPr/>
      </w:pPr>
      <w:r>
        <w:rPr>
          <w:rFonts w:ascii="IRNazanin" w:hAnsi="IRNazanin" w:eastAsia="IRNazanin"/>
          <w:color w:val="111111"/>
          <w:sz w:val="28"/>
          <w:sz w:val="28"/>
          <w:szCs w:val="28"/>
          <w:rtl w:val="true"/>
          <w:lang w:bidi="fa-IR"/>
        </w:rPr>
        <w:t>یستفاد من کلمات بعض آخر من الفقهاء أنّه یکفی فی تحقّق الشبهة ظنّ الحلّیة، فیشمل مطلق الظنّ و لو لم یکن معتبراً، فیصیر مطابقاً للأوّل فی الواقع و إن اختلفا فی التعبیر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موضع آخر من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نُعی الرجل</w:t>
      </w:r>
      <w:r>
        <w:rPr>
          <w:rStyle w:val="FootnoteAnchor"/>
          <w:rtl w:val="true"/>
        </w:rPr>
        <w:footnoteReference w:id="391"/>
      </w:r>
      <w:r>
        <w:rPr>
          <w:rFonts w:ascii="IRNazanin" w:hAnsi="IRNazanin" w:eastAsia="IRNazanin"/>
          <w:color w:val="111111"/>
          <w:sz w:val="28"/>
          <w:sz w:val="28"/>
          <w:szCs w:val="28"/>
          <w:rtl w:val="true"/>
          <w:lang w:bidi="fa-IR"/>
        </w:rPr>
        <w:t>إلی امرأته</w:t>
      </w:r>
    </w:p>
    <w:p>
      <w:pPr>
        <w:pStyle w:val="BookText"/>
        <w:rPr/>
      </w:pPr>
      <w:r>
        <w:rPr>
          <w:rFonts w:ascii="IRNazanin" w:hAnsi="IRNazanin" w:eastAsia="IRNazanin"/>
          <w:color w:val="111111"/>
          <w:sz w:val="28"/>
          <w:sz w:val="28"/>
          <w:szCs w:val="28"/>
          <w:rtl w:val="true"/>
          <w:lang w:bidi="fa-IR"/>
        </w:rPr>
        <w:t>أو اخبرت بطلاق زوجها لها، فاعتدّت و تزوّجت و رزقت أولاداً، ثمّ جاء زوجها الأوّل و أنکر الطلاق، و علم أنّ شهادة من شهد بالطلاق کانت شهادة زور، فرّق بینها و بین الزوج الأخیر، ثمّ تعتدّ منه و ترجع إلی الأوّل بالعقد المتقدّم، و یکون الأولاد للزوج الأخیر دون الأوّل</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علی فراشه امرأة فظنّها زوجته فوطأها لم یکن علیه الحدّ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 بالشبهة یلحق به النسب، فلو اشتبهت علیه أجنبیّة فظنّها زوجته أو مملوکته فوطأها الحق به الولد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395"/>
      </w:r>
      <w:r>
        <w:rPr>
          <w:rFonts w:ascii="IRNazanin" w:hAnsi="IRNazanin" w:eastAsia="IRNazanin"/>
          <w:color w:val="111111"/>
          <w:sz w:val="28"/>
          <w:sz w:val="28"/>
          <w:szCs w:val="28"/>
          <w:rtl w:val="true"/>
          <w:lang w:bidi="fa-IR"/>
        </w:rPr>
        <w:t>، و الوسیلة</w:t>
      </w:r>
      <w:r>
        <w:rPr>
          <w:rStyle w:val="FootnoteAnchor"/>
          <w:rtl w:val="true"/>
        </w:rPr>
        <w:footnoteReference w:id="396"/>
      </w:r>
      <w:r>
        <w:rPr>
          <w:rFonts w:ascii="IRNazanin" w:hAnsi="IRNazanin" w:eastAsia="IRNazanin"/>
          <w:color w:val="111111"/>
          <w:sz w:val="28"/>
          <w:sz w:val="28"/>
          <w:szCs w:val="28"/>
          <w:rtl w:val="true"/>
          <w:lang w:bidi="fa-IR"/>
        </w:rPr>
        <w:t>، و التحریر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 الشبهة کالصحیح فی إلحاق النسب، فلو ظنّ أجنبیّة زوجته أو جاریته فوطأها فالولد 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السرائر</w:t>
      </w:r>
      <w:r>
        <w:rPr>
          <w:rStyle w:val="FootnoteAnchor"/>
          <w:rtl w:val="true"/>
        </w:rPr>
        <w:footnoteReference w:id="399"/>
      </w:r>
      <w:r>
        <w:rPr>
          <w:rFonts w:ascii="Amiri" w:hAnsi="Amiri" w:eastAsia="Amiri" w:cs="Amiri"/>
          <w:color w:val="111111"/>
          <w:sz w:val="28"/>
          <w:sz w:val="28"/>
          <w:szCs w:val="28"/>
          <w:rtl w:val="true"/>
          <w:lang w:bidi="ar-SA"/>
        </w:rPr>
        <w:t>، و الروضة</w:t>
      </w:r>
      <w:r>
        <w:rPr>
          <w:rStyle w:val="FootnoteAnchor"/>
          <w:rtl w:val="true"/>
        </w:rPr>
        <w:footnoteReference w:id="400"/>
      </w:r>
      <w:r>
        <w:rPr>
          <w:rFonts w:ascii="IRNazanin" w:hAnsi="IRNazanin" w:eastAsia="IRNazanin"/>
          <w:color w:val="111111"/>
          <w:sz w:val="28"/>
          <w:sz w:val="28"/>
          <w:szCs w:val="28"/>
          <w:rtl w:val="true"/>
          <w:lang w:bidi="fa-IR"/>
        </w:rPr>
        <w:t>، و کشف اللثام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ضابطها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ظنّ الإباحة بلا خلاف أجده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بوط‌ء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الذی لیس بمستحقّ شرعاً مع ظنّه أنّه مستحقّ</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کثیر منهم الشبهة علی ما قیل بأنّه الوط‌ء الذی لیس بمستحقّ شرعاً مع ظنّ الاستحقاق</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تحقّق الشبهة موقوفاً علی حصول الظنّ المعتبر لم یصحّ التحدید بمطلق الظنّ، لعدم طرد التعریف علی ذلک التقدیر، و حمله علی خصوص الظنّ المعتبر تجوّز لا یرتکب مثله فی الحدود المبنیّة علی إرادة الظواهر، کما فی الجواهر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الذی یظهر من تعریف الشبهة المنسوب إلی الأکثر، الاکتفاء بمطلق الظنّ و إن لم یکن حجّة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هذا المعنی من بعض النصوص أیضاً، کموثّقة</w:t>
      </w:r>
    </w:p>
    <w:p>
      <w:pPr>
        <w:pStyle w:val="BookText"/>
        <w:rPr/>
      </w:pPr>
      <w:r>
        <w:rPr>
          <w:rFonts w:ascii="IRNazanin" w:hAnsi="IRNazanin" w:eastAsia="IRNazanin"/>
          <w:color w:val="111111"/>
          <w:sz w:val="28"/>
          <w:sz w:val="28"/>
          <w:szCs w:val="28"/>
          <w:rtl w:val="true"/>
          <w:lang w:bidi="fa-IR"/>
        </w:rPr>
        <w:t>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نُعی الرجل إلی أهلها، أو خبّروها أنّه قد طلّقها فاعتدّت، ثمّ تزوّجت فجاء 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أحقّ بها من الآخر، دخل بها أو لم یدخل، و لها من الآخر المهر بما استحلّ من فرجها</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حسب أهله أنّه</w:t>
      </w:r>
      <w:bookmarkStart w:id="209" w:name="pg11754_112876"/>
    </w:p>
    <w:p>
      <w:pPr>
        <w:pStyle w:val="BookText"/>
        <w:rPr/>
      </w:pPr>
      <w:bookmarkEnd w:id="209"/>
      <w:r>
        <w:rPr>
          <w:rFonts w:ascii="IRNazanin" w:hAnsi="IRNazanin" w:eastAsia="IRNazanin"/>
          <w:color w:val="111111"/>
          <w:sz w:val="28"/>
          <w:sz w:val="28"/>
          <w:szCs w:val="28"/>
          <w:rtl w:val="true"/>
          <w:lang w:bidi="fa-IR"/>
        </w:rPr>
        <w:t>قد مات أو قتل، فنکحت امرأته، و تزوّجت سریّته و ولدت کلّ واحد منهما من زوجها، فجاء زوجها الأوّل و مولی السریّة،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امرأته فهو أحقّ بها، و یأخذ سریته و ولدها، أو یأخذ رضاً من ثمنه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w:t>
      </w:r>
    </w:p>
    <w:p>
      <w:pPr>
        <w:pStyle w:val="BookText"/>
        <w:rPr/>
      </w:pPr>
      <w:r>
        <w:rPr>
          <w:rFonts w:ascii="IRNazanin" w:hAnsi="IRNazanin" w:eastAsia="IRNazanin"/>
          <w:color w:val="111111"/>
          <w:sz w:val="28"/>
          <w:sz w:val="28"/>
          <w:szCs w:val="28"/>
          <w:rtl w:val="true"/>
          <w:lang w:bidi="fa-IR"/>
        </w:rPr>
        <w:t>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شهدا علی رجل غائب عند امرأته أنّه طلّقها، فاعتدّت المرأة و تزوّجت، ثمّ إنّ الزوج الغائب قدم فزعم أنّه لم یطلّقها، فأکذب نفسه أحد الشاهدین،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للأخیر علیها، و یؤخذ الصداق من الذی شهد، فیردّ علی الأخیر، و الأوّل أملک بها، و تعتدّ من الأخیر، و لا یقربها الأوّل حتّی تنقضی عدّتها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410"/>
      </w:r>
      <w:r>
        <w:rPr>
          <w:rFonts w:ascii="IRNazanin" w:hAnsi="IRNazanin" w:eastAsia="IRNazanin"/>
          <w:color w:val="111111"/>
          <w:sz w:val="28"/>
          <w:sz w:val="28"/>
          <w:szCs w:val="28"/>
          <w:rtl w:val="true"/>
          <w:lang w:bidi="fa-IR"/>
        </w:rPr>
        <w:t>من النصوص الدالّة علی المطلوب باعتبار حکم الشبهة من الاعتداد، و إثبات المهر، و إلحاق الأولاد، من دون سؤال عن کون ذلک کان بطریق معتبر أو لا، عالماً بالاستحقاق أو لا، کان الشاهدین معتبرین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ظاهر هذه النصوص ترتّب الأحکام المذکورة علی مطلق الظنّ و إن حصل بطریق غیر 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الطائفة الاُخری من النصوص أنّ هذا الظاهر غیر مراد، بل المقصود من الظنّ فیها بقرینة تلک النصوص هو الظنّ المعتبر شرعاً، و سنذکرها قریباً</w:t>
      </w:r>
      <w:r>
        <w:rPr>
          <w:rFonts w:eastAsia="IRNazanin" w:cs="IRNazanin"/>
          <w:color w:val="111111"/>
          <w:sz w:val="28"/>
          <w:szCs w:val="28"/>
          <w:rtl w:val="true"/>
          <w:lang w:bidi="fa-IR"/>
        </w:rPr>
        <w:t>.</w:t>
      </w:r>
    </w:p>
    <w:p>
      <w:pPr>
        <w:pStyle w:val="Heading6"/>
        <w:numPr>
          <w:ilvl w:val="5"/>
          <w:numId w:val="1"/>
        </w:numPr>
        <w:rPr/>
      </w:pPr>
      <w:bookmarkStart w:id="210" w:name="__RefHeading___Toc9530561_73709187"/>
      <w:bookmarkStart w:id="211" w:name="_Toc83"/>
      <w:bookmarkEnd w:id="210"/>
      <w:r>
        <w:rPr>
          <w:rtl w:val="true"/>
        </w:rPr>
        <w:t>ج</w:t>
      </w:r>
      <w:r>
        <w:rPr>
          <w:rtl w:val="true"/>
        </w:rPr>
        <w:t xml:space="preserve">: </w:t>
      </w:r>
      <w:r>
        <w:rPr>
          <w:rtl w:val="true"/>
        </w:rPr>
        <w:t>الاعتقاد بالحلّیة</w:t>
      </w:r>
      <w:bookmarkEnd w:id="2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الآخر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المعتمد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فی تحقّق الشبهة اعتقاد</w:t>
      </w:r>
    </w:p>
    <w:p>
      <w:pPr>
        <w:pStyle w:val="BookText"/>
        <w:rPr/>
      </w:pPr>
      <w:r>
        <w:rPr>
          <w:rFonts w:ascii="Amiri" w:hAnsi="Amiri" w:eastAsia="Amiri" w:cs="Amiri"/>
          <w:color w:val="111111"/>
          <w:sz w:val="28"/>
          <w:sz w:val="28"/>
          <w:szCs w:val="28"/>
          <w:rtl w:val="true"/>
          <w:lang w:bidi="ar-SA"/>
        </w:rPr>
        <w:t>الواطئ بحلّیته و إن کان مقصّراً فی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الوط‌ء الذی لیس بمستحقّ فی نفس الأمر مع اعتقاد فاعله الاستحقاق، أو صدوره عنه بجهالةٍ مغتفرةٍ فی الشرع، أو مع ارتفاع التکلیف بسبب غیر محرّم، و المراد بالجهالة المغتفرة أن لا یعلم الاستحقاق، و یکون النکاح مع ذلک جائزاً کاشتباه المحرّم من النساء فی غیر المحصور بما یحلّ منهنّ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 غیر المستحقّ مع البناء فیه علی الاستحقاق و لو کان جاهلاً مقصّراً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الفقیه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بالشبهة الموجبة لسقوط الحدّ هو الجهل عن قصور أو تقصیر فی المقدّمات مع اعتقاد الحلّیة حال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کان جاهلاً بالحکم عن تقصیر، و ملتفتاً إلی جهله حال العمل، حکم علیه بالزنا و ثبوت الحدّ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w:t>
      </w:r>
      <w:r>
        <w:rPr>
          <w:rStyle w:val="FootnoteAnchor"/>
          <w:rtl w:val="true"/>
        </w:rPr>
        <w:footnoteReference w:id="414"/>
      </w:r>
      <w:r>
        <w:rPr>
          <w:rFonts w:ascii="IRNazanin" w:hAnsi="IRNazanin" w:eastAsia="IRNazanin"/>
          <w:color w:val="111111"/>
          <w:sz w:val="28"/>
          <w:sz w:val="28"/>
          <w:szCs w:val="28"/>
          <w:rtl w:val="true"/>
          <w:lang w:bidi="fa-IR"/>
        </w:rPr>
        <w:t>علی هذا القول صحیحة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تزوّجت فی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تزوّجت فی عدّة طلاق لزوجها علیها الرجعة، فإنّ علیها الرجم، و إن کانت تزوّجت فی عدّةٍ لیس لزوجها علیها الرجعة، فإنّ علیها حدّ الزانی غیر المحصن، و إن کانت تزوّجت فی عدّة بعد موت زوجها من قبل انقضاء الأربعة أشهر و العشرة أیّام، فلا رجم علیها و علیها ضرب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ذلک منها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 هی تعلم أنّ علیها عدّة فی طلاق أو موت، و لقد کنّ نساء الجاهلیّة یعرفن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تعلم أنّ علیها عدّة و لا تدری کم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w:t>
      </w:r>
      <w:r>
        <w:rPr>
          <w:rStyle w:val="FootnoteAnchor"/>
          <w:rtl w:val="true"/>
        </w:rPr>
        <w:footnoteReference w:id="415"/>
      </w:r>
      <w:r>
        <w:rPr>
          <w:rFonts w:ascii="Amiri" w:hAnsi="Amiri" w:eastAsia="Amiri" w:cs="Amiri"/>
          <w:color w:val="111111"/>
          <w:sz w:val="28"/>
          <w:sz w:val="28"/>
          <w:szCs w:val="28"/>
          <w:rtl w:val="true"/>
          <w:lang w:bidi="ar-SA"/>
        </w:rPr>
        <w:t>أنّ علیها العدّة لزمتها الحجّة فتسأل حتّی تعلم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صحیحة</w:t>
      </w:r>
    </w:p>
    <w:p>
      <w:pPr>
        <w:pStyle w:val="BookText"/>
        <w:rPr/>
      </w:pPr>
      <w:r>
        <w:rPr>
          <w:rFonts w:ascii="IRNazanin" w:hAnsi="IRNazanin" w:eastAsia="IRNazanin"/>
          <w:color w:val="111111"/>
          <w:sz w:val="28"/>
          <w:sz w:val="28"/>
          <w:szCs w:val="28"/>
          <w:rtl w:val="true"/>
          <w:lang w:bidi="fa-IR"/>
        </w:rPr>
        <w:t>أبی عبیدة الحذاء،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زوجها الأوّل مقیماً معها فی المصر التی هی فیه تصل إلیه و یصل إلیها؛ فإنّ علیها ما علی الزانی المحصن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جاهلة بما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هی فی دار الهجرة؟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الیوم من نساء المسلمین إلاّ و هی تعلم أنّ المرأة المسلمة لا یحلّ لها أن تتزوّج زوجین،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المرأة إذا فجرت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أدر، أو جهلت أنّ الّذی فعلت حرام و لم یقم علیها الحدّ، إذاً لتعطّلت الحدود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تدلاّن علی أنّ من لزمته الحجّة لا بدّ له من السؤال حتّی لا یکون متردّداً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تصدق الشبهة فی حقّ من کان متردّداً و إن حصل له الظنّ غیر المعتبر، بل یلزم</w:t>
      </w:r>
      <w:r>
        <w:rPr>
          <w:rStyle w:val="FootnoteAnchor"/>
          <w:rtl w:val="true"/>
        </w:rPr>
        <w:footnoteReference w:id="418"/>
      </w:r>
      <w:r>
        <w:rPr>
          <w:rFonts w:ascii="IRNazanin" w:hAnsi="IRNazanin" w:eastAsia="IRNazanin"/>
          <w:color w:val="111111"/>
          <w:sz w:val="28"/>
          <w:sz w:val="28"/>
          <w:szCs w:val="28"/>
          <w:rtl w:val="true"/>
          <w:lang w:bidi="fa-IR"/>
        </w:rPr>
        <w:t>فی تحقّق الشبهة حصول الظنّ المعتبر، أو الاعتقاد بحلّیة الوط‌ء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النصوص تکون قرینة</w:t>
      </w:r>
      <w:r>
        <w:rPr>
          <w:rStyle w:val="FootnoteAnchor"/>
          <w:rtl w:val="true"/>
        </w:rPr>
        <w:footnoteReference w:id="419"/>
      </w:r>
      <w:r>
        <w:rPr>
          <w:rFonts w:ascii="IRNazanin" w:hAnsi="IRNazanin" w:eastAsia="IRNazanin"/>
          <w:color w:val="111111"/>
          <w:sz w:val="28"/>
          <w:sz w:val="28"/>
          <w:szCs w:val="28"/>
          <w:rtl w:val="true"/>
          <w:lang w:bidi="fa-IR"/>
        </w:rPr>
        <w:t>علی أنّ المقصود من الظنّ فی النصوص المتقدّمة أیضاً هو الظنّ المعتبر و إن کان الظاهر منها بدواً هو مطلق الظنّ، فتکون ناظرة و توضیحاً للنصوص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فی النصوص المتقدّمة إطلاق بالنظر البدوی، فهو مقیّد بهذین الصحیحتین، و تکون نتیجة الجمع بینهما اعتبار عدم التردّد فی الحجّیة فی ثبوت الشبهة و إن کان الواطئ مقصّراً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یصحّ أن یدّعی أنّ النصوص المتقدّمة أیضاً تدلّ علی أنّه یشترط فی تحقّق الشبهة حصول الظنّ المعتبر بحلّیة الوط‌ء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بأنّ مقتضی التحقیق فی مثل هذه الروایات اعتبار تحقّق حلّیة الوط‌ء و لو ظاهراً، إمّا بالاعتقاد عن علم، أو اطمئنان یعامل معه معاملة العلم، أو شهادة البیّنة الشرعیّة، أو مثلها، و إلاّ فلأیّ أمر قد ذکر فی الموضوع قید الحسبان أو شهادة شاهدین و أمثالهما، و من الواضح عدم اعتبار حصول الظنّ الشخصی فی مثل قیام البیّنة، فاستفادة حصول الظنّ و لو کان غیر معتبر من هذه الروایات ممّا لا وجه لها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استظهر فی المهذّب من الأخبار المتقدّمة، انّه یحصل علم العادی و الاطمئنان فی مورد تلک النصوص، فلا وجه للتمسّک بها؛ لعدم اعتبار حصول الظّن فضلاً عن کونه معتبراً، حیث قال فی ذیل صحیحة محمد بن مسلم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حصول الاطمئنان العادی من شهادة رجلین، إلی غیر ذلک من الروایات الظاهرة فی حصول الاعتقاد و الاطمئنان العادی، إمّا بقرائن خارجیّة أو داخلیّة بعد ردّ بعضها إلی بعض، و استفادة الحکم من مجموعها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ممّا قلنا أنّ مقصود الفقهاء من کفایة حصول الظنّ فی تحقّق الشبهة، هو الظنّ المعتبر، لا مطلق الظنّ و لو کان ظاهر کلماتهم یوهم 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کلمات بعضهم التی تدلّ بظاهره علی کفایة مطلق 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یدفع الإشکال من أصله؛ بأنّه بعد العلم</w:t>
      </w:r>
      <w:r>
        <w:rPr>
          <w:rStyle w:val="FootnoteAnchor"/>
          <w:rtl w:val="true"/>
        </w:rPr>
        <w:footnoteReference w:id="422"/>
      </w:r>
      <w:r>
        <w:rPr>
          <w:rFonts w:ascii="IRNazanin" w:hAnsi="IRNazanin" w:eastAsia="IRNazanin"/>
          <w:color w:val="111111"/>
          <w:sz w:val="28"/>
          <w:sz w:val="28"/>
          <w:szCs w:val="28"/>
          <w:rtl w:val="true"/>
          <w:lang w:bidi="fa-IR"/>
        </w:rPr>
        <w:t xml:space="preserve">بتوقّف إباحة الفروج علی الإذن الشرعی لا یفیدها ظنّ الاستحقاق و لا احتماله إلاّ مع اعتباره و جواز التعویل علیه فی الشرع، فبدونه کما هو المفروض ینتفی الإذن و یثبت التحریم، فلا یکون هناک شبهة مسوّغة للوط‌ء کی یکون الوط‌ء وط‌ء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ظهر من ذلک أنّ إطلاق الظنّ فی تعریف الوط‌ء بالشبهة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عدم العلم بالتحریم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محمولاً علی ظاهره، بل هو مقیّد بما یجوز معه الوط‌ء علی ما صرّحوا و اقتضته طریقتهم المعلومة فی استباحة الفروج، و مثل هذا التسامح لا یخلو عنه أکثر</w:t>
      </w:r>
      <w:bookmarkStart w:id="212" w:name="pg11754_112881"/>
    </w:p>
    <w:p>
      <w:pPr>
        <w:pStyle w:val="BookText"/>
        <w:rPr/>
      </w:pPr>
      <w:bookmarkEnd w:id="212"/>
      <w:r>
        <w:rPr>
          <w:rFonts w:ascii="IRNazanin" w:hAnsi="IRNazanin" w:eastAsia="IRNazanin"/>
          <w:color w:val="111111"/>
          <w:sz w:val="28"/>
          <w:sz w:val="28"/>
          <w:szCs w:val="28"/>
          <w:rtl w:val="true"/>
          <w:lang w:bidi="fa-IR"/>
        </w:rPr>
        <w:t>التعریفات، سیّما تعاریف أهل هذا الفنّ؛ فإنّه لا یکاد یسلم شیء منها عن المسامحة و الانتقاض بحسب الطرد و العکس</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9530563_73709187"/>
      <w:bookmarkStart w:id="214" w:name="_Toc84"/>
      <w:bookmarkEnd w:id="213"/>
      <w:r>
        <w:rPr>
          <w:rtl w:val="true"/>
        </w:rPr>
        <w:t>إلحاق الولد فی الشبهة</w:t>
      </w:r>
      <w:bookmarkEnd w:id="214"/>
    </w:p>
    <w:p>
      <w:pPr>
        <w:pStyle w:val="Heading6"/>
        <w:numPr>
          <w:ilvl w:val="5"/>
          <w:numId w:val="1"/>
        </w:numPr>
        <w:rPr/>
      </w:pPr>
      <w:bookmarkStart w:id="215" w:name="__RefHeading___Toc9530565_73709187"/>
      <w:bookmarkStart w:id="216" w:name="_Toc85"/>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الظاهر أنّه لا خلاف بین الفقهاء، بل تحقّق الإجماع فی أنّ وط‌ء الشبهة کالصحیح فی إلحاق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 بالشبهة یلحق به النسب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الجواهر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فیه بیننا، بل الإجماع بقسمیه علیه</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426"/>
      </w:r>
      <w:r>
        <w:rPr>
          <w:rFonts w:ascii="IRNazanin" w:hAnsi="IRNazanin" w:eastAsia="IRNazanin"/>
          <w:color w:val="111111"/>
          <w:sz w:val="28"/>
          <w:sz w:val="28"/>
          <w:szCs w:val="28"/>
          <w:rtl w:val="true"/>
          <w:lang w:bidi="fa-IR"/>
        </w:rPr>
        <w:t>، و به قال فی الجامع للشرائع</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بالشبهة یلحق به النسب کالصحیح</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429"/>
      </w:r>
      <w:r>
        <w:rPr>
          <w:rFonts w:ascii="IRNazanin" w:hAnsi="IRNazanin" w:eastAsia="IRNazanin"/>
          <w:color w:val="111111"/>
          <w:sz w:val="28"/>
          <w:sz w:val="28"/>
          <w:szCs w:val="28"/>
          <w:rtl w:val="true"/>
          <w:lang w:bidi="fa-IR"/>
        </w:rPr>
        <w:t>، و الإیضاح</w:t>
      </w:r>
      <w:r>
        <w:rPr>
          <w:rStyle w:val="FootnoteAnchor"/>
          <w:rtl w:val="true"/>
        </w:rPr>
        <w:footnoteReference w:id="430"/>
      </w:r>
      <w:r>
        <w:rPr>
          <w:rFonts w:ascii="IRNazanin" w:hAnsi="IRNazanin" w:eastAsia="IRNazanin"/>
          <w:color w:val="111111"/>
          <w:sz w:val="28"/>
          <w:sz w:val="28"/>
          <w:szCs w:val="28"/>
          <w:rtl w:val="true"/>
          <w:lang w:bidi="fa-IR"/>
        </w:rPr>
        <w:t>، و جامع المقاصد</w:t>
      </w:r>
      <w:r>
        <w:rPr>
          <w:rStyle w:val="FootnoteAnchor"/>
          <w:rtl w:val="true"/>
        </w:rPr>
        <w:footnoteReference w:id="431"/>
      </w:r>
      <w:r>
        <w:rPr>
          <w:rFonts w:ascii="IRNazanin" w:hAnsi="IRNazanin" w:eastAsia="IRNazanin"/>
          <w:color w:val="111111"/>
          <w:sz w:val="28"/>
          <w:sz w:val="28"/>
          <w:szCs w:val="28"/>
          <w:rtl w:val="true"/>
          <w:lang w:bidi="fa-IR"/>
        </w:rPr>
        <w:t>، و المهذّب البارع</w:t>
      </w:r>
      <w:r>
        <w:rPr>
          <w:rStyle w:val="FootnoteAnchor"/>
          <w:rtl w:val="true"/>
        </w:rPr>
        <w:footnoteReference w:id="432"/>
      </w:r>
      <w:r>
        <w:rPr>
          <w:rFonts w:ascii="IRNazanin" w:hAnsi="IRNazanin" w:eastAsia="IRNazanin"/>
          <w:color w:val="111111"/>
          <w:sz w:val="28"/>
          <w:sz w:val="28"/>
          <w:szCs w:val="28"/>
          <w:rtl w:val="true"/>
          <w:lang w:bidi="fa-IR"/>
        </w:rPr>
        <w:t>، و القواعد و الفوائد</w:t>
      </w:r>
      <w:r>
        <w:rPr>
          <w:rStyle w:val="FootnoteAnchor"/>
          <w:rtl w:val="true"/>
        </w:rPr>
        <w:footnoteReference w:id="433"/>
      </w:r>
      <w:r>
        <w:rPr>
          <w:rFonts w:ascii="IRNazanin" w:hAnsi="IRNazanin" w:eastAsia="IRNazanin"/>
          <w:color w:val="111111"/>
          <w:sz w:val="28"/>
          <w:sz w:val="28"/>
          <w:szCs w:val="28"/>
          <w:rtl w:val="true"/>
          <w:lang w:bidi="fa-IR"/>
        </w:rPr>
        <w:t>، و المسالک</w:t>
      </w:r>
      <w:r>
        <w:rPr>
          <w:rStyle w:val="FootnoteAnchor"/>
          <w:rtl w:val="true"/>
        </w:rPr>
        <w:footnoteReference w:id="434"/>
      </w:r>
      <w:r>
        <w:rPr>
          <w:rFonts w:ascii="IRNazanin" w:hAnsi="IRNazanin" w:eastAsia="IRNazanin"/>
          <w:color w:val="111111"/>
          <w:sz w:val="28"/>
          <w:sz w:val="28"/>
          <w:szCs w:val="28"/>
          <w:rtl w:val="true"/>
          <w:lang w:bidi="fa-IR"/>
        </w:rPr>
        <w:t>، و الریاض</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w:t>
      </w:r>
    </w:p>
    <w:p>
      <w:pPr>
        <w:pStyle w:val="BookText"/>
        <w:rPr/>
      </w:pPr>
      <w:r>
        <w:rPr>
          <w:rFonts w:ascii="IRNazanin" w:hAnsi="IRNazanin" w:eastAsia="IRNazanin"/>
          <w:color w:val="111111"/>
          <w:sz w:val="28"/>
          <w:sz w:val="28"/>
          <w:szCs w:val="28"/>
          <w:rtl w:val="true"/>
          <w:lang w:bidi="fa-IR"/>
        </w:rPr>
        <w:t>أنّ وط‌ء الشبهة کالصحیح فی إلحاق النسب، کما نطقت به الأخبار</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و به قال أیضاً فقهاء المعاصرین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 ذلک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کمعتبرة محمّد بن قیس المتقدّمة</w:t>
      </w:r>
      <w:r>
        <w:rPr>
          <w:rStyle w:val="FootnoteAnchor"/>
          <w:rtl w:val="true"/>
        </w:rPr>
        <w:footnoteReference w:id="4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الشیخ فی التهذیب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مملوکة أتت قوماً و زعمت أنّها حرّة، فتزوّجها رجل منهم و أولدها ولداً، ثمّ إنّ مولاها أتاهم فأقام عندهم البیّنة أنّها مملوکة و أقرّت الجاریة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إلی مولاها هی و ولدها، و علی مولاها أن یدفع ولدها إلی أبیه بقیمته یوم یصیر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لأبیه ما یأخذ ابنه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أبوه فی ثمنه حتّی یؤدّیه و یأخذ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إسماعیل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یری امرأة تدخل علی قوم و تخرج، فسأل عنها،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أمتهم و اسمها فلانة،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زوّجونی فلانة فلمّا زوّجوه عرفوا أنّها أمة غیرهم،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ولدها 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فخطب إلیهم أن یزوّجوه من أنفسهم، فزوّجوه و هو یری أنّها من أنفسهم، فعرفوا بعد ما أولدها أنّها 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له و هم ضامنون لقیمة الولد لمولی الجاریة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فی الفقیه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جاریة علی أنّها حرّة،</w:t>
      </w:r>
      <w:bookmarkStart w:id="217" w:name="pg11754_112883"/>
    </w:p>
    <w:p>
      <w:pPr>
        <w:pStyle w:val="BookText"/>
        <w:rPr/>
      </w:pPr>
      <w:bookmarkEnd w:id="217"/>
      <w:r>
        <w:rPr>
          <w:rFonts w:ascii="IRNazanin" w:hAnsi="IRNazanin" w:eastAsia="IRNazanin"/>
          <w:color w:val="111111"/>
          <w:sz w:val="28"/>
          <w:sz w:val="28"/>
          <w:szCs w:val="28"/>
          <w:rtl w:val="true"/>
          <w:lang w:bidi="fa-IR"/>
        </w:rPr>
        <w:t>ثمّ جاء رجل فأقام البیّنة علی أنّها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یأخذها و یأخذ قیمة ولدها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الأخبار الکثیرة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فیها حکم الإمام علیه السلام بإلحاق الولد بالواطئ، مع أنّ الوط‌ء وقع منه شبهة، فیستفاد منها حکم إلحاق النسب بالوط‌ء بالشبهة فی جمیع الموارد، کما جاء فی کلمات الفقهاء، سواء تحقّقت الشبهة فی حقّ الرجل و المرأة کلیهما، أو فی حقّ أحدهما، فلو اشتبه علی الرجل أجنبیّة فظنّها زوجته علی وجه یکون مشتبهاً فوطأها، لحق به الولد و إن لم تکن هی مشتبهة، کما أنّه یلحق بها الولد مع شبهتها و إن لم یکن هو کذلک</w:t>
      </w:r>
      <w:r>
        <w:rPr>
          <w:rFonts w:eastAsia="IRNazanin" w:cs="IRNazanin"/>
          <w:color w:val="111111"/>
          <w:sz w:val="28"/>
          <w:szCs w:val="28"/>
          <w:rtl w:val="true"/>
          <w:lang w:bidi="fa-IR"/>
        </w:rPr>
        <w:t>.</w:t>
      </w:r>
    </w:p>
    <w:p>
      <w:pPr>
        <w:pStyle w:val="Heading6"/>
        <w:numPr>
          <w:ilvl w:val="5"/>
          <w:numId w:val="1"/>
        </w:numPr>
        <w:rPr/>
      </w:pPr>
      <w:bookmarkStart w:id="218" w:name="__RefHeading___Toc9530567_73709187"/>
      <w:bookmarkStart w:id="219" w:name="_Toc86"/>
      <w:bookmarkEnd w:id="218"/>
      <w:r>
        <w:rPr>
          <w:rtl w:val="true"/>
        </w:rPr>
        <w:t>هنا فرعان ینبغی ذکرهما</w:t>
      </w:r>
      <w:bookmarkEnd w:id="219"/>
    </w:p>
    <w:p>
      <w:pPr>
        <w:pStyle w:val="Heading6"/>
        <w:numPr>
          <w:ilvl w:val="5"/>
          <w:numId w:val="1"/>
        </w:numPr>
        <w:rPr/>
      </w:pPr>
      <w:bookmarkStart w:id="220" w:name="__RefHeading___Toc9530569_73709187"/>
      <w:bookmarkStart w:id="221" w:name="_Toc87"/>
      <w:bookmarkEnd w:id="220"/>
      <w:r>
        <w:rPr>
          <w:rtl w:val="true"/>
        </w:rPr>
        <w:t>الأوّل</w:t>
      </w:r>
      <w:r>
        <w:rPr>
          <w:rtl w:val="true"/>
        </w:rPr>
        <w:t xml:space="preserve">: </w:t>
      </w:r>
      <w:r>
        <w:rPr>
          <w:rtl w:val="true"/>
        </w:rPr>
        <w:t>لو طلّقها ثمّ بعد تمام العدّة وطئت بشبهة ثمّ أتت بولدٍ</w:t>
      </w:r>
      <w:bookmarkEnd w:id="2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کالتزویج بعد العدّة، فتجری فیه الصور الأربعة المتقدّمة فی الفرع الثالث من المبحث الثالث</w:t>
      </w:r>
      <w:r>
        <w:rPr>
          <w:rStyle w:val="FootnoteAnchor"/>
          <w:rtl w:val="true"/>
        </w:rPr>
        <w:footnoteReference w:id="443"/>
      </w:r>
      <w:r>
        <w:rPr>
          <w:rFonts w:ascii="IRNazanin" w:hAnsi="IRNazanin" w:eastAsia="IRNazanin"/>
          <w:color w:val="111111"/>
          <w:sz w:val="28"/>
          <w:sz w:val="28"/>
          <w:szCs w:val="28"/>
          <w:rtl w:val="true"/>
          <w:lang w:bidi="fa-IR"/>
        </w:rPr>
        <w:t>؛ و هی ما إذا أمکن اللحوق بکلّ منهما أو بالأخیر؛ فإنّه یلحق بالأخیر هنا أیضاً، و ما أمکن لحوقه بالأوّل فقط، فهو للأوّل فقط و ما لا یمکن اللحوق بأحدهما فینتفی عنهما معاً، لاتّحاد الموضوع شرعاً فیتّحد الحکم قهراً؛ لأنّ الوط‌ء بالشبهة وط‌ء صحیح شرعیّ، کما فی مهذّب الأحکام</w:t>
      </w:r>
      <w:r>
        <w:rPr>
          <w:rStyle w:val="FootnoteAnchor"/>
          <w:rtl w:val="true"/>
        </w:rPr>
        <w:footnoteReference w:id="444"/>
      </w:r>
      <w:r>
        <w:rPr>
          <w:rFonts w:ascii="IRNazanin" w:hAnsi="IRNazanin" w:eastAsia="IRNazanin"/>
          <w:color w:val="111111"/>
          <w:sz w:val="28"/>
          <w:sz w:val="28"/>
          <w:szCs w:val="28"/>
          <w:rtl w:val="true"/>
          <w:lang w:bidi="fa-IR"/>
        </w:rPr>
        <w:t>، و تحریر الوسیلة</w:t>
      </w:r>
      <w:r>
        <w:rPr>
          <w:rStyle w:val="FootnoteAnchor"/>
          <w:rtl w:val="true"/>
        </w:rPr>
        <w:footnoteReference w:id="445"/>
      </w:r>
      <w:r>
        <w:rPr>
          <w:rFonts w:ascii="IRNazanin" w:hAnsi="IRNazanin" w:eastAsia="IRNazanin"/>
          <w:color w:val="111111"/>
          <w:sz w:val="28"/>
          <w:sz w:val="28"/>
          <w:szCs w:val="28"/>
          <w:rtl w:val="true"/>
          <w:lang w:bidi="fa-IR"/>
        </w:rPr>
        <w:t>و شرحه</w:t>
      </w:r>
      <w:r>
        <w:rPr>
          <w:rStyle w:val="FootnoteAnchor"/>
          <w:rtl w:val="true"/>
        </w:rPr>
        <w:footnoteReference w:id="446"/>
      </w:r>
      <w:r>
        <w:rPr>
          <w:rFonts w:ascii="IRNazanin" w:hAnsi="IRNazanin" w:eastAsia="IRNazanin"/>
          <w:color w:val="111111"/>
          <w:sz w:val="28"/>
          <w:sz w:val="28"/>
          <w:szCs w:val="28"/>
          <w:rtl w:val="true"/>
          <w:lang w:bidi="fa-IR"/>
        </w:rPr>
        <w:t>، و یدلّ علیه بعض النصوص المتقدّمة أیضاً</w:t>
      </w:r>
      <w:r>
        <w:rPr>
          <w:rFonts w:eastAsia="IRNazanin" w:cs="IRNazanin"/>
          <w:color w:val="111111"/>
          <w:sz w:val="28"/>
          <w:szCs w:val="28"/>
          <w:rtl w:val="true"/>
          <w:lang w:bidi="fa-IR"/>
        </w:rPr>
        <w:t>.</w:t>
      </w:r>
      <w:bookmarkStart w:id="222" w:name="pg11754_112884"/>
    </w:p>
    <w:p>
      <w:pPr>
        <w:pStyle w:val="Heading6"/>
        <w:numPr>
          <w:ilvl w:val="5"/>
          <w:numId w:val="1"/>
        </w:numPr>
        <w:rPr/>
      </w:pPr>
      <w:bookmarkStart w:id="223" w:name="__RefHeading___Toc9530571_73709187"/>
      <w:bookmarkStart w:id="224" w:name="_Toc88"/>
      <w:bookmarkEnd w:id="222"/>
      <w:bookmarkEnd w:id="223"/>
      <w:r>
        <w:rPr>
          <w:rtl w:val="true"/>
        </w:rPr>
        <w:t>الثانی</w:t>
      </w:r>
      <w:r>
        <w:rPr>
          <w:rtl w:val="true"/>
        </w:rPr>
        <w:t xml:space="preserve">: </w:t>
      </w:r>
      <w:r>
        <w:rPr>
          <w:rtl w:val="true"/>
        </w:rPr>
        <w:t>إذا کانت تحت زوج و وطأها شخص آخر بشبهة ثمّ أتت بولد</w:t>
      </w:r>
      <w:bookmarkEnd w:id="224"/>
    </w:p>
    <w:p>
      <w:pPr>
        <w:pStyle w:val="BookText"/>
        <w:rPr/>
      </w:pPr>
      <w:r>
        <w:rPr>
          <w:rFonts w:ascii="IRNazanin" w:hAnsi="IRNazanin" w:eastAsia="IRNazanin"/>
          <w:color w:val="111111"/>
          <w:sz w:val="28"/>
          <w:sz w:val="28"/>
          <w:szCs w:val="28"/>
          <w:rtl w:val="true"/>
          <w:lang w:bidi="fa-IR"/>
        </w:rPr>
        <w:t>، فإن أمکن لحوقه بأحدهما دون الآخر یلحق به؛ لتحقّق شرط اللحوق بمن یمکن اللحوق به، فیکون له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اللحوق بهما انتفی عنهما؛ لفرض انتفاء شرط اللحوق عن کلّ منهما، فلا موضوع للإلحاق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لحوقه بکلّ منهما أقرع بینهما؛ لفرض إمکان اللحوق بکلّ منهما، و لا ترجیح و لا نصّ فی البین، فیقرع لا محالة؛ لأنّها لکلّ أمرٍ مشکل، و لیس لأحدهما حقّ سلب نسبته عن الولد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أمکن أن یکون من کلّ واحد منهما استخرج بالقرعة، فمن خرج اسمه ألحق به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یقرع بینه، و بین المشتبه مع صلاحیّته لهما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بعض المحقّقین فی توجیه هذا الحکم،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الفراش</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عبارة عن کونه مالکاً شرعاً للوط‌ء، و له حقّ أن یفعل، و المشتبه لیس له ذلک، و إنّما یرتکب محرّماً معفوّاً عنه لجهله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فعله لیس زنا؛ لأنّه أخذ فی مفهوم الزنا الالتفات و العلم أو العلمی بالحکم و الموضوع جمیعاً، فلا یترتّب علی عمله آثار المترتّبة علی الزنا؛ من عدم إرث الولد و الحدّ و غیره، فلو کان هناک واطئان بالشبهة و أمکن الإلحاق بکلّ واحدٍ منهما یقرع بینهما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بالقرعة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w:t>
      </w:r>
      <w:bookmarkStart w:id="225" w:name="pg11754_112885"/>
    </w:p>
    <w:p>
      <w:pPr>
        <w:pStyle w:val="BookText"/>
        <w:rPr/>
      </w:pPr>
      <w:bookmarkEnd w:id="225"/>
      <w:r>
        <w:rPr>
          <w:rFonts w:ascii="IRNazanin" w:hAnsi="IRNazanin" w:eastAsia="IRNazanin"/>
          <w:color w:val="111111"/>
          <w:sz w:val="28"/>
          <w:sz w:val="28"/>
          <w:szCs w:val="28"/>
          <w:rtl w:val="true"/>
          <w:lang w:bidi="fa-IR"/>
        </w:rPr>
        <w:t>الروایات هنا بوجه؛ لأنّ المفروض فیها وجود الأوّل و الأخیر، و هنا لا یکون الأمر کذلک؛ لأنّ المفروض تحقّق الوط‌ء بشبهة فی حال بقاء الزوجیّة و عدم انتفائها بوجه، بخلاف المسألتین السابقتین، المفروض فیهما وجود الواطئین بالوط‌ء المحلّل الأوّل و الأخیر، فالروایات غیر شاملة لهذا الفرض و لو بعد إلغاء الخصوصیّة، فاللازم الرجوع إلی القاعدة، و هی تقتضی الإقراع کما مرّ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9530573_73709187"/>
      <w:bookmarkStart w:id="227" w:name="_Toc89"/>
      <w:bookmarkEnd w:id="226"/>
      <w:r>
        <w:rPr>
          <w:rtl w:val="true"/>
        </w:rPr>
        <w:t>آراء أهل السنّة فی إلحاق الولد عند الشبهة</w:t>
      </w:r>
      <w:bookmarkEnd w:id="227"/>
    </w:p>
    <w:p>
      <w:pPr>
        <w:pStyle w:val="BookText"/>
        <w:rPr/>
      </w:pPr>
      <w:r>
        <w:rPr>
          <w:rFonts w:ascii="IRNazanin" w:hAnsi="IRNazanin" w:eastAsia="IRNazanin"/>
          <w:color w:val="111111"/>
          <w:sz w:val="28"/>
          <w:sz w:val="28"/>
          <w:szCs w:val="28"/>
          <w:rtl w:val="true"/>
          <w:lang w:bidi="fa-IR"/>
        </w:rPr>
        <w:t>الظاهر لا خلاف بینهم فی أنّه کما یثبت النسب مع النکاح الصحیح، یثبت مع الوط‌ء بالشبهة و إن اختلفوا فی شرائطه، فإلیک نصّ بعض کلماتهم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وَطِئ رجلٌ امرأةً لا زوج لها بشبهة، فأتت بولد لَحِقَهُ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الشافعی و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درأت عنه الحدّ الحقت به الولد، و لأنّه وط‌ء اعتقد الواطئ حلّه فلحق به النسب، کالوط‌ء فی النکاح الفاسد، و فارق وط‌ء الزنا؛ فإنّه لا یعتقد الحلّ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تزوّج رجلان اختین فغلط بهما عند الدخول، فزفّت کلّ واحدة منهما إلی زوج الاُخری، فوطأها و حملت منه لحق الولد بالواطئ؛ لأنّه یعتقد حلّه فلحق به النسب، کالواطئ فی نکاح فاسد</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کشّاف القناع</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الولد بوط‌ء الشبهة کعقد نصّ علیه، و هو المذهب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الشیخ تقی الدین إجماعاً</w:t>
      </w:r>
      <w:r>
        <w:rPr>
          <w:rFonts w:eastAsia="IRNazanin" w:cs="IRNazanin"/>
          <w:color w:val="111111"/>
          <w:sz w:val="28"/>
          <w:szCs w:val="28"/>
          <w:rtl w:val="true"/>
          <w:lang w:bidi="fa-IR"/>
        </w:rPr>
        <w:t>»</w:t>
      </w:r>
      <w:r>
        <w:rPr>
          <w:rStyle w:val="FootnoteAnchor"/>
          <w:rtl w:val="true"/>
        </w:rPr>
        <w:footnoteReference w:id="454"/>
      </w:r>
      <w:bookmarkStart w:id="228" w:name="pg11754_112886"/>
    </w:p>
    <w:p>
      <w:pPr>
        <w:pStyle w:val="BookText"/>
        <w:rPr/>
      </w:pPr>
      <w:bookmarkEnd w:id="228"/>
      <w:r>
        <w:rPr>
          <w:rFonts w:ascii="IRNazanin" w:hAnsi="IRNazanin" w:eastAsia="IRNazanin"/>
          <w:color w:val="111111"/>
          <w:sz w:val="28"/>
          <w:sz w:val="28"/>
          <w:szCs w:val="28"/>
          <w:rtl w:val="true"/>
          <w:lang w:bidi="fa-IR"/>
        </w:rPr>
        <w:t>و یظهر من هذه الکلمات أنّهم یعتبرون فی الوط‌ء بالشبهة أن یعتقد الواطئ حلّه فیثبت عندهم نسب المولود من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لرجل زوجة فوطأها رجل بشبهة لزمها أن تعتدّ منه، فإن أتت بولد یمکن أن یکون من کلّ واحد منهما عرض الولد علی القافة؛ لأنّ لها مدخلاً فی إلحاق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ألحقته القافة بالواطئ انتفی عن الزوج بغیر لعان، و لحق الولد بالواطئ و لیس له نفیه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ألحقته بالزوج انتفی عن الواطئ و لحق بالزوج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ألحقته القافة بهما أو نفته عنهما أو لم تکن قافة أو کانت و أشکل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إلی أن یبلغ سنّ الانتساب ثمّ یؤمر بالانتساب إلی أحدهما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9530575_73709187"/>
      <w:bookmarkStart w:id="230" w:name="_Toc90"/>
      <w:bookmarkEnd w:id="229"/>
      <w:r>
        <w:rPr>
          <w:rtl w:val="true"/>
        </w:rPr>
        <w:t>إیضاح</w:t>
      </w:r>
      <w:r>
        <w:rPr>
          <w:rtl w:val="true"/>
        </w:rPr>
        <w:t>:</w:t>
      </w:r>
      <w:bookmarkEnd w:id="230"/>
    </w:p>
    <w:p>
      <w:pPr>
        <w:pStyle w:val="Heading6"/>
        <w:numPr>
          <w:ilvl w:val="5"/>
          <w:numId w:val="1"/>
        </w:numPr>
        <w:rPr/>
      </w:pPr>
      <w:bookmarkStart w:id="231" w:name="__RefHeading___Toc9530577_73709187"/>
      <w:bookmarkStart w:id="232" w:name="_Toc91"/>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إنّ ما ذکرنا من الحکم بإلحاق الولد فی الوط‌ء بالشبهة یجری فی العقد الفاسد</w:t>
      </w:r>
    </w:p>
    <w:p>
      <w:pPr>
        <w:pStyle w:val="BookText"/>
        <w:rPr/>
      </w:pPr>
      <w:r>
        <w:rPr>
          <w:rFonts w:ascii="IRNazanin" w:hAnsi="IRNazanin" w:eastAsia="IRNazanin"/>
          <w:color w:val="111111"/>
          <w:sz w:val="28"/>
          <w:sz w:val="28"/>
          <w:szCs w:val="28"/>
          <w:rtl w:val="true"/>
          <w:lang w:bidi="fa-IR"/>
        </w:rPr>
        <w:t>أیضاً؛ بمعنی أنّ الولد یُلْحَقُ بالزوج و إن کان العقد فاسداً فی الواقع و اعتقد الزوج صحّته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للشبهة بأقسامها المختلفة مصادیق کثیرة قد تقدّم بعضها،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الفاسد، فَیُلْحَقُ فیه الولد بالزوج لقاعدة الفراش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اثنان امرأة وطئاً یلحق به النسب إمّا أن تکون زوجة لأحدهما و مشتبهة علی الآخر، أو مشتبهة علیهما، أو یعقد کلّ واحد منهما علیها عقداً فاسداً</w:t>
      </w:r>
      <w:r>
        <w:rPr>
          <w:rStyle w:val="FootnoteAnchor"/>
          <w:rtl w:val="true"/>
        </w:rPr>
        <w:footnoteReference w:id="456"/>
      </w:r>
      <w:r>
        <w:rPr>
          <w:rFonts w:ascii="IRNazanin" w:hAnsi="IRNazanin" w:eastAsia="IRNazanin"/>
          <w:color w:val="111111"/>
          <w:sz w:val="28"/>
          <w:sz w:val="28"/>
          <w:szCs w:val="28"/>
          <w:rtl w:val="true"/>
          <w:lang w:bidi="fa-IR"/>
        </w:rPr>
        <w:t>، ثمّ تأتی بولدٍ لستّة أشهر فصاعداً ما لم یتجاوز أقصی الحمل، فحینئذٍ یقرع بینهما و یلحق بمن تعیّنه القرعة؛ سواء کان الواطئان مسلمین أو کافرین أو عبدین أو حرّین، أو مختلفین فی الإسلام و الکفر و الحریّة</w:t>
      </w:r>
      <w:bookmarkStart w:id="233" w:name="pg11754_112887"/>
    </w:p>
    <w:p>
      <w:pPr>
        <w:pStyle w:val="BookText"/>
        <w:rPr/>
      </w:pPr>
      <w:bookmarkEnd w:id="233"/>
      <w:r>
        <w:rPr>
          <w:rFonts w:ascii="IRNazanin" w:hAnsi="IRNazanin" w:eastAsia="IRNazanin"/>
          <w:color w:val="111111"/>
          <w:sz w:val="28"/>
          <w:sz w:val="28"/>
          <w:szCs w:val="28"/>
          <w:rtl w:val="true"/>
          <w:lang w:bidi="fa-IR"/>
        </w:rPr>
        <w:t>و الرقّ أو أباً و ابنه، هذا إذا لم یکن لأحدهما بیّنة</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القواعد</w:t>
      </w:r>
      <w:r>
        <w:rPr>
          <w:rStyle w:val="FootnoteAnchor"/>
          <w:rtl w:val="true"/>
        </w:rPr>
        <w:footnoteReference w:id="458"/>
      </w:r>
      <w:r>
        <w:rPr>
          <w:rFonts w:ascii="IRNazanin" w:hAnsi="IRNazanin" w:eastAsia="IRNazanin"/>
          <w:color w:val="111111"/>
          <w:sz w:val="28"/>
          <w:sz w:val="28"/>
          <w:szCs w:val="28"/>
          <w:rtl w:val="true"/>
          <w:lang w:bidi="fa-IR"/>
        </w:rPr>
        <w:t>، و المسالک</w:t>
      </w:r>
      <w:r>
        <w:rPr>
          <w:rStyle w:val="FootnoteAnchor"/>
          <w:rtl w:val="true"/>
        </w:rPr>
        <w:footnoteReference w:id="459"/>
      </w:r>
      <w:r>
        <w:rPr>
          <w:rFonts w:ascii="IRNazanin" w:hAnsi="IRNazanin" w:eastAsia="IRNazanin"/>
          <w:color w:val="111111"/>
          <w:sz w:val="28"/>
          <w:sz w:val="28"/>
          <w:szCs w:val="28"/>
          <w:rtl w:val="true"/>
          <w:lang w:bidi="fa-IR"/>
        </w:rPr>
        <w:t>، و الجواهر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علیه</w:t>
      </w:r>
    </w:p>
    <w:p>
      <w:pPr>
        <w:pStyle w:val="BookText"/>
        <w:rPr/>
      </w:pPr>
      <w:r>
        <w:rPr>
          <w:rFonts w:ascii="IRNazanin" w:hAnsi="IRNazanin" w:eastAsia="IRNazanin"/>
          <w:color w:val="111111"/>
          <w:sz w:val="28"/>
          <w:sz w:val="28"/>
          <w:szCs w:val="28"/>
          <w:rtl w:val="true"/>
          <w:lang w:bidi="fa-IR"/>
        </w:rPr>
        <w:t>ما رواه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علیّ علیه السلام بثلاثة نفر وقعوا علی جاریة فی طهر واحد، فولدت ولداً فادّعوه، فقال علی علیه السلام لأحدهم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تطیب به نفسک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متشاکسین، إنّی مقرع بینکم، فأیّکم أصابته القرعة أغرمه ثلثی القیمة و ألزمه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ذلک لرسول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فیها إلاّ ما قال علیّ علیه السلام</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أبو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علیّاً إلی الیمن فقال له حین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ورد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أتانی قوم قد تبایعوا جاریة فوطئوها جمیعاً فی طهر واحد، فولدت غلاماً و احتجّوا فیه کلّهم یدّعیه، فأسهمت بینهم و جعلته للذی خرج سهمه، و ضمنته نصیبهم،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قوم تنازعوا ثمّ فوّضوا أمرهم إلی اللّه عزّ و جلّ إلاّ خرج سهم المحقّ</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4" w:name="__RefHeading___Toc9530579_73709187"/>
      <w:bookmarkStart w:id="235" w:name="_Toc92"/>
      <w:bookmarkEnd w:id="234"/>
      <w:r>
        <w:rPr>
          <w:rtl w:val="true"/>
        </w:rPr>
        <w:t>رأی أهل السنة فی المسألة</w:t>
      </w:r>
      <w:bookmarkEnd w:id="235"/>
    </w:p>
    <w:p>
      <w:pPr>
        <w:pStyle w:val="BookText"/>
        <w:rPr/>
      </w:pPr>
      <w:r>
        <w:rPr>
          <w:rFonts w:ascii="IRNazanin" w:hAnsi="IRNazanin" w:eastAsia="IRNazanin"/>
          <w:color w:val="111111"/>
          <w:sz w:val="28"/>
          <w:sz w:val="28"/>
          <w:szCs w:val="28"/>
          <w:rtl w:val="true"/>
          <w:lang w:bidi="fa-IR"/>
        </w:rPr>
        <w:t>إنّ فقهاء أهل السنّة یقولون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یلحق فی العقد الفاسد بالزوج، کما یُلْحَق فی 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الظاهری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یلحق فی النکاح الصحیح و العقد الفاسد الجاهل بفساده، و لا یلحق العالم بفساده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 لابن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حدّ فی وط‌ء النکاح الفاسد؛ سواء اعتقد حلّه أو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ثبت هذا فإنّ من اعتقد حلّه لیس علیه إثم و لا أدب؛ لأنّه من مسائل الفروع المختلف فیها، و من اعتقد حرمته أثم و ادّب، و إن أتت بولد منه لحقه نسبه فی الحالین</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الفقه المالکی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الزواج الصحیح أو الفاسد سبب لإثبات النسب و طریق لثبوته فی الواقع، فمتی ثبت الزواج و لو کان فاسداً، أو کان زواجاً عرفیّاً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منعقداً بطریق غیر رسمیّ؛ بأن لم یسجّل فی سجلاّت الزواج الرسمیّة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نسب کلّ ما تأتی به المرأة من أولاد</w:t>
      </w:r>
      <w:r>
        <w:rPr>
          <w:rFonts w:eastAsia="IRNazanin" w:cs="IRNazanin"/>
          <w:color w:val="111111"/>
          <w:sz w:val="28"/>
          <w:szCs w:val="28"/>
          <w:rtl w:val="true"/>
          <w:lang w:bidi="fa-IR"/>
        </w:rPr>
        <w:t>»</w:t>
      </w:r>
      <w:r>
        <w:rPr>
          <w:rStyle w:val="FootnoteAnchor"/>
          <w:rtl w:val="true"/>
        </w:rPr>
        <w:footnoteReference w:id="465"/>
      </w:r>
      <w:bookmarkStart w:id="236" w:name="pg11754_112889"/>
    </w:p>
    <w:p>
      <w:pPr>
        <w:pStyle w:val="Heading4"/>
        <w:numPr>
          <w:ilvl w:val="3"/>
          <w:numId w:val="1"/>
        </w:numPr>
        <w:rPr/>
      </w:pPr>
      <w:bookmarkStart w:id="237" w:name="__RefHeading___Toc9530581_73709187"/>
      <w:bookmarkStart w:id="238" w:name="_Toc93"/>
      <w:bookmarkEnd w:id="236"/>
      <w:bookmarkEnd w:id="237"/>
      <w:r>
        <w:rPr>
          <w:rtl w:val="true"/>
        </w:rPr>
        <w:t>المبحث الخامس</w:t>
      </w:r>
      <w:r>
        <w:rPr>
          <w:rtl w:val="true"/>
        </w:rPr>
        <w:t xml:space="preserve">: </w:t>
      </w:r>
      <w:r>
        <w:rPr>
          <w:rtl w:val="true"/>
        </w:rPr>
        <w:t>عدم ثبوت النسب بالزنا</w:t>
      </w:r>
      <w:bookmarkEnd w:id="238"/>
    </w:p>
    <w:p>
      <w:pPr>
        <w:pStyle w:val="Heading5"/>
        <w:numPr>
          <w:ilvl w:val="4"/>
          <w:numId w:val="1"/>
        </w:numPr>
        <w:rPr/>
      </w:pPr>
      <w:bookmarkStart w:id="239" w:name="__RefHeading___Toc9530583_73709187"/>
      <w:bookmarkStart w:id="240" w:name="_Toc94"/>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لا خلاف بین الفقهاء، بل ثبت الإجماع فی أنّه لا یثبت بالزنا</w:t>
      </w:r>
      <w:r>
        <w:rPr>
          <w:rStyle w:val="FootnoteAnchor"/>
          <w:rtl w:val="true"/>
        </w:rPr>
        <w:footnoteReference w:id="466"/>
      </w:r>
      <w:r>
        <w:rPr>
          <w:rFonts w:ascii="IRNazanin" w:hAnsi="IRNazanin" w:eastAsia="IRNazanin"/>
          <w:color w:val="111111"/>
          <w:sz w:val="28"/>
          <w:sz w:val="28"/>
          <w:szCs w:val="28"/>
          <w:rtl w:val="true"/>
          <w:lang w:bidi="fa-IR"/>
        </w:rPr>
        <w:t>النسب شرعاً، فلا یلحق من تولّد من الزنا بالزانی، و لا یثبت بینهما نسب شرعاً علی وجه یترتّب علیه بعض الأحکام کالتوارث، و هکذا بینه و بین امّه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زنا بامرأة فأتت بولد یمکن أن یکون منه لستّة أشهر فصاعداً لم یلحق نسبه بلا خلاف بالأب، و عندنا لا یلحق باُمّه لحوقاً شرعیّاً</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زنا بامرأة فأتت بولد من زنا لحق باُمّه نسباً عندهم، و عندنا لا یلحق لحوقاً شرعیّاً یتوارثان علیه و لا یلحق بالزانی بلا 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النسب مع الزنا، فلو زنی فانخلق من مائه ولد علی الجزم لم ینتسب إلیه شرعاً</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بقسمیه، بل یمکن دعوی ضروریّته فضلاً</w:t>
      </w:r>
    </w:p>
    <w:p>
      <w:pPr>
        <w:pStyle w:val="BookText"/>
        <w:rPr/>
      </w:pPr>
      <w:r>
        <w:rPr>
          <w:rFonts w:ascii="IRNazanin" w:hAnsi="IRNazanin" w:eastAsia="IRNazanin"/>
          <w:color w:val="111111"/>
          <w:sz w:val="28"/>
          <w:sz w:val="28"/>
          <w:szCs w:val="28"/>
          <w:rtl w:val="true"/>
          <w:lang w:bidi="fa-IR"/>
        </w:rPr>
        <w:t>عن دعوی معلومیّته من النصوص، أو تواترها فیه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من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زنی بامرأة فأحبلها ثمّ تزوّج بها، لم یجز إلحاقه به، و کذا لو زنی بأمة فحملت ثمّ ابتاعها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أحبل من زنا ثمّ تزوّجها لم یجز إلحاق الولد به، و کذا لو زنی بأمة فحملت ثمّ اشتراها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الروضة</w:t>
      </w:r>
      <w:r>
        <w:rPr>
          <w:rStyle w:val="FootnoteAnchor"/>
          <w:rtl w:val="true"/>
        </w:rPr>
        <w:footnoteReference w:id="473"/>
      </w:r>
      <w:r>
        <w:rPr>
          <w:rFonts w:ascii="IRNazanin" w:hAnsi="IRNazanin" w:eastAsia="IRNazanin"/>
          <w:color w:val="111111"/>
          <w:sz w:val="28"/>
          <w:sz w:val="28"/>
          <w:szCs w:val="28"/>
          <w:rtl w:val="true"/>
          <w:lang w:bidi="fa-IR"/>
        </w:rPr>
        <w:t>و المسالک، و ادّعی علیه الإجماع</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المتولّد من الزنا لا یلحق بالزانی، و تجدّد الفراش لا یقتضی إلحاق ما قد حکم بانتفائه، و لا 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المراد منه المنعقد فی الفراش لا المتولّد مطلقاً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کشف اللثام، و أضاف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عبرة بالفراش إذا علم التولّد من الزنا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فی الریاض بأنّ الفراش لا یقتضی إلحاق ما حکم بانتفائه قطعاً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فی الحدائق</w:t>
      </w:r>
      <w:r>
        <w:rPr>
          <w:rStyle w:val="FootnoteAnchor"/>
          <w:rtl w:val="true"/>
        </w:rPr>
        <w:footnoteReference w:id="478"/>
      </w:r>
      <w:r>
        <w:rPr>
          <w:rFonts w:ascii="IRNazanin" w:hAnsi="IRNazanin" w:eastAsia="IRNazanin"/>
          <w:color w:val="111111"/>
          <w:sz w:val="28"/>
          <w:sz w:val="28"/>
          <w:szCs w:val="28"/>
          <w:rtl w:val="true"/>
          <w:lang w:bidi="fa-IR"/>
        </w:rPr>
        <w:t>، و جامع المدارک</w:t>
      </w:r>
      <w:r>
        <w:rPr>
          <w:rStyle w:val="FootnoteAnchor"/>
          <w:rtl w:val="true"/>
        </w:rPr>
        <w:footnoteReference w:id="479"/>
      </w:r>
      <w:r>
        <w:rPr>
          <w:rFonts w:ascii="IRNazanin" w:hAnsi="IRNazanin" w:eastAsia="IRNazanin"/>
          <w:color w:val="111111"/>
          <w:sz w:val="28"/>
          <w:sz w:val="28"/>
          <w:szCs w:val="28"/>
          <w:rtl w:val="true"/>
          <w:lang w:bidi="fa-IR"/>
        </w:rPr>
        <w:t>، و غیرها</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یدلّ علی إثبات هذا الحکم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فی الصحیح عن علیّ بن مهزیار، عن محمّد بن الحسن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علی یدی إلی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فجر بامرأة فحبلت ثمّ إنّه تزوّجها بعد الحمل فجاءت بولد و هو أشبه خلق اللّه به، فکتب علیه السلام بخطّه و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لغیّة لا یورث</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أیضاً فی الصحیح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وقع علی ولیدة قوم حراماً ثمّ اشتراها فادّعی ولدها فإنّه لا یورث منه؛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غیرها</w:t>
      </w:r>
      <w:r>
        <w:rPr>
          <w:rStyle w:val="FootnoteAnchor"/>
          <w:rtl w:val="true"/>
        </w:rPr>
        <w:footnoteReference w:id="483"/>
      </w:r>
      <w:r>
        <w:rPr>
          <w:rFonts w:ascii="Amiri" w:hAnsi="Amiri" w:eastAsia="Amiri" w:cs="Amiri"/>
          <w:color w:val="111111"/>
          <w:sz w:val="28"/>
          <w:sz w:val="28"/>
          <w:szCs w:val="28"/>
          <w:rtl w:val="true"/>
          <w:lang w:bidi="ar-SA"/>
        </w:rPr>
        <w:t>و دلالتها ظاهرة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اتّفق علیه فقهاء الشیعة أنّ ولد الزنا لا یلحق بالزانی و من خلق من مائه، و کذا بالزانیة و التی ولدته، أی أبیه و امّه بحسب اللغة و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کلام أبی الصلاح الحلبی فی الکافی خلاف ذلک؛ فإنّه قال فی باب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 الزنا یرث امّه و من یتعلّق نسبها و یرثونه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من کلام ابن الجنید؛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ولد الزنا ممّن زنی باُمّه فولدته بمائه، و لا یرثه و إن ادّعاه و میراثه لاُمّه کولد الملاعنة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یمکن أن یکون مستنداً لهذا القول،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الشیخ عن إسحاق بن عمّار</w:t>
      </w:r>
    </w:p>
    <w:p>
      <w:pPr>
        <w:pStyle w:val="BookText"/>
        <w:rPr/>
      </w:pPr>
      <w:r>
        <w:rPr>
          <w:rFonts w:ascii="IRNazanin" w:hAnsi="IRNazanin" w:eastAsia="IRNazanin"/>
          <w:color w:val="111111"/>
          <w:sz w:val="28"/>
          <w:sz w:val="28"/>
          <w:szCs w:val="28"/>
          <w:rtl w:val="true"/>
          <w:lang w:bidi="fa-IR"/>
        </w:rPr>
        <w:t>عن جعفر، عن أبیه علیهما السلام أنّ علیّاً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الزنا و ابن الملاعنة ترثه امّه و أخواله، و إخوته لاُمّه أو عصبتها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عن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ولد الزنا لقرابته من قبل امّه علی میراث ابن الملاعنة</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ضعیفتان أعرض عنهما الأصحاب، و لذا قال الشیخ فی ذیل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خبر شاذّ لا یترک لأجله الأحادیث التی قدّمناها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ذیل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موقوفة لم یسندها یونس إلی أحد من الأئمّة علیهم السلام، و یجوز أن یکون ذلک اختیاره لنفسه لا من جهة الروایة، بل لضرب من الاعتبار، و ما هذا حکمه لا یعترض به الأخبار الکثیرة التی قدّمناها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الحرّ بعد 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حمله علی ما کان الوط‌ء بالنسبة إلی المرأة وط‌ء الشبهة، و بالنسبة إلی الرجل زنا</w:t>
      </w:r>
      <w:r>
        <w:rPr>
          <w:rFonts w:eastAsia="IRNazanin" w:cs="IRNazanin"/>
          <w:color w:val="111111"/>
          <w:sz w:val="28"/>
          <w:szCs w:val="28"/>
          <w:rtl w:val="true"/>
          <w:lang w:bidi="fa-IR"/>
        </w:rPr>
        <w:t>»</w:t>
      </w:r>
      <w:r>
        <w:rPr>
          <w:rStyle w:val="FootnoteAnchor"/>
          <w:rtl w:val="true"/>
        </w:rPr>
        <w:footnoteReference w:id="489"/>
      </w:r>
      <w:bookmarkStart w:id="241" w:name="pg11754_112893"/>
    </w:p>
    <w:p>
      <w:pPr>
        <w:pStyle w:val="Heading5"/>
        <w:numPr>
          <w:ilvl w:val="4"/>
          <w:numId w:val="1"/>
        </w:numPr>
        <w:rPr/>
      </w:pPr>
      <w:bookmarkStart w:id="242" w:name="__RefHeading___Toc9530585_73709187"/>
      <w:bookmarkStart w:id="243" w:name="_Toc95"/>
      <w:bookmarkEnd w:id="241"/>
      <w:bookmarkEnd w:id="242"/>
      <w:r>
        <w:rPr>
          <w:rtl w:val="true"/>
        </w:rPr>
        <w:t>إیضاح</w:t>
      </w:r>
      <w:r>
        <w:rPr>
          <w:rtl w:val="true"/>
        </w:rPr>
        <w:t>:</w:t>
      </w:r>
      <w:bookmarkEnd w:id="243"/>
    </w:p>
    <w:p>
      <w:pPr>
        <w:pStyle w:val="BookText"/>
        <w:rPr/>
      </w:pPr>
      <w:r>
        <w:rPr>
          <w:rFonts w:ascii="IRNazanin" w:hAnsi="IRNazanin" w:eastAsia="IRNazanin"/>
          <w:color w:val="111111"/>
          <w:sz w:val="28"/>
          <w:sz w:val="28"/>
          <w:szCs w:val="28"/>
          <w:rtl w:val="true"/>
          <w:lang w:bidi="fa-IR"/>
        </w:rPr>
        <w:t xml:space="preserve">و فی الختام یلزم أن نذکر أنّ الشارع و إن حکم بأنّه لا یثبت النسب بالزنا، و لا یجوز انتساب ولد الزنا إلی أحد، و لکن من جهة أنّ الطفل الذی تولّد بطریق السفاح إنسان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مقصّراً فی الذنب الذی صدر من الزانی و الزانیة اللّذان تولّد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یتکفّل الحاکم و الحکومة بمئونته و نفقته من بیت المال الذی هو معدّ لمثل هذا، کما تقدّم فی البحث عن نفقة الأیتام فی الباب الثالث من الموسوعة،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یوجد حاکم أو وجد و لم یکن فی یده بیت المال، یجب علی المسلمین حفظه و مئونته کفایة کما فی اللقیط، و سیجیء تفصیل الکلام فیه، مضافاً إلی أنّه لا یبعد أن یکون حکم نفقته کالولد الشرعی و من نکاح صحیح، فتجب علی من تولّد من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أبیه بحسب اللغة و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أفتی به السیّد الگلپایگانی قدس سره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9530587_73709187"/>
      <w:bookmarkStart w:id="245" w:name="_Toc96"/>
      <w:bookmarkEnd w:id="244"/>
      <w:r>
        <w:rPr>
          <w:rtl w:val="true"/>
        </w:rPr>
        <w:t>نسب ولد الزنا عند أهل السنّة</w:t>
      </w:r>
      <w:bookmarkEnd w:id="245"/>
    </w:p>
    <w:p>
      <w:pPr>
        <w:pStyle w:val="BookText"/>
        <w:rPr/>
      </w:pPr>
      <w:r>
        <w:rPr>
          <w:rFonts w:ascii="IRNazanin" w:hAnsi="IRNazanin" w:eastAsia="IRNazanin"/>
          <w:color w:val="111111"/>
          <w:sz w:val="28"/>
          <w:sz w:val="28"/>
          <w:szCs w:val="28"/>
          <w:rtl w:val="true"/>
          <w:lang w:bidi="fa-IR"/>
        </w:rPr>
        <w:t>إنّهم ذهبوا إلی أنّه لا یثبت نسب الولد من الزنا؛ أی لا یثبت نسبه من الواطئ الزانی و لا یلحق به، و لکن یلحق بالمرأة التی أتت به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بدائع الصنائع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رجل بامرأة فجاءت بولد فادّعاه الزانی لم یثبت نسبه منه؛ لانعدام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المرأة فیثبت نسبه منها؛ لأنّ الحکم فی جانبها یتبع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فنسب الولد من المرأة یثبت بالولادة، سواء کان بالنکاح</w:t>
      </w:r>
    </w:p>
    <w:p>
      <w:pPr>
        <w:pStyle w:val="BookText"/>
        <w:rPr/>
      </w:pPr>
      <w:r>
        <w:rPr>
          <w:rFonts w:ascii="IRNazanin" w:hAnsi="IRNazanin" w:eastAsia="IRNazanin"/>
          <w:color w:val="111111"/>
          <w:sz w:val="28"/>
          <w:sz w:val="28"/>
          <w:szCs w:val="28"/>
          <w:rtl w:val="true"/>
          <w:lang w:bidi="fa-IR"/>
        </w:rPr>
        <w:t>أو بالسفاح؛ لأنّ اعتبار الفراش إنّما عرفناه بالحدیث؛ و هو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أی لمالک الفراش، و لا فراش للمرأة؛ لأنّها مملوکة و لیست بمالکة، فبقی الحکم فی جانبها متعلّقاً بالولادة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الفتاوی الهندیة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زنی بامرأة فحملت ثمّ تزوّجها فولدت، إن جاءت به لستّة أشهر فصاعداً ثبت نسبه، و إن جاءت به لأقلّ من ستّة أشهر لم یثبت نسبه إلاّ أن یدّعیه و لم یقل إنّه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من الزنا فلا یثبت نسبه و لا یرث منه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لاعن امرأته و نفی ولدها و فرّق الحاکم بینهما انتفی ولدها عنه، و انقطع تعصیبه من جهة الملاعن، فلم یرثه هو و لا أحد من عصابته، و ترث امّه و ذوو الفروض منه فروضهم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فی میراث ولد الزنا فی جمیع ما ذکرنا کالحکم فی ولد الملاعنة علی ما ذکرنا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الجمهور علی التسویة بینهما، لانقطاع نسب کلّ واحد منهما من أبیه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فی البیان</w:t>
      </w:r>
      <w:r>
        <w:rPr>
          <w:rStyle w:val="FootnoteAnchor"/>
          <w:rtl w:val="true"/>
        </w:rPr>
        <w:footnoteReference w:id="496"/>
      </w:r>
      <w:r>
        <w:rPr>
          <w:rFonts w:ascii="IRNazanin" w:hAnsi="IRNazanin" w:eastAsia="IRNazanin"/>
          <w:color w:val="111111"/>
          <w:sz w:val="28"/>
          <w:sz w:val="28"/>
          <w:szCs w:val="28"/>
          <w:rtl w:val="true"/>
          <w:lang w:bidi="fa-IR"/>
        </w:rPr>
        <w:t>، و مختصر اختلاف العلماء</w:t>
      </w:r>
      <w:r>
        <w:rPr>
          <w:rStyle w:val="FootnoteAnchor"/>
          <w:rtl w:val="true"/>
        </w:rPr>
        <w:footnoteReference w:id="497"/>
      </w:r>
      <w:r>
        <w:rPr>
          <w:rFonts w:ascii="IRNazanin" w:hAnsi="IRNazanin" w:eastAsia="IRNazanin"/>
          <w:color w:val="111111"/>
          <w:sz w:val="28"/>
          <w:sz w:val="28"/>
          <w:szCs w:val="28"/>
          <w:rtl w:val="true"/>
          <w:lang w:bidi="fa-IR"/>
        </w:rPr>
        <w:t>، و المبسوط‌</w:t>
      </w:r>
      <w:r>
        <w:rPr>
          <w:rStyle w:val="FootnoteAnchor"/>
          <w:rtl w:val="true"/>
        </w:rPr>
        <w:footnoteReference w:id="498"/>
      </w:r>
      <w:r>
        <w:rPr>
          <w:rFonts w:ascii="IRNazanin" w:hAnsi="IRNazanin" w:eastAsia="IRNazanin"/>
          <w:color w:val="111111"/>
          <w:sz w:val="28"/>
          <w:sz w:val="28"/>
          <w:szCs w:val="28"/>
          <w:rtl w:val="true"/>
          <w:lang w:bidi="fa-IR"/>
        </w:rPr>
        <w:t>و غیرها</w:t>
      </w:r>
      <w:r>
        <w:rPr>
          <w:rStyle w:val="FootnoteAnchor"/>
          <w:rtl w:val="true"/>
        </w:rPr>
        <w:footnoteReference w:id="499"/>
      </w:r>
      <w:bookmarkStart w:id="246" w:name="pg11754_112895"/>
    </w:p>
    <w:p>
      <w:pPr>
        <w:pStyle w:val="Heading4"/>
        <w:numPr>
          <w:ilvl w:val="3"/>
          <w:numId w:val="1"/>
        </w:numPr>
        <w:rPr/>
      </w:pPr>
      <w:bookmarkStart w:id="247" w:name="__RefHeading___Toc9530589_73709187"/>
      <w:bookmarkStart w:id="248" w:name="_Toc97"/>
      <w:bookmarkEnd w:id="246"/>
      <w:bookmarkEnd w:id="247"/>
      <w:r>
        <w:rPr>
          <w:rtl w:val="true"/>
        </w:rPr>
        <w:t>المبحث السادس</w:t>
      </w:r>
      <w:r>
        <w:rPr>
          <w:rtl w:val="true"/>
        </w:rPr>
        <w:t xml:space="preserve">: </w:t>
      </w:r>
      <w:r>
        <w:rPr>
          <w:rtl w:val="true"/>
        </w:rPr>
        <w:t>إلحاق ولد الملاعنة باُمّه</w:t>
      </w:r>
      <w:bookmarkEnd w:id="248"/>
    </w:p>
    <w:p>
      <w:pPr>
        <w:pStyle w:val="Heading5"/>
        <w:numPr>
          <w:ilvl w:val="4"/>
          <w:numId w:val="1"/>
        </w:numPr>
        <w:rPr/>
      </w:pPr>
      <w:bookmarkStart w:id="249" w:name="__RefHeading___Toc9530591_73709187"/>
      <w:bookmarkStart w:id="250" w:name="_Toc98"/>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لا خلاف بین الفقهاء فی أنّه إذا أنکر الزوج ولدیّة مَن وُلِدَ فی فراشه مع إمکان لحوقه به، فعند اللعان</w:t>
      </w:r>
      <w:r>
        <w:rPr>
          <w:rStyle w:val="FootnoteAnchor"/>
          <w:rtl w:val="true"/>
        </w:rPr>
        <w:footnoteReference w:id="500"/>
      </w:r>
      <w:r>
        <w:rPr>
          <w:rFonts w:ascii="IRNazanin" w:hAnsi="IRNazanin" w:eastAsia="IRNazanin"/>
          <w:color w:val="111111"/>
          <w:sz w:val="28"/>
          <w:sz w:val="28"/>
          <w:szCs w:val="28"/>
          <w:rtl w:val="true"/>
          <w:lang w:bidi="fa-IR"/>
        </w:rPr>
        <w:t>یقطع نسب الولد عنه قطعاً، و یلحق باُمّه و میراثه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الأحکام المتعلّقة باللعان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 عن الزوج و انتفاء النسب، و زوال الفراش، و التحریم علی التأبید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ولد الملاعنة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و من یرث معهم من امّ و زوج و زوجة، فإن لم یکن له ولد فمیراثه لاُمّه إذا کانت 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الملاعنة یرث امّه و جمیع من یتقرّب إلیه من جهتها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المقنعة</w:t>
      </w:r>
      <w:r>
        <w:rPr>
          <w:rStyle w:val="FootnoteAnchor"/>
          <w:rtl w:val="true"/>
        </w:rPr>
        <w:footnoteReference w:id="503"/>
      </w:r>
      <w:r>
        <w:rPr>
          <w:rFonts w:ascii="IRNazanin" w:hAnsi="IRNazanin" w:eastAsia="IRNazanin"/>
          <w:color w:val="111111"/>
          <w:sz w:val="28"/>
          <w:sz w:val="28"/>
          <w:szCs w:val="28"/>
          <w:rtl w:val="true"/>
          <w:lang w:bidi="fa-IR"/>
        </w:rPr>
        <w:t>، و الکافی</w:t>
      </w:r>
      <w:r>
        <w:rPr>
          <w:rStyle w:val="FootnoteAnchor"/>
          <w:rtl w:val="true"/>
        </w:rPr>
        <w:footnoteReference w:id="504"/>
      </w:r>
      <w:r>
        <w:rPr>
          <w:rFonts w:ascii="IRNazanin" w:hAnsi="IRNazanin" w:eastAsia="IRNazanin"/>
          <w:color w:val="111111"/>
          <w:sz w:val="28"/>
          <w:sz w:val="28"/>
          <w:szCs w:val="28"/>
          <w:rtl w:val="true"/>
          <w:lang w:bidi="fa-IR"/>
        </w:rPr>
        <w:t>، و الجامع للشرائع</w:t>
      </w:r>
      <w:r>
        <w:rPr>
          <w:rStyle w:val="FootnoteAnchor"/>
          <w:rtl w:val="true"/>
        </w:rPr>
        <w:footnoteReference w:id="505"/>
      </w:r>
      <w:r>
        <w:rPr>
          <w:rFonts w:ascii="IRNazanin" w:hAnsi="IRNazanin" w:eastAsia="IRNazanin"/>
          <w:color w:val="111111"/>
          <w:sz w:val="28"/>
          <w:sz w:val="28"/>
          <w:szCs w:val="28"/>
          <w:rtl w:val="true"/>
          <w:lang w:bidi="fa-IR"/>
        </w:rPr>
        <w:t>، و الوسیلة</w:t>
      </w:r>
      <w:r>
        <w:rPr>
          <w:rStyle w:val="FootnoteAnchor"/>
          <w:rtl w:val="true"/>
        </w:rPr>
        <w:footnoteReference w:id="506"/>
      </w:r>
      <w:r>
        <w:rPr>
          <w:rFonts w:ascii="IRNazanin" w:hAnsi="IRNazanin" w:eastAsia="IRNazanin"/>
          <w:color w:val="111111"/>
          <w:sz w:val="28"/>
          <w:sz w:val="28"/>
          <w:szCs w:val="28"/>
          <w:rtl w:val="true"/>
          <w:lang w:bidi="fa-IR"/>
        </w:rPr>
        <w:t>، و السرائر</w:t>
      </w:r>
      <w:r>
        <w:rPr>
          <w:rStyle w:val="FootnoteAnchor"/>
          <w:rtl w:val="true"/>
        </w:rPr>
        <w:footnoteReference w:id="507"/>
      </w:r>
      <w:r>
        <w:rPr>
          <w:rFonts w:ascii="Amiri" w:hAnsi="Amiri" w:eastAsia="Amiri" w:cs="Amiri"/>
          <w:color w:val="111111"/>
          <w:sz w:val="28"/>
          <w:sz w:val="28"/>
          <w:szCs w:val="28"/>
          <w:rtl w:val="true"/>
          <w:lang w:bidi="ar-SA"/>
        </w:rPr>
        <w:t>، و المهذّب</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لعانهما ثبوت 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الحدّین، و انتفاء</w:t>
      </w:r>
    </w:p>
    <w:p>
      <w:pPr>
        <w:pStyle w:val="BookText"/>
        <w:rPr/>
      </w:pPr>
      <w:r>
        <w:rPr>
          <w:rFonts w:ascii="IRNazanin" w:hAnsi="IRNazanin" w:eastAsia="IRNazanin"/>
          <w:color w:val="111111"/>
          <w:sz w:val="28"/>
          <w:sz w:val="28"/>
          <w:szCs w:val="28"/>
          <w:rtl w:val="true"/>
          <w:lang w:bidi="fa-IR"/>
        </w:rPr>
        <w:t>الولد عن الرجل دون المرأة، و زوال الفراش، و التحریم المؤبّد</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 فی کتاب اللعان</w:t>
      </w:r>
      <w:r>
        <w:rPr>
          <w:rStyle w:val="FootnoteAnchor"/>
          <w:rtl w:val="true"/>
        </w:rPr>
        <w:footnoteReference w:id="510"/>
      </w:r>
      <w:r>
        <w:rPr>
          <w:rFonts w:ascii="IRNazanin" w:hAnsi="IRNazanin" w:eastAsia="IRNazanin"/>
          <w:color w:val="111111"/>
          <w:sz w:val="28"/>
          <w:sz w:val="28"/>
          <w:szCs w:val="28"/>
          <w:rtl w:val="true"/>
          <w:lang w:bidi="fa-IR"/>
        </w:rPr>
        <w:t>، و قال فی البحث عن میراث ولد الملاعنة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الملاعنة ترثه امّه و ولده و زوجه أو زوجته و کلّ من یتقرّب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للاُمّ قرابة أصلاً ورثه الإمام دون الأب و من یتقرّب به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المسالک</w:t>
      </w:r>
      <w:r>
        <w:rPr>
          <w:rStyle w:val="FootnoteAnchor"/>
          <w:rtl w:val="true"/>
        </w:rPr>
        <w:footnoteReference w:id="512"/>
      </w:r>
      <w:r>
        <w:rPr>
          <w:rFonts w:ascii="Amiri" w:hAnsi="Amiri" w:eastAsia="Amiri" w:cs="Amiri"/>
          <w:color w:val="111111"/>
          <w:sz w:val="28"/>
          <w:sz w:val="28"/>
          <w:szCs w:val="28"/>
          <w:rtl w:val="true"/>
          <w:lang w:bidi="ar-SA"/>
        </w:rPr>
        <w:t>، و الروضة</w:t>
      </w:r>
      <w:r>
        <w:rPr>
          <w:rStyle w:val="FootnoteAnchor"/>
          <w:rtl w:val="true"/>
        </w:rPr>
        <w:footnoteReference w:id="513"/>
      </w:r>
      <w:r>
        <w:rPr>
          <w:rFonts w:ascii="IRNazanin" w:hAnsi="IRNazanin" w:eastAsia="IRNazanin"/>
          <w:color w:val="111111"/>
          <w:sz w:val="28"/>
          <w:sz w:val="28"/>
          <w:szCs w:val="28"/>
          <w:rtl w:val="true"/>
          <w:lang w:bidi="fa-IR"/>
        </w:rPr>
        <w:t>، و الریاض</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أحکام الأربعة المتقدّمة التی ثبت باللعان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 لا إشکال فی شیء منها عندنا نصّاً و فتوی</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یتعلّق بلعانهما معاً بالنصّ و الإجماع أحکام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الولد عن الرجل إن کان و نفاه، دون المرأة</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نفی الزوج الولد عن نفسه، و ادّعت الزوجة کون الولد له فتلاعنا، انتفی الولد عن الأب و یلحق بالاُمّ؛ لصدق النسبة عن جهتها فیثبت جمیع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الذی ادّعاه بعضهم کما تقدّم و التسالم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بصیر، عن أبی عبد اللّه علیه السلام فی المرأة یلاعنها زوجها و یفرّق</w:t>
      </w:r>
      <w:bookmarkStart w:id="251" w:name="pg11754_112897"/>
    </w:p>
    <w:p>
      <w:pPr>
        <w:pStyle w:val="BookText"/>
        <w:rPr/>
      </w:pPr>
      <w:bookmarkEnd w:id="251"/>
      <w:r>
        <w:rPr>
          <w:rFonts w:ascii="IRNazanin" w:hAnsi="IRNazanin" w:eastAsia="IRNazanin"/>
          <w:color w:val="111111"/>
          <w:sz w:val="28"/>
          <w:sz w:val="28"/>
          <w:szCs w:val="28"/>
          <w:rtl w:val="true"/>
          <w:lang w:bidi="fa-IR"/>
        </w:rPr>
        <w:t>بینهما، إلی من ینسب ولدها؟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امّه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w:t>
      </w:r>
    </w:p>
    <w:p>
      <w:pPr>
        <w:pStyle w:val="BookText"/>
        <w:rPr/>
      </w:pPr>
      <w:r>
        <w:rPr>
          <w:rFonts w:ascii="IRNazanin" w:hAnsi="IRNazanin" w:eastAsia="IRNazanin"/>
          <w:color w:val="111111"/>
          <w:sz w:val="28"/>
          <w:sz w:val="28"/>
          <w:szCs w:val="28"/>
          <w:rtl w:val="true"/>
          <w:lang w:bidi="fa-IR"/>
        </w:rPr>
        <w:t xml:space="preserve">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میراث ولد الملاعنة لاُمّه، فإن کانت امّه لیست بحیّة، فلأقرب الناس من امّه لأخواله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صحیحة اخری</w:t>
      </w:r>
    </w:p>
    <w:p>
      <w:pPr>
        <w:pStyle w:val="BookText"/>
        <w:rPr/>
      </w:pPr>
      <w:r>
        <w:rPr>
          <w:rFonts w:ascii="IRNazanin" w:hAnsi="IRNazanin" w:eastAsia="IRNazanin"/>
          <w:color w:val="111111"/>
          <w:sz w:val="28"/>
          <w:sz w:val="28"/>
          <w:szCs w:val="28"/>
          <w:rtl w:val="true"/>
          <w:lang w:bidi="fa-IR"/>
        </w:rPr>
        <w:t>لزرارة،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فرّق بینهما و لها ولد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امّه، فإن ماتت امّه ورثه أخواله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الحکم بثبوت التوریث بین الولد و امّه بعد الملاعنة دلیل واضح علی ثبوت النسب بینهما، و أنّه یلحق باُمّه،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ورد عن طریق أهل السنّة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لاعن بین هلال و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 و قضی أن لا یُدْعی ولدها لأب</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9530593_73709187"/>
      <w:bookmarkStart w:id="253" w:name="_Toc99"/>
      <w:bookmarkEnd w:id="252"/>
      <w:r>
        <w:rPr>
          <w:rtl w:val="true"/>
        </w:rPr>
        <w:t>رأی أهل السنّة فی إلحاق ولد الملاعنة بالاُمّ‌</w:t>
      </w:r>
      <w:bookmarkEnd w:id="253"/>
    </w:p>
    <w:p>
      <w:pPr>
        <w:pStyle w:val="BookText"/>
        <w:rPr/>
      </w:pPr>
      <w:r>
        <w:rPr>
          <w:rFonts w:ascii="IRNazanin" w:hAnsi="IRNazanin" w:eastAsia="IRNazanin"/>
          <w:color w:val="111111"/>
          <w:sz w:val="28"/>
          <w:sz w:val="28"/>
          <w:szCs w:val="28"/>
          <w:rtl w:val="true"/>
          <w:lang w:bidi="fa-IR"/>
        </w:rPr>
        <w:t>اتّفق الفقهاء علی أنّ الولد باللعان ینتفی عن الأب و یلحق بالاُمّ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المجموع شرح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نفی باللعان نسب ولد انتفی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الولد بالمرأة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لعان الزوج یتضمّن نفی النسب، و لعان الزوجة یتضمّن إثبات النسب</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هناک حمل أو ولد منفصل و نفاه الزوج باللعان، انتفی عنه و لحق بالمرأة</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قذفها بالزنا و نفی الولد ذکر فی اللعان أمرین، ثمّ</w:t>
      </w:r>
      <w:bookmarkStart w:id="254" w:name="pg11754_112898"/>
    </w:p>
    <w:p>
      <w:pPr>
        <w:pStyle w:val="BookText"/>
        <w:rPr/>
      </w:pPr>
      <w:bookmarkEnd w:id="254"/>
      <w:r>
        <w:rPr>
          <w:rFonts w:ascii="IRNazanin" w:hAnsi="IRNazanin" w:eastAsia="IRNazanin"/>
          <w:color w:val="111111"/>
          <w:sz w:val="28"/>
          <w:sz w:val="28"/>
          <w:szCs w:val="28"/>
          <w:rtl w:val="true"/>
          <w:lang w:bidi="fa-IR"/>
        </w:rPr>
        <w:t>ینفی القاضی نسب الولد و یلحقه باُمّه</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ینتفی بتمام تلاعنهما علی الصحیح من المذهب، و علیه الأصحاب</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المغنی</w:t>
      </w:r>
      <w:r>
        <w:rPr>
          <w:rStyle w:val="FootnoteAnchor"/>
          <w:rtl w:val="true"/>
        </w:rPr>
        <w:footnoteReference w:id="524"/>
      </w:r>
      <w:r>
        <w:rPr>
          <w:rFonts w:ascii="IRNazanin" w:hAnsi="IRNazanin" w:eastAsia="IRNazanin"/>
          <w:color w:val="111111"/>
          <w:sz w:val="28"/>
          <w:sz w:val="28"/>
          <w:szCs w:val="28"/>
          <w:rtl w:val="true"/>
          <w:lang w:bidi="fa-IR"/>
        </w:rPr>
        <w:t>، و الشرح الکبیر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المحرّر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9530595_73709187"/>
      <w:bookmarkStart w:id="256" w:name="_Toc100"/>
      <w:bookmarkEnd w:id="255"/>
      <w:r>
        <w:rPr>
          <w:rtl w:val="true"/>
        </w:rPr>
        <w:t>فرعان</w:t>
      </w:r>
      <w:bookmarkEnd w:id="256"/>
    </w:p>
    <w:p>
      <w:pPr>
        <w:pStyle w:val="Heading6"/>
        <w:numPr>
          <w:ilvl w:val="5"/>
          <w:numId w:val="1"/>
        </w:numPr>
        <w:rPr/>
      </w:pPr>
      <w:bookmarkStart w:id="257" w:name="__RefHeading___Toc9530597_73709187"/>
      <w:bookmarkStart w:id="258" w:name="_Toc101"/>
      <w:bookmarkEnd w:id="257"/>
      <w:r>
        <w:rPr>
          <w:rtl w:val="true"/>
        </w:rPr>
        <w:t>الأوّل</w:t>
      </w:r>
      <w:r>
        <w:rPr>
          <w:rtl w:val="true"/>
        </w:rPr>
        <w:t xml:space="preserve">: </w:t>
      </w:r>
      <w:r>
        <w:rPr>
          <w:rtl w:val="true"/>
        </w:rPr>
        <w:t>لا یجوز للرجل أن ینکر ولدیّة مَن تولّد فی فراشه مع إمکان لحوقه به</w:t>
      </w:r>
      <w:bookmarkEnd w:id="258"/>
    </w:p>
    <w:p>
      <w:pPr>
        <w:pStyle w:val="BookText"/>
        <w:rPr/>
      </w:pPr>
      <w:r>
        <w:rPr>
          <w:rFonts w:ascii="IRNazanin" w:hAnsi="IRNazanin" w:eastAsia="IRNazanin"/>
          <w:color w:val="111111"/>
          <w:sz w:val="28"/>
          <w:sz w:val="28"/>
          <w:szCs w:val="28"/>
          <w:rtl w:val="true"/>
          <w:lang w:bidi="fa-IR"/>
        </w:rPr>
        <w:t>فضلاً عمّا إذا اتّهمها، بل یجب علیه الإقرار بولدیّته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علیه أن ینفیه و لو باللعان مع علمه بعدم تکوّنه منه من جهة علمه باختلال شروط الالتحاق به، إذا کان بحسب ظاهر الشرع لحق به لو لا نفیه؛ لئلاّ یلحق بنسبه من لیس منه، فیترتّب علیه حکم الولد فی المیراث و النکاح و النظر إلی محارمه و غیر ذلک، و تقدّم ما یدلّ علی ذلک</w:t>
      </w:r>
      <w:r>
        <w:rPr>
          <w:rFonts w:eastAsia="IRNazanin" w:cs="IRNazanin"/>
          <w:color w:val="111111"/>
          <w:sz w:val="28"/>
          <w:szCs w:val="28"/>
          <w:rtl w:val="true"/>
          <w:lang w:bidi="fa-IR"/>
        </w:rPr>
        <w:t>.</w:t>
      </w:r>
    </w:p>
    <w:p>
      <w:pPr>
        <w:pStyle w:val="Heading6"/>
        <w:numPr>
          <w:ilvl w:val="5"/>
          <w:numId w:val="1"/>
        </w:numPr>
        <w:rPr/>
      </w:pPr>
      <w:bookmarkStart w:id="259" w:name="__RefHeading___Toc9530599_73709187"/>
      <w:bookmarkStart w:id="260" w:name="_Toc102"/>
      <w:bookmarkEnd w:id="259"/>
      <w:r>
        <w:rPr>
          <w:rtl w:val="true"/>
        </w:rPr>
        <w:t>الثانی</w:t>
      </w:r>
      <w:r>
        <w:rPr>
          <w:rtl w:val="true"/>
        </w:rPr>
        <w:t xml:space="preserve">: </w:t>
      </w:r>
      <w:r>
        <w:rPr>
          <w:rtl w:val="true"/>
        </w:rPr>
        <w:t>إنّما یشرع اللعان لنفی الولد إذا کانت المرأة منکوحة بالعقد الدائم</w:t>
      </w:r>
      <w:bookmarkEnd w:id="2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ولد المتمتّع بها فینتفی بنفیه من دون لعان و إن لم یجز له نفیه و لم یعلم بالانتفاء کما فی مهذّب الأحکام</w:t>
      </w:r>
      <w:r>
        <w:rPr>
          <w:rStyle w:val="FootnoteAnchor"/>
          <w:rtl w:val="true"/>
        </w:rPr>
        <w:footnoteReference w:id="526"/>
      </w:r>
      <w:r>
        <w:rPr>
          <w:rFonts w:ascii="IRNazanin" w:hAnsi="IRNazanin" w:eastAsia="IRNazanin"/>
          <w:color w:val="111111"/>
          <w:sz w:val="28"/>
          <w:sz w:val="28"/>
          <w:szCs w:val="28"/>
          <w:rtl w:val="true"/>
          <w:lang w:bidi="fa-IR"/>
        </w:rPr>
        <w:t>، و تقدّم أیضاً ما یدلّ علی ذلک، و تفصیل الکلام فی الفرعین فی کتاب اللعان، فراجع المطوّلات</w:t>
      </w:r>
      <w:r>
        <w:rPr>
          <w:rFonts w:eastAsia="IRNazanin" w:cs="IRNazanin"/>
          <w:color w:val="111111"/>
          <w:sz w:val="28"/>
          <w:szCs w:val="28"/>
          <w:rtl w:val="true"/>
          <w:lang w:bidi="fa-IR"/>
        </w:rPr>
        <w:t>.</w:t>
      </w:r>
      <w:bookmarkStart w:id="261" w:name="pg11754_112899"/>
    </w:p>
    <w:p>
      <w:pPr>
        <w:pStyle w:val="Heading4"/>
        <w:numPr>
          <w:ilvl w:val="3"/>
          <w:numId w:val="1"/>
        </w:numPr>
        <w:rPr/>
      </w:pPr>
      <w:bookmarkStart w:id="262" w:name="__RefHeading___Toc9530601_73709187"/>
      <w:bookmarkStart w:id="263" w:name="_Toc103"/>
      <w:bookmarkEnd w:id="261"/>
      <w:bookmarkEnd w:id="262"/>
      <w:r>
        <w:rPr>
          <w:rtl w:val="true"/>
        </w:rPr>
        <w:t>المبحث السابع</w:t>
      </w:r>
      <w:r>
        <w:rPr>
          <w:rtl w:val="true"/>
        </w:rPr>
        <w:t xml:space="preserve">: </w:t>
      </w:r>
      <w:r>
        <w:rPr>
          <w:rtl w:val="true"/>
        </w:rPr>
        <w:t>حکم التلقیح و أطفال الأنابیب</w:t>
      </w:r>
      <w:bookmarkEnd w:id="263"/>
    </w:p>
    <w:p>
      <w:pPr>
        <w:pStyle w:val="Heading5"/>
        <w:numPr>
          <w:ilvl w:val="4"/>
          <w:numId w:val="1"/>
        </w:numPr>
        <w:rPr/>
      </w:pPr>
      <w:bookmarkStart w:id="264" w:name="__RefHeading___Toc9530603_73709187"/>
      <w:bookmarkStart w:id="265" w:name="_Toc104"/>
      <w:bookmarkEnd w:id="264"/>
      <w:r>
        <w:rPr>
          <w:rtl w:val="true"/>
        </w:rPr>
        <w:t>تمهید</w:t>
      </w:r>
      <w:r>
        <w:rPr>
          <w:rtl w:val="true"/>
        </w:rPr>
        <w:t>:</w:t>
      </w:r>
      <w:bookmarkEnd w:id="265"/>
    </w:p>
    <w:p>
      <w:pPr>
        <w:pStyle w:val="BookText"/>
        <w:rPr/>
      </w:pPr>
      <w:r>
        <w:rPr>
          <w:rFonts w:ascii="IRNazanin" w:hAnsi="IRNazanin" w:eastAsia="IRNazanin"/>
          <w:color w:val="111111"/>
          <w:sz w:val="28"/>
          <w:sz w:val="28"/>
          <w:szCs w:val="28"/>
          <w:rtl w:val="true"/>
          <w:lang w:bidi="fa-IR"/>
        </w:rPr>
        <w:t>إنّ من المباحث الهامّة الحدیثة التی ترتبط بالأطفال، هو البحث عن التلقیح الصناعی و أطفال الأنابیب، و حکمه فی الشریعة الإسلامیّة تکلیفاً و وضعاً، و خاصّة بعد أن انتشر فی العالم انتشاراً کبیراً حتّی بین کثیر من المسلمین فی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تقوم فکرة التلقیح الصناعی علی الجمع بین بویضة انثویّة و حویمن ذکریّ، فی محلّ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الحویمن بمهمّته الأساسیّة و هی تلقیح البویضة، أدخلوها فی رحم امرأة فتکون حاملاً، و تلد ولادة اعتیادیّة، و قد یمکن استمرار البویضة الملقّحة فی رحم صناعیّة، حتّی یکبر الجنین هناک بدون رحم بشری، حتّی ما إذا اکتمل نموّه و انتهت مدّته أخرجوه و بدأ حیاته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تکمن المصلحة الأساسیّة للتلقیح الصناعی فی تحمیل العواقر، فإذا لم تستطع المرأة أن تلد خلال حیاتها الزوجیّة؛ فإنّ هذه الطریقة تؤدّی لحملها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العملیّة تتمّ؛ سواء کان العیب من المرأة أو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ماء الرجل ساقطاً عن المنفعة تماماً، أمکن جعل ماء آخر لیتمّ به التلقیح، و إن کانت المرأة عاجزة تماماً عن الحمل أمکن استعارة امرأة اخری للحمل بأُجرة معیّنة لیعود الولد فیکون ابناً للزوجین صاحبی الحویمن و البویضة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عملیّة التلقیح الصناعی عملیّة طبّیة تتمثّل فی إخصاب المرأة عن طریق حقن السائل لزوجها، أو لأحد الأغیار فی المکان المناسب من المهبل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w:t>
      </w:r>
      <w:bookmarkStart w:id="266" w:name="pg11754_112900"/>
    </w:p>
    <w:p>
      <w:pPr>
        <w:pStyle w:val="BookText"/>
        <w:rPr/>
      </w:pPr>
      <w:bookmarkEnd w:id="266"/>
      <w:r>
        <w:rPr>
          <w:rFonts w:ascii="IRNazanin" w:hAnsi="IRNazanin" w:eastAsia="IRNazanin"/>
          <w:color w:val="111111"/>
          <w:sz w:val="28"/>
          <w:sz w:val="28"/>
          <w:szCs w:val="28"/>
          <w:rtl w:val="true"/>
          <w:lang w:bidi="fa-IR"/>
        </w:rPr>
        <w:t>عملیّة إدخال السائل المنوی فی المهبل بنجاح سارت الاُمور بعد ذلک کما لو کان الإنجاب طبیعیّاً، حیث تلتقی النطفة التی تمّ حقنها التقاء بالبیضة التی یفرزها مبیض المرأة، و یتمّ بمشیئة اللّه التلقیح بینهما، ثمّ تعلق البویضة الملقّحة بعد سبعة أیّام تقریباً من تأریخ التلقیح بجدار الرحم، ثمّ تصیر بإذن اللّه مضغة، و هکذا حتی الوضع</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بدّ للدّین من أن یقول کلمته فی کلّ مورد من الموارد العملیّة لقدرته علی مواکبة و مسایرة الحیاة، فنسأل عن عدّة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یحرم هذا العمل شرعاً مطلقاً، أو فی بعض الصور؟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کلّ تقدیر فهل هذا الکائن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شرعی؟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أبوه، و من هی امّه؟</w:t>
      </w:r>
    </w:p>
    <w:p>
      <w:pPr>
        <w:pStyle w:val="BookText"/>
        <w:rPr/>
      </w:pPr>
      <w:r>
        <w:rPr>
          <w:rFonts w:ascii="IRNazanin" w:hAnsi="IRNazanin" w:eastAsia="IRNazanin"/>
          <w:color w:val="111111"/>
          <w:sz w:val="28"/>
          <w:sz w:val="28"/>
          <w:szCs w:val="28"/>
          <w:rtl w:val="true"/>
          <w:lang w:bidi="fa-IR"/>
        </w:rPr>
        <w:t>فیما یلی نذکر أوّلاً معنی التلقیح لغةٌ و اصطلاحاً، ثمّ نبیّن أهمّ الصور المتصوّرة فیه، ثمّ نجیب عن هذه الأسئلة، بعون اللّه تعالی</w:t>
      </w:r>
      <w:r>
        <w:rPr>
          <w:rFonts w:eastAsia="IRNazanin" w:cs="IRNazanin"/>
          <w:color w:val="111111"/>
          <w:sz w:val="28"/>
          <w:szCs w:val="28"/>
          <w:rtl w:val="true"/>
          <w:lang w:bidi="fa-IR"/>
        </w:rPr>
        <w:t>.</w:t>
      </w:r>
    </w:p>
    <w:p>
      <w:pPr>
        <w:pStyle w:val="Heading5"/>
        <w:numPr>
          <w:ilvl w:val="4"/>
          <w:numId w:val="1"/>
        </w:numPr>
        <w:rPr/>
      </w:pPr>
      <w:bookmarkStart w:id="267" w:name="__RefHeading___Toc9530605_73709187"/>
      <w:bookmarkStart w:id="268" w:name="_Toc105"/>
      <w:bookmarkEnd w:id="267"/>
      <w:r>
        <w:rPr>
          <w:rtl w:val="true"/>
        </w:rPr>
        <w:t>التلقیح لغةً و اصطلاحاً</w:t>
      </w:r>
      <w:bookmarkEnd w:id="268"/>
    </w:p>
    <w:p>
      <w:pPr>
        <w:pStyle w:val="Heading6"/>
        <w:numPr>
          <w:ilvl w:val="5"/>
          <w:numId w:val="1"/>
        </w:numPr>
        <w:rPr/>
      </w:pPr>
      <w:bookmarkStart w:id="269" w:name="__RefHeading___Toc9530607_73709187"/>
      <w:bookmarkStart w:id="270" w:name="_Toc106"/>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التلقیح من اللقاح، و هو اسم ماء الفحل، و الأصل فیه للإبل، ثمّ استعیر للناس کما فی لسان العرب</w:t>
      </w:r>
      <w:r>
        <w:rPr>
          <w:rStyle w:val="FootnoteAnchor"/>
          <w:rtl w:val="true"/>
        </w:rPr>
        <w:footnoteReference w:id="529"/>
      </w:r>
      <w:r>
        <w:rPr>
          <w:rFonts w:ascii="IRNazanin" w:hAnsi="IRNazanin" w:eastAsia="IRNazanin"/>
          <w:color w:val="111111"/>
          <w:sz w:val="28"/>
          <w:sz w:val="28"/>
          <w:szCs w:val="28"/>
          <w:rtl w:val="true"/>
          <w:lang w:bidi="fa-IR"/>
        </w:rPr>
        <w:t>و النهایة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ألقح الفحل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أحبلها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استعمل فی معنی قبول ماء الفحل أیضاً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لقح لقحاً و لقاحاً قبلت ماء الفحل</w:t>
      </w:r>
      <w:r>
        <w:rPr>
          <w:rFonts w:eastAsia="IRNazanin" w:cs="IRNazanin"/>
          <w:color w:val="111111"/>
          <w:sz w:val="28"/>
          <w:szCs w:val="28"/>
          <w:rtl w:val="true"/>
          <w:lang w:bidi="fa-IR"/>
        </w:rPr>
        <w:t>»</w:t>
      </w:r>
      <w:r>
        <w:rPr>
          <w:rStyle w:val="FootnoteAnchor"/>
          <w:rtl w:val="true"/>
        </w:rPr>
        <w:footnoteReference w:id="532"/>
      </w:r>
      <w:bookmarkStart w:id="271" w:name="pg11754_112901"/>
    </w:p>
    <w:p>
      <w:pPr>
        <w:pStyle w:val="BookText"/>
        <w:rPr/>
      </w:pPr>
      <w:bookmarkEnd w:id="271"/>
      <w:r>
        <w:rPr>
          <w:rFonts w:ascii="IRNazanin" w:hAnsi="IRNazanin" w:eastAsia="IRNazanin"/>
          <w:color w:val="111111"/>
          <w:sz w:val="28"/>
          <w:sz w:val="28"/>
          <w:szCs w:val="28"/>
          <w:rtl w:val="true"/>
          <w:lang w:bidi="fa-IR"/>
        </w:rPr>
        <w:t>و 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التقاء الحیوان المنوی بالبویضة داخل الرحم، و یکون ذلک عادةً فی الثلث الأعلی من قناة المبیض، و هو طبیعی و صناعی</w:t>
      </w:r>
      <w:r>
        <w:rPr>
          <w:rFonts w:eastAsia="IRNazanin" w:cs="IRNazanin"/>
          <w:color w:val="111111"/>
          <w:sz w:val="28"/>
          <w:szCs w:val="28"/>
          <w:rtl w:val="true"/>
          <w:lang w:bidi="fa-IR"/>
        </w:rPr>
        <w:t>.</w:t>
      </w:r>
    </w:p>
    <w:p>
      <w:pPr>
        <w:pStyle w:val="Heading6"/>
        <w:numPr>
          <w:ilvl w:val="5"/>
          <w:numId w:val="1"/>
        </w:numPr>
        <w:rPr/>
      </w:pPr>
      <w:bookmarkStart w:id="272" w:name="__RefHeading___Toc9530609_73709187"/>
      <w:bookmarkStart w:id="273" w:name="_Toc107"/>
      <w:bookmarkEnd w:id="272"/>
      <w:r>
        <w:rPr>
          <w:rtl w:val="true"/>
        </w:rPr>
        <w:t>التلقیح الطبیعی</w:t>
      </w:r>
      <w:r>
        <w:rPr>
          <w:rtl w:val="true"/>
        </w:rPr>
        <w:t>:</w:t>
      </w:r>
      <w:bookmarkEnd w:id="273"/>
    </w:p>
    <w:p>
      <w:pPr>
        <w:pStyle w:val="BookText"/>
        <w:rPr/>
      </w:pPr>
      <w:r>
        <w:rPr>
          <w:rFonts w:ascii="Amiri" w:hAnsi="Amiri" w:eastAsia="Amiri" w:cs="Amiri"/>
          <w:color w:val="111111"/>
          <w:sz w:val="28"/>
          <w:sz w:val="28"/>
          <w:szCs w:val="28"/>
          <w:rtl w:val="true"/>
          <w:lang w:bidi="ar-SA"/>
        </w:rPr>
        <w:t xml:space="preserve">هو التقاء نطفة الرجل ببویضة المرأة داخل الرحم التقاءً مباشراً عن الاتّصال الجنس، و إذا التقی الحیوان المنوی ببویضة المرأة؛ فإنّهما یختلطان و یمتشجان لیکونا ولداً، و هذا هو التلقیح الطبیعی الذی أشار إلیه القرآن الکریم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المراد بالماء الدافق ماء الرجل و ماء المرأة؛ لأنّ الولد مخلوق منهما بعد امتزاجهما، و إذا لم یصل السائل عن طریق الاتّصال الجسمی، و تعذّر الحصول علی الولد بالتلقیح الطبیعی؛ فإنّه یلجأ إلی الطریقة الاُخری؛ و هی الطریقة المسمّاة بالتلقیح الصناعی</w:t>
      </w:r>
      <w:r>
        <w:rPr>
          <w:rFonts w:eastAsia="IRNazanin" w:cs="IRNazanin"/>
          <w:color w:val="111111"/>
          <w:sz w:val="28"/>
          <w:szCs w:val="28"/>
          <w:rtl w:val="true"/>
          <w:lang w:bidi="fa-IR"/>
        </w:rPr>
        <w:t>.</w:t>
      </w:r>
    </w:p>
    <w:p>
      <w:pPr>
        <w:pStyle w:val="Heading6"/>
        <w:numPr>
          <w:ilvl w:val="5"/>
          <w:numId w:val="1"/>
        </w:numPr>
        <w:rPr/>
      </w:pPr>
      <w:bookmarkStart w:id="274" w:name="__RefHeading___Toc9530611_73709187"/>
      <w:bookmarkStart w:id="275" w:name="_Toc108"/>
      <w:bookmarkEnd w:id="274"/>
      <w:r>
        <w:rPr>
          <w:rtl w:val="true"/>
        </w:rPr>
        <w:t>التلقیح الصناعی</w:t>
      </w:r>
      <w:r>
        <w:rPr>
          <w:rtl w:val="true"/>
        </w:rPr>
        <w:t>:</w:t>
      </w:r>
      <w:bookmarkEnd w:id="275"/>
    </w:p>
    <w:p>
      <w:pPr>
        <w:pStyle w:val="BookText"/>
        <w:rPr/>
      </w:pPr>
      <w:r>
        <w:rPr>
          <w:rFonts w:ascii="IRNazanin" w:hAnsi="IRNazanin" w:eastAsia="IRNazanin"/>
          <w:color w:val="111111"/>
          <w:sz w:val="28"/>
          <w:sz w:val="28"/>
          <w:szCs w:val="28"/>
          <w:rtl w:val="true"/>
          <w:lang w:bidi="fa-IR"/>
        </w:rPr>
        <w:t xml:space="preserve">و المقصود منه إنجاب الأولاد بغیر الطریق الطبیعی المعتاد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الأولاد الّذین یولّدون بهذه الطریقة یسمّون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أطفال الأنابیب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تلقیح بویضة الاُنثی بمنیّ الرجل یتمّ داخل الأنابیب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التلقیح الصناعی هو کلّ طریقة أو صورة یتمّ فیها التلقیح و الإنجاب بغیر الاتّصال الجنسی الطبیعی بین الرجل و المرأة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یقسّم إلی قسمین</w:t>
      </w:r>
      <w:r>
        <w:rPr>
          <w:rFonts w:eastAsia="IRNazanin" w:cs="IRNazanin"/>
          <w:color w:val="111111"/>
          <w:sz w:val="28"/>
          <w:szCs w:val="28"/>
          <w:rtl w:val="true"/>
          <w:lang w:bidi="fa-IR"/>
        </w:rPr>
        <w:t>:</w:t>
      </w:r>
    </w:p>
    <w:p>
      <w:pPr>
        <w:pStyle w:val="Heading6"/>
        <w:numPr>
          <w:ilvl w:val="5"/>
          <w:numId w:val="1"/>
        </w:numPr>
        <w:rPr/>
      </w:pPr>
      <w:bookmarkStart w:id="276" w:name="__RefHeading___Toc9530613_73709187"/>
      <w:bookmarkStart w:id="277" w:name="_Toc109"/>
      <w:bookmarkEnd w:id="276"/>
      <w:r>
        <w:rPr>
          <w:rtl w:val="true"/>
        </w:rPr>
        <w:t>أ</w:t>
      </w:r>
      <w:r>
        <w:rPr>
          <w:rtl w:val="true"/>
        </w:rPr>
        <w:t xml:space="preserve">: </w:t>
      </w:r>
      <w:r>
        <w:rPr>
          <w:rtl w:val="true"/>
        </w:rPr>
        <w:t>التلقیح الداخلی</w:t>
      </w:r>
      <w:r>
        <w:rPr>
          <w:rtl w:val="true"/>
        </w:rPr>
        <w:t>:</w:t>
      </w:r>
      <w:bookmarkEnd w:id="2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علی المنی من الرجل و حقنه فی فرج الاُنثی لیصل إلی البویضة فی قناة فالوب، و یعمل علی تلقیحها و تکمل بعد</w:t>
      </w:r>
      <w:bookmarkStart w:id="278" w:name="pg11754_112902"/>
    </w:p>
    <w:p>
      <w:pPr>
        <w:pStyle w:val="BookText"/>
        <w:rPr/>
      </w:pPr>
      <w:bookmarkEnd w:id="278"/>
      <w:r>
        <w:rPr>
          <w:rFonts w:ascii="IRNazanin" w:hAnsi="IRNazanin" w:eastAsia="IRNazanin"/>
          <w:color w:val="111111"/>
          <w:sz w:val="28"/>
          <w:sz w:val="28"/>
          <w:szCs w:val="28"/>
          <w:rtl w:val="true"/>
          <w:lang w:bidi="fa-IR"/>
        </w:rPr>
        <w:t>ذلک البویضة المخصّبة التکوین الجنینی الطبیعی</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أوضح، یتمّ فی هذه الحالة إدخال منیّ الزوج إلی داخل رحم الزوجة بوسائل طبیّة معیّنة، حیث یؤخذ السائل المنویّ حارّاً غیر بارد بعد وضعه فی إناءٍ نظیف معقّم غیر مبلّلٍ بالماء، و یسحب بمحقنٍ خاصّ لیزرق فی فوهة عنق الرحم لیدخل إلی الرحم رأساً، و تترک المرأة بعدها ممدودةً علی ظهرها مدّة ساعةٍ تقریباً لتساعد النطف علی الوصول إلی الجهاز التناسلی، حیث تنتظرها البویضة فی البوق</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9530615_73709187"/>
      <w:bookmarkStart w:id="280" w:name="_Toc110"/>
      <w:bookmarkEnd w:id="279"/>
      <w:r>
        <w:rPr>
          <w:rtl w:val="true"/>
        </w:rPr>
        <w:t>ب</w:t>
      </w:r>
      <w:r>
        <w:rPr>
          <w:rtl w:val="true"/>
        </w:rPr>
        <w:t xml:space="preserve">: </w:t>
      </w:r>
      <w:r>
        <w:rPr>
          <w:rtl w:val="true"/>
        </w:rPr>
        <w:t>التلقیح الخارجی</w:t>
      </w:r>
      <w:r>
        <w:rPr>
          <w:rtl w:val="true"/>
        </w:rPr>
        <w:t>:</w:t>
      </w:r>
      <w:bookmarkEnd w:id="280"/>
    </w:p>
    <w:p>
      <w:pPr>
        <w:pStyle w:val="BookText"/>
        <w:rPr/>
      </w:pPr>
      <w:r>
        <w:rPr>
          <w:rFonts w:ascii="IRNazanin" w:hAnsi="IRNazanin" w:eastAsia="IRNazanin"/>
          <w:color w:val="111111"/>
          <w:sz w:val="28"/>
          <w:sz w:val="28"/>
          <w:szCs w:val="28"/>
          <w:rtl w:val="true"/>
          <w:lang w:bidi="fa-IR"/>
        </w:rPr>
        <w:t>و هو عملیّة تلقیح البویضة بحیوان منوی بطریق غیر طرق الاتّصال الطبیعی الجنسی و من الرجل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جسم المرأة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9530617_73709187"/>
      <w:bookmarkStart w:id="282" w:name="_Toc111"/>
      <w:bookmarkEnd w:id="281"/>
      <w:r>
        <w:rPr>
          <w:rtl w:val="true"/>
        </w:rPr>
        <w:t>صور التلقیح</w:t>
      </w:r>
      <w:bookmarkEnd w:id="282"/>
    </w:p>
    <w:p>
      <w:pPr>
        <w:pStyle w:val="Heading6"/>
        <w:numPr>
          <w:ilvl w:val="5"/>
          <w:numId w:val="1"/>
        </w:numPr>
        <w:rPr/>
      </w:pPr>
      <w:bookmarkStart w:id="283" w:name="__RefHeading___Toc9530619_73709187"/>
      <w:bookmarkStart w:id="284" w:name="_Toc112"/>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یمکن أن یتصوّر لعملیّة التلقیح صور کثیرة نذکر أهمّها</w:t>
      </w:r>
      <w:r>
        <w:rPr>
          <w:rFonts w:eastAsia="IRNazanin" w:cs="IRNazanin"/>
          <w:color w:val="111111"/>
          <w:sz w:val="28"/>
          <w:szCs w:val="28"/>
          <w:rtl w:val="true"/>
          <w:lang w:bidi="fa-IR"/>
        </w:rPr>
        <w:t>:</w:t>
      </w:r>
    </w:p>
    <w:p>
      <w:pPr>
        <w:pStyle w:val="Heading6"/>
        <w:numPr>
          <w:ilvl w:val="5"/>
          <w:numId w:val="1"/>
        </w:numPr>
        <w:rPr/>
      </w:pPr>
      <w:bookmarkStart w:id="285" w:name="__RefHeading___Toc9530621_73709187"/>
      <w:bookmarkStart w:id="286" w:name="_Toc113"/>
      <w:bookmarkEnd w:id="285"/>
      <w:r>
        <w:rPr>
          <w:rtl w:val="true"/>
        </w:rPr>
        <w:t>الصورة الاُولی</w:t>
      </w:r>
      <w:r>
        <w:rPr>
          <w:rtl w:val="true"/>
        </w:rPr>
        <w:t xml:space="preserve">: </w:t>
      </w:r>
      <w:r>
        <w:rPr>
          <w:rtl w:val="true"/>
        </w:rPr>
        <w:t>أن تؤخذ البییضة من المرأة عند خروجها من المبیض</w:t>
      </w:r>
      <w:bookmarkEnd w:id="286"/>
    </w:p>
    <w:p>
      <w:pPr>
        <w:pStyle w:val="BookText"/>
        <w:rPr/>
      </w:pPr>
      <w:r>
        <w:rPr>
          <w:rFonts w:ascii="IRNazanin" w:hAnsi="IRNazanin" w:eastAsia="IRNazanin"/>
          <w:color w:val="111111"/>
          <w:sz w:val="28"/>
          <w:sz w:val="28"/>
          <w:szCs w:val="28"/>
          <w:rtl w:val="true"/>
          <w:lang w:bidi="fa-IR"/>
        </w:rPr>
        <w:t>بواسطة الهرمونات التی تفرزها الغدّة النخامیّة، و بواسطة قیاس حرارة الجسم یومیّاً، ثمّ یقوم الطبیب بأخذها من المبیض بواسطة مسبار البطن، و یضعها فی محلول مناسب، ثمّ توضع فی المحضن حتّی نموّها، ثمّ یؤخذ منیّ الرجل و یوضع فی مزرعة خاصّة، ثمّ تؤخذ منه کمّیة مرکّزة و توضع فی الطبق الذی فیه البیضة، و بعد ما تنمو اللقیحة تعاد إلی الرحم فتنمو فی رحمها نموّا طبیعیّاً و تتحوّل إلی جنین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 عملیّة التلقیح الخارجیّة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جمع البویضة</w:t>
      </w:r>
      <w:bookmarkStart w:id="287" w:name="pg11754_112903"/>
    </w:p>
    <w:p>
      <w:pPr>
        <w:pStyle w:val="BookText"/>
        <w:rPr/>
      </w:pPr>
      <w:bookmarkEnd w:id="287"/>
      <w:r>
        <w:rPr>
          <w:rFonts w:ascii="IRNazanin" w:hAnsi="IRNazanin" w:eastAsia="IRNazanin"/>
          <w:color w:val="111111"/>
          <w:sz w:val="28"/>
          <w:sz w:val="28"/>
          <w:szCs w:val="28"/>
          <w:rtl w:val="true"/>
          <w:lang w:bidi="fa-IR"/>
        </w:rPr>
        <w:t xml:space="preserve">و الحویمن فی مجال صناعیّ للتلقیح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و إنّما الإشکال فیما قبل ذلک و فیما بعده، و سنذکره قریباً</w:t>
      </w:r>
      <w:r>
        <w:rPr>
          <w:rFonts w:eastAsia="IRNazanin" w:cs="IRNazanin"/>
          <w:color w:val="111111"/>
          <w:sz w:val="28"/>
          <w:szCs w:val="28"/>
          <w:rtl w:val="true"/>
          <w:lang w:bidi="fa-IR"/>
        </w:rPr>
        <w:t>.</w:t>
      </w:r>
    </w:p>
    <w:p>
      <w:pPr>
        <w:pStyle w:val="Heading6"/>
        <w:numPr>
          <w:ilvl w:val="5"/>
          <w:numId w:val="1"/>
        </w:numPr>
        <w:rPr/>
      </w:pPr>
      <w:bookmarkStart w:id="288" w:name="__RefHeading___Toc9530623_73709187"/>
      <w:bookmarkStart w:id="289" w:name="_Toc114"/>
      <w:bookmarkEnd w:id="288"/>
      <w:r>
        <w:rPr>
          <w:rtl w:val="true"/>
        </w:rPr>
        <w:t>الصورة الثانیة</w:t>
      </w:r>
      <w:r>
        <w:rPr>
          <w:rtl w:val="true"/>
        </w:rPr>
        <w:t xml:space="preserve">: </w:t>
      </w:r>
      <w:r>
        <w:rPr>
          <w:rtl w:val="true"/>
        </w:rPr>
        <w:t>أن ینتقل منیّ الرجل فی رحم زوجته بواسطة الآلات الطبّیة الحدیثة</w:t>
      </w:r>
      <w:bookmarkEnd w:id="289"/>
    </w:p>
    <w:p>
      <w:pPr>
        <w:pStyle w:val="BookText"/>
        <w:rPr/>
      </w:pPr>
      <w:r>
        <w:rPr>
          <w:rFonts w:ascii="IRNazanin" w:hAnsi="IRNazanin" w:eastAsia="IRNazanin"/>
          <w:color w:val="111111"/>
          <w:sz w:val="28"/>
          <w:sz w:val="28"/>
          <w:szCs w:val="28"/>
          <w:rtl w:val="true"/>
          <w:lang w:bidi="fa-IR"/>
        </w:rPr>
        <w:t>، کما إذا کانت نطفة الزوج ضعیفة، فقوّاه الطبیب بالعقاقیر الطبّیة، ثمّ جعل فی رحم زوجته، و أصل هذا العمل جائز ما لم یستلزم محرّماً آخر، کإخراج الماء من الرجل بالاستمناء المحرّم، و النظر إلی عورة الرجل و المرأة و غیر ذلک؛ لأنّه بعد عدم الدلیل علی المنع تجری أصالة الجواز، کما فی مهذّب الأحکام</w:t>
      </w:r>
      <w:r>
        <w:rPr>
          <w:rStyle w:val="FootnoteAnchor"/>
          <w:rtl w:val="true"/>
        </w:rPr>
        <w:footnoteReference w:id="538"/>
      </w:r>
      <w:r>
        <w:rPr>
          <w:rFonts w:ascii="IRNazanin" w:hAnsi="IRNazanin" w:eastAsia="IRNazanin"/>
          <w:color w:val="111111"/>
          <w:sz w:val="28"/>
          <w:sz w:val="28"/>
          <w:szCs w:val="28"/>
          <w:rtl w:val="true"/>
          <w:lang w:bidi="fa-IR"/>
        </w:rPr>
        <w:t>، و تحریر الوسیلة</w:t>
      </w:r>
      <w:r>
        <w:rPr>
          <w:rStyle w:val="FootnoteAnchor"/>
          <w:rtl w:val="true"/>
        </w:rPr>
        <w:footnoteReference w:id="539"/>
      </w:r>
      <w:r>
        <w:rPr>
          <w:rFonts w:ascii="IRNazanin" w:hAnsi="IRNazanin" w:eastAsia="IRNazanin"/>
          <w:color w:val="111111"/>
          <w:sz w:val="28"/>
          <w:sz w:val="28"/>
          <w:szCs w:val="28"/>
          <w:rtl w:val="true"/>
          <w:lang w:bidi="fa-IR"/>
        </w:rPr>
        <w:t>و غیرهما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9530625_73709187"/>
      <w:bookmarkStart w:id="291" w:name="_Toc115"/>
      <w:bookmarkEnd w:id="290"/>
      <w:r>
        <w:rPr>
          <w:rtl w:val="true"/>
        </w:rPr>
        <w:t>الصورة الثالثة</w:t>
      </w:r>
      <w:r>
        <w:rPr>
          <w:rtl w:val="true"/>
        </w:rPr>
        <w:t xml:space="preserve">: </w:t>
      </w:r>
      <w:r>
        <w:rPr>
          <w:rtl w:val="true"/>
        </w:rPr>
        <w:t>نقل نطفة الزوجین إلی زوجة اخری لهذا الزوج</w:t>
      </w:r>
      <w:bookmarkEnd w:id="291"/>
    </w:p>
    <w:p>
      <w:pPr>
        <w:pStyle w:val="BookText"/>
        <w:rPr/>
      </w:pPr>
      <w:r>
        <w:rPr>
          <w:rFonts w:ascii="IRNazanin" w:hAnsi="IRNazanin" w:eastAsia="IRNazanin"/>
          <w:color w:val="111111"/>
          <w:sz w:val="28"/>
          <w:sz w:val="28"/>
          <w:szCs w:val="28"/>
          <w:rtl w:val="true"/>
          <w:lang w:bidi="fa-IR"/>
        </w:rPr>
        <w:t>؛ بأن تکون إحداهما لها مبیض و لیس لها رحم مثلاً، و الاُخری لها رحم و لا تعطی بویضة</w:t>
      </w:r>
      <w:r>
        <w:rPr>
          <w:rFonts w:eastAsia="IRNazanin" w:cs="IRNazanin"/>
          <w:color w:val="111111"/>
          <w:sz w:val="28"/>
          <w:szCs w:val="28"/>
          <w:rtl w:val="true"/>
          <w:lang w:bidi="fa-IR"/>
        </w:rPr>
        <w:t>.</w:t>
      </w:r>
    </w:p>
    <w:p>
      <w:pPr>
        <w:pStyle w:val="Heading6"/>
        <w:numPr>
          <w:ilvl w:val="5"/>
          <w:numId w:val="1"/>
        </w:numPr>
        <w:rPr/>
      </w:pPr>
      <w:bookmarkStart w:id="292" w:name="__RefHeading___Toc9530627_73709187"/>
      <w:bookmarkStart w:id="293" w:name="_Toc116"/>
      <w:bookmarkEnd w:id="292"/>
      <w:r>
        <w:rPr>
          <w:rtl w:val="true"/>
        </w:rPr>
        <w:t>الصورة الرابعة</w:t>
      </w:r>
      <w:r>
        <w:rPr>
          <w:rtl w:val="true"/>
        </w:rPr>
        <w:t xml:space="preserve">: </w:t>
      </w:r>
      <w:r>
        <w:rPr>
          <w:rtl w:val="true"/>
        </w:rPr>
        <w:t>أن یجعل منیّ الرجل الأجنبی فی رحم المرأة الأجنبیّة،</w:t>
      </w:r>
      <w:bookmarkEnd w:id="293"/>
    </w:p>
    <w:p>
      <w:pPr>
        <w:pStyle w:val="BookText"/>
        <w:rPr/>
      </w:pPr>
      <w:r>
        <w:rPr>
          <w:rFonts w:ascii="IRNazanin" w:hAnsi="IRNazanin" w:eastAsia="IRNazanin"/>
          <w:color w:val="111111"/>
          <w:sz w:val="28"/>
          <w:sz w:val="28"/>
          <w:szCs w:val="28"/>
          <w:rtl w:val="true"/>
          <w:lang w:bidi="fa-IR"/>
        </w:rPr>
        <w:t>و لنفس هذه الصورة أیضاً شقوق کثیرة؛ لأنّه تارةً یکون الرجل الذی منه النطفة معلوماً و اخری غیر معلوم، و هکذا قد تکون المرأة التی یجعل فی رحمها النطفة خلیة، و قد تکون متزوّجة، و علی الثانی قد یشتبه الحمل بین کونه من ماء الزوج، أو ماء الأجنبی، و قد یعلم استناده إلی أحدهما، و هکذا تارةً یعلم الرجل و المرأة بعملیّة التلقیح، و أنّ النطفة من غیرهما و قد أذنا فی ذلک، و قد لا یعلما، بل فعل الطبیب من دون إذن منهما، و یمکن أن یعلم أحدهما دون الآخر، أو أذن أحدهما دون الآخر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قد یکون الرجل الأجنبی الذی منه النطفة متزوّجاً، و قد یکون غیر</w:t>
      </w:r>
      <w:bookmarkStart w:id="294" w:name="pg11754_112904"/>
    </w:p>
    <w:p>
      <w:pPr>
        <w:pStyle w:val="BookText"/>
        <w:rPr/>
      </w:pPr>
      <w:bookmarkEnd w:id="294"/>
      <w:r>
        <w:rPr>
          <w:rFonts w:ascii="IRNazanin" w:hAnsi="IRNazanin" w:eastAsia="IRNazanin"/>
          <w:color w:val="111111"/>
          <w:sz w:val="28"/>
          <w:sz w:val="28"/>
          <w:szCs w:val="28"/>
          <w:rtl w:val="true"/>
          <w:lang w:bidi="fa-IR"/>
        </w:rPr>
        <w:t>متزوّج، و تارةً یکون معلوم الهویّة، کما یمکن أن یکون مجهول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تکون النطفة من رجل قریب محرم، کما لو کان أخاً للمرأة، أو أباً أو ابناً أو غیر ذلک</w:t>
      </w:r>
      <w:r>
        <w:rPr>
          <w:rFonts w:eastAsia="IRNazanin" w:cs="IRNazanin"/>
          <w:color w:val="111111"/>
          <w:sz w:val="28"/>
          <w:szCs w:val="28"/>
          <w:rtl w:val="true"/>
          <w:lang w:bidi="fa-IR"/>
        </w:rPr>
        <w:t>.</w:t>
      </w:r>
    </w:p>
    <w:p>
      <w:pPr>
        <w:pStyle w:val="Heading6"/>
        <w:numPr>
          <w:ilvl w:val="5"/>
          <w:numId w:val="1"/>
        </w:numPr>
        <w:rPr/>
      </w:pPr>
      <w:bookmarkStart w:id="295" w:name="__RefHeading___Toc9530629_73709187"/>
      <w:bookmarkStart w:id="296" w:name="_Toc117"/>
      <w:bookmarkEnd w:id="295"/>
      <w:r>
        <w:rPr>
          <w:rtl w:val="true"/>
        </w:rPr>
        <w:t>الصورة الخامسة</w:t>
      </w:r>
      <w:r>
        <w:rPr>
          <w:rtl w:val="true"/>
        </w:rPr>
        <w:t xml:space="preserve">: </w:t>
      </w:r>
      <w:r>
        <w:rPr>
          <w:rtl w:val="true"/>
        </w:rPr>
        <w:t>أن تکون النطفة أی البویضة و الحویمن من زوجین عادةً،</w:t>
      </w:r>
      <w:bookmarkEnd w:id="296"/>
    </w:p>
    <w:p>
      <w:pPr>
        <w:pStyle w:val="BookText"/>
        <w:rPr/>
      </w:pPr>
      <w:r>
        <w:rPr>
          <w:rFonts w:ascii="IRNazanin" w:hAnsi="IRNazanin" w:eastAsia="IRNazanin"/>
          <w:color w:val="111111"/>
          <w:sz w:val="28"/>
          <w:sz w:val="28"/>
          <w:szCs w:val="28"/>
          <w:rtl w:val="true"/>
          <w:lang w:bidi="fa-IR"/>
        </w:rPr>
        <w:t>ثمّ یتمّ تلقیحها صناعیّاً حتّی صار علقة أو مضغة، أو ولج فیه الروح ثمّ انتقل إلی رحم امرأة اخری بأُجرة معیّنة متّفق علیها إلی حین الولادة، کما یمکن أن یفرض انتقال النطفة إلی رحم المرأة الثانیة من الأوّل قبل أن یصیر علقة أو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انتقال نطفة الزوجین إلی رحم امرأة اخری لکن بعد وفاة زوجها،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تؤخذ بویضة أو أکثر من حیوان منویّ من الزوج، و یستعان باثنین فی الشهر الأوّل، و یوضع الباقی فی ثلاّجة یجمد إلی فترة بعد سنة أو سنتین، أو یمکن حتّی بعد وفاة الزوج، کما یمکن أن توضع هذه الأجنّة مرّة اخری فی الرحم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یمکن عزل النطفة الأمشاج و خزنها فی ثلاّجة خاصّة لفترات متراوحة من الزمن تحت درجةٍ معیّنةٍ من الحرارة، ثمّ نقلها إلی رحم الاُمّ أو رحم مستأجرة فی الوقت المناسب، فقد لا تکون الأمّ مستعدة فسیولوجیاً، أو حتّی نفسیّاً أو اجتماعیاً لاستقبال البویضة الملقّحة داخل رحمها، فیتمّ الاتّفاق علی موعد آخر یضمن نجاح العملیّة، و کذلک قد تختار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غیر رحمها، و هذا یحتاج إلی تعیین وقت مناسب للاُمّ البدیل التی وافقت علی احتضان البویضة الملقحة للزوجین بزراعتها داخل رحمها</w:t>
      </w:r>
      <w:r>
        <w:rPr>
          <w:rFonts w:eastAsia="IRNazanin" w:cs="IRNazanin"/>
          <w:color w:val="111111"/>
          <w:sz w:val="28"/>
          <w:szCs w:val="28"/>
          <w:rtl w:val="true"/>
          <w:lang w:bidi="fa-IR"/>
        </w:rPr>
        <w:t>»</w:t>
      </w:r>
      <w:r>
        <w:rPr>
          <w:rStyle w:val="FootnoteAnchor"/>
          <w:rtl w:val="true"/>
        </w:rPr>
        <w:footnoteReference w:id="542"/>
      </w:r>
      <w:bookmarkStart w:id="297" w:name="pg11754_112905"/>
    </w:p>
    <w:p>
      <w:pPr>
        <w:pStyle w:val="BookText"/>
        <w:rPr/>
      </w:pPr>
      <w:bookmarkEnd w:id="297"/>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من أهمّ ما یثیر الجدل فقهیّاً فی مبحث التلقیح الصناعی، و هی المسمّاة بالرحم البشریّة المستأجرة</w:t>
      </w:r>
      <w:r>
        <w:rPr>
          <w:rFonts w:eastAsia="IRNazanin" w:cs="IRNazanin"/>
          <w:color w:val="111111"/>
          <w:sz w:val="28"/>
          <w:szCs w:val="28"/>
          <w:rtl w:val="true"/>
          <w:lang w:bidi="fa-IR"/>
        </w:rPr>
        <w:t>.</w:t>
      </w:r>
    </w:p>
    <w:p>
      <w:pPr>
        <w:pStyle w:val="Heading6"/>
        <w:numPr>
          <w:ilvl w:val="5"/>
          <w:numId w:val="1"/>
        </w:numPr>
        <w:rPr/>
      </w:pPr>
      <w:bookmarkStart w:id="298" w:name="__RefHeading___Toc9530631_73709187"/>
      <w:bookmarkStart w:id="299" w:name="_Toc118"/>
      <w:bookmarkEnd w:id="298"/>
      <w:r>
        <w:rPr>
          <w:rtl w:val="true"/>
        </w:rPr>
        <w:t>الصورة السادسة</w:t>
      </w:r>
      <w:r>
        <w:rPr>
          <w:rtl w:val="true"/>
        </w:rPr>
        <w:t xml:space="preserve">: </w:t>
      </w:r>
      <w:r>
        <w:rPr>
          <w:rtl w:val="true"/>
        </w:rPr>
        <w:t>تلقیح منیّ حیوان فی رحم امرأة أو بالعکس</w:t>
      </w:r>
      <w:bookmarkEnd w:id="299"/>
    </w:p>
    <w:p>
      <w:pPr>
        <w:pStyle w:val="BookText"/>
        <w:rPr/>
      </w:pPr>
      <w:r>
        <w:rPr>
          <w:rFonts w:ascii="IRNazanin" w:hAnsi="IRNazanin" w:eastAsia="IRNazanin"/>
          <w:color w:val="111111"/>
          <w:sz w:val="28"/>
          <w:sz w:val="28"/>
          <w:szCs w:val="28"/>
          <w:rtl w:val="true"/>
          <w:lang w:bidi="fa-IR"/>
        </w:rPr>
        <w:t>، أی تلقیح منیّ رجل فی الحیوان إن أمکن أن یتولّد الطفل من هذا الطریق</w:t>
      </w:r>
      <w:r>
        <w:rPr>
          <w:rFonts w:eastAsia="IRNazanin" w:cs="IRNazanin"/>
          <w:color w:val="111111"/>
          <w:sz w:val="28"/>
          <w:szCs w:val="28"/>
          <w:rtl w:val="true"/>
          <w:lang w:bidi="fa-IR"/>
        </w:rPr>
        <w:t>.</w:t>
      </w:r>
    </w:p>
    <w:p>
      <w:pPr>
        <w:pStyle w:val="Heading5"/>
        <w:numPr>
          <w:ilvl w:val="4"/>
          <w:numId w:val="1"/>
        </w:numPr>
        <w:rPr/>
      </w:pPr>
      <w:bookmarkStart w:id="300" w:name="__RefHeading___Toc9530633_73709187"/>
      <w:bookmarkStart w:id="301" w:name="_Toc119"/>
      <w:bookmarkEnd w:id="300"/>
      <w:r>
        <w:rPr>
          <w:rtl w:val="true"/>
        </w:rPr>
        <w:t>الحکم التکلیفی فی التلقیح الصناعی</w:t>
      </w:r>
      <w:bookmarkEnd w:id="301"/>
    </w:p>
    <w:p>
      <w:pPr>
        <w:pStyle w:val="Heading6"/>
        <w:numPr>
          <w:ilvl w:val="5"/>
          <w:numId w:val="1"/>
        </w:numPr>
        <w:rPr/>
      </w:pPr>
      <w:bookmarkStart w:id="302" w:name="__RefHeading___Toc9530635_73709187"/>
      <w:bookmarkStart w:id="303" w:name="_Toc120"/>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حکمه التکلیفی؛ بمعنی أنّ التلقیح الصناعی محرّم مطلقاً أو فی بعض الصور،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الوضعی، أی إلحاق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حکمه التکلیفی فقد توجد هناک عدّة صور لجواز التلقیح الصناعی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 یقوم الزوج بإخراج البویضة من المرأة و یدخلها بعد التلقیح فی رحم زوجته، أو تقوم هی بنفسها، و یکون الماء ماء الزوج نفسه، و یکون الإنزال عن طریق التهییج الجنسی مع الزوجة، کأن یکون الزوج طبیباً اختصاصیّاً، إلاّ أنّه 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إشکال فی جوازه، کما أفتی به بعض أعلام العصر</w:t>
      </w:r>
      <w:r>
        <w:rPr>
          <w:rStyle w:val="FootnoteAnchor"/>
          <w:rtl w:val="true"/>
        </w:rPr>
        <w:footnoteReference w:id="543"/>
      </w:r>
      <w:r>
        <w:rPr>
          <w:rFonts w:ascii="IRNazanin" w:hAnsi="IRNazanin" w:eastAsia="IRNazanin"/>
          <w:color w:val="111111"/>
          <w:sz w:val="28"/>
          <w:sz w:val="28"/>
          <w:szCs w:val="28"/>
          <w:rtl w:val="true"/>
          <w:lang w:bidi="fa-IR"/>
        </w:rPr>
        <w:t>،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أنّ تلقیح ماء الرجل بزوجته جائز و إن وجب الاحتراز عن حصول مقدّمات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النطفة خرجت بوجهٍ محلّل و لقّحها الزوج بزوجته، فحصل منها ولد کان ولدهما کما لو تولّد بالجماع</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منع للاستیلاد بهذه الکیفیّة و إن لم تکن عادیّة، و لو شکّ فی حلیّتها أو حرمتها فمقتضی البراءة الشرعیّة و العقلیّة هو الجواز</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توقّفت هذه الکیفیّة علی مقدّمات محرّمة، ککون المُلقِّح أجنبیّاً،</w:t>
      </w:r>
    </w:p>
    <w:p>
      <w:pPr>
        <w:pStyle w:val="BookText"/>
        <w:rPr/>
      </w:pPr>
      <w:r>
        <w:rPr>
          <w:rFonts w:ascii="IRNazanin" w:hAnsi="IRNazanin" w:eastAsia="IRNazanin"/>
          <w:color w:val="111111"/>
          <w:sz w:val="28"/>
          <w:sz w:val="28"/>
          <w:szCs w:val="28"/>
          <w:rtl w:val="true"/>
          <w:lang w:bidi="fa-IR"/>
        </w:rPr>
        <w:t>أو استلزم التلقیح للنظر إلی ما لا یجوز النظر إلیه، و غیر ذلک من المحرّمات، یجب الاحتراز عن ذلک؛ لوجوب الاجتناب عن المقدّمات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الصورة الاُولی مع افتراض بقاء الولد فی حاضنةٍ صناعیّة إلی حین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نفس الصورة مع افتراض إدخال النطفة فی رحم حیوان، کالقرد مثلاً لتتمّ نموّه و تکامله فیه إن أمکن، و الظاهر جوازها أیضاً، إلاّ أن تکون متوقّفةً علی مقدّماتٍ 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جواز أخذ البویضة من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أمکن الأخذ بطریق 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تلقیحها بامرأةٍ اخری مزوّجة؛ سواء أ کان التلقیح مع ماء الرجل فی خارج الرحم ثمّ انتقل الزوج الذی هو صاحب الماء، أو المرأة نفسها إلی رحمها، أو فی الرحم، مثل ما إذا کانت رحم امرأةٍ ضعیفة، فیقوی بهذا الطریق، کما قال به بعض الأعلام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النطفة من الأثمار و الحبوب و نحوهما حتّی تصیر بعد التلقیح بالمرأة منشأ الولد إن أمکن ذلک کما ذکره فی تحریر الوسیلة</w:t>
      </w:r>
      <w:r>
        <w:rPr>
          <w:rStyle w:val="FootnoteAnchor"/>
          <w:rtl w:val="true"/>
        </w:rPr>
        <w:footnoteReference w:id="546"/>
      </w:r>
      <w:r>
        <w:rPr>
          <w:rFonts w:ascii="IRNazanin" w:hAnsi="IRNazanin" w:eastAsia="IRNazanin"/>
          <w:color w:val="111111"/>
          <w:sz w:val="28"/>
          <w:sz w:val="28"/>
          <w:szCs w:val="28"/>
          <w:rtl w:val="true"/>
          <w:lang w:bidi="fa-IR"/>
        </w:rPr>
        <w:t>، و یلحق الولد باُمّه، و إلحاقه بها أضعف إشکالاً من تلقیح ماء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إن لم یستلزم أعمالاً محرّمة جانبیّة اخری؛ کالنظر إلی عورة الأجنبیّة و لمسها، و غیر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عدم دخول هذه الصورة أیضاً فی موضوع الحرمة المستفادة من الأدلّة، فیکون الأصل جوازها، و ذلک لعدم صدق إقرار النطفة فی رحم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محرّماً کما سنبیّنه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لأنّ الظاهر هو إقرار الأجنبی نطفته فی رحم یحرم علیه، و فی المقام لیست النطفة للأجنبی، کما لا یکون فی ذلک مخالفة للإحصان و العفّة، أو اختلاط الأنساب و غیر ذلک،</w:t>
      </w:r>
      <w:bookmarkStart w:id="304" w:name="pg11754_112907"/>
    </w:p>
    <w:p>
      <w:pPr>
        <w:pStyle w:val="BookText"/>
        <w:rPr/>
      </w:pPr>
      <w:bookmarkEnd w:id="304"/>
      <w:r>
        <w:rPr>
          <w:rFonts w:ascii="IRNazanin" w:hAnsi="IRNazanin" w:eastAsia="IRNazanin"/>
          <w:color w:val="111111"/>
          <w:sz w:val="28"/>
          <w:sz w:val="28"/>
          <w:szCs w:val="28"/>
          <w:rtl w:val="true"/>
          <w:lang w:bidi="fa-IR"/>
        </w:rPr>
        <w:t xml:space="preserve">و لا یشمله أیضاً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یَحْفَظْنَ فُرُوجَهُنَّ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لانصرافه إلی الحفظ عن الإنسان، ثمّ إنّ المتولّد من ذلک لیس له أب، و إنّما له امّ إن کان المأخوذ من النباتات هو المنیّ، و لیس له امّ إن کان المأخوذ منها هو البویضة، و قلنا بعدم کون المرأة الملقّحة امّاً، و لیس له أب و امّ لو کان المأخوذ منها کلیهما و قلنا بعدم کون المرأة الملقّحة 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یبعد جواز</w:t>
      </w:r>
      <w:r>
        <w:rPr>
          <w:rStyle w:val="FootnoteAnchor"/>
          <w:rtl w:val="true"/>
        </w:rPr>
        <w:footnoteReference w:id="547"/>
      </w:r>
      <w:r>
        <w:rPr>
          <w:rFonts w:ascii="IRNazanin" w:hAnsi="IRNazanin" w:eastAsia="IRNazanin"/>
          <w:color w:val="111111"/>
          <w:sz w:val="28"/>
          <w:sz w:val="28"/>
          <w:szCs w:val="28"/>
          <w:rtl w:val="true"/>
          <w:lang w:bidi="fa-IR"/>
        </w:rPr>
        <w:t>أخذ النطفة أیضاً من الحیوان حتّی تصیر بالتلقیح و انتقالها إلی رحم المرأة جنیناً کاملاً و منشأً للولد إن أمکن ذلک، و یترتّب علیه حکمة عقلائیّة و لم یستلزم محرّمات اخری، و علی کلّ حال یلحق الولد بالمرأة، و لکن مع ذلک کلّه الاحتیاط حسن، فلا ینبغی ترکه فی جمیع الصور</w:t>
      </w:r>
      <w:r>
        <w:rPr>
          <w:rFonts w:eastAsia="IRNazanin" w:cs="IRNazanin"/>
          <w:color w:val="111111"/>
          <w:sz w:val="28"/>
          <w:szCs w:val="28"/>
          <w:rtl w:val="true"/>
          <w:lang w:bidi="fa-IR"/>
        </w:rPr>
        <w:t>.</w:t>
      </w:r>
    </w:p>
    <w:p>
      <w:pPr>
        <w:pStyle w:val="Heading6"/>
        <w:numPr>
          <w:ilvl w:val="5"/>
          <w:numId w:val="1"/>
        </w:numPr>
        <w:rPr/>
      </w:pPr>
      <w:bookmarkStart w:id="305" w:name="__RefHeading___Toc9530637_73709187"/>
      <w:bookmarkStart w:id="306" w:name="_Toc121"/>
      <w:bookmarkEnd w:id="305"/>
      <w:r>
        <w:rPr>
          <w:rtl w:val="true"/>
        </w:rPr>
        <w:t>المحاذیر المترتّبة علی التلقیح الصناعی</w:t>
      </w:r>
      <w:bookmarkEnd w:id="306"/>
    </w:p>
    <w:p>
      <w:pPr>
        <w:pStyle w:val="BookText"/>
        <w:rPr/>
      </w:pPr>
      <w:r>
        <w:rPr>
          <w:rFonts w:ascii="IRNazanin" w:hAnsi="IRNazanin" w:eastAsia="IRNazanin"/>
          <w:color w:val="111111"/>
          <w:sz w:val="28"/>
          <w:sz w:val="28"/>
          <w:szCs w:val="28"/>
          <w:rtl w:val="true"/>
          <w:lang w:bidi="fa-IR"/>
        </w:rPr>
        <w:t>إن استلزم عملیّة التلقیح المحاذیر الجانبیّة المحرّمة، فهی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المحاذیر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إخراج الماء من الرجل بالاستمناء المحرّم لیستطیع الطبیب أن یأخذ بعضه و یلقّحُ 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عورة المرأة خلال إخراج البویضة منها، و من المعلوم فقهیّاً أنّ نظر الرجل الأجنبی إلی عورة الأجنبیة حرام و إن کان طبیباً، و کذلک نظر المرأة إلی</w:t>
      </w:r>
    </w:p>
    <w:p>
      <w:pPr>
        <w:pStyle w:val="BookText"/>
        <w:rPr/>
      </w:pPr>
      <w:r>
        <w:rPr>
          <w:rFonts w:ascii="IRNazanin" w:hAnsi="IRNazanin" w:eastAsia="IRNazanin"/>
          <w:color w:val="111111"/>
          <w:sz w:val="28"/>
          <w:sz w:val="28"/>
          <w:szCs w:val="28"/>
          <w:rtl w:val="true"/>
          <w:lang w:bidi="fa-IR"/>
        </w:rPr>
        <w:t>المرأة فی ذلک الموضع و إن کانت طبیبة، و کذلک اللمس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عورة المرأة خلال إدخال البویضة الملقّحة فیها؛ سواء قام بعملیّة التلقیح رجل أو امرأة؛ فإنّها جمیعاً محرّمة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ماء الأجنبیّ فی رحم الأجنبیّة؛ فإنّه حرام و إن لم یصدق علیه الزنا؛ کما سنبیّنه قریباً، و هذا المحذور یحصل فی أکثر محتملات التلقیح الصناعی؛ أعنی فی غیر صورة أن یکون الماء للزوج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اختلاط الأنساب؛ لأنّ جواز عملیّة التلقیح یوجب ولادة مجموعات کبیرة من الأولاد لا یعرفون آباءهم بسبب کون المانح أو البائع مجهولاً، و هذا یؤدّی إلی فوضی عارمة فی الأنساب</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قیل فی أحد الإحصائیات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ما لا یقلّ عن ربع ملیون طفل لا یعرف لهم أب نتیجة استخدام التلقیح الصناعی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الأمراض الوراثیّة التی یحملها الرجال و ینقلها إلی الأجنّة ممّا یسبّب ولادة أطفال مشوّهین، مضافاً إلی أنّ الطبّ الحدیث أثبت ازدیاد نسبة تشوّهات الأجنّة بالتلقیح الاصطناعی، و ذلک لأنّ الطبّ الحدیث قد اکتشف فی الطریق الطبیعی الشرعی للإنجاب، وجود مقاومة للحیوانات المنویة المریضة و المصابة فی صبغیتها، و هذا ما یفتقده التلقیح الاصطناعی</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استلزمت عملیّة التلقیح المحاذیر المحرّمة المتقدّمة، فیحرم قطعاً کما صرّح به کثیر من الفقهاء المعاصرین</w:t>
      </w:r>
      <w:r>
        <w:rPr>
          <w:rStyle w:val="FootnoteAnchor"/>
          <w:rtl w:val="true"/>
        </w:rPr>
        <w:footnoteReference w:id="551"/>
      </w:r>
      <w:bookmarkStart w:id="307" w:name="pg11754_112909"/>
    </w:p>
    <w:p>
      <w:pPr>
        <w:pStyle w:val="BookText"/>
        <w:rPr/>
      </w:pPr>
      <w:bookmarkEnd w:id="307"/>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التلقیح بماء غیر الزوج؛ سواء کانت المرأة ذات بعل أو لا، رضی الزوج و الزوجة بذلک أو لا، کانت المرأة من محارم صاحب الماء کأُمّه و اخته أو لا</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صراط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ذلک العمل؛ لأنّ التمایز و الاختلاف بین أبناء البشر ضرورة للمجتمعات الإنسانیّة، اقتضتها حکمة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استلزامه محرّمات اخری، کمباشرة غیر المماثل، و النظر إلی العورة، و اختلال النظام، و حصول الهرج و الفوضی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فتضیع الأنساب و المواریث، و هذا غیض من فیض</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المسائل المنتخبة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تلقیح المرأة بماء الرجل الأجنبی؛ سواء أ کان التلقیح بواسطة رجل أجنبیّ، أو بواسطة زوجها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9530639_73709187"/>
      <w:bookmarkStart w:id="309" w:name="_Toc122"/>
      <w:bookmarkEnd w:id="308"/>
      <w:r>
        <w:rPr>
          <w:rtl w:val="true"/>
        </w:rPr>
        <w:t>أدلّة هذا الحکم</w:t>
      </w:r>
      <w:bookmarkEnd w:id="309"/>
    </w:p>
    <w:p>
      <w:pPr>
        <w:pStyle w:val="BookText"/>
        <w:rPr/>
      </w:pPr>
      <w:r>
        <w:rPr>
          <w:rFonts w:ascii="IRNazanin" w:hAnsi="IRNazanin" w:eastAsia="IRNazanin"/>
          <w:color w:val="111111"/>
          <w:sz w:val="28"/>
          <w:sz w:val="28"/>
          <w:szCs w:val="28"/>
          <w:rtl w:val="true"/>
          <w:lang w:bidi="fa-IR"/>
        </w:rPr>
        <w:t xml:space="preserve">یمکن أن یستدلّ علی حرمة التلقیح فی الصور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حرمة المحاذیر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w:t>
      </w:r>
    </w:p>
    <w:p>
      <w:pPr>
        <w:pStyle w:val="Heading6"/>
        <w:numPr>
          <w:ilvl w:val="5"/>
          <w:numId w:val="1"/>
        </w:numPr>
        <w:rPr/>
      </w:pPr>
      <w:bookmarkStart w:id="310" w:name="__RefHeading___Toc9530641_73709187"/>
      <w:bookmarkStart w:id="311" w:name="_Toc123"/>
      <w:bookmarkEnd w:id="310"/>
      <w:r>
        <w:rPr>
          <w:rtl w:val="true"/>
        </w:rPr>
        <w:t>الأوّل</w:t>
      </w:r>
      <w:r>
        <w:rPr>
          <w:rtl w:val="true"/>
        </w:rPr>
        <w:t xml:space="preserve">: </w:t>
      </w:r>
      <w:r>
        <w:rPr>
          <w:rtl w:val="true"/>
        </w:rPr>
        <w:t>الآیات</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w:t>
      </w:r>
    </w:p>
    <w:p>
      <w:pPr>
        <w:pStyle w:val="BookText"/>
        <w:rPr/>
      </w:pPr>
      <w:r>
        <w:rPr>
          <w:rFonts w:ascii="Amiri" w:hAnsi="Amiri" w:eastAsia="Amiri" w:cs="Amiri"/>
          <w:color w:val="111111"/>
          <w:sz w:val="28"/>
          <w:sz w:val="28"/>
          <w:szCs w:val="28"/>
          <w:rtl w:val="true"/>
          <w:lang w:bidi="ar-SA"/>
        </w:rPr>
        <w:t xml:space="preserve">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علی عدم الفرق فی حفظ الفرج بین الرجال و النساء، و حفظ الفرج مطلق یشمل حفظه عن فرج الآخر و منیّه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کنز الدقائق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حفظوها فی کافّة الأحوال إلاّ فی حال التزوّج أو التسرّی</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أنّهم یلامون فی إطلاق ما حظر علیهم، و امروا بحفظه إلاّ علی أزواجهم</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ملومین؛ أی یلامون علی کلّ مباشرةٍ إلاّ علی ما أطلق لهم؛ فإنّهم غیر ملومین علیه</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الْحافِظِینَ فُرُوجَهُمْ وَ الْحافِظاتِ </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أیّ من الزنا و أنواع الفجور، کما فی تفسیر التبیان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من الآیتین انصرافهما إلی خصوص الزنا و اللواط؛ لعدم تعارف نقل المنی من غیر عمل الزنا فی تلک الأعصار حتّی نادراً، مضافاً إلی أنّ الآیة الثانیة لا تدلّ علی الوجوب إلاّ أن یدّعی أنّه معلوم من الخارج، و أنّ حفظ الفرج محکوم بالوجوب دائماً</w:t>
      </w:r>
      <w:r>
        <w:rPr>
          <w:rStyle w:val="FootnoteAnchor"/>
          <w:rtl w:val="true"/>
        </w:rPr>
        <w:footnoteReference w:id="561"/>
      </w:r>
      <w:r>
        <w:rPr>
          <w:rFonts w:ascii="IRNazanin" w:hAnsi="IRNazanin" w:eastAsia="IRNazanin"/>
          <w:color w:val="111111"/>
          <w:sz w:val="28"/>
          <w:sz w:val="28"/>
          <w:szCs w:val="28"/>
          <w:rtl w:val="true"/>
          <w:lang w:bidi="fa-IR"/>
        </w:rPr>
        <w:t>،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حذف المتعلّق فی الآیة یدلّ علی لزوم حفظ الفرج حتّی عن الاستیلاد بالنحو المذکور، فلا وجه لدعوی الانصراف لو کان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بقرینة ما قبلها و ما بعدها فی مقام وصف المؤمنین بأوصاف مذکورة إجمالاً، و لیست</w:t>
      </w:r>
      <w:r>
        <w:rPr>
          <w:rStyle w:val="FootnoteAnchor"/>
          <w:rtl w:val="true"/>
        </w:rPr>
        <w:footnoteReference w:id="562"/>
      </w:r>
      <w:r>
        <w:rPr>
          <w:rFonts w:ascii="IRNazanin" w:hAnsi="IRNazanin" w:eastAsia="IRNazanin"/>
          <w:color w:val="111111"/>
          <w:sz w:val="28"/>
          <w:sz w:val="28"/>
          <w:szCs w:val="28"/>
          <w:rtl w:val="true"/>
          <w:lang w:bidi="fa-IR"/>
        </w:rPr>
        <w:t>فی مقام بیان تفصیلها، و لذلک لا إطلاق لها بحیث یشمل الاستیلاد بالطرق الحدیثة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w:t>
      </w:r>
      <w:r>
        <w:rPr>
          <w:rFonts w:eastAsia="Amiri" w:cs="Amiri" w:ascii="Amiri" w:hAnsi="Amiri"/>
          <w:color w:val="111111"/>
          <w:sz w:val="28"/>
          <w:szCs w:val="28"/>
          <w:lang w:bidi="ar-SA"/>
        </w:rPr>
        <w:t>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تبیّن الآیة وجوب غضّ البصر و حفظ الفرج، فیستفاد من إطلاقها</w:t>
      </w:r>
    </w:p>
    <w:p>
      <w:pPr>
        <w:pStyle w:val="BookText"/>
        <w:rPr/>
      </w:pPr>
      <w:r>
        <w:rPr>
          <w:rFonts w:ascii="IRNazanin" w:hAnsi="IRNazanin" w:eastAsia="IRNazanin"/>
          <w:color w:val="111111"/>
          <w:sz w:val="28"/>
          <w:sz w:val="28"/>
          <w:szCs w:val="28"/>
          <w:rtl w:val="true"/>
          <w:lang w:bidi="fa-IR"/>
        </w:rPr>
        <w:t>عدم جواز الاستیلاد و التلقیح بماء الرجل الأجنبی؛ لأنّ حذف المتعلّق یدلّ علی الإطلاق و التعمیم حتّی بالنسبة إلی الاستیلاد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أنّ الطوائف المذکورة قد حکم بکونها محرّمة علی الرجال، و الحرمة هی الممنوعیّة، و حیث اسندت إلی الذوات فتدلّ بإطلاقها علی حرمة کلّ فعل یتعلّق بهنّ، فیحرم تلقیح الماء فی أرحامهنّ حتّی لو کان بوسیلةٍ غیر الفرج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الاستدلال بالآیة الکریمة ضعیف، من جهة انصراف الحرمة فی أمثال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الحکم 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خصوص النکاح و الاستمتاع بهنّ، و لذلک قال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المراد تحریم نکاحهنّ؛ لما تقدّم و تأخّر، و للتبادر من مثله کتبادر الأکل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لعدم تحریم الذّات و النکاح أولی ما یمکن تقدیره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فالتقدیر حرّم علیکم نکاح امّهاتکم، فحذف المضاف و اقیم المضاف إلیه مقامه؛ لدلالة مفهوم الکلام علیه، و کلّ امرأةٍ رجع نسبک إلیها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امّک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موارد الاستشهاد لا تدلّ علی انحصار مدلول آیة تحریم الاُمّهات فی النکاح لو لم نقل بانصرافها عن غیر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منع</w:t>
      </w:r>
      <w:r>
        <w:rPr>
          <w:rStyle w:val="FootnoteAnchor"/>
          <w:rtl w:val="true"/>
        </w:rPr>
        <w:footnoteReference w:id="566"/>
      </w:r>
      <w:r>
        <w:rPr>
          <w:rFonts w:ascii="IRNazanin" w:hAnsi="IRNazanin" w:eastAsia="IRNazanin"/>
          <w:color w:val="111111"/>
          <w:sz w:val="28"/>
          <w:sz w:val="28"/>
          <w:szCs w:val="28"/>
          <w:rtl w:val="true"/>
          <w:lang w:bidi="fa-IR"/>
        </w:rPr>
        <w:t>دعوی الانصراف و التبادر إلی خصوص النکاح، بل حذف المتعلّق یدلّ</w:t>
      </w:r>
      <w:bookmarkStart w:id="312" w:name="pg11754_112913"/>
    </w:p>
    <w:p>
      <w:pPr>
        <w:pStyle w:val="BookText"/>
        <w:rPr/>
      </w:pPr>
      <w:bookmarkEnd w:id="312"/>
      <w:r>
        <w:rPr>
          <w:rFonts w:ascii="IRNazanin" w:hAnsi="IRNazanin" w:eastAsia="IRNazanin"/>
          <w:color w:val="111111"/>
          <w:sz w:val="28"/>
          <w:sz w:val="28"/>
          <w:szCs w:val="28"/>
          <w:rtl w:val="true"/>
          <w:lang w:bidi="fa-IR"/>
        </w:rPr>
        <w:t>علی إرادة عموم ما یتعلّق بهنّ من النکاح و الاستمتاعات و الاستیلاد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الکریمة حیث کانت فی مقام ذکر موارد المحرّمات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نسبیّةً کانت أو رضاعیّة أو 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لها بالنسبة إلی خصوصیّات المحرّم و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 الاستیلاد بالطرق الحدیثة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9530643_73709187"/>
      <w:bookmarkStart w:id="314" w:name="_Toc124"/>
      <w:bookmarkEnd w:id="313"/>
      <w:r>
        <w:rPr>
          <w:rtl w:val="true"/>
        </w:rPr>
        <w:t>الثانی</w:t>
      </w:r>
      <w:r>
        <w:rPr>
          <w:rtl w:val="true"/>
        </w:rPr>
        <w:t xml:space="preserve">: </w:t>
      </w:r>
      <w:r>
        <w:rPr>
          <w:rtl w:val="true"/>
        </w:rPr>
        <w:t>النصوص</w:t>
      </w:r>
      <w:r>
        <w:rPr>
          <w:rtl w:val="true"/>
        </w:rPr>
        <w:t>:</w:t>
      </w:r>
      <w:bookmarkEnd w:id="31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عن علیّ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رجل أقرّ نطفته فی رحم یحرم علیه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البرقی فی محاسنه، و الصدوق فی عقاب الأعمال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ذنب أعظم عند اللّه تبارک و تعالی بعد الشرک من نطفة حرام وضعها امرؤ فی رحم لا تحلّ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مرسلاً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یعمل ابن آدم عملاً أعظم عند اللّه عزّ و جلّ من رجل قتل نبیّاً أو هدم الکعبة التی جعلها اللّه قبلةً لعباده، أو أفرغ ماءه فی امرأة حراماً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الدعائم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یوم القیامة من أقرّ نطفته فی رحم محرّم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هذه النصوص أنّ العذاب الشدید مترتّب علی إقرار النطفة فی الرحم</w:t>
      </w:r>
      <w:r>
        <w:rPr>
          <w:rStyle w:val="FootnoteAnchor"/>
          <w:rtl w:val="true"/>
        </w:rPr>
        <w:footnoteReference w:id="570"/>
      </w:r>
      <w:r>
        <w:rPr>
          <w:rFonts w:ascii="IRNazanin" w:hAnsi="IRNazanin" w:eastAsia="IRNazanin"/>
          <w:color w:val="111111"/>
          <w:sz w:val="28"/>
          <w:sz w:val="28"/>
          <w:szCs w:val="28"/>
          <w:rtl w:val="true"/>
          <w:lang w:bidi="fa-IR"/>
        </w:rPr>
        <w:t>الذی یحرم علیه، بحیث لو زنی الزانی و عزل ماءه لما تحقّق موضوع لهذا العذاب الأشدّ، فتدلّ النصوص دلالةً واضحةً علی أنّ نفس جعل نطفة الرجل فی رحم یحرم علیه معصیة کبیرة، و حینئذٍ فکونه بالزنی و الجماع طریق عادیّ للوصول إلی هذا الأمر المحرّم، و إلاّ فإذا أوجده بطریق آخر غیر عادیّ أیضاً لما کان شکّ فی حصول موضوعه، و شمول الإطلاق له، و ترتّب حکم الحرمة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التعبیر بالنطفة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أمشاج من منیّ الرجل و بییضة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تمام موضوع الحرمة هو عقد النطفة بماء امرأةٍ محرّمة علیه، فلو کان مجرّد إفراغ المنیّ من دون أن ینعقد به نطفة لما تحقّق موضوع هذا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فالمتحصل من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 مع أدلّة حرمة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الزنا و الإیلاج حرام، و وضع نطفته المنعقدة من منیّه و بییضة المزنیّ بها فی رحمها حرام آخر،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بتناسب الحکم 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یعمّ ما إذا کان بطریق الإفراغ العادی، أو بطریق آخر؛ فإنّ الحرام إنّما هو إقرار النطفة فی رحم یحرم علیه</w:t>
      </w:r>
      <w:r>
        <w:rPr>
          <w:rStyle w:val="FootnoteAnchor"/>
          <w:rtl w:val="true"/>
        </w:rPr>
        <w:footnoteReference w:id="571"/>
      </w:r>
      <w:r>
        <w:rPr>
          <w:rFonts w:ascii="IRNazanin" w:hAnsi="IRNazanin" w:eastAsia="IRNazanin"/>
          <w:color w:val="111111"/>
          <w:sz w:val="28"/>
          <w:sz w:val="28"/>
          <w:szCs w:val="28"/>
          <w:rtl w:val="true"/>
          <w:lang w:bidi="fa-IR"/>
        </w:rPr>
        <w:t>فارغاً عن خصوصیّات أسبابه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ضعاف</w:t>
      </w:r>
      <w:r>
        <w:rPr>
          <w:rStyle w:val="FootnoteAnchor"/>
          <w:rtl w:val="true"/>
        </w:rPr>
        <w:footnoteReference w:id="573"/>
      </w:r>
      <w:r>
        <w:rPr>
          <w:rFonts w:ascii="IRNazanin" w:hAnsi="IRNazanin" w:eastAsia="IRNazanin"/>
          <w:color w:val="111111"/>
          <w:sz w:val="28"/>
          <w:sz w:val="28"/>
          <w:szCs w:val="28"/>
          <w:rtl w:val="true"/>
          <w:lang w:bidi="fa-IR"/>
        </w:rPr>
        <w:t>إسناداً، فلا تصلح لإثبات الحکم إلاّ</w:t>
      </w:r>
    </w:p>
    <w:p>
      <w:pPr>
        <w:pStyle w:val="BookText"/>
        <w:rPr/>
      </w:pPr>
      <w:r>
        <w:rPr>
          <w:rFonts w:ascii="IRNazanin" w:hAnsi="IRNazanin" w:eastAsia="IRNazanin"/>
          <w:color w:val="111111"/>
          <w:sz w:val="28"/>
          <w:sz w:val="28"/>
          <w:szCs w:val="28"/>
          <w:rtl w:val="true"/>
          <w:lang w:bidi="fa-IR"/>
        </w:rPr>
        <w:t>أن یذکر تأییداً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 النطفة فی الرحم ینصرف إلی الزنا و الإیلاج و الإدخال حتّی یتحقّق الإقرار فی الرحم، و یؤیّده کون فاعل ذلک أشدّ عذاباً یوم القیامة من جمیع الناس؛ إذ مجرّد صبّ المنیّ فی الفرج المحرّم لیس أشدّ عذاباً من الزنا من دون إفراغ المنیّ، کما أنّه لیس له حدّ الزانی، و لا أقلّ من الشکّ فلا یشمل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شاهد فی التعبیر بالنطفة علی أنّ تمام موضوع الحُرمة هو عقد النطفة بماء امرأةٍ محرّمة علیه؛ فإنّ إسناد النطفة إلی من أقرّ دون صاحب الرحم المحرّم علیه ظاهر فی خصوص نطفة المقرّ، لا نطفة مرکّبة من ماء الرجل و بویضة المرأة، و استعمال النطفة فی بعض الموارد بذلک المعنی لا یدلّ علی أنّه المراد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هذه النصوص هو حرمة إقرار صاحب النطفة، فلا یشمل ما إذا أفرغ شخص منیّه فی وعاءٍ، ثمّ أقرّه زوج امرأةٍ فی رحم زوجته، فهو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یحتمل أن یکون الحرام فی مرسلة الصدوق وصفاً للإفراغ، و مع هذا الاحتمال لا یدلّ إلاّ علی المنع عن الإفراغ الحرام، فلا یصلح للتمسک به فی المقام؛ لأنّه تمسّک بالعامّ فی الشبهات الموضوعیّة؛ إذ حرمة الإفراغ بالطریق المفروض أوّل الکلام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التعبیر بالإفراغ فی مرسلة الصدوق شاهد علی أنّ المراد بإقرار النطفة أیضاً هو ذلک، لا عقد منیّ الرجل مع منیّ المرأة، فتدلّ النصوص علی تغلیظ حرمة المرکّب من الأمرین،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مع إفراغ الماء و إنزاله، و من المعلوم أنّه أشدّ عذاباً من نفس الإیلاج و الإدخال الذی هو الزنا من دون إفراغ؛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لانعقاد النطفة بوجهٍ غیر مشروع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إسحاق بن عمّار المرویّة فی الکافی و التهذیب،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شرّ أو شرب الخمر؟ و کیف صار فی شرب الخمر ثمانین و فی الزنا مائة؟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الحدّ واحد، و لکن زید هذا لتضییعه النطفة، و لوضعه إیّاه فی غیر موضعه الذی أمره اللّه عزّ و جلّ به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علّل ضرب العشرین جلدة المزیدة فی حدّ الزنا باستلزامه تضییع النطفة، فقد دلّ علی أنّ تضییع النطفة حرام، حتّی أنّه أوجب زیادة العشرین جلدةً علی ما هو الحدّ الواحد، و قد فسّر تضییع النطفة المذکورة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لوضعه إیّاها فی غیر موضعها الذی أمره اللّه عزّ و جلّ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بالنطفة المذکورة هی المرکّبة من منیّ الرجل و بییضة المرأة؛ و هی أوّل ما یخلق من مبدأ نشوء الإنسان، کما فی موثّقة إسحاق بن عمار الواردة فی النهی عن شرب الدواء المسقط للحمل من قول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یخلق النطفة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حینئذٍ فوجه إسناد وضع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الرجل مع أنّه لا یضع إلاّ ماءه و منیّه، هو أنّ إفراغه لمائه هو السبب القویّ فی تکون نطفة الإنسان و قرارها فی رحم المرأة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 الحدیث علی أنّ إقراره لنطفته المتکوّنة من مائه و بییضة المرأة فی غیر موضعها الّذی أمره اللّه عزّ و جلّ به حرام، و هذا عنوان عامّ یشمل ما کان بالطریق المتعارف، و ما کان بالطریق المفروض فیما نحن فیه، و ذلک لما مرّ من أنّ المستفاد من</w:t>
      </w:r>
    </w:p>
    <w:p>
      <w:pPr>
        <w:pStyle w:val="BookText"/>
        <w:rPr/>
      </w:pPr>
      <w:r>
        <w:rPr>
          <w:rFonts w:ascii="IRNazanin" w:hAnsi="IRNazanin" w:eastAsia="IRNazanin"/>
          <w:color w:val="111111"/>
          <w:sz w:val="28"/>
          <w:sz w:val="28"/>
          <w:szCs w:val="28"/>
          <w:rtl w:val="true"/>
          <w:lang w:bidi="fa-IR"/>
        </w:rPr>
        <w:t>مثله أنّ تمام الموضوع و الموجب للحرمة هو وضع النطفة و إقرارها فی غیر موضعها الّذی أمره اللّه به، و هو صادق علی مفروض ما نحن فیه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لاشتمالها علی المجاهیل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الحکمة المذکورة لیست عامّة، بل مختصّة بالزانی؛ لأن الزانی</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حیث ضیّع نطفته بحسب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ربّما لا یوجب 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المزید من الحدّ علی حدّ الشارب، و لا یستفاد منه حرمة مطلق الوضع و إن لم یصدق علیه التضییع حتّی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لم یلتزم أحد من الفقهاء بحرمة تضییع النطفة مطلقاً و لو لم یرتکب المضیّع محرّماً 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لزوم</w:t>
      </w:r>
      <w:r>
        <w:rPr>
          <w:rStyle w:val="FootnoteAnchor"/>
          <w:rtl w:val="true"/>
        </w:rPr>
        <w:footnoteReference w:id="579"/>
      </w:r>
      <w:r>
        <w:rPr>
          <w:rFonts w:ascii="IRNazanin" w:hAnsi="IRNazanin" w:eastAsia="IRNazanin"/>
          <w:color w:val="111111"/>
          <w:sz w:val="28"/>
          <w:sz w:val="28"/>
          <w:szCs w:val="28"/>
          <w:rtl w:val="true"/>
          <w:lang w:bidi="fa-IR"/>
        </w:rPr>
        <w:t>الاحتیاط فی باب الفروج و الاستیلاد، کصحیحة شعیب</w:t>
      </w:r>
    </w:p>
    <w:p>
      <w:pPr>
        <w:pStyle w:val="BookText"/>
        <w:rPr/>
      </w:pPr>
      <w:r>
        <w:rPr>
          <w:rFonts w:ascii="IRNazanin" w:hAnsi="IRNazanin" w:eastAsia="IRNazanin"/>
          <w:color w:val="111111"/>
          <w:sz w:val="28"/>
          <w:sz w:val="28"/>
          <w:szCs w:val="28"/>
          <w:rtl w:val="true"/>
          <w:lang w:bidi="fa-IR"/>
        </w:rPr>
        <w:t>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موالیک یقرئک السلام و قد أراد أن یتزوّج امرأةً و قد وافقته و أعجبه بعض شأنها، و قد کان لها زوج فطلّقها علی غیر السنّة، و قد کره أن یقدّم علی تزویجها حتّی یستأمرک فتکون أنت تأمره،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 أمر الفرج شدید، و منه یکون الولد، و نحن نحتاط فلا یتزوّجها</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من الروایة هو الأمر بالاحتیاط فی باب النکاح و الاستیلاد فیما إذا لم یجر أصل منقّح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للجواز، و لکنّ الروایة فی الشبهات الموضوعیّة، و کلامنا فی حکم التلقیح الصناعی و هو شبهة حکمیّة،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إذا کان لازماً فی الشبهات الموضوعیّة یکون الأمر کذلک فی الشبهات الحکمیّة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الشیخ بإسناده عن العلاء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وکّلت رجلاً بأن یزوّجها من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أحری و أحری أن یحتاط فیه و هو فرج، و منه یکون الولد</w:t>
      </w:r>
      <w:r>
        <w:rPr>
          <w:rStyle w:val="FootnoteAnchor"/>
          <w:rtl w:val="true"/>
        </w:rPr>
        <w:footnoteReference w:id="581"/>
      </w:r>
      <w:r>
        <w:rPr>
          <w:rFonts w:ascii="IRNazanin" w:hAnsi="IRNazanin" w:eastAsia="IRNazanin"/>
          <w:color w:val="111111"/>
          <w:sz w:val="28"/>
          <w:sz w:val="28"/>
          <w:szCs w:val="28"/>
          <w:rtl w:val="true"/>
          <w:lang w:bidi="fa-IR"/>
        </w:rPr>
        <w:t>، الحدیث، و غیرها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الشیخ إلی العلاء صحیح، و لکن لا توثیق للعلاء نفسه، إلاّ أن یکتفی</w:t>
      </w:r>
    </w:p>
    <w:p>
      <w:pPr>
        <w:pStyle w:val="BookText"/>
        <w:rPr/>
      </w:pPr>
      <w:r>
        <w:rPr>
          <w:rFonts w:ascii="IRNazanin" w:hAnsi="IRNazanin" w:eastAsia="IRNazanin"/>
          <w:color w:val="111111"/>
          <w:sz w:val="28"/>
          <w:sz w:val="28"/>
          <w:szCs w:val="28"/>
          <w:rtl w:val="true"/>
          <w:lang w:bidi="fa-IR"/>
        </w:rPr>
        <w:t>بما یظهر من جامع الرواة من أنّ ابن أبی عمیر روی عنه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بعد تصریحه بصحّة تزویج الموکّل قبل إعلام العزل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بالاحتیاط فی أمر النکاح، و الشبهة فیه حکمیّة، و اعترض علیه السلام علی من أفتی ببطلان التزویج لو کان بعد العزل و لو لم یعلمه بالعزل، و مع هذا الاعتراض لا یکون الأمر بالاحتیاط أمراً استحبابیّاً،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تعلیل الاحتیاط فی الفرج و النکاح بکونه منشأً للولد، هو لزوم الاحتیاط فی التلقیح الصناعی، و لا مجال للرجوع إلی البراءة فی مثله، و یعتضد ذلک بما تقرّر فی محلّه من عدم جواز الرجوع إلی البراءة العقلیّة و الشرعیّة فی الشبهة الموضوعیّة و المصداقیّة فی باب الدماء و الفروج و الأعراض و النفوس، مستدلّاً باهتمام الشارع بحفظ هذه الموارد، و هو یمنع عن الترخیص فی الاقتحام فی شبهاتها و کاشف عن إیجاب الاحتیاط</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الشکّ فی تحقّق الموضوع و عدمه و إن کان الشکّ من جهة نفس الموضوع شکّاً فی الموضوع، لکن ما هو المضاف إلی هذا الموضوع من الاحترام و الحفظ منقّح الموضوع؛ فإنّ حفظ الشیء من التلف یصدق حقیقة فی مورد احتماله، کما أنّ عدم المبالاة فیه صادق حقیقة علی ترک الحفظ و لو لم یکن لنفس الشیء تحقّق و واقعیّة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الحفظ حال الاحتیاط، فکما أنّه صادق فی مورد احتمال الضرر و لو لم یکن ضرر واقعاً، و ترکه تهوّر کذلک أیضاً، و لا یدور شیء منهما مدار وجود الواقع، بل الاحتمال هو الدخیل التامّ فی صدقهما، فکذلک الحفظ و رعایة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هذا فلا مساغ للرجوع إلی أصل البراءة، لکن لا ینافی</w:t>
      </w:r>
      <w:bookmarkStart w:id="315" w:name="pg11754_112920"/>
    </w:p>
    <w:p>
      <w:pPr>
        <w:pStyle w:val="BookText"/>
        <w:rPr/>
      </w:pPr>
      <w:bookmarkEnd w:id="315"/>
      <w:r>
        <w:rPr>
          <w:rFonts w:ascii="IRNazanin" w:hAnsi="IRNazanin" w:eastAsia="IRNazanin"/>
          <w:color w:val="111111"/>
          <w:sz w:val="28"/>
          <w:sz w:val="28"/>
          <w:szCs w:val="28"/>
          <w:rtl w:val="true"/>
          <w:lang w:bidi="fa-IR"/>
        </w:rPr>
        <w:t>هذا مع جریان الأصل المنقّح للموضوع نفیاً و إثباتاً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المتقدّمة تدلّ علی لزوم الاحتیاط فی الفرج و الاستیلاد، فلا وجه لتخصیص دائرة الاحتیاط بمورد النکاح و الدماء، فکما أنّ الاحتیاط فیهما مطلوب، کذلک فی الاستیلاد، مضافاً إلی أنّ الإحصان و العفّة ممّا أکّد علیهما الشارع المقدّس؛ لأنّ قوام العائلة بهما، و ینافیهما عدم حفظ المرأة فرجها عن ماء غیر زوجها</w:t>
      </w:r>
      <w:r>
        <w:rPr>
          <w:rFonts w:eastAsia="IRNazanin" w:cs="IRNazanin"/>
          <w:color w:val="111111"/>
          <w:sz w:val="28"/>
          <w:szCs w:val="28"/>
          <w:rtl w:val="true"/>
          <w:lang w:bidi="fa-IR"/>
        </w:rPr>
        <w:t>.</w:t>
      </w:r>
    </w:p>
    <w:p>
      <w:pPr>
        <w:pStyle w:val="Heading6"/>
        <w:numPr>
          <w:ilvl w:val="5"/>
          <w:numId w:val="1"/>
        </w:numPr>
        <w:rPr/>
      </w:pPr>
      <w:bookmarkStart w:id="316" w:name="__RefHeading___Toc9530645_73709187"/>
      <w:bookmarkStart w:id="317" w:name="_Toc125"/>
      <w:bookmarkEnd w:id="316"/>
      <w:r>
        <w:rPr>
          <w:rtl w:val="true"/>
        </w:rPr>
        <w:t>الثالث</w:t>
      </w:r>
      <w:r>
        <w:rPr>
          <w:rtl w:val="true"/>
        </w:rPr>
        <w:t xml:space="preserve">: </w:t>
      </w:r>
      <w:r>
        <w:rPr>
          <w:rtl w:val="true"/>
        </w:rPr>
        <w:t>التسالم بین الأصحاب</w:t>
      </w:r>
      <w:bookmarkEnd w:id="317"/>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 الزوجة معدّ للتولّد من زوجها، و لیس لها حقّ إشغال رحمها بماء الرجل الأجنبی، و لا یبعد أنّ الفقیه یفهم من مذاق الشرع الأقدس حرمة العمل المذکور، و لعلّ الحکم مورد تسالم الأصحاب</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9530647_73709187"/>
      <w:bookmarkStart w:id="319" w:name="_Toc126"/>
      <w:bookmarkEnd w:id="318"/>
      <w:r>
        <w:rPr>
          <w:rtl w:val="true"/>
        </w:rPr>
        <w:t>الرابع</w:t>
      </w:r>
      <w:r>
        <w:rPr>
          <w:rtl w:val="true"/>
        </w:rPr>
        <w:t xml:space="preserve">: </w:t>
      </w:r>
      <w:r>
        <w:rPr>
          <w:rtl w:val="true"/>
        </w:rPr>
        <w:t>السیرة</w:t>
      </w:r>
      <w:bookmarkEnd w:id="319"/>
    </w:p>
    <w:p>
      <w:pPr>
        <w:pStyle w:val="BookText"/>
        <w:rPr/>
      </w:pPr>
      <w:r>
        <w:rPr>
          <w:rFonts w:ascii="IRNazanin" w:hAnsi="IRNazanin" w:eastAsia="IRNazanin"/>
          <w:color w:val="111111"/>
          <w:sz w:val="28"/>
          <w:sz w:val="28"/>
          <w:szCs w:val="28"/>
          <w:rtl w:val="true"/>
          <w:lang w:bidi="fa-IR"/>
        </w:rPr>
        <w:t>جاء فی کلمات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دعوی قیام سیرة المتشرّعة علی الاجتناب عن میاه غیر الأزواج و لو مع عدم تمکّن الأزواج من الاستیلاد غیر مجازفةٍ، و القول بعدم اتّصالها إلی زمان المعصوم، أو أنّها مستندة إلی الفتاوی</w:t>
      </w:r>
      <w:r>
        <w:rPr>
          <w:rStyle w:val="FootnoteAnchor"/>
          <w:rtl w:val="true"/>
        </w:rPr>
        <w:footnoteReference w:id="586"/>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9530649_73709187"/>
      <w:bookmarkStart w:id="321" w:name="_Toc127"/>
      <w:bookmarkEnd w:id="320"/>
      <w:r>
        <w:rPr>
          <w:rtl w:val="true"/>
        </w:rPr>
        <w:t>الخامس</w:t>
      </w:r>
      <w:r>
        <w:rPr>
          <w:rtl w:val="true"/>
        </w:rPr>
        <w:t xml:space="preserve">: </w:t>
      </w:r>
      <w:r>
        <w:rPr>
          <w:rtl w:val="true"/>
        </w:rPr>
        <w:t>اختلاط الأنساب</w:t>
      </w:r>
      <w:bookmarkEnd w:id="3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تجویز التلقیح الصناعی بماء الغیر مع عدم إقامة الشهود و إخفاء الفعل یوجب اختلاط الأنساب و ذهابها فی کثیر من الموارد، لا سیّما إذا کان صاحب الماء</w:t>
      </w:r>
    </w:p>
    <w:p>
      <w:pPr>
        <w:pStyle w:val="BookText"/>
        <w:rPr/>
      </w:pPr>
      <w:r>
        <w:rPr>
          <w:rFonts w:ascii="IRNazanin" w:hAnsi="IRNazanin" w:eastAsia="IRNazanin"/>
          <w:color w:val="111111"/>
          <w:sz w:val="28"/>
          <w:sz w:val="28"/>
          <w:szCs w:val="28"/>
          <w:rtl w:val="true"/>
          <w:lang w:bidi="fa-IR"/>
        </w:rPr>
        <w:t xml:space="preserve">غیر معلوم، کما فی موارد إعداد بنک المنیّ بالمعنی المعهود منه فی بنک الدّم؛ بأن یؤخذ منیّ الرجال و یحفظ فی حرارة و کیفیّة مناسبة من دون أن یُعلِمَ علیها أنّه منیّ فلان، ثمّ یوضع فی رحم من راجعته، ففی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شائعة فی بلاد غیر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التلقیح الصناعی إلی ذهاب الأنساب الذی دلّت بعض الأخبار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 xml:space="preserve">روی الصدوق بإسناده عن محمّد بن سنان، عن الرضا علیه السلام فیما کتب إلیه من جواب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اللّه الزنا لما فیه من الفساد، من قتل النفس، و ذهاب الأنساب، و ترک التربیة للأطفال، و فساد المواریث، و ما أشبه ذلک من وجوه الفساد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ما رواه الطبرسی فی الاحتجاج مرسلاً، عن أبی عبد اللّه علیه السلام فی حدیث أنّ زندیقاً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الزنا؟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 من الفساد، و ذهاب المواریث، و انقطاع الأنساب، لا تعلم المرأة فی الزنا مَن أحبلها، و لا المولود یعلم مَن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یقرّب الاستدلال بهما بأنّهما تدلاّن علی أنّ ذهاب الأنساب سرّ من أسرار حرمة الزنا، فهو أمر مبغوض یجب الاجتناب عنه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حکمة لا یدور حرمة الزنا مدارها لا یضرّ بالقول بحرمة کلّ عمل اشتمل علی هذه الحکمة، فان الحکمة لا تقصر عن العلّة فی موارد ثبوتها، بل تزید علیها فی موارد انتفائها؛ فإنّ الحکمة بمثابة من الأهمیّة توجب احتمالها و مظنّتها إنشاء الحکم بنحو الإطلاق بخلاف العلّة، و تمام الکلام فی محلّه</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إلاّ أنّ الروایتین ضعیفتان سنداً، مضافاً إلی أنّ العلّة تعمّم و تخصّص</w:t>
      </w:r>
      <w:r>
        <w:rPr>
          <w:rStyle w:val="FootnoteAnchor"/>
          <w:rtl w:val="true"/>
        </w:rPr>
        <w:footnoteReference w:id="591"/>
      </w:r>
      <w:r>
        <w:rPr>
          <w:rFonts w:ascii="IRNazanin" w:hAnsi="IRNazanin" w:eastAsia="IRNazanin"/>
          <w:color w:val="111111"/>
          <w:sz w:val="28"/>
          <w:sz w:val="28"/>
          <w:szCs w:val="28"/>
          <w:rtl w:val="true"/>
          <w:lang w:bidi="fa-IR"/>
        </w:rPr>
        <w:t>دون الحکمة؛ لأنّها عبارة اخری عن المقتضی، و من المحتمل أن یکون معه مانع یمنع عن تأثیره، لا سیّما فی مثل المقام ممّا ذکر فیه مقتضیات متعدّدة لا یقتضی بعضها إلاّ الکراهة، کترک التربیة المذکورة فی روایة ابن سنان، کما أشار إلیه بعض المحققین</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فثبت 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تمامیّة دلالة</w:t>
      </w:r>
      <w:r>
        <w:rPr>
          <w:rStyle w:val="FootnoteAnchor"/>
          <w:rtl w:val="true"/>
        </w:rPr>
        <w:footnoteReference w:id="593"/>
      </w:r>
      <w:r>
        <w:rPr>
          <w:rFonts w:ascii="IRNazanin" w:hAnsi="IRNazanin" w:eastAsia="IRNazanin"/>
          <w:color w:val="111111"/>
          <w:sz w:val="28"/>
          <w:sz w:val="28"/>
          <w:szCs w:val="28"/>
          <w:rtl w:val="true"/>
          <w:lang w:bidi="fa-IR"/>
        </w:rPr>
        <w:t xml:space="preserve">بعض الآیات و الروایات، و مقتضی العفّة و الإحصان و قاعدة الاحتیاط فی النفوس و الأعراض و الدماء و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تلقیح ماء الأجنبی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الحکم یشمل الرجل الأجنبیّ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المرأة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وقعت النطفة فی رحمها، و الأطباء الذین یقومون بهذه العملیّة أی</w:t>
      </w:r>
      <w:bookmarkStart w:id="322" w:name="pg11754_112923"/>
    </w:p>
    <w:p>
      <w:pPr>
        <w:pStyle w:val="BookText"/>
        <w:rPr/>
      </w:pPr>
      <w:bookmarkEnd w:id="322"/>
      <w:r>
        <w:rPr>
          <w:rFonts w:ascii="IRNazanin" w:hAnsi="IRNazanin" w:eastAsia="IRNazanin"/>
          <w:color w:val="111111"/>
          <w:sz w:val="28"/>
          <w:sz w:val="28"/>
          <w:szCs w:val="28"/>
          <w:rtl w:val="true"/>
          <w:lang w:bidi="fa-IR"/>
        </w:rPr>
        <w:t>یأخذون الماء من الرجل و یضعونه فی رحم المرأة الأجنبیّة بصور مختلفة، و اللّه العالم بحکمه</w:t>
      </w:r>
      <w:r>
        <w:rPr>
          <w:rFonts w:eastAsia="IRNazanin" w:cs="IRNazanin"/>
          <w:color w:val="111111"/>
          <w:sz w:val="28"/>
          <w:szCs w:val="28"/>
          <w:rtl w:val="true"/>
          <w:lang w:bidi="fa-IR"/>
        </w:rPr>
        <w:t>.</w:t>
      </w:r>
    </w:p>
    <w:p>
      <w:pPr>
        <w:pStyle w:val="Heading5"/>
        <w:numPr>
          <w:ilvl w:val="4"/>
          <w:numId w:val="1"/>
        </w:numPr>
        <w:rPr/>
      </w:pPr>
      <w:bookmarkStart w:id="323" w:name="__RefHeading___Toc9530651_73709187"/>
      <w:bookmarkStart w:id="324" w:name="_Toc128"/>
      <w:bookmarkEnd w:id="323"/>
      <w:r>
        <w:rPr>
          <w:rtl w:val="true"/>
        </w:rPr>
        <w:t>الحکم الوضعی فی التلقیح الصناعی</w:t>
      </w:r>
      <w:bookmarkEnd w:id="324"/>
    </w:p>
    <w:p>
      <w:pPr>
        <w:pStyle w:val="Heading6"/>
        <w:numPr>
          <w:ilvl w:val="5"/>
          <w:numId w:val="1"/>
        </w:numPr>
        <w:rPr/>
      </w:pPr>
      <w:bookmarkStart w:id="325" w:name="__RefHeading___Toc9530653_73709187"/>
      <w:bookmarkStart w:id="326" w:name="_Toc129"/>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 xml:space="preserve">و أمّا حکمه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تعیین نسب الولد الذی نشأ من أجل عملیّة التلقیح الذی عقدنا هذا المبحث لبیانه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أیضاً باختلاف الصور المفروضة،</w:t>
      </w:r>
    </w:p>
    <w:p>
      <w:pPr>
        <w:pStyle w:val="Heading6"/>
        <w:numPr>
          <w:ilvl w:val="5"/>
          <w:numId w:val="1"/>
        </w:numPr>
        <w:rPr/>
      </w:pPr>
      <w:bookmarkStart w:id="327" w:name="__RefHeading___Toc9530655_73709187"/>
      <w:bookmarkStart w:id="328" w:name="_Toc130"/>
      <w:bookmarkEnd w:id="327"/>
      <w:r>
        <w:rPr>
          <w:rtl w:val="true"/>
        </w:rPr>
        <w:t>و یمکن أن یقسّم إلی أربع صور</w:t>
      </w:r>
      <w:r>
        <w:rPr>
          <w:rtl w:val="true"/>
        </w:rPr>
        <w:t>:</w:t>
      </w:r>
      <w:bookmarkEnd w:id="328"/>
    </w:p>
    <w:p>
      <w:pPr>
        <w:pStyle w:val="Heading6"/>
        <w:numPr>
          <w:ilvl w:val="5"/>
          <w:numId w:val="1"/>
        </w:numPr>
        <w:rPr/>
      </w:pPr>
      <w:bookmarkStart w:id="329" w:name="__RefHeading___Toc9530657_73709187"/>
      <w:bookmarkStart w:id="330" w:name="_Toc131"/>
      <w:bookmarkEnd w:id="329"/>
      <w:r>
        <w:rPr>
          <w:rtl w:val="true"/>
        </w:rPr>
        <w:t>الاُولی</w:t>
      </w:r>
      <w:r>
        <w:rPr>
          <w:rtl w:val="true"/>
        </w:rPr>
        <w:t xml:space="preserve">: </w:t>
      </w:r>
      <w:r>
        <w:rPr>
          <w:rtl w:val="true"/>
        </w:rPr>
        <w:t>إذا علم استناد الولد إلی ماء الزوج</w:t>
      </w:r>
      <w:bookmarkEnd w:id="330"/>
    </w:p>
    <w:p>
      <w:pPr>
        <w:pStyle w:val="BookText"/>
        <w:rPr/>
      </w:pPr>
      <w:r>
        <w:rPr>
          <w:rFonts w:ascii="IRNazanin" w:hAnsi="IRNazanin" w:eastAsia="IRNazanin"/>
          <w:color w:val="111111"/>
          <w:sz w:val="28"/>
          <w:sz w:val="28"/>
          <w:szCs w:val="28"/>
          <w:rtl w:val="true"/>
          <w:lang w:bidi="fa-IR"/>
        </w:rPr>
        <w:t>؛ فإنّه یلحق الولد بالزوج و الزوجة بلا إشکال فیه و لا ریب</w:t>
      </w:r>
      <w:r>
        <w:rPr>
          <w:rFonts w:eastAsia="IRNazanin" w:cs="IRNazanin"/>
          <w:color w:val="111111"/>
          <w:sz w:val="28"/>
          <w:szCs w:val="28"/>
          <w:rtl w:val="true"/>
          <w:lang w:bidi="fa-IR"/>
        </w:rPr>
        <w:t>.</w:t>
      </w:r>
    </w:p>
    <w:p>
      <w:pPr>
        <w:pStyle w:val="Heading6"/>
        <w:numPr>
          <w:ilvl w:val="5"/>
          <w:numId w:val="1"/>
        </w:numPr>
        <w:rPr/>
      </w:pPr>
      <w:bookmarkStart w:id="331" w:name="__RefHeading___Toc9530659_73709187"/>
      <w:bookmarkStart w:id="332" w:name="_Toc132"/>
      <w:bookmarkEnd w:id="331"/>
      <w:r>
        <w:rPr>
          <w:rtl w:val="true"/>
        </w:rPr>
        <w:t>الثانیة</w:t>
      </w:r>
      <w:r>
        <w:rPr>
          <w:rtl w:val="true"/>
        </w:rPr>
        <w:t xml:space="preserve">: </w:t>
      </w:r>
      <w:r>
        <w:rPr>
          <w:rtl w:val="true"/>
        </w:rPr>
        <w:t>إذا شکّ فی استناد الولد إلی الزوج و اشتبه الحال</w:t>
      </w:r>
      <w:bookmarkEnd w:id="332"/>
    </w:p>
    <w:p>
      <w:pPr>
        <w:pStyle w:val="BookText"/>
        <w:rPr/>
      </w:pPr>
      <w:r>
        <w:rPr>
          <w:rFonts w:ascii="IRNazanin" w:hAnsi="IRNazanin" w:eastAsia="IRNazanin"/>
          <w:color w:val="111111"/>
          <w:sz w:val="28"/>
          <w:sz w:val="28"/>
          <w:szCs w:val="28"/>
          <w:rtl w:val="true"/>
          <w:lang w:bidi="fa-IR"/>
        </w:rPr>
        <w:t>، کما إذا جهل الزوج و الزوجة أو أحدهما؛ بحرمة إدخال نطفة الأجنبی فی رحم الأجنبیّة، و الطبیب فعل ذلک من دون إذن منهما، أو اشتبه الأمر لهما و لم یعلما هل الولد من ماء الزوج أو الأجنبی، فیلحق بهما أیضاً، کما أفتی به جمع من فقهاء المعاصرین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قاعدة الفراش التی تقدّم التحقیق فیها مفصّلاً</w:t>
      </w:r>
      <w:r>
        <w:rPr>
          <w:rFonts w:eastAsia="IRNazanin" w:cs="IRNazanin"/>
          <w:color w:val="111111"/>
          <w:sz w:val="28"/>
          <w:szCs w:val="28"/>
          <w:rtl w:val="true"/>
          <w:lang w:bidi="fa-IR"/>
        </w:rPr>
        <w:t>.</w:t>
      </w:r>
    </w:p>
    <w:p>
      <w:pPr>
        <w:pStyle w:val="Heading6"/>
        <w:numPr>
          <w:ilvl w:val="5"/>
          <w:numId w:val="1"/>
        </w:numPr>
        <w:rPr/>
      </w:pPr>
      <w:bookmarkStart w:id="333" w:name="__RefHeading___Toc9530661_73709187"/>
      <w:bookmarkStart w:id="334" w:name="_Toc133"/>
      <w:bookmarkEnd w:id="333"/>
      <w:r>
        <w:rPr>
          <w:rtl w:val="true"/>
        </w:rPr>
        <w:t>الثالثة</w:t>
      </w:r>
      <w:r>
        <w:rPr>
          <w:rtl w:val="true"/>
        </w:rPr>
        <w:t xml:space="preserve">: </w:t>
      </w:r>
      <w:r>
        <w:rPr>
          <w:rtl w:val="true"/>
        </w:rPr>
        <w:t xml:space="preserve">إذا انتقلت البویضة الملقّحة </w:t>
      </w:r>
      <w:r>
        <w:rPr>
          <w:rtl w:val="true"/>
        </w:rPr>
        <w:t xml:space="preserve">- </w:t>
      </w:r>
      <w:r>
        <w:rPr>
          <w:rtl w:val="true"/>
        </w:rPr>
        <w:t>سواء کانت من الزوجین أو من الحیوان</w:t>
      </w:r>
      <w:bookmarkEnd w:id="3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رحم امرأة غیر صاحبة البویضة؛ سواء کانت مزوّجة أو خلیّة، کما قیل فی مسألة رحم المستأجرة و تکوّن الولد فی رحم المرأة الثانیة؛ أی المستأجرة، و ثبت أنّ البیضة المنتقلة هی منشأ للولد فقط لا غیر، فالرجل الذی هو صاحب الماء أب له عرفاً، کما سنبیّنه فی الصورة الرابعة قریباً، و إنّما الاختلاف فی أنّه هل</w:t>
      </w:r>
      <w:bookmarkStart w:id="335" w:name="pg11754_112924"/>
    </w:p>
    <w:p>
      <w:pPr>
        <w:pStyle w:val="BookText"/>
        <w:rPr/>
      </w:pPr>
      <w:bookmarkEnd w:id="335"/>
      <w:r>
        <w:rPr>
          <w:rFonts w:ascii="IRNazanin" w:hAnsi="IRNazanin" w:eastAsia="IRNazanin"/>
          <w:color w:val="111111"/>
          <w:sz w:val="28"/>
          <w:sz w:val="28"/>
          <w:szCs w:val="28"/>
          <w:rtl w:val="true"/>
          <w:lang w:bidi="fa-IR"/>
        </w:rPr>
        <w:t>المرأة المستأجرة هی الاُمّ للحمل و الولد ینسب إلیها، أو ینسب إلی صاحبة البویضة، أو هما معاً؟</w:t>
      </w:r>
    </w:p>
    <w:p>
      <w:pPr>
        <w:pStyle w:val="Heading6"/>
        <w:numPr>
          <w:ilvl w:val="5"/>
          <w:numId w:val="1"/>
        </w:numPr>
        <w:rPr/>
      </w:pPr>
      <w:bookmarkStart w:id="336" w:name="__RefHeading___Toc9530663_73709187"/>
      <w:bookmarkStart w:id="337" w:name="_Toc134"/>
      <w:bookmarkEnd w:id="336"/>
      <w:r>
        <w:rPr>
          <w:rtl w:val="true"/>
        </w:rPr>
        <w:t>وجوه بل أقوال</w:t>
      </w:r>
      <w:r>
        <w:rPr>
          <w:rtl w:val="true"/>
        </w:rPr>
        <w:t>:</w:t>
      </w:r>
      <w:bookmarkEnd w:id="337"/>
    </w:p>
    <w:p>
      <w:pPr>
        <w:pStyle w:val="Heading6"/>
        <w:numPr>
          <w:ilvl w:val="5"/>
          <w:numId w:val="1"/>
        </w:numPr>
        <w:rPr/>
      </w:pPr>
      <w:bookmarkStart w:id="338" w:name="__RefHeading___Toc9530665_73709187"/>
      <w:bookmarkStart w:id="339" w:name="_Toc135"/>
      <w:bookmarkEnd w:id="338"/>
      <w:r>
        <w:rPr>
          <w:rtl w:val="true"/>
        </w:rPr>
        <w:t>الأوّل</w:t>
      </w:r>
      <w:r>
        <w:rPr>
          <w:rtl w:val="true"/>
        </w:rPr>
        <w:t xml:space="preserve">: </w:t>
      </w:r>
      <w:r>
        <w:rPr>
          <w:rtl w:val="true"/>
        </w:rPr>
        <w:t>ما نسب إلی السیّد الخوئی قدس سره</w:t>
      </w:r>
      <w:bookmarkEnd w:id="339"/>
    </w:p>
    <w:p>
      <w:pPr>
        <w:pStyle w:val="BookText"/>
        <w:rPr/>
      </w:pPr>
      <w:r>
        <w:rPr>
          <w:rFonts w:ascii="Amiri" w:hAnsi="Amiri" w:eastAsia="Amiri" w:cs="Amiri"/>
          <w:color w:val="111111"/>
          <w:sz w:val="28"/>
          <w:sz w:val="28"/>
          <w:szCs w:val="28"/>
          <w:rtl w:val="true"/>
          <w:lang w:bidi="ar-SA"/>
        </w:rPr>
        <w:t xml:space="preserve">من أنّ المرأة المذکورة التی زرع المنیّ فی رحمها امّ للولد شرعاً؛ فإنّ الأمّ هی المرأة التی تلد الولد، کما هو 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صاحب النطفة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المرأة صاحبة البویضة فلیست امّاً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یترتّب علیه تمام أحکام الولد من السببیّة و النسبیّة بالنسبة إلی أبیه و امّه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صرّحت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تلد الولد؛ سواء کانت صاحبة البویضة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قاطع علی عدم تأثیر الرحم فی حال الجنین و إیراث الخصائص، فربما یقف الطبّ غداً علیه، بل یقول بعض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الولد فی الحقیقة لیس فقط نتاج الکروموزمات الوراثیة، فقد ثبت طبّیاً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الاتجاه الطبّی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نتاج العوامل الوراثیة و تفاعلها مع البیئة المحیطة، و أشدّ هذه البیئات التصاقاً به هو رحم امّه، فبصرف النظر عن الکروموزمات التی تحمل الشفرة الوراثیة، إلاّ أنّ هذا السلوک الوراثی یتأثّر بالبیئة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یکون الطفل یحمل کروموزمات المبیض الأصل الذی استنبط منه، و لکن وجوده و تکوّنه و تغیّره صحّیاً و جسمیاً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و اللّه أعلم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بالرحم الذی حمل فیه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الآیة الکریمة لا تکون فی مقام بیان</w:t>
      </w:r>
      <w:r>
        <w:rPr>
          <w:rStyle w:val="FootnoteAnchor"/>
          <w:rtl w:val="true"/>
        </w:rPr>
        <w:footnoteReference w:id="597"/>
      </w:r>
      <w:r>
        <w:rPr>
          <w:rFonts w:ascii="Amiri" w:hAnsi="Amiri" w:eastAsia="Amiri" w:cs="Amiri"/>
          <w:color w:val="111111"/>
          <w:sz w:val="28"/>
          <w:sz w:val="28"/>
          <w:szCs w:val="28"/>
          <w:rtl w:val="true"/>
          <w:lang w:bidi="ar-SA"/>
        </w:rPr>
        <w:t>أنّ التولّد یعتبر فی</w:t>
      </w:r>
      <w:bookmarkStart w:id="340" w:name="pg11754_112925"/>
    </w:p>
    <w:p>
      <w:pPr>
        <w:pStyle w:val="BookText"/>
        <w:rPr/>
      </w:pPr>
      <w:bookmarkEnd w:id="340"/>
      <w:r>
        <w:rPr>
          <w:rFonts w:ascii="IRNazanin" w:hAnsi="IRNazanin" w:eastAsia="IRNazanin"/>
          <w:color w:val="111111"/>
          <w:sz w:val="28"/>
          <w:sz w:val="28"/>
          <w:szCs w:val="28"/>
          <w:rtl w:val="true"/>
          <w:lang w:bidi="fa-IR"/>
        </w:rPr>
        <w:t>صدق الاُمومة فی جمیع الموارد حتّی مثل المقام، و یشهد لذلک أنّه لو اخرج الجنین من غیر الموضع الطبیعی لا تصدق علیه الولادة، و مع ذلک لا ریب فی صدق الاُمومة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ذکر الولادة للطفل بملاحظة کونها أمراً غالبیاً أو دائمیاً فی تلک الأزمنة، أو لعلّ المراد من الولادة هو تکوّن الولد من مائها، کما أنّ بهذا الاعتبار أیضاً یطلق الوالد علی الأب، و کیف کان، فلا وجه لرفع الید عن الحکم العرفی فی باب الوالدیّة بمثل الآیة الکریمة التی لا إطلاق لها بالنسبة إلی المقام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9530667_73709187"/>
      <w:bookmarkStart w:id="342" w:name="_Toc136"/>
      <w:bookmarkEnd w:id="341"/>
      <w:r>
        <w:rPr>
          <w:rtl w:val="true"/>
        </w:rPr>
        <w:t xml:space="preserve">القول الثانی </w:t>
      </w:r>
      <w:r>
        <w:rPr>
          <w:rtl w:val="true"/>
        </w:rPr>
        <w:t xml:space="preserve">- </w:t>
      </w:r>
      <w:r>
        <w:rPr>
          <w:rtl w:val="true"/>
        </w:rPr>
        <w:t xml:space="preserve">و هو الأقوی </w:t>
      </w:r>
      <w:r>
        <w:rPr>
          <w:rtl w:val="true"/>
        </w:rPr>
        <w:t xml:space="preserve">-: </w:t>
      </w:r>
      <w:r>
        <w:rPr>
          <w:rtl w:val="true"/>
        </w:rPr>
        <w:t>ما ذهب إلیه الإمام الخمینی قدس سره</w:t>
      </w:r>
      <w:bookmarkEnd w:id="342"/>
    </w:p>
    <w:p>
      <w:pPr>
        <w:pStyle w:val="BookText"/>
        <w:rPr/>
      </w:pPr>
      <w:r>
        <w:rPr>
          <w:rFonts w:ascii="IRNazanin" w:hAnsi="IRNazanin" w:eastAsia="IRNazanin"/>
          <w:color w:val="111111"/>
          <w:sz w:val="28"/>
          <w:sz w:val="28"/>
          <w:szCs w:val="28"/>
          <w:rtl w:val="true"/>
          <w:lang w:bidi="fa-IR"/>
        </w:rPr>
        <w:t xml:space="preserve">من أنّه لو ثبت أنّ نطفة الزوجین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انتقلت منهما النطفة و البویضة إلی رحم المرأة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للطفل، فالظاهر إلحاقه بهما؛ سواء انتقل إلی رحم المرأة أو رحم صناعیة</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اختاره بعض المعاصرین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الفتاوی الجدیدة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الولد یخصّ أصحاب النطفة و یکون من محارمهم و ورثتهم، أمّا فیما یتعلّق بالاُم البدیلة فیکون بمثابة ابنها بالرضاعة، بل إنّ لها الأولویة علیه من بعض الجهات؛ لأنّ جمیع لحمه و عظمه نامٍ منها، لذا یحرم علیه الزواج فیما بعد من هذه المرأة أو ابنها، و لکنّه لا یرثها</w:t>
      </w:r>
      <w:r>
        <w:rPr>
          <w:rStyle w:val="FootnoteAnchor"/>
          <w:rtl w:val="true"/>
        </w:rPr>
        <w:footnoteReference w:id="601"/>
      </w:r>
      <w:bookmarkStart w:id="343" w:name="pg11754_112926"/>
    </w:p>
    <w:p>
      <w:pPr>
        <w:pStyle w:val="BookText"/>
        <w:rPr/>
      </w:pPr>
      <w:bookmarkEnd w:id="343"/>
      <w:r>
        <w:rPr>
          <w:rFonts w:ascii="IRNazanin" w:hAnsi="IRNazanin" w:eastAsia="IRNazanin"/>
          <w:color w:val="111111"/>
          <w:sz w:val="28"/>
          <w:sz w:val="28"/>
          <w:szCs w:val="28"/>
          <w:rtl w:val="true"/>
          <w:lang w:bidi="fa-IR"/>
        </w:rPr>
        <w:t>و قد أوضح فی کلمات سدیدة هذا الوجه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ملاک الاُمومة عند العرف مثل ملاک الاُبوّة؛ و هو کون الطفل فی مبدأ خلقته مخلوقاً بمائها، فإذا کان المفروض أنّ نطفته التی هی مبدأ خلقته و أوّل ما یخلق حاصلة من ترکّب ماءین فهذا المخلوق الأوّل هو أوّل مراحل وجود الطفل، فالطفل بوجوده الأوّل متقوّم و مستند إلی صاحب المنیّ و البیضة، بل هو مرکّب من جزءین کلّ منهما لواحد من صاحبی البیضة و المنیّ، و التغذّی الذی یلحقه و یحصل له إنّما یوجب نموّه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فالغذاء الذی یتغذی به فی رحم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کالغذاء الذی یتغذّی به بعد أن تولّد و خرج من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انقلابه عمّا کان علیه من کونه طفلاً لصاحبی الماءین، فکما أنّه لو أجهض النطفة و ربیت فی مصنع معدّ لمثل ذلک إلی أن بلغت مرحلة نفخ الروح و تمکّنت من إدامة الحیاة خارج المصنع کسائر أبناء البشر، فکما أنّه لا ریب حینئذٍ فی أنّه ولد لصاحبی البویضة و المنیّ، فهکذا إذا کان رحم المرأة مکان ذاک المصنع المفروض، فالطفل یلحق بصاحبة البیضة؛ و هی امّ له عند العرف</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4" w:name="__RefHeading___Toc9530669_73709187"/>
      <w:bookmarkStart w:id="345" w:name="_Toc137"/>
      <w:bookmarkEnd w:id="344"/>
      <w:r>
        <w:rPr>
          <w:rtl w:val="true"/>
        </w:rPr>
        <w:t xml:space="preserve">القول الثالث </w:t>
      </w:r>
      <w:r>
        <w:rPr>
          <w:rtl w:val="true"/>
        </w:rPr>
        <w:t xml:space="preserve">- </w:t>
      </w:r>
      <w:r>
        <w:rPr>
          <w:rtl w:val="true"/>
        </w:rPr>
        <w:t xml:space="preserve">و هو الأولی </w:t>
      </w:r>
      <w:r>
        <w:rPr>
          <w:rtl w:val="true"/>
        </w:rPr>
        <w:t xml:space="preserve">-: </w:t>
      </w:r>
      <w:r>
        <w:rPr>
          <w:rtl w:val="true"/>
        </w:rPr>
        <w:t>ما یظهر من کلمات الشیخ الأراکی قدس سره</w:t>
      </w:r>
      <w:bookmarkEnd w:id="345"/>
    </w:p>
    <w:p>
      <w:pPr>
        <w:pStyle w:val="BookText"/>
        <w:rPr/>
      </w:pP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من أعلام المعاصرین من الاحتیاط؛ لعدم تمامیّة الأدلّة المذکورة</w:t>
      </w:r>
      <w:r>
        <w:rPr>
          <w:rStyle w:val="FootnoteAnchor"/>
          <w:rtl w:val="true"/>
        </w:rPr>
        <w:footnoteReference w:id="604"/>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ثبوت أحکام الاُمومة بالنسبة إلی المرأة المستأجرة التی نشأ الطفل فی رحمها و أرضعته بعد الحمل مشکل، فیلزم أن لا یترک الاحتیاط بالنسبة بالمسائل النکاح و الزواج بینهما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فی المسائل المنتخبة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مراعاة الاحتیاط فیما یتعلّق بذلک من أحکام الاُمومة و البنوّة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ثبوت المحرمیّة بینه و بین صاحبة الرحم و إن لم یحکم بانتسابه إلیها</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و لعلّ کذا فی غیرها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الشبهة هو أنّ مقتضی الآیة الکریمة المتقدّمة اعتبار الولادة و لو بإمکانها، فلا ینافی ذلک صدق الاُمومة علی من اخرج من غیر الموضع الطبیعی، و لکن لا إطلاق لها، و عدم وضوح حکم العرف بانخلاق الولد من ماء المرأة، مع ذهابهم إلی أنّ الاُمّ هی 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علمهم بتأثیر بییضة المرأة، فمع کون امرأةٍ عقیماً، و التأثیر لبیضة امرأةٌ اخری یحکمون بانخلاقها ممّن لها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شکّ فی امومتها کانت المسألة من أطراف العلم الإجمالی، و مقتضی القاعدة هو الاحتیاط برعایة أحکامهما بینهما؛ فإنّ الاُمومة لیست خارجة عنهما، ففی مثل الإرث یکون اللازم هو تصالحهما، و فی مثل النکاح و النظر و نحوه یکون اللازم الاجتناب علی الولد بالنسبة إلیهما، و علیهما بالنسبة إلی الولد، و هکذا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لم تزرع بییضة امرأةٍ لها بییضة برحم امرأةٍ عقیم، و إلاّ فبعد زرعها و صیرورتها جزءا لها، فالولد المتکوّن منها ولد للمرأة التی کانت عقیماً، دون من اخذت البیضة منها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البیضة واجدة لما یترکّب منها من أوّل الأمر؛ فإنّ الجزئیّة أمر عرفیّ، فإذا زُرعت و صدقت الجزئیّة للثانیة کان کلّ ما یتولّد منها متولّداً من المرأة التی تکون البیضة جزءا لها فعلاً</w:t>
      </w:r>
      <w:r>
        <w:rPr>
          <w:rStyle w:val="FootnoteAnchor"/>
          <w:rtl w:val="true"/>
        </w:rPr>
        <w:footnoteReference w:id="608"/>
      </w:r>
      <w:r>
        <w:rPr>
          <w:rFonts w:ascii="IRNazanin" w:hAnsi="IRNazanin" w:eastAsia="IRNazanin"/>
          <w:color w:val="111111"/>
          <w:sz w:val="28"/>
          <w:sz w:val="28"/>
          <w:szCs w:val="28"/>
          <w:rtl w:val="true"/>
          <w:lang w:bidi="fa-IR"/>
        </w:rPr>
        <w:t>، و لذلک قال الشیخ الفقیه الأراکی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البیضة إن صارت جزءا لبدن المرأة الثانیة کان الولد ملحقاً بها</w:t>
      </w:r>
      <w:r>
        <w:rPr>
          <w:rFonts w:eastAsia="IRNazanin" w:cs="IRNazanin"/>
          <w:color w:val="111111"/>
          <w:sz w:val="28"/>
          <w:szCs w:val="28"/>
          <w:rtl w:val="true"/>
          <w:lang w:bidi="fa-IR"/>
        </w:rPr>
        <w:t>»</w:t>
      </w:r>
      <w:r>
        <w:rPr>
          <w:rStyle w:val="FootnoteAnchor"/>
          <w:rtl w:val="true"/>
        </w:rPr>
        <w:footnoteReference w:id="609"/>
      </w:r>
      <w:bookmarkStart w:id="346" w:name="pg11754_112928"/>
    </w:p>
    <w:p>
      <w:pPr>
        <w:pStyle w:val="Heading6"/>
        <w:numPr>
          <w:ilvl w:val="5"/>
          <w:numId w:val="1"/>
        </w:numPr>
        <w:rPr/>
      </w:pPr>
      <w:bookmarkStart w:id="347" w:name="__RefHeading___Toc9530671_73709187"/>
      <w:bookmarkStart w:id="348" w:name="_Toc138"/>
      <w:bookmarkEnd w:id="346"/>
      <w:bookmarkEnd w:id="347"/>
      <w:r>
        <w:rPr>
          <w:rtl w:val="true"/>
        </w:rPr>
        <w:t xml:space="preserve">الصورة الرابعة </w:t>
      </w:r>
      <w:r>
        <w:rPr>
          <w:rtl w:val="true"/>
        </w:rPr>
        <w:t xml:space="preserve">- </w:t>
      </w:r>
      <w:r>
        <w:rPr>
          <w:rtl w:val="true"/>
        </w:rPr>
        <w:t xml:space="preserve">و هی العمدة و أکثرها وقوعاً فی الخارج </w:t>
      </w:r>
      <w:r>
        <w:rPr>
          <w:rtl w:val="true"/>
        </w:rPr>
        <w:t xml:space="preserve">-: </w:t>
      </w:r>
      <w:r>
        <w:rPr>
          <w:rtl w:val="true"/>
        </w:rPr>
        <w:t>إذا علم أنّ الولد کان من ماء الأجنبی</w:t>
      </w:r>
      <w:bookmarkEnd w:id="348"/>
    </w:p>
    <w:p>
      <w:pPr>
        <w:pStyle w:val="BookText"/>
        <w:rPr/>
      </w:pPr>
      <w:r>
        <w:rPr>
          <w:rFonts w:ascii="IRNazanin" w:hAnsi="IRNazanin" w:eastAsia="IRNazanin"/>
          <w:color w:val="111111"/>
          <w:sz w:val="28"/>
          <w:sz w:val="28"/>
          <w:szCs w:val="28"/>
          <w:rtl w:val="true"/>
          <w:lang w:bidi="fa-IR"/>
        </w:rPr>
        <w:t>، فیلحق بصاحب الماء و المرأة التی ولدته بلا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حصل عمل التلقیح بماء غیر الزوج، و کانت المرأة ذات بعل، و علم أنّ الولد من التلقیح، فلا إشکال فی عدم لحوق الولد بالزوج</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المسائل للشیخ الفقیه الفاضل 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یلحق الولد بصاحب الماء</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مجمع المسائل</w:t>
      </w:r>
      <w:r>
        <w:rPr>
          <w:rStyle w:val="FootnoteAnchor"/>
          <w:rtl w:val="true"/>
        </w:rPr>
        <w:footnoteReference w:id="612"/>
      </w:r>
      <w:r>
        <w:rPr>
          <w:rFonts w:ascii="IRNazanin" w:hAnsi="IRNazanin" w:eastAsia="IRNazanin"/>
          <w:color w:val="111111"/>
          <w:sz w:val="28"/>
          <w:sz w:val="28"/>
          <w:szCs w:val="28"/>
          <w:rtl w:val="true"/>
          <w:lang w:bidi="fa-IR"/>
        </w:rPr>
        <w:t>، و جامع الأحکام</w:t>
      </w:r>
      <w:r>
        <w:rPr>
          <w:rStyle w:val="FootnoteAnchor"/>
          <w:rtl w:val="true"/>
        </w:rPr>
        <w:footnoteReference w:id="613"/>
      </w:r>
      <w:r>
        <w:rPr>
          <w:rFonts w:ascii="IRNazanin" w:hAnsi="IRNazanin" w:eastAsia="IRNazanin"/>
          <w:color w:val="111111"/>
          <w:sz w:val="28"/>
          <w:sz w:val="28"/>
          <w:szCs w:val="28"/>
          <w:rtl w:val="true"/>
          <w:lang w:bidi="fa-IR"/>
        </w:rPr>
        <w:t>، و ما وراء الفقه</w:t>
      </w:r>
      <w:r>
        <w:rPr>
          <w:rStyle w:val="FootnoteAnchor"/>
          <w:rtl w:val="true"/>
        </w:rPr>
        <w:footnoteReference w:id="614"/>
      </w:r>
      <w:r>
        <w:rPr>
          <w:rFonts w:ascii="IRNazanin" w:hAnsi="IRNazanin" w:eastAsia="IRNazanin"/>
          <w:color w:val="111111"/>
          <w:sz w:val="28"/>
          <w:sz w:val="28"/>
          <w:szCs w:val="28"/>
          <w:rtl w:val="true"/>
          <w:lang w:bidi="fa-IR"/>
        </w:rPr>
        <w:t>، و الفقه و المسائل الطبّیة</w:t>
      </w:r>
      <w:r>
        <w:rPr>
          <w:rStyle w:val="FootnoteAnchor"/>
          <w:rtl w:val="true"/>
        </w:rPr>
        <w:footnoteReference w:id="615"/>
      </w:r>
      <w:r>
        <w:rPr>
          <w:rFonts w:ascii="IRNazanin" w:hAnsi="IRNazanin" w:eastAsia="IRNazanin"/>
          <w:color w:val="111111"/>
          <w:sz w:val="28"/>
          <w:sz w:val="28"/>
          <w:szCs w:val="28"/>
          <w:rtl w:val="true"/>
          <w:lang w:bidi="fa-IR"/>
        </w:rPr>
        <w:t>، و توضیح المسائل للمراجع</w:t>
      </w:r>
      <w:r>
        <w:rPr>
          <w:rStyle w:val="FootnoteAnchor"/>
          <w:rtl w:val="true"/>
        </w:rPr>
        <w:footnoteReference w:id="616"/>
      </w:r>
      <w:r>
        <w:rPr>
          <w:rFonts w:ascii="IRNazanin" w:hAnsi="IRNazanin" w:eastAsia="IRNazanin"/>
          <w:color w:val="111111"/>
          <w:sz w:val="28"/>
          <w:sz w:val="28"/>
          <w:szCs w:val="28"/>
          <w:rtl w:val="true"/>
          <w:lang w:bidi="fa-IR"/>
        </w:rPr>
        <w:t>، و الفتاوی الجدیدة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الولد بصاحب الماء و کذلک بالاُمّ و إن کان نفس الفعل منکراً فی الشریعة الإسلامیّة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مسائل المنتخبة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و العمد فلا یبعد انتسابه إلیه أیضاً، و ثبوت جمیع أحکام الاُبوّة و البنوّة بینهما حتّی الإرث؛ لأنّ المستثنی من الإرث هو الولد عن زنا، و هذا لیس کذلک</w:t>
      </w:r>
      <w:r>
        <w:rPr>
          <w:rFonts w:eastAsia="IRNazanin" w:cs="IRNazanin"/>
          <w:color w:val="111111"/>
          <w:sz w:val="28"/>
          <w:szCs w:val="28"/>
          <w:rtl w:val="true"/>
          <w:lang w:bidi="fa-IR"/>
        </w:rPr>
        <w:t>»</w:t>
      </w:r>
      <w:r>
        <w:rPr>
          <w:rStyle w:val="FootnoteAnchor"/>
          <w:rtl w:val="true"/>
        </w:rPr>
        <w:footnoteReference w:id="619"/>
      </w:r>
      <w:bookmarkStart w:id="349" w:name="pg11754_112929"/>
    </w:p>
    <w:p>
      <w:pPr>
        <w:pStyle w:val="BookText"/>
        <w:rPr/>
      </w:pPr>
      <w:bookmarkEnd w:id="349"/>
      <w:r>
        <w:rPr>
          <w:rFonts w:ascii="IRNazanin" w:hAnsi="IRNazanin" w:eastAsia="IRNazanin"/>
          <w:color w:val="111111"/>
          <w:sz w:val="28"/>
          <w:sz w:val="28"/>
          <w:szCs w:val="28"/>
          <w:rtl w:val="true"/>
          <w:lang w:bidi="fa-IR"/>
        </w:rPr>
        <w:t>و هو الظاهر من منهاج الصالحین،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أدخلت المرأة منیّ رجل أجنبیّ فی فرجها أثمت و لحق بها الولد و بصاحب المنی</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و کذا فی مبانیها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9530673_73709187"/>
      <w:bookmarkStart w:id="351" w:name="_Toc139"/>
      <w:bookmarkEnd w:id="350"/>
      <w:r>
        <w:rPr>
          <w:rtl w:val="true"/>
        </w:rPr>
        <w:t>أدلّة هذا الحکم</w:t>
      </w:r>
      <w:bookmarkEnd w:id="351"/>
    </w:p>
    <w:p>
      <w:pPr>
        <w:pStyle w:val="BookText"/>
        <w:rPr/>
      </w:pPr>
      <w:r>
        <w:rPr>
          <w:rFonts w:ascii="IRNazanin" w:hAnsi="IRNazanin" w:eastAsia="IRNazanin"/>
          <w:color w:val="111111"/>
          <w:sz w:val="28"/>
          <w:sz w:val="28"/>
          <w:szCs w:val="28"/>
          <w:rtl w:val="true"/>
          <w:lang w:bidi="fa-IR"/>
        </w:rPr>
        <w:t>و یدلّ علی هذا الحکم امور</w:t>
      </w:r>
      <w:r>
        <w:rPr>
          <w:rFonts w:eastAsia="IRNazanin" w:cs="IRNazanin"/>
          <w:color w:val="111111"/>
          <w:sz w:val="28"/>
          <w:szCs w:val="28"/>
          <w:rtl w:val="true"/>
          <w:lang w:bidi="fa-IR"/>
        </w:rPr>
        <w:t>:</w:t>
      </w:r>
    </w:p>
    <w:p>
      <w:pPr>
        <w:pStyle w:val="Heading6"/>
        <w:numPr>
          <w:ilvl w:val="5"/>
          <w:numId w:val="1"/>
        </w:numPr>
        <w:rPr/>
      </w:pPr>
      <w:bookmarkStart w:id="352" w:name="__RefHeading___Toc9530675_73709187"/>
      <w:bookmarkStart w:id="353" w:name="_Toc140"/>
      <w:bookmarkEnd w:id="352"/>
      <w:r>
        <w:rPr>
          <w:rtl w:val="true"/>
        </w:rPr>
        <w:t xml:space="preserve">أ </w:t>
      </w:r>
      <w:r>
        <w:rPr>
          <w:rtl w:val="true"/>
        </w:rPr>
        <w:t xml:space="preserve">- </w:t>
      </w:r>
      <w:r>
        <w:rPr>
          <w:rtl w:val="true"/>
        </w:rPr>
        <w:t>ما تدلّ علی إلحاق الولد بصاحب الماء و المرأة التی ولدته فی باب المساحقة لوحدة الملاک</w:t>
      </w:r>
      <w:bookmarkEnd w:id="353"/>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الفقهاء فی باب المساحقة مسألة،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جامع الرجل امرأته، فساحقت هی امرأة اخری و ألقت ماء الرجل فی رحمها و حملت، فهل یلحق الولد بالرجل الذی هو صاحب الماء و المرأة التی تولّد منها،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الحلّی فی السرائر</w:t>
      </w:r>
      <w:r>
        <w:rPr>
          <w:rStyle w:val="FootnoteAnchor"/>
          <w:rtl w:val="true"/>
        </w:rPr>
        <w:footnoteReference w:id="622"/>
      </w:r>
      <w:r>
        <w:rPr>
          <w:rFonts w:ascii="IRNazanin" w:hAnsi="IRNazanin" w:eastAsia="IRNazanin"/>
          <w:color w:val="111111"/>
          <w:sz w:val="28"/>
          <w:sz w:val="28"/>
          <w:szCs w:val="28"/>
          <w:rtl w:val="true"/>
          <w:lang w:bidi="fa-IR"/>
        </w:rPr>
        <w:t>إلی عدم الإلحاق، و وافقه علی ذلک صاحب الجواهر، نظراً إلی أنّ مجرّد ذلک لا یکفی فی لحوق الولد شرعاً؛ لأنّ الثابت من النسب فیه الوط‌ء الصحیح و لو شبهة، و لیس مطلق التولّد من الماء موجباً للنسب شرعاً؛ ضرورة عدم کون العنوان فیه الخلق من مائه، و الصدق اللغوی بعد معلومیّة الفرق بین الإنسان و غیره من الحیوان بمشروعیّة النکاح فیه دونه، بل المراد منه تحقّق النسب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وط‌ء الرجل امرأته، فقامت المرأة فساحقت جاریةً بکراً</w:t>
      </w:r>
    </w:p>
    <w:p>
      <w:pPr>
        <w:pStyle w:val="BookText"/>
        <w:rPr/>
      </w:pPr>
      <w:r>
        <w:rPr>
          <w:rFonts w:ascii="IRNazanin" w:hAnsi="IRNazanin" w:eastAsia="IRNazanin"/>
          <w:color w:val="111111"/>
          <w:sz w:val="28"/>
          <w:sz w:val="28"/>
          <w:szCs w:val="28"/>
          <w:rtl w:val="true"/>
          <w:lang w:bidi="fa-IR"/>
        </w:rPr>
        <w:t>و ألقت ماء الرجل فی رحمها و حملت الجاریة، وجب علی المرأة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الولد بالرجل</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الشرائع</w:t>
      </w:r>
      <w:r>
        <w:rPr>
          <w:rStyle w:val="FootnoteAnchor"/>
          <w:rtl w:val="true"/>
        </w:rPr>
        <w:footnoteReference w:id="625"/>
      </w:r>
      <w:r>
        <w:rPr>
          <w:rFonts w:ascii="IRNazanin" w:hAnsi="IRNazanin" w:eastAsia="IRNazanin"/>
          <w:color w:val="111111"/>
          <w:sz w:val="28"/>
          <w:sz w:val="28"/>
          <w:szCs w:val="28"/>
          <w:rtl w:val="true"/>
          <w:lang w:bidi="fa-IR"/>
        </w:rPr>
        <w:t>، و المختصر</w:t>
      </w:r>
      <w:r>
        <w:rPr>
          <w:rStyle w:val="FootnoteAnchor"/>
          <w:rtl w:val="true"/>
        </w:rPr>
        <w:footnoteReference w:id="626"/>
      </w:r>
      <w:r>
        <w:rPr>
          <w:rFonts w:ascii="Amiri" w:hAnsi="Amiri" w:eastAsia="Amiri" w:cs="Amiri"/>
          <w:color w:val="111111"/>
          <w:sz w:val="28"/>
          <w:sz w:val="28"/>
          <w:szCs w:val="28"/>
          <w:rtl w:val="true"/>
          <w:lang w:bidi="ar-SA"/>
        </w:rPr>
        <w:t>، و المهذّب</w:t>
      </w:r>
      <w:r>
        <w:rPr>
          <w:rStyle w:val="FootnoteAnchor"/>
          <w:rtl w:val="true"/>
        </w:rPr>
        <w:footnoteReference w:id="627"/>
      </w:r>
      <w:r>
        <w:rPr>
          <w:rFonts w:ascii="IRNazanin" w:hAnsi="IRNazanin" w:eastAsia="IRNazanin"/>
          <w:color w:val="111111"/>
          <w:sz w:val="28"/>
          <w:sz w:val="28"/>
          <w:szCs w:val="28"/>
          <w:rtl w:val="true"/>
          <w:lang w:bidi="fa-IR"/>
        </w:rPr>
        <w:t>، و الإیضاح</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وط‌ء زوجته فساحقت بکراً فألقت ماء الرجل فی رحمها و أتت بولد حُدّت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الولد بالرجل</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w:t>
      </w:r>
      <w:r>
        <w:rPr>
          <w:rStyle w:val="FootnoteAnchor"/>
          <w:rtl w:val="true"/>
        </w:rPr>
        <w:footnoteReference w:id="630"/>
      </w:r>
      <w:r>
        <w:rPr>
          <w:rFonts w:ascii="IRNazanin" w:hAnsi="IRNazanin" w:eastAsia="IRNazanin"/>
          <w:color w:val="111111"/>
          <w:sz w:val="28"/>
          <w:sz w:val="28"/>
          <w:szCs w:val="28"/>
          <w:rtl w:val="true"/>
          <w:lang w:bidi="fa-IR"/>
        </w:rPr>
        <w:t>، و الإرشاد</w:t>
      </w:r>
      <w:r>
        <w:rPr>
          <w:rStyle w:val="FootnoteAnchor"/>
          <w:rtl w:val="true"/>
        </w:rPr>
        <w:footnoteReference w:id="631"/>
      </w:r>
      <w:r>
        <w:rPr>
          <w:rFonts w:ascii="IRNazanin" w:hAnsi="IRNazanin" w:eastAsia="IRNazanin"/>
          <w:color w:val="111111"/>
          <w:sz w:val="28"/>
          <w:sz w:val="28"/>
          <w:szCs w:val="28"/>
          <w:rtl w:val="true"/>
          <w:lang w:bidi="fa-IR"/>
        </w:rPr>
        <w:t>، و المختلف</w:t>
      </w:r>
      <w:r>
        <w:rPr>
          <w:rStyle w:val="FootnoteAnchor"/>
          <w:rtl w:val="true"/>
        </w:rPr>
        <w:footnoteReference w:id="632"/>
      </w:r>
      <w:r>
        <w:rPr>
          <w:rFonts w:ascii="IRNazanin" w:hAnsi="IRNazanin" w:eastAsia="IRNazanin"/>
          <w:color w:val="111111"/>
          <w:sz w:val="28"/>
          <w:sz w:val="28"/>
          <w:szCs w:val="28"/>
          <w:rtl w:val="true"/>
          <w:lang w:bidi="fa-IR"/>
        </w:rPr>
        <w:t>و غیرها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الدلیل علی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 بمعنی أنّ الولد نشأ من ماء غیر زان، فالأصل یقتضی أن یُلحق بالرجل الذی انخلق من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لحوق الولد؛ فلأنّه ماء غیر زان، و قد انخلق منه الولد، فیُلحق به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 کذا فی القواعد</w:t>
      </w:r>
      <w:r>
        <w:rPr>
          <w:rStyle w:val="FootnoteAnchor"/>
          <w:rtl w:val="true"/>
        </w:rPr>
        <w:footnoteReference w:id="635"/>
      </w:r>
      <w:r>
        <w:rPr>
          <w:rFonts w:ascii="IRNazanin" w:hAnsi="IRNazanin" w:eastAsia="IRNazanin"/>
          <w:color w:val="111111"/>
          <w:sz w:val="28"/>
          <w:sz w:val="28"/>
          <w:szCs w:val="28"/>
          <w:rtl w:val="true"/>
          <w:lang w:bidi="fa-IR"/>
        </w:rPr>
        <w:t>، و الریاض</w:t>
      </w:r>
      <w:r>
        <w:rPr>
          <w:rStyle w:val="FootnoteAnchor"/>
          <w:rtl w:val="true"/>
        </w:rPr>
        <w:footnoteReference w:id="636"/>
      </w:r>
      <w:r>
        <w:rPr>
          <w:rFonts w:ascii="IRNazanin" w:hAnsi="IRNazanin" w:eastAsia="IRNazanin"/>
          <w:color w:val="111111"/>
          <w:sz w:val="28"/>
          <w:sz w:val="28"/>
          <w:szCs w:val="28"/>
          <w:rtl w:val="true"/>
          <w:lang w:bidi="fa-IR"/>
        </w:rPr>
        <w:t>و غیرها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الجواهر 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الموافق للعرف و اللغة، أقصی</w:t>
      </w:r>
    </w:p>
    <w:p>
      <w:pPr>
        <w:pStyle w:val="BookText"/>
        <w:rPr/>
      </w:pPr>
      <w:r>
        <w:rPr>
          <w:rFonts w:ascii="IRNazanin" w:hAnsi="IRNazanin" w:eastAsia="IRNazanin"/>
          <w:color w:val="111111"/>
          <w:sz w:val="28"/>
          <w:sz w:val="28"/>
          <w:szCs w:val="28"/>
          <w:rtl w:val="true"/>
          <w:lang w:bidi="fa-IR"/>
        </w:rPr>
        <w:t>ما هناک خرج الزانی، فیبقی غیره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الإلحاق فی الانتساب ماء الرجل و النطفة التی انخلق منها الولد، خرج منه الزنا بالتعبّد القطعی، و یبقی غیره علی طبق القاعدة و الأصل، ففی کلّ مورد علم أنّ الولد انخلق من ماء الرجل و نطفته، نحکم بإلحاقه به، و المفروض أنّنا فی المقام نعلم بأنّ الطفل نشأ لأجل عملیّة التلقیح و من ماء الرجل الأجنبی، فیکون ولد له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تفصیل الشریعة فی وجه إلحاق الولد بصاحب النطفة مع المساحقة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للقاعدة؛ لأنّ الولدیّة من الحقائق اللغویّة و العرفیّة، و لیست لها حقیقة شرعیّة، و الملاک فیها هو الانخلاق من ماء الرجل و التکوّن من نطفته، الموجب لإضافته إلیه و الانتساب به، و خروج ولد الزنا مضافاً إلی أنّه لدلیل خاصّ، یکون خروجاً فی الجملة، لالتحاقه به فی مثل المحرمیّة و حرمة النکاح و النفقة، و مشروعیّة النکاح و إن کانت للتحفّظ علی النسب و رعایة الإضافة الخاصّة، إلاّ أنّه لا دلیل علی انحصار الطریق به، بل هو طریق غالبیّ لتحقّق هذه الإضافة، و إلاّ فکیف یمکن جعل الولد فی مفروض المسألة بلا أب، مع عدم تحقّق عمل غیر مشروع من ناحیة صاحب النطفة و کونها ماء غیر زان، فالإنصاف أنّ مقتضی القاعدة هو الالتحاق فیها و فی مثلها، کما إذا وقعت النطفة فی رحم الزوجة من غیر طریق المجامعة و الوط‌ء و تکوّن منها الولد، بل و کما إذا ربیت النطفة فی غیر الرحم، کما ربما یدعی إمکانه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الولد کما یُلحق بالرجل صاحب النطفة، کذلک یلحق بالجاریة التی ولدته؛ لعدم کونها زانیة، و کونه متکوّناً فی رحمها متولّداً منها</w:t>
      </w:r>
      <w:r>
        <w:rPr>
          <w:rFonts w:eastAsia="IRNazanin" w:cs="IRNazanin"/>
          <w:color w:val="111111"/>
          <w:sz w:val="28"/>
          <w:szCs w:val="28"/>
          <w:rtl w:val="true"/>
          <w:lang w:bidi="fa-IR"/>
        </w:rPr>
        <w:t>»</w:t>
      </w:r>
      <w:r>
        <w:rPr>
          <w:rStyle w:val="FootnoteAnchor"/>
          <w:rtl w:val="true"/>
        </w:rPr>
        <w:footnoteReference w:id="639"/>
      </w:r>
      <w:bookmarkStart w:id="354" w:name="pg11754_112932"/>
    </w:p>
    <w:p>
      <w:pPr>
        <w:pStyle w:val="BookText"/>
        <w:rPr/>
      </w:pPr>
      <w:bookmarkEnd w:id="354"/>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لصاحب الماء، و الحامل والدة له لغةً و عرفاً و طبّاً، و لم یثبت من الشریعة اصطلاح خاصّ فی الاُبوّة و الاُمومة و البنوّة مغایراً للعرف و اللغة، و إنّما الثابت منه عدم الإلحاق فی فرض تحقّق الزنا و عدم التوارث بین ولد الزنا و الزانی، و عملیّة التلقیح و انخلاق الولد من ماء رجل الأجنبیّ لیست هی الزنا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التقریر یمکن أن یکون هذا دلیلاً لإلحاق الولد بالمرأة التی ولدته أیضاً؛ بمعنی أنّها امّه</w:t>
      </w:r>
      <w:r>
        <w:rPr>
          <w:rFonts w:eastAsia="IRNazanin" w:cs="IRNazanin"/>
          <w:color w:val="111111"/>
          <w:sz w:val="28"/>
          <w:szCs w:val="28"/>
          <w:rtl w:val="true"/>
          <w:lang w:bidi="fa-IR"/>
        </w:rPr>
        <w:t>.</w:t>
      </w:r>
    </w:p>
    <w:p>
      <w:pPr>
        <w:pStyle w:val="Heading6"/>
        <w:numPr>
          <w:ilvl w:val="5"/>
          <w:numId w:val="1"/>
        </w:numPr>
        <w:rPr/>
      </w:pPr>
      <w:bookmarkStart w:id="355" w:name="__RefHeading___Toc9530677_73709187"/>
      <w:bookmarkStart w:id="356" w:name="_Toc141"/>
      <w:bookmarkEnd w:id="355"/>
      <w:r>
        <w:rPr>
          <w:rtl w:val="true"/>
        </w:rPr>
        <w:t>و ثانیاً</w:t>
      </w:r>
      <w:r>
        <w:rPr>
          <w:rtl w:val="true"/>
        </w:rPr>
        <w:t xml:space="preserve">: </w:t>
      </w:r>
      <w:r>
        <w:rPr>
          <w:rtl w:val="true"/>
        </w:rPr>
        <w:t>النصوص المستفیضة</w:t>
      </w:r>
      <w:r>
        <w:rPr>
          <w:rtl w:val="true"/>
        </w:rPr>
        <w:t>:</w:t>
      </w:r>
      <w:bookmarkEnd w:id="35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 اللّه علیهما السلام یقولان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الحسن بن علیّ فی مجلس أمیر المؤمنین علیه السلام، إذ أقبل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أردنا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نسأله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تخبرونا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جامعها زوجها فلمّا قام عنها قامت بحموّتها فوقعت علی جاریة بکر فساحقتها، فوقعت النطفة فیها فحملت، فما تقول فی هذا؟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معضلة و أبو الحسن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ینتظر بالجاریة حتّی تضع ما فی بطنها و یُردّ الولد إلی أبیه صاحب النطفة</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موثّقة</w:t>
      </w:r>
    </w:p>
    <w:p>
      <w:pPr>
        <w:pStyle w:val="BookText"/>
        <w:rPr/>
      </w:pPr>
      <w:r>
        <w:rPr>
          <w:rFonts w:ascii="IRNazanin" w:hAnsi="IRNazanin" w:eastAsia="IRNazanin"/>
          <w:color w:val="111111"/>
          <w:sz w:val="28"/>
          <w:sz w:val="28"/>
          <w:szCs w:val="28"/>
          <w:rtl w:val="true"/>
          <w:lang w:bidi="fa-IR"/>
        </w:rPr>
        <w:t>إسحاق بن عمّار، عن أبی عبد اللّه علیه السلام؛ فإنّ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الولد بأبیه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عمرو بن عثمان، عن أبی عبد اللّه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الولد</w:t>
      </w:r>
      <w:bookmarkStart w:id="357" w:name="pg11754_112933"/>
    </w:p>
    <w:p>
      <w:pPr>
        <w:pStyle w:val="BookText"/>
        <w:rPr/>
      </w:pPr>
      <w:bookmarkEnd w:id="357"/>
      <w:r>
        <w:rPr>
          <w:rFonts w:ascii="Amiri" w:hAnsi="Amiri" w:eastAsia="Amiri" w:cs="Amiri"/>
          <w:color w:val="111111"/>
          <w:sz w:val="28"/>
          <w:sz w:val="28"/>
          <w:szCs w:val="28"/>
          <w:rtl w:val="true"/>
          <w:lang w:bidi="ar-SA"/>
        </w:rPr>
        <w:t>بصاحب النطفة</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58" w:name="__RefHeading___Toc9530679_73709187"/>
      <w:bookmarkStart w:id="359" w:name="_Toc142"/>
      <w:bookmarkEnd w:id="358"/>
      <w:r>
        <w:rPr>
          <w:rtl w:val="true"/>
        </w:rPr>
        <w:t>ب</w:t>
      </w:r>
      <w:r>
        <w:rPr>
          <w:rtl w:val="true"/>
        </w:rPr>
        <w:t xml:space="preserve">: </w:t>
      </w:r>
      <w:r>
        <w:rPr>
          <w:rtl w:val="true"/>
        </w:rPr>
        <w:t>کذلک یمکن استفادة هذا الحکم من النصوص</w:t>
      </w:r>
      <w:bookmarkEnd w:id="359"/>
    </w:p>
    <w:p>
      <w:pPr>
        <w:pStyle w:val="BookText"/>
        <w:rPr/>
      </w:pP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أنّ الإلحاق لا ینحصر بالوط‌ء، بل یلحق الطفل بصاحب الماء بالإنزال أیضاً، کما رواه فی قرب الإسناد عن جعفر بن محمّد، عن أبیه،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أعزل عن جاریة لی فجاءت بولد؟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الوکاء</w:t>
      </w:r>
      <w:r>
        <w:rPr>
          <w:rStyle w:val="FootnoteAnchor"/>
          <w:rtl w:val="true"/>
        </w:rPr>
        <w:footnoteReference w:id="643"/>
      </w:r>
      <w:r>
        <w:rPr>
          <w:rFonts w:ascii="IRNazanin" w:hAnsi="IRNazanin" w:eastAsia="IRNazanin"/>
          <w:color w:val="111111"/>
          <w:sz w:val="28"/>
          <w:sz w:val="28"/>
          <w:szCs w:val="28"/>
          <w:rtl w:val="true"/>
          <w:lang w:bidi="fa-IR"/>
        </w:rPr>
        <w:t>قد ینفلت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به الولد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ما رواه أیضاً فی قرب الإسناد عنه علیه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نقلة الآثار من العامّة و الخاصّة أنّ امرأة نکحها شیخ کبیر فحملت، فزعم الشیخ أنّه لم یصل إلیها و أنکر حملها، فالتبس الأمر علی عثمان و سأل المرأة هل افتضّک الشیخ؟ و کانت بکراً،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 علیها،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للمرأة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البول و سمّ المحیض، فلعلّ الشیخ کان ینال منها، فسال ماؤه فی سمّ المحیض فحملت منه، فاسألوا الرجل عن ذلک، فسُئل،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أنزل الماء فی قبلها من غیر وصول إلیها بالاقتضاض،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له، و الولد</w:t>
      </w:r>
      <w:bookmarkStart w:id="360" w:name="pg11754_112934"/>
    </w:p>
    <w:p>
      <w:pPr>
        <w:pStyle w:val="BookText"/>
        <w:rPr/>
      </w:pPr>
      <w:bookmarkEnd w:id="360"/>
      <w:r>
        <w:rPr>
          <w:rFonts w:ascii="IRNazanin" w:hAnsi="IRNazanin" w:eastAsia="IRNazanin"/>
          <w:color w:val="111111"/>
          <w:sz w:val="28"/>
          <w:sz w:val="28"/>
          <w:szCs w:val="28"/>
          <w:rtl w:val="true"/>
          <w:lang w:bidi="fa-IR"/>
        </w:rPr>
        <w:t>ولده، و أری عقوبته علی الإنکار له، فصار عثمان إلی قضائه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المفروض فی المقام أنّ الولد نشأ بسبب عملیّة التلقیح فی رحم المرأة، و هو بمنزلة الإنزال، فکما أنّ بالإنزال یُلحق الولد بصاحب الماء بدلالة هذه النصوص، کذلک بالتلقیح؛ لأنّهما واحد ملاکاً، إلاّ أنّها ضعاف إسناداً فتکون مؤیّدةً فقط</w:t>
      </w:r>
      <w:r>
        <w:rPr>
          <w:rFonts w:eastAsia="IRNazanin" w:cs="IRNazanin"/>
          <w:color w:val="111111"/>
          <w:sz w:val="28"/>
          <w:szCs w:val="28"/>
          <w:rtl w:val="true"/>
          <w:lang w:bidi="fa-IR"/>
        </w:rPr>
        <w:t>.</w:t>
      </w:r>
    </w:p>
    <w:p>
      <w:pPr>
        <w:pStyle w:val="Heading6"/>
        <w:numPr>
          <w:ilvl w:val="5"/>
          <w:numId w:val="1"/>
        </w:numPr>
        <w:rPr/>
      </w:pPr>
      <w:bookmarkStart w:id="361" w:name="__RefHeading___Toc9530681_73709187"/>
      <w:bookmarkStart w:id="362" w:name="_Toc143"/>
      <w:bookmarkEnd w:id="361"/>
      <w:r>
        <w:rPr>
          <w:rtl w:val="true"/>
        </w:rPr>
        <w:t>ج</w:t>
      </w:r>
      <w:r>
        <w:rPr>
          <w:rtl w:val="true"/>
        </w:rPr>
        <w:t xml:space="preserve">: </w:t>
      </w:r>
      <w:r>
        <w:rPr>
          <w:rtl w:val="true"/>
        </w:rPr>
        <w:t>و کذا یمکن أن یستفاد هذا من ظاهر قوله تعالی</w:t>
      </w:r>
      <w:bookmarkEnd w:id="36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نُطْفَةٍ إِذا تُمْنی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بَیْنِ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النطفة التی تمنی هی نطفة الرجل التی تسمّی الیوم بالحیوان المنوی؛ إذ لیس للمرأة منیّ بهذا المعنی، و لا من خصائصها هذا الماء الغلیظ الأبیض الذی یتدفّق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کالأرض و الرجل هو الزارع، و الأرض تنبت ما یزرع فیها بمشیئة اللّه، و أنّ اللّه سبحانه هو الخالق المقدّر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9530683_73709187"/>
      <w:bookmarkStart w:id="364" w:name="_Toc144"/>
      <w:bookmarkEnd w:id="363"/>
      <w:r>
        <w:rPr>
          <w:rtl w:val="true"/>
        </w:rPr>
        <w:t>د</w:t>
      </w:r>
      <w:r>
        <w:rPr>
          <w:rtl w:val="true"/>
        </w:rPr>
        <w:t xml:space="preserve">: </w:t>
      </w:r>
      <w:r>
        <w:rPr>
          <w:rtl w:val="true"/>
        </w:rPr>
        <w:t>إنّ ولد التلقیح تشمله عمومات أحکام الأولاد</w:t>
      </w:r>
      <w:bookmarkEnd w:id="364"/>
    </w:p>
    <w:p>
      <w:pPr>
        <w:pStyle w:val="BookText"/>
        <w:rPr/>
      </w:pPr>
      <w:r>
        <w:rPr>
          <w:rFonts w:ascii="IRNazanin" w:hAnsi="IRNazanin" w:eastAsia="IRNazanin"/>
          <w:color w:val="111111"/>
          <w:sz w:val="28"/>
          <w:sz w:val="28"/>
          <w:szCs w:val="28"/>
          <w:rtl w:val="true"/>
          <w:lang w:bidi="fa-IR"/>
        </w:rPr>
        <w:t>، و من جملتها الإلحاق، و تقریرها علی ما فی الریاض فی الاستدلال علی إلحاق الولد بصاحب الماء فی باب المساحقة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یقوی الإلحاق؛ للصدق العرفی، و انتفاء المانع الشرعی؛ إذ لیس إلاّ الزنا، و السحق لیس منه لغةً و عرفاً، فیشمله إطلاق ما دلّ علی أحکام الولد من حرمة التناکح و ثبوت التوارث</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هذا جواز إلحاق الولد بالمرأة التی ولدته، کما لا یخفی</w:t>
      </w:r>
      <w:r>
        <w:rPr>
          <w:rFonts w:eastAsia="IRNazanin" w:cs="IRNazanin"/>
          <w:color w:val="111111"/>
          <w:sz w:val="28"/>
          <w:szCs w:val="28"/>
          <w:rtl w:val="true"/>
          <w:lang w:bidi="fa-IR"/>
        </w:rPr>
        <w:t>.</w:t>
      </w:r>
      <w:bookmarkStart w:id="365" w:name="pg11754_112935"/>
    </w:p>
    <w:p>
      <w:pPr>
        <w:pStyle w:val="Heading6"/>
        <w:numPr>
          <w:ilvl w:val="5"/>
          <w:numId w:val="1"/>
        </w:numPr>
        <w:rPr/>
      </w:pPr>
      <w:bookmarkStart w:id="366" w:name="__RefHeading___Toc9530685_73709187"/>
      <w:bookmarkStart w:id="367" w:name="_Toc145"/>
      <w:bookmarkEnd w:id="365"/>
      <w:bookmarkEnd w:id="366"/>
      <w:r>
        <w:rPr>
          <w:rtl w:val="true"/>
        </w:rPr>
        <w:t>ه</w:t>
      </w:r>
      <w:r>
        <w:rPr>
          <w:rtl w:val="true"/>
        </w:rPr>
        <w:t xml:space="preserve">: </w:t>
      </w:r>
      <w:r>
        <w:rPr>
          <w:rtl w:val="true"/>
        </w:rPr>
        <w:t>التغلیب و ترجیح النسب</w:t>
      </w:r>
      <w:bookmarkEnd w:id="367"/>
    </w:p>
    <w:p>
      <w:pPr>
        <w:pStyle w:val="BookText"/>
        <w:rPr/>
      </w:pP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أنّه مهما أمکن یلحق الولد بصاحب الماء إلاّ ما خرج بالدلیل کالزنا، حیث لا یمکن الإلحاق مع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فی الشرع إثبات النسب للولد ما لم یتیقّن عدمه، حفظاً للأعراض، و حملاً لأفعال المؤمنین علی الصحّة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مبنیّ علی التغلیب</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دلیل إلحاق الولد بالمرأة التی ولدته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أشرنا إلیه فی وجه الاستدلال ببعض الأدلّة فی الصورة الثالثة و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یصدق لغةً و عرفاً و طبّاً أنّه ولدها، و ینسب إلیها، و لم یتصرّف الشارع فیه و لم ینفه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هکذا یمکن أن یستفاد من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تدل علی أنّ الاُمّ هی المرأة التی تلد الولد</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9530687_73709187"/>
      <w:bookmarkStart w:id="369" w:name="_Toc146"/>
      <w:bookmarkEnd w:id="368"/>
      <w:r>
        <w:rPr>
          <w:rtl w:val="true"/>
        </w:rPr>
        <w:t>تنبیهات</w:t>
      </w:r>
      <w:r>
        <w:rPr>
          <w:rtl w:val="true"/>
        </w:rPr>
        <w:t>:</w:t>
      </w:r>
      <w:bookmarkEnd w:id="369"/>
    </w:p>
    <w:p>
      <w:pPr>
        <w:pStyle w:val="BookText"/>
        <w:rPr/>
      </w:pPr>
      <w:r>
        <w:rPr>
          <w:rFonts w:ascii="IRNazanin" w:hAnsi="IRNazanin" w:eastAsia="IRNazanin"/>
          <w:color w:val="111111"/>
          <w:sz w:val="28"/>
          <w:sz w:val="28"/>
          <w:szCs w:val="28"/>
          <w:rtl w:val="true"/>
          <w:lang w:bidi="fa-IR"/>
        </w:rPr>
        <w:t>و من الضروریّ أن نذکر فی الخاتمة اموراً لا ینبغی أن تُغفل</w:t>
      </w:r>
      <w:r>
        <w:rPr>
          <w:rFonts w:eastAsia="IRNazanin" w:cs="IRNazanin"/>
          <w:color w:val="111111"/>
          <w:sz w:val="28"/>
          <w:szCs w:val="28"/>
          <w:rtl w:val="true"/>
          <w:lang w:bidi="fa-IR"/>
        </w:rPr>
        <w:t>:</w:t>
      </w:r>
    </w:p>
    <w:p>
      <w:pPr>
        <w:pStyle w:val="Heading6"/>
        <w:numPr>
          <w:ilvl w:val="5"/>
          <w:numId w:val="1"/>
        </w:numPr>
        <w:rPr/>
      </w:pPr>
      <w:bookmarkStart w:id="370" w:name="__RefHeading___Toc9530689_73709187"/>
      <w:bookmarkStart w:id="371" w:name="_Toc147"/>
      <w:bookmarkEnd w:id="370"/>
      <w:r>
        <w:rPr>
          <w:rtl w:val="true"/>
        </w:rPr>
        <w:t>الأوّل</w:t>
      </w:r>
      <w:r>
        <w:rPr>
          <w:rtl w:val="true"/>
        </w:rPr>
        <w:t xml:space="preserve">: </w:t>
      </w:r>
      <w:r>
        <w:rPr>
          <w:rtl w:val="true"/>
        </w:rPr>
        <w:t>قد أشرنا فی الصورة الثالثة أنّ من مسائل التلقیح مسألة الرحم البشریة المستأجرة</w:t>
      </w:r>
      <w:bookmarkEnd w:id="3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بمعنی أن تکون البویضة و الحویمن من زوجین عادةً، ثمّ یتمّ</w:t>
      </w:r>
    </w:p>
    <w:p>
      <w:pPr>
        <w:pStyle w:val="BookText"/>
        <w:rPr/>
      </w:pPr>
      <w:r>
        <w:rPr>
          <w:rFonts w:ascii="IRNazanin" w:hAnsi="IRNazanin" w:eastAsia="IRNazanin"/>
          <w:color w:val="111111"/>
          <w:sz w:val="28"/>
          <w:sz w:val="28"/>
          <w:szCs w:val="28"/>
          <w:rtl w:val="true"/>
          <w:lang w:bidi="fa-IR"/>
        </w:rPr>
        <w:t>تلقیحها صناعیّاً و توضع فی رحم امرأة اخری بأُجرة معیّنة متّفق علیها، حتّی إذا ما ولدت تمّ رجوع المولود إلی الزوجین کولد لهما</w:t>
      </w:r>
      <w:r>
        <w:rPr>
          <w:rStyle w:val="FootnoteAnchor"/>
          <w:rtl w:val="true"/>
        </w:rPr>
        <w:footnoteReference w:id="653"/>
      </w:r>
      <w:r>
        <w:rPr>
          <w:rFonts w:ascii="IRNazanin" w:hAnsi="IRNazanin" w:eastAsia="IRNazanin"/>
          <w:color w:val="111111"/>
          <w:sz w:val="28"/>
          <w:sz w:val="28"/>
          <w:szCs w:val="28"/>
          <w:rtl w:val="true"/>
          <w:lang w:bidi="fa-IR"/>
        </w:rPr>
        <w:t>، و هذا من أهمّ ما یثیر الجدل فقهیّاً فی مبحث التلقیح الصناعی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ممّا ذکرنا أنّ هذه العملیّة محرّمة و لا وجه فقهی لجوازها، و لکن لو فعلها شخص فهو عاص للشریعة، فالمرأة صاحبة البیضة هی أمّ للحمل و الولد ینسب إلیها، لا إلی المرأة المستأجرة، و الرجل الذی هو صاحب النطفة أب له عرفاً و یلحق الولد به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معاملة إجارة الرحم فباطلة؛ لأنّها معاملة علی عمل محرّم و لا تستحقّ المرأة المستأجرة الاُجرة، و إذا أخذتها یجب علیها إرجاعها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اتّفقوا فی باب الإجارة بأنّ من شرائطها أن تکون المنفعة مباحة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مباحة، فلو آجره مسکناً لیحرز فیه خمراً، أو دکّاناً لیبیع فیه آلة محرّمة، أو أجیراً لیحمل له مسکراً، لم تنعقد الإجارة، و ربما قیل بالتحریم و انعقاد الإجارة؛ لإمکان الانتفاع فی غیر المحرّم، و الأوّل أشبه</w:t>
      </w:r>
      <w:r>
        <w:rPr>
          <w:rFonts w:eastAsia="IRNazanin" w:cs="IRNazanin"/>
          <w:color w:val="111111"/>
          <w:sz w:val="28"/>
          <w:szCs w:val="28"/>
          <w:rtl w:val="true"/>
          <w:lang w:bidi="fa-IR"/>
        </w:rPr>
        <w:t>»</w:t>
      </w:r>
      <w:r>
        <w:rPr>
          <w:rStyle w:val="FootnoteAnchor"/>
          <w:rtl w:val="true"/>
        </w:rPr>
        <w:footnoteReference w:id="655"/>
      </w:r>
      <w:bookmarkStart w:id="372" w:name="pg11754_112937"/>
    </w:p>
    <w:p>
      <w:pPr>
        <w:pStyle w:val="BookText"/>
        <w:rPr/>
      </w:pPr>
      <w:bookmarkEnd w:id="372"/>
      <w:r>
        <w:rPr>
          <w:rFonts w:ascii="IRNazanin" w:hAnsi="IRNazanin" w:eastAsia="IRNazanin"/>
          <w:color w:val="111111"/>
          <w:sz w:val="28"/>
          <w:sz w:val="28"/>
          <w:szCs w:val="28"/>
          <w:rtl w:val="true"/>
          <w:lang w:bidi="fa-IR"/>
        </w:rPr>
        <w:t>و کذا فی القواعد</w:t>
      </w:r>
      <w:r>
        <w:rPr>
          <w:rStyle w:val="FootnoteAnchor"/>
          <w:rtl w:val="true"/>
        </w:rPr>
        <w:footnoteReference w:id="656"/>
      </w:r>
      <w:r>
        <w:rPr>
          <w:rFonts w:ascii="IRNazanin" w:hAnsi="IRNazanin" w:eastAsia="IRNazanin"/>
          <w:color w:val="111111"/>
          <w:sz w:val="28"/>
          <w:sz w:val="28"/>
          <w:szCs w:val="28"/>
          <w:rtl w:val="true"/>
          <w:lang w:bidi="fa-IR"/>
        </w:rPr>
        <w:t>، و جامع المقاصد</w:t>
      </w:r>
      <w:r>
        <w:rPr>
          <w:rStyle w:val="FootnoteAnchor"/>
          <w:rtl w:val="true"/>
        </w:rPr>
        <w:footnoteReference w:id="657"/>
      </w:r>
      <w:r>
        <w:rPr>
          <w:rFonts w:ascii="IRNazanin" w:hAnsi="IRNazanin" w:eastAsia="IRNazanin"/>
          <w:color w:val="111111"/>
          <w:sz w:val="28"/>
          <w:sz w:val="28"/>
          <w:szCs w:val="28"/>
          <w:rtl w:val="true"/>
          <w:lang w:bidi="fa-IR"/>
        </w:rPr>
        <w:t>، و الجواهر</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تفصیل الشریعة یعتبر فی صحّة الإجارة کون المنفعة مباحةً، فلا تصحّ فیما إذا کانت المنفعة محرّمة، بل الظاهر اتّفاق أصحابنا علی اعتبار هذا الشرط فی صحّة الإجارة، و أنّه لا تنعقد مع حرمة المنفعة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3" w:name="__RefHeading___Toc9530691_73709187"/>
      <w:bookmarkStart w:id="374" w:name="_Toc148"/>
      <w:bookmarkEnd w:id="373"/>
      <w:r>
        <w:rPr>
          <w:rtl w:val="true"/>
        </w:rPr>
        <w:t>الثانی</w:t>
      </w:r>
      <w:r>
        <w:rPr>
          <w:rtl w:val="true"/>
        </w:rPr>
        <w:t xml:space="preserve">: </w:t>
      </w:r>
      <w:r>
        <w:rPr>
          <w:rtl w:val="true"/>
        </w:rPr>
        <w:t>إذا حکمنا بإلحاق الولد الذی انخلق من طریق عملیّة التلقیح بالرجل، یترتّب علیه فی الجملة أحکام الأب</w:t>
      </w:r>
      <w:bookmarkEnd w:id="374"/>
    </w:p>
    <w:p>
      <w:pPr>
        <w:pStyle w:val="BookText"/>
        <w:rPr/>
      </w:pPr>
      <w:r>
        <w:rPr>
          <w:rFonts w:ascii="IRNazanin" w:hAnsi="IRNazanin" w:eastAsia="IRNazanin"/>
          <w:color w:val="111111"/>
          <w:sz w:val="28"/>
          <w:sz w:val="28"/>
          <w:szCs w:val="28"/>
          <w:rtl w:val="true"/>
          <w:lang w:bidi="fa-IR"/>
        </w:rPr>
        <w:t>من وجوب النفقة، و حرمة النکاح، و جواز النظر إلیها إن کان بنتاً، و الولایة له و لأبیه علیه، و التوارث، و یصیر لأولاد أبیه أخاً أو اختاً، و هم إخوته أو 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کلّ مورد حکمنا بإلحاق الولد بالمرأة ثبتت امومتها، و یترتّب علیها أحکام الاُمومة فی الجملة، فتکون المرأة امّاً للولید، فیجوز له النظر إلیها، و یجوز لها النظر إلیه، و تحرم علیه و یحرم علیها النکاح مؤبّداً، و لها فیه حقّ الحضانة ذکراً کان أم انثی، و یصیر بالنسبة إلی أولاد امّه إخوة لاُمّ، و یتوارثان علی إشکال، کما أشار إلی بعض ذلک فی تحریر الوسیلة</w:t>
      </w:r>
      <w:r>
        <w:rPr>
          <w:rStyle w:val="FootnoteAnchor"/>
          <w:rtl w:val="true"/>
        </w:rPr>
        <w:footnoteReference w:id="660"/>
      </w:r>
      <w:r>
        <w:rPr>
          <w:rFonts w:ascii="IRNazanin" w:hAnsi="IRNazanin" w:eastAsia="IRNazanin"/>
          <w:color w:val="111111"/>
          <w:sz w:val="28"/>
          <w:sz w:val="28"/>
          <w:szCs w:val="28"/>
          <w:rtl w:val="true"/>
          <w:lang w:bidi="fa-IR"/>
        </w:rPr>
        <w:t>و غیرها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لکلّ هذه الأحکام أدلّة و مباحث فقهیّة قد ذکرت أصولها فی المطوّلات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السیّد الصدر فی ما وراء الفقه من جملة الأحکام المترتّبة علی التلقیح وجوب مهر المثل،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تسبّب إلی حملها فعلیه مهر</w:t>
      </w:r>
      <w:r>
        <w:rPr>
          <w:rStyle w:val="FootnoteAnchor"/>
          <w:rtl w:val="true"/>
        </w:rPr>
        <w:footnoteReference w:id="662"/>
      </w:r>
      <w:r>
        <w:rPr>
          <w:rFonts w:ascii="IRNazanin" w:hAnsi="IRNazanin" w:eastAsia="IRNazanin"/>
          <w:color w:val="111111"/>
          <w:sz w:val="28"/>
          <w:sz w:val="28"/>
          <w:szCs w:val="28"/>
          <w:rtl w:val="true"/>
          <w:lang w:bidi="fa-IR"/>
        </w:rPr>
        <w:t>أمثالها یدفعه لها،</w:t>
      </w:r>
      <w:bookmarkStart w:id="375" w:name="pg11754_112938"/>
    </w:p>
    <w:p>
      <w:pPr>
        <w:pStyle w:val="BookText"/>
        <w:rPr/>
      </w:pPr>
      <w:bookmarkEnd w:id="375"/>
      <w:r>
        <w:rPr>
          <w:rFonts w:ascii="IRNazanin" w:hAnsi="IRNazanin" w:eastAsia="IRNazanin"/>
          <w:color w:val="111111"/>
          <w:sz w:val="28"/>
          <w:sz w:val="28"/>
          <w:szCs w:val="28"/>
          <w:rtl w:val="true"/>
          <w:lang w:bidi="fa-IR"/>
        </w:rPr>
        <w:t>و إذا کان العمل برضاها و سخط زوجها لو کانت متزوّجة، فالمهر لزوجها بإزاء إشغال رحم زوجته بغیر إذنه، و هذا المهر ثابت سواء کانت بکراً عند التلقیح أو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بکراً فعلیه دیة البکارة، و هی دیة النفس کاملة</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9530693_73709187"/>
      <w:bookmarkStart w:id="377" w:name="_Toc149"/>
      <w:bookmarkEnd w:id="376"/>
      <w:r>
        <w:rPr>
          <w:rtl w:val="true"/>
        </w:rPr>
        <w:t>الثالث</w:t>
      </w:r>
      <w:r>
        <w:rPr>
          <w:rtl w:val="true"/>
        </w:rPr>
        <w:t xml:space="preserve">: </w:t>
      </w:r>
      <w:r>
        <w:rPr>
          <w:rtl w:val="true"/>
        </w:rPr>
        <w:t>ینبغی أن لا یترک الاحتیاط فی کلّ مسائل التلقیح و الأحکام المترتّبة علیه</w:t>
      </w:r>
      <w:bookmarkEnd w:id="377"/>
    </w:p>
    <w:p>
      <w:pPr>
        <w:pStyle w:val="BookText"/>
        <w:rPr/>
      </w:pPr>
      <w:r>
        <w:rPr>
          <w:rFonts w:ascii="IRNazanin" w:hAnsi="IRNazanin" w:eastAsia="IRNazanin"/>
          <w:color w:val="111111"/>
          <w:sz w:val="28"/>
          <w:sz w:val="28"/>
          <w:szCs w:val="28"/>
          <w:rtl w:val="true"/>
          <w:lang w:bidi="fa-IR"/>
        </w:rPr>
        <w:t>، کالمصالحة فی باب الإرث، و ترک النظر و الزواج فی مسائل النکاح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بإلحاق الولد بصاحب الماء و المرأة إن کان التلقیح شبهة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لو کان مع العلم و العمد ففی الإلحاق إشکال، و مسائل الإرث فی باب التلقیح شبهة کمسائله فی الوط‌ء شبهة، و فی العمدی المحرّم لا بدّ من الاحتیاط</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کان، فهذه العملیّة موضوعاً و حکماً مشکلة جدّاً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9530695_73709187"/>
      <w:bookmarkStart w:id="379" w:name="_Toc150"/>
      <w:bookmarkEnd w:id="378"/>
      <w:r>
        <w:rPr>
          <w:rtl w:val="true"/>
        </w:rPr>
        <w:t>حکم التلقیح الصناعی و أطفال الأنابیب عند أهل السنّة</w:t>
      </w:r>
      <w:bookmarkEnd w:id="379"/>
    </w:p>
    <w:p>
      <w:pPr>
        <w:pStyle w:val="Heading6"/>
        <w:numPr>
          <w:ilvl w:val="5"/>
          <w:numId w:val="1"/>
        </w:numPr>
        <w:rPr/>
      </w:pPr>
      <w:bookmarkStart w:id="380" w:name="__RefHeading___Toc9530697_73709187"/>
      <w:bookmarkStart w:id="381" w:name="_Toc151"/>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إنّهم ذکروا للتلقیح الصناعی و طریقة تخلّق أطفال الأنابیب صوراً، و قالوا فی بعضها بالجواز و فی بعضها الآخر بالتحریم، إلاّ أنّهم قائلون بلزوم الاحتیاط الشدید فی مراحل عملیّة التلقیح، حتّی فی الصور الجائزة، لکیلا ینجرّ هذا العمل إلی المفاسد و الشرور التی لا یتمکّن أبناء البشر من دفعها، فإلیک نصّ بعض کلماتهم فی هذا المبحث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ما یتأمّل المرء فکرة تأجیر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الاُمّهات بالوکالة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یکتشف أنّ</w:t>
      </w:r>
      <w:bookmarkStart w:id="382" w:name="pg11754_112939"/>
    </w:p>
    <w:p>
      <w:pPr>
        <w:pStyle w:val="BookText"/>
        <w:rPr/>
      </w:pPr>
      <w:bookmarkEnd w:id="382"/>
      <w:r>
        <w:rPr>
          <w:rFonts w:ascii="IRNazanin" w:hAnsi="IRNazanin" w:eastAsia="IRNazanin"/>
          <w:color w:val="111111"/>
          <w:sz w:val="28"/>
          <w:sz w:val="28"/>
          <w:szCs w:val="28"/>
          <w:rtl w:val="true"/>
          <w:lang w:bidi="fa-IR"/>
        </w:rPr>
        <w:t>هذه الفکرة تنافی تعالیم الشرع فی تکریم المرأة و صیانتها من الابتذال بالتعامل معها، کالبهائم القادرة علی الحمل و الإنجاب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یحمل الکراهیّة الاجتماعیّة و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فشراء جسد المرأة و تأجیر الرحم إلی فترة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معه مضاعفات جسمانیّة و نفسیة 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هذه الفکرة ستکون مدخلاً لکثیر من المفاسد و الشرور، و ذلک بسبب تسابق الکثیر من الاُمّهات لهذه المهنة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الاتّجار ببیع الدم، و هو فی الواقع ما حدث بعد إنشاء وکالات التلقیح الصناعی</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الأطبّاء من أهل الاختصاص مجموعة من الأسباب تدعو فی بعض الأحیان إلی استخدام التلقیح الصناعی الداخلی، و بعض هذه الأسباب مقبول لدی فقهاء الإسلام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مرفوض؛ لأنّها مخالفة لاُصول الشریعة و قواعدها العامّة، و تؤدّی إلی اضطراب و فوضی عارمة فی الأنساب بالإضافة إلی ما تؤدّیه من مضارّ کثیرة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9530699_73709187"/>
      <w:bookmarkStart w:id="384" w:name="_Toc152"/>
      <w:bookmarkEnd w:id="383"/>
      <w:r>
        <w:rPr>
          <w:rtl w:val="true"/>
        </w:rPr>
        <w:t>الصور المحرّمة من التلقیح الصناعی عند أهل السّنة</w:t>
      </w:r>
      <w:bookmarkEnd w:id="384"/>
    </w:p>
    <w:p>
      <w:pPr>
        <w:pStyle w:val="BookText"/>
        <w:rPr/>
      </w:pPr>
      <w:r>
        <w:rPr>
          <w:rFonts w:ascii="IRNazanin" w:hAnsi="IRNazanin" w:eastAsia="IRNazanin"/>
          <w:color w:val="111111"/>
          <w:sz w:val="28"/>
          <w:sz w:val="28"/>
          <w:szCs w:val="28"/>
          <w:rtl w:val="true"/>
          <w:lang w:bidi="fa-IR"/>
        </w:rPr>
        <w:t>هناک مجموعة من الطرق التی یحرم استخدامها فی التلقیح الصناعی بنوعیه الداخلی و الخارجی، و التی هی موضع اتّفاق العلماء الذین بحثوا هذه المسألة،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یجری تلقیح بین نطفة مأخوذة من زوج، و بییضة مأخوذة من امرأة لیست له زوجة، ثمّ تزرع اللقیحة فی رحم زوجته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یجری التلقیح بین نطفة رجل غیر متزوّج، و بییضة الزوجة، ثمّ تزرع تلک اللقیحة فی رحم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یجری تلقیح خارجیّ بین بذرتی زوجین، ثمّ تزرع اللقیحة فی رحم امرأة متبرّعة، أو بأجر لحملها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یجری تلقیح خارجیّ بین بذرتی رجل أجنبیّ، و بییضة امرأة أجنبیّة و تزرع اللقیحة فی رحم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یجری تلقیح خارجیّ بین بذرتی زوجین، ثمّ تزرع اللقیحة فی رحم الزوجة الاُخری لمن عنده أکثر من زوجة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متحصّل رأی علماء الأزهر فی المسألة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شرعاً استخدام التلقیح الصناعی بواسطة تلقیح بویضة المرأة بمنی شخص آخر غیر زوجها، أو استخدام بویضة امرأة اخری بمنیّ رجل آخر و زرعها فی رحم الزوجة، أو استخدام بویضة الزوجة بمنیّ زوجها ثمّ زرعها فی رحم امرأة اخری غیر الزوجة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فتوی الشیخ محمود شلتوت،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التلقیح بماء الأجنبی فی الشریعة جریمة منکرة و إثم عظیم یلتقی مع الزنا فی إطار واحد، جوهرهما واحد و نتیجتهما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وضع ماء لرجل أجنبیّ قصداً فی حرث لیس بینه و بین ذلک الرجل عقد، أو ارتباط بزوجیّة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قصور فی صور الجریمة لکان حکم التلقیح فی تلک الحال هو حکم الزنا الذی حدّدته الشرائع</w:t>
      </w:r>
    </w:p>
    <w:p>
      <w:pPr>
        <w:pStyle w:val="BookText"/>
        <w:rPr/>
      </w:pPr>
      <w:r>
        <w:rPr>
          <w:rFonts w:ascii="Amiri" w:hAnsi="Amiri" w:eastAsia="Amiri" w:cs="Amiri"/>
          <w:color w:val="111111"/>
          <w:sz w:val="28"/>
          <w:sz w:val="28"/>
          <w:szCs w:val="28"/>
          <w:rtl w:val="true"/>
          <w:lang w:bidi="ar-SA"/>
        </w:rPr>
        <w:t>الإلهیّة و حرّمته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هذا صدرت فتوی المجمع الفقهی الإسلامی بمکّة المکرّمة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استدلّوا علی حرمة التلقیح فی الصور المتقدّمة بأنّه کالزنا و جوهرهما واحد، کما اشیر إلیه فی فتوی محمّد شلتوت رئیس الأزهر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الأحکام الطبّیة المتعلّقة بالنساء فی الفقه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من تحریم الإسلام للتبنّی و الزنا هو حفظ الأنساب من أن تختلط، و التلقیح الاصطناعی أشدّ حرمة منهما و أشدّ نکراً؛ لأنّه فی التبنّی یکون معروفاً أنّ الولد المتبنّی للغیر؛ و هو ناشئ عن ماء أبیه؛ و أمّا التلقیح الاصطناعی؛ فإنّه یجمع بین إدخال عنصر غریب فی النسب، و بین التقائه بفاحشة الزنا فی الکیفیّة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الواقعة کواقعة الزنا و إن لم تتوافر فیه صورته بأوضاعها، و الولد الذی ینشأ من هذا التلقیح هو ولد غیر شرعیّ و یأخذ أحکام ولد الزنا؛ لأنّه بهذه العملیّة یحدث اختلاط الأنساب المنهیّ عنه شرعاً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علّله بعض آخر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لشبهة الزنا من اختلاط ماء الرجل بماء الأجنبیّة و العکس صحیح، هذا من جهةٍ، و لاختلاط الأنساب و ضیاعها من جهةٍ ثانیة، و حسبنا دلیلاً فی ذلک حدیث النّبی صلی الله علیه و آله الذی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إلی غیر أبیه أو انتمی إلی غیر موالیه فعلیه لعنة اللّه المتتابعة إلی یوم القیامة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385" w:name="pg11754_112942"/>
    </w:p>
    <w:p>
      <w:pPr>
        <w:pStyle w:val="BookText"/>
        <w:rPr/>
      </w:pPr>
      <w:bookmarkEnd w:id="385"/>
      <w:r>
        <w:rPr>
          <w:rFonts w:ascii="IRNazanin" w:hAnsi="IRNazanin" w:eastAsia="IRNazanin"/>
          <w:color w:val="111111"/>
          <w:sz w:val="28"/>
          <w:sz w:val="28"/>
          <w:szCs w:val="28"/>
          <w:rtl w:val="true"/>
          <w:lang w:bidi="fa-IR"/>
        </w:rPr>
        <w:t>و فی روایة اخری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إلی غیر أبیه و هو یعلم أنّه غیر أبیه فالجنّة علیه حرام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یرضی الزوجان کلاهما بالتلقیح من أجنبیّ، و قد یخدع أحدهما الآخر فیدخل إلی الأسرة من لیس منها، و قد حذر النبیّ صلی الله علیه و آله من ذلک أشدّ التحذیر،</w:t>
      </w:r>
    </w:p>
    <w:p>
      <w:pPr>
        <w:pStyle w:val="BookText"/>
        <w:rPr/>
      </w:pPr>
      <w:r>
        <w:rPr>
          <w:rFonts w:ascii="IRNazanin" w:hAnsi="IRNazanin" w:eastAsia="IRNazanin"/>
          <w:color w:val="111111"/>
          <w:sz w:val="28"/>
          <w:sz w:val="28"/>
          <w:szCs w:val="28"/>
          <w:rtl w:val="true"/>
          <w:lang w:bidi="fa-IR"/>
        </w:rPr>
        <w:t>فعن أبی هریرة أنّه سمع رسول اللّه صلی الله علیه و آله یقول حین نزلت آیة المتلاعنین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أدخلت علی قومٍ من لیس منهم فلیست من اللّه فی شیء، و لن یدخلها اللّه جنّته، و أیّما رجلٍ جحد ولده و هو ینظر إلیه احتجب اللّه منه و فضحه علی رءوس الأولین و الآخرین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التحریم یشمل الطبیب القائم بهذه العملیّة، و الزوجین، أو أحدهما عند الإقدام علی مثل هذه العملیّة، و الرجل الأجنبیّ العالم بما آل إلیه ماؤه، أو لم یعلم بمآله، لکنّه تهاون بإعطائه دون مصیره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العملیّة لا توصف بأنّها زنا، لعدم توفّر شروطه؛ و هی الإیلاج المباشر ما بین الأجنبی و الزوجة، و بذلک لا یقام بها حدٌّ، غیر أنّ نتائج الزنا متحقّقة، من اختلاط الأنساب، و حلّ عری الحیاة الزوجیّة مستقبلاً؛ لأنّ الزوجین موقنان أنّ هذا الولد لیس ولدهما</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9530701_73709187"/>
      <w:bookmarkStart w:id="387" w:name="_Toc153"/>
      <w:bookmarkEnd w:id="386"/>
      <w:r>
        <w:rPr>
          <w:rtl w:val="true"/>
        </w:rPr>
        <w:t>صور التلقیح المباحة عند أهل السّنة</w:t>
      </w:r>
      <w:r>
        <w:rPr>
          <w:rtl w:val="true"/>
        </w:rPr>
        <w:t>:</w:t>
      </w:r>
      <w:bookmarkEnd w:id="38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 تلقیح الزوجة بماء زوجها حال قیام الزوجیّة، و ذلک بإدخال ماء الزوج إلی رحمها، و هذا هو التلقیح الصناعی الداخلی</w:t>
      </w:r>
      <w:r>
        <w:rPr>
          <w:rFonts w:eastAsia="IRNazanin" w:cs="IRNazanin"/>
          <w:color w:val="111111"/>
          <w:sz w:val="28"/>
          <w:szCs w:val="28"/>
          <w:rtl w:val="true"/>
          <w:lang w:bidi="fa-IR"/>
        </w:rPr>
        <w:t>.</w:t>
      </w:r>
      <w:bookmarkStart w:id="388" w:name="pg11754_112943"/>
    </w:p>
    <w:p>
      <w:pPr>
        <w:pStyle w:val="BookText"/>
        <w:rPr/>
      </w:pPr>
      <w:bookmarkEnd w:id="3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 تلقیح بییضة الزوجة بماء زوجها فی طبق، و هذا هو طفل الأنبوب أو التلقیح الصناعی الخارجی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تلقیح نطفة الزوج و بویضة الزوجة، بأن تزرع فی رحم ضرّتها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الاُخری للزوج التی هی عقیمة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تطوّعت بذلک جائز عند الحاجة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9530703_73709187"/>
      <w:bookmarkStart w:id="390" w:name="_Toc154"/>
      <w:bookmarkEnd w:id="389"/>
      <w:r>
        <w:rPr>
          <w:rtl w:val="true"/>
        </w:rPr>
        <w:t>و استندوا للجواز بأُمورٍ</w:t>
      </w:r>
      <w:r>
        <w:rPr>
          <w:rtl w:val="true"/>
        </w:rPr>
        <w:t>:</w:t>
      </w:r>
      <w:bookmarkEnd w:id="390"/>
    </w:p>
    <w:p>
      <w:pPr>
        <w:pStyle w:val="Heading6"/>
        <w:numPr>
          <w:ilvl w:val="5"/>
          <w:numId w:val="1"/>
        </w:numPr>
        <w:rPr/>
      </w:pPr>
      <w:bookmarkStart w:id="391" w:name="__RefHeading___Toc9530705_73709187"/>
      <w:bookmarkStart w:id="392" w:name="_Toc155"/>
      <w:bookmarkEnd w:id="391"/>
      <w:r>
        <w:rPr>
          <w:rtl w:val="true"/>
        </w:rPr>
        <w:t>الأوّل</w:t>
      </w:r>
      <w:r>
        <w:rPr>
          <w:rtl w:val="true"/>
        </w:rPr>
        <w:t xml:space="preserve">: </w:t>
      </w:r>
      <w:r>
        <w:rPr>
          <w:rtl w:val="true"/>
        </w:rPr>
        <w:t>قیاس التلقیح الاصطناعی</w:t>
      </w:r>
      <w:r>
        <w:rPr>
          <w:rtl w:val="true"/>
        </w:rPr>
        <w:t xml:space="preserve">... </w:t>
      </w:r>
      <w:r>
        <w:rPr>
          <w:rtl w:val="true"/>
        </w:rPr>
        <w:t>علی التلقیح الطبیعی</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الاتّصال الجنسی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کون کلّ منهما یبتغی به تحصیل النسل بطریق شرعیّ و هو الزواج</w:t>
      </w:r>
      <w:r>
        <w:rPr>
          <w:rFonts w:eastAsia="IRNazanin" w:cs="IRNazanin"/>
          <w:color w:val="111111"/>
          <w:sz w:val="28"/>
          <w:szCs w:val="28"/>
          <w:rtl w:val="true"/>
          <w:lang w:bidi="fa-IR"/>
        </w:rPr>
        <w:t>.</w:t>
      </w:r>
    </w:p>
    <w:p>
      <w:pPr>
        <w:pStyle w:val="Heading6"/>
        <w:numPr>
          <w:ilvl w:val="5"/>
          <w:numId w:val="1"/>
        </w:numPr>
        <w:rPr/>
      </w:pPr>
      <w:bookmarkStart w:id="393" w:name="__RefHeading___Toc9530707_73709187"/>
      <w:bookmarkStart w:id="394" w:name="_Toc156"/>
      <w:bookmarkEnd w:id="393"/>
      <w:r>
        <w:rPr>
          <w:rtl w:val="true"/>
        </w:rPr>
        <w:t>الثانی</w:t>
      </w:r>
      <w:r>
        <w:rPr>
          <w:rtl w:val="true"/>
        </w:rPr>
        <w:t xml:space="preserve">: </w:t>
      </w:r>
      <w:r>
        <w:rPr>
          <w:rtl w:val="true"/>
        </w:rPr>
        <w:t>أنّ من مقاصد الشریعة الإسلامیّة إبقاء النسل و حفظه</w:t>
      </w:r>
      <w:bookmarkEnd w:id="394"/>
    </w:p>
    <w:p>
      <w:pPr>
        <w:pStyle w:val="BookText"/>
        <w:rPr/>
      </w:pPr>
      <w:r>
        <w:rPr>
          <w:rFonts w:ascii="IRNazanin" w:hAnsi="IRNazanin" w:eastAsia="IRNazanin"/>
          <w:color w:val="111111"/>
          <w:sz w:val="28"/>
          <w:sz w:val="28"/>
          <w:szCs w:val="28"/>
          <w:rtl w:val="true"/>
          <w:lang w:bidi="fa-IR"/>
        </w:rPr>
        <w:t>، و هذا لا یتحقّق إلاّ بالزواج الذی یتمّ فیه الاتّصال الجنسی الطبیعی بین الرجل و المرأة، و حیث تعذّر ذلک؛ فإنّه یلجأ إلی استعمال طریقة التلقیح الاصطناعی الداخلی لتحقیق هذا المقصد العظیم</w:t>
      </w:r>
      <w:r>
        <w:rPr>
          <w:rFonts w:eastAsia="IRNazanin" w:cs="IRNazanin"/>
          <w:color w:val="111111"/>
          <w:sz w:val="28"/>
          <w:szCs w:val="28"/>
          <w:rtl w:val="true"/>
          <w:lang w:bidi="fa-IR"/>
        </w:rPr>
        <w:t>.</w:t>
      </w:r>
    </w:p>
    <w:p>
      <w:pPr>
        <w:pStyle w:val="Heading6"/>
        <w:numPr>
          <w:ilvl w:val="5"/>
          <w:numId w:val="1"/>
        </w:numPr>
        <w:rPr/>
      </w:pPr>
      <w:bookmarkStart w:id="395" w:name="__RefHeading___Toc9530709_73709187"/>
      <w:bookmarkStart w:id="396" w:name="_Toc157"/>
      <w:bookmarkEnd w:id="395"/>
      <w:r>
        <w:rPr>
          <w:rtl w:val="true"/>
        </w:rPr>
        <w:t>الثالث</w:t>
      </w:r>
      <w:r>
        <w:rPr>
          <w:rtl w:val="true"/>
        </w:rPr>
        <w:t xml:space="preserve">: </w:t>
      </w:r>
      <w:r>
        <w:rPr>
          <w:rtl w:val="true"/>
        </w:rPr>
        <w:t>أنّ من مقاصد الشریعة الإسلامیّة حفظ النسل</w:t>
      </w:r>
      <w:bookmarkEnd w:id="3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معلوم أنّ التداوی مشروع حفاظاً علی النفس البشریّة، و علاج العقم بهذه الطریقة یندرج تحت عموم جواز التداوی و المعالجة الطبّیة بشروط معیّنة</w:t>
      </w:r>
      <w:r>
        <w:rPr>
          <w:rStyle w:val="FootnoteAnchor"/>
          <w:rtl w:val="true"/>
        </w:rPr>
        <w:footnoteReference w:id="680"/>
      </w:r>
      <w:r>
        <w:rPr>
          <w:rFonts w:ascii="IRNazanin" w:hAnsi="IRNazanin" w:eastAsia="IRNazanin"/>
          <w:color w:val="111111"/>
          <w:sz w:val="28"/>
          <w:sz w:val="28"/>
          <w:szCs w:val="28"/>
          <w:rtl w:val="true"/>
          <w:lang w:bidi="fa-IR"/>
        </w:rPr>
        <w:t>، و هو محقّق لمقصد حفظ النسل</w:t>
      </w:r>
      <w:r>
        <w:rPr>
          <w:rFonts w:eastAsia="IRNazanin" w:cs="IRNazanin"/>
          <w:color w:val="111111"/>
          <w:sz w:val="28"/>
          <w:szCs w:val="28"/>
          <w:rtl w:val="true"/>
          <w:lang w:bidi="fa-IR"/>
        </w:rPr>
        <w:t>.</w:t>
      </w:r>
      <w:bookmarkStart w:id="397" w:name="pg11754_112944"/>
    </w:p>
    <w:p>
      <w:pPr>
        <w:pStyle w:val="BookText"/>
        <w:rPr/>
      </w:pPr>
      <w:bookmarkEnd w:id="397"/>
      <w:r>
        <w:rPr>
          <w:rFonts w:ascii="IRNazanin" w:hAnsi="IRNazanin" w:eastAsia="IRNazanin"/>
          <w:color w:val="111111"/>
          <w:sz w:val="28"/>
          <w:sz w:val="28"/>
          <w:szCs w:val="28"/>
          <w:rtl w:val="true"/>
          <w:lang w:bidi="fa-IR"/>
        </w:rPr>
        <w:t>و أمّا ارتکاب محظور کشف العورة؛ فإنّه مقیّد بالضرورة، و الضرورات تبیح المحظورات، و الضرورة تقدّر بقدرها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9530711_73709187"/>
      <w:bookmarkStart w:id="399" w:name="_Toc158"/>
      <w:bookmarkEnd w:id="398"/>
      <w:r>
        <w:rPr>
          <w:rtl w:val="true"/>
        </w:rPr>
        <w:t>الرابع</w:t>
      </w:r>
      <w:r>
        <w:rPr>
          <w:rtl w:val="true"/>
        </w:rPr>
        <w:t xml:space="preserve">: </w:t>
      </w:r>
      <w:r>
        <w:rPr>
          <w:rtl w:val="true"/>
        </w:rPr>
        <w:t>أنّ فیه تحقیقاً للاستقرار</w:t>
      </w:r>
      <w:bookmarkEnd w:id="399"/>
    </w:p>
    <w:p>
      <w:pPr>
        <w:pStyle w:val="BookText"/>
        <w:rPr/>
      </w:pPr>
      <w:r>
        <w:rPr>
          <w:rFonts w:ascii="IRNazanin" w:hAnsi="IRNazanin" w:eastAsia="IRNazanin"/>
          <w:color w:val="111111"/>
          <w:sz w:val="28"/>
          <w:sz w:val="28"/>
          <w:szCs w:val="28"/>
          <w:rtl w:val="true"/>
          <w:lang w:bidi="fa-IR"/>
        </w:rPr>
        <w:t xml:space="preserve">، و دوام الاُلفة بین الزوجین؛ لارتباطهما بعری وثیقة جدیدة تبقی علی استمرار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یقوّی و یشدّ أواصر الأسرة المسلمة</w:t>
      </w:r>
      <w:r>
        <w:rPr>
          <w:rFonts w:eastAsia="IRNazanin" w:cs="IRNazanin"/>
          <w:color w:val="111111"/>
          <w:sz w:val="28"/>
          <w:szCs w:val="28"/>
          <w:rtl w:val="true"/>
          <w:lang w:bidi="fa-IR"/>
        </w:rPr>
        <w:t>.</w:t>
      </w:r>
    </w:p>
    <w:p>
      <w:pPr>
        <w:pStyle w:val="Heading6"/>
        <w:numPr>
          <w:ilvl w:val="5"/>
          <w:numId w:val="1"/>
        </w:numPr>
        <w:rPr/>
      </w:pPr>
      <w:bookmarkStart w:id="400" w:name="__RefHeading___Toc9530713_73709187"/>
      <w:bookmarkStart w:id="401" w:name="_Toc159"/>
      <w:bookmarkEnd w:id="400"/>
      <w:r>
        <w:rPr>
          <w:rtl w:val="true"/>
        </w:rPr>
        <w:t>الخامس</w:t>
      </w:r>
      <w:r>
        <w:rPr>
          <w:rtl w:val="true"/>
        </w:rPr>
        <w:t xml:space="preserve">: </w:t>
      </w:r>
      <w:r>
        <w:rPr>
          <w:rtl w:val="true"/>
        </w:rPr>
        <w:t>حصول الطمأنینة التامّة لکلا الزوجین</w:t>
      </w:r>
      <w:bookmarkEnd w:id="401"/>
    </w:p>
    <w:p>
      <w:pPr>
        <w:pStyle w:val="BookText"/>
        <w:rPr/>
      </w:pPr>
      <w:r>
        <w:rPr>
          <w:rFonts w:ascii="IRNazanin" w:hAnsi="IRNazanin" w:eastAsia="IRNazanin"/>
          <w:color w:val="111111"/>
          <w:sz w:val="28"/>
          <w:sz w:val="28"/>
          <w:szCs w:val="28"/>
          <w:rtl w:val="true"/>
          <w:lang w:bidi="fa-IR"/>
        </w:rPr>
        <w:t>؛ لأنّهما موقنان أنّ هذا الجنین من صلبهما فتقرّ به عینهما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9530715_73709187"/>
      <w:bookmarkStart w:id="403" w:name="_Toc160"/>
      <w:bookmarkEnd w:id="402"/>
      <w:r>
        <w:rPr>
          <w:rtl w:val="true"/>
        </w:rPr>
        <w:t>نسب المولود بالتلقیح الصناعی عند أهل السنّة</w:t>
      </w:r>
      <w:bookmarkEnd w:id="403"/>
    </w:p>
    <w:p>
      <w:pPr>
        <w:pStyle w:val="BookText"/>
        <w:rPr/>
      </w:pPr>
      <w:r>
        <w:rPr>
          <w:rFonts w:ascii="IRNazanin" w:hAnsi="IRNazanin" w:eastAsia="IRNazanin"/>
          <w:color w:val="111111"/>
          <w:sz w:val="28"/>
          <w:sz w:val="28"/>
          <w:szCs w:val="28"/>
          <w:rtl w:val="true"/>
          <w:lang w:bidi="fa-IR"/>
        </w:rPr>
        <w:t>یکون نسب المولود بالتلقیح الصناعی فی الصور المباحة للزوج الذی لقحت المرأة بمائه؛ لأنّ 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بقول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أی أنّ الولد ینسب للزوج صاحب فراش الزوجیّة و للعاهر الحجر؛ أی و للزانی الخیبة و الندامة، و لا حقّ له فی الولد، و بهذا أفتی مجمع الفقه الإسلامی بمکّة المکرّمة</w:t>
      </w:r>
      <w:r>
        <w:rPr>
          <w:rStyle w:val="FootnoteAnchor"/>
          <w:rtl w:val="true"/>
        </w:rPr>
        <w:footnoteReference w:id="684"/>
      </w:r>
      <w:r>
        <w:rPr>
          <w:rFonts w:ascii="IRNazanin" w:hAnsi="IRNazanin" w:eastAsia="IRNazanin"/>
          <w:color w:val="111111"/>
          <w:sz w:val="28"/>
          <w:sz w:val="28"/>
          <w:szCs w:val="28"/>
          <w:rtl w:val="true"/>
          <w:lang w:bidi="fa-IR"/>
        </w:rPr>
        <w:t>، و غیره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 المحرّمة، فإذا کانت هذه المرأة التی لقّحت بهذا الماء الغریب غیر متزوّجة، فالولد ینسب إلیها کولد الزنا و لا ینسب إلی صاحب الماء؛ لأنّ</w:t>
      </w:r>
    </w:p>
    <w:p>
      <w:pPr>
        <w:pStyle w:val="BookText"/>
        <w:rPr/>
      </w:pPr>
      <w:r>
        <w:rPr>
          <w:rFonts w:ascii="IRNazanin" w:hAnsi="IRNazanin" w:eastAsia="IRNazanin"/>
          <w:color w:val="111111"/>
          <w:sz w:val="28"/>
          <w:sz w:val="28"/>
          <w:szCs w:val="28"/>
          <w:rtl w:val="true"/>
          <w:lang w:bidi="fa-IR"/>
        </w:rPr>
        <w:t>ماءه هدر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الطفل لقیطاً لا ینسب إلی أب جبراً، و إنّما ینسب لمن حملت به و وضعته باعتباره حالة ولادة طبیعیّة کولد الزنا تماماً</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أحکام الجنین فی الفقه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حمل تحمل به المرأة فإنّه یحکم به لأبیه حکماً احتیاطیّاً جازماً، صیانة للفراش و النسب، حتّی لو فرض أنّها حملت به زناً أو بطریق الغصب أو وط‌ء الشبهة؛ فإنّه یحکم به لأبیه الذی هو زوج امّه، و یفهم منه التحاقه بطریق التلقیح بنوعیه، فیکون الولد لأبیه؛ أی زوج امّه التی حملت به و ولدته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القاعدة النبویّة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فإنّ نسب المولود فی الصور المحرّمة من التلقیح الصناعی، یثبت للزوج صاحب الفراش؛ لأن الولد ولد علی فراشه، و المولود فی هذه الصور یأخذ حکم الولد الذی ینشأ من زنا الزوجة؛ إذ إنّ فراش الزوجیّة قویّ، و لا ینفی علیه المولود بمجرّد النفی، بل لا بدّ من النفی باللعان ما لم تقم أدلّة قطعیّة علی أنّ الولد لیس للزوج، فیعدل عن الظاهر؛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الولد إنّما ینسب لصاحب فراش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قال طائفة من الفقهاء المعاصرین</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ذلک فی أحکام الاُسرة الإسلامیّة</w:t>
      </w:r>
      <w:r>
        <w:rPr>
          <w:rStyle w:val="FootnoteAnchor"/>
          <w:rtl w:val="true"/>
        </w:rPr>
        <w:footnoteReference w:id="691"/>
      </w:r>
      <w:bookmarkStart w:id="404" w:name="pg11754_112946"/>
    </w:p>
    <w:p>
      <w:pPr>
        <w:pStyle w:val="Heading4"/>
        <w:numPr>
          <w:ilvl w:val="3"/>
          <w:numId w:val="1"/>
        </w:numPr>
        <w:rPr/>
      </w:pPr>
      <w:bookmarkStart w:id="405" w:name="__RefHeading___Toc9530717_73709187"/>
      <w:bookmarkStart w:id="406" w:name="_Toc161"/>
      <w:bookmarkEnd w:id="404"/>
      <w:bookmarkEnd w:id="405"/>
      <w:r>
        <w:rPr>
          <w:rtl w:val="true"/>
        </w:rPr>
        <w:t>المبحث الثامن</w:t>
      </w:r>
      <w:r>
        <w:rPr>
          <w:rtl w:val="true"/>
        </w:rPr>
        <w:t xml:space="preserve">: </w:t>
      </w:r>
      <w:r>
        <w:rPr>
          <w:rtl w:val="true"/>
        </w:rPr>
        <w:t>الإقرار بالنسب</w:t>
      </w:r>
      <w:bookmarkEnd w:id="406"/>
    </w:p>
    <w:p>
      <w:pPr>
        <w:pStyle w:val="Heading5"/>
        <w:numPr>
          <w:ilvl w:val="4"/>
          <w:numId w:val="1"/>
        </w:numPr>
        <w:rPr/>
      </w:pPr>
      <w:bookmarkStart w:id="407" w:name="__RefHeading___Toc9530719_73709187"/>
      <w:bookmarkStart w:id="408" w:name="_Toc162"/>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لا خلاف بین الفقهاء، بل ثبت الإجماع علی أنّ الإقرار بالنسب نافذ، و إذا تحقّق مع شرائطه المعتبرة فیه، ترتّب علیه آثاره فی الجملة، فیثبت بذلک کون الولد المقرّ به حفیداً للمقرّ، و ولد المقرّ أخاً للمقرّ به، و أب المقرّ جدّه، و یقع التوارث بینهما، و کذا بین أنسابهما بعضهم مع بعض،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الإنسان بولد الحق به؛ سواء کان إقراره به فی صحّة أو مرض، و توارثا معاً؛ سواء صدّقه الولد أو کذّبه، إلاّ أن یکون الولد مشهوراً بغیر ذلک النسب، فإن کان کذلک لم یُلحق به</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693"/>
      </w:r>
      <w:r>
        <w:rPr>
          <w:rFonts w:ascii="IRNazanin" w:hAnsi="IRNazanin" w:eastAsia="IRNazanin"/>
          <w:color w:val="111111"/>
          <w:sz w:val="28"/>
          <w:sz w:val="28"/>
          <w:szCs w:val="28"/>
          <w:rtl w:val="true"/>
          <w:lang w:bidi="fa-IR"/>
        </w:rPr>
        <w:t>، و الجامع للشرائع</w:t>
      </w:r>
      <w:r>
        <w:rPr>
          <w:rStyle w:val="FootnoteAnchor"/>
          <w:rtl w:val="true"/>
        </w:rPr>
        <w:footnoteReference w:id="694"/>
      </w:r>
      <w:r>
        <w:rPr>
          <w:rFonts w:ascii="IRNazanin" w:hAnsi="IRNazanin" w:eastAsia="IRNazanin"/>
          <w:color w:val="111111"/>
          <w:sz w:val="28"/>
          <w:sz w:val="28"/>
          <w:szCs w:val="28"/>
          <w:rtl w:val="true"/>
          <w:lang w:bidi="fa-IR"/>
        </w:rPr>
        <w:t>و الکافی فی الفقه</w:t>
      </w:r>
      <w:r>
        <w:rPr>
          <w:rStyle w:val="FootnoteAnchor"/>
          <w:rtl w:val="true"/>
        </w:rPr>
        <w:footnoteReference w:id="695"/>
      </w:r>
      <w:r>
        <w:rPr>
          <w:rFonts w:ascii="IRNazanin" w:hAnsi="IRNazanin" w:eastAsia="IRNazanin"/>
          <w:color w:val="111111"/>
          <w:sz w:val="28"/>
          <w:sz w:val="28"/>
          <w:szCs w:val="28"/>
          <w:rtl w:val="true"/>
          <w:lang w:bidi="fa-IR"/>
        </w:rPr>
        <w:t>و السرائر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الإقرار بنسب الولد الصغیر حتی تکون البنوّة ممکنة، و یکون المقرّ به مجهولاً، و لا ینازعه فیه منازع، فهذه قیود ثلاثة، فلو انتفی إمکان الولادة لم یقبل، کالإقرار ببنوّة من هو أکبر منه أو مثله فی السنّ، أو أصغر منه بما لم تجر العادة بولادته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تصدیق الصغیر</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المختصر النافع</w:t>
      </w:r>
      <w:r>
        <w:rPr>
          <w:rStyle w:val="FootnoteAnchor"/>
          <w:rtl w:val="true"/>
        </w:rPr>
        <w:footnoteReference w:id="698"/>
      </w:r>
      <w:r>
        <w:rPr>
          <w:rFonts w:ascii="IRNazanin" w:hAnsi="IRNazanin" w:eastAsia="IRNazanin"/>
          <w:color w:val="111111"/>
          <w:sz w:val="28"/>
          <w:sz w:val="28"/>
          <w:szCs w:val="28"/>
          <w:rtl w:val="true"/>
          <w:lang w:bidi="fa-IR"/>
        </w:rPr>
        <w:t>،</w:t>
      </w:r>
      <w:bookmarkStart w:id="409" w:name="pg11754_112947"/>
    </w:p>
    <w:p>
      <w:pPr>
        <w:pStyle w:val="BookText"/>
        <w:rPr/>
      </w:pPr>
      <w:bookmarkEnd w:id="409"/>
      <w:r>
        <w:rPr>
          <w:rFonts w:ascii="IRNazanin" w:hAnsi="IRNazanin" w:eastAsia="IRNazanin"/>
          <w:color w:val="111111"/>
          <w:sz w:val="28"/>
          <w:sz w:val="28"/>
          <w:szCs w:val="28"/>
          <w:rtl w:val="true"/>
          <w:lang w:bidi="fa-IR"/>
        </w:rPr>
        <w:t>و إرشاد الأذهان</w:t>
      </w:r>
      <w:r>
        <w:rPr>
          <w:rStyle w:val="FootnoteAnchor"/>
          <w:rtl w:val="true"/>
        </w:rPr>
        <w:footnoteReference w:id="699"/>
      </w:r>
      <w:r>
        <w:rPr>
          <w:rFonts w:ascii="IRNazanin" w:hAnsi="IRNazanin" w:eastAsia="IRNazanin"/>
          <w:color w:val="111111"/>
          <w:sz w:val="28"/>
          <w:sz w:val="28"/>
          <w:szCs w:val="28"/>
          <w:rtl w:val="true"/>
          <w:lang w:bidi="fa-IR"/>
        </w:rPr>
        <w:t>، و کشف الرموز</w:t>
      </w:r>
      <w:r>
        <w:rPr>
          <w:rStyle w:val="FootnoteAnchor"/>
          <w:rtl w:val="true"/>
        </w:rPr>
        <w:footnoteReference w:id="700"/>
      </w:r>
      <w:r>
        <w:rPr>
          <w:rFonts w:ascii="IRNazanin" w:hAnsi="IRNazanin" w:eastAsia="IRNazanin"/>
          <w:color w:val="111111"/>
          <w:sz w:val="28"/>
          <w:sz w:val="28"/>
          <w:szCs w:val="28"/>
          <w:rtl w:val="true"/>
          <w:lang w:bidi="fa-IR"/>
        </w:rPr>
        <w:t>، و المختلف</w:t>
      </w:r>
      <w:r>
        <w:rPr>
          <w:rStyle w:val="FootnoteAnchor"/>
          <w:rtl w:val="true"/>
        </w:rPr>
        <w:footnoteReference w:id="701"/>
      </w:r>
      <w:r>
        <w:rPr>
          <w:rFonts w:ascii="IRNazanin" w:hAnsi="IRNazanin" w:eastAsia="IRNazanin"/>
          <w:color w:val="111111"/>
          <w:sz w:val="28"/>
          <w:sz w:val="28"/>
          <w:szCs w:val="28"/>
          <w:rtl w:val="true"/>
          <w:lang w:bidi="fa-IR"/>
        </w:rPr>
        <w:t>، و غیرها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الأقاریر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بالنسب، کالبنوّة و الاُخوّة و نحوهما، و المراد بنفوذه إلزام المقرّ و أخذه بإقراره بالنسبة إلی ما علیه، من وجوب إنفاق و حرمة نکاح أو مشارکته معه فی إرث أو وقف، و نحو ذلک</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9530721_73709187"/>
      <w:bookmarkStart w:id="411" w:name="_Toc163"/>
      <w:bookmarkEnd w:id="410"/>
      <w:r>
        <w:rPr>
          <w:rtl w:val="true"/>
        </w:rPr>
        <w:t>أدلّة جواز الإقرار بالنسب</w:t>
      </w:r>
      <w:bookmarkEnd w:id="411"/>
    </w:p>
    <w:p>
      <w:pPr>
        <w:pStyle w:val="Heading6"/>
        <w:numPr>
          <w:ilvl w:val="5"/>
          <w:numId w:val="1"/>
        </w:numPr>
        <w:rPr/>
      </w:pPr>
      <w:bookmarkStart w:id="412" w:name="__RefHeading___Toc9530723_73709187"/>
      <w:bookmarkStart w:id="413" w:name="_Toc164"/>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و یمکن أن یستدلّ علی إثبات هذا الحکم باُمور</w:t>
      </w:r>
      <w:r>
        <w:rPr>
          <w:rFonts w:eastAsia="IRNazanin" w:cs="IRNazanin"/>
          <w:color w:val="111111"/>
          <w:sz w:val="28"/>
          <w:szCs w:val="28"/>
          <w:rtl w:val="true"/>
          <w:lang w:bidi="fa-IR"/>
        </w:rPr>
        <w:t>:</w:t>
      </w:r>
    </w:p>
    <w:p>
      <w:pPr>
        <w:pStyle w:val="Heading6"/>
        <w:numPr>
          <w:ilvl w:val="5"/>
          <w:numId w:val="1"/>
        </w:numPr>
        <w:rPr/>
      </w:pPr>
      <w:bookmarkStart w:id="414" w:name="__RefHeading___Toc9530725_73709187"/>
      <w:bookmarkStart w:id="415" w:name="_Toc165"/>
      <w:bookmarkEnd w:id="414"/>
      <w:r>
        <w:rPr>
          <w:rtl w:val="true"/>
        </w:rPr>
        <w:t>الأوّل</w:t>
      </w:r>
      <w:r>
        <w:rPr>
          <w:rtl w:val="true"/>
        </w:rPr>
        <w:t xml:space="preserve">: </w:t>
      </w:r>
      <w:r>
        <w:rPr>
          <w:rtl w:val="true"/>
        </w:rPr>
        <w:t>الإجماع</w:t>
      </w:r>
      <w:bookmarkEnd w:id="415"/>
    </w:p>
    <w:p>
      <w:pPr>
        <w:pStyle w:val="BookText"/>
        <w:rPr/>
      </w:pPr>
      <w:r>
        <w:rPr>
          <w:rFonts w:ascii="IRNazanin" w:hAnsi="IRNazanin" w:eastAsia="IRNazanin"/>
          <w:color w:val="111111"/>
          <w:sz w:val="28"/>
          <w:sz w:val="28"/>
          <w:szCs w:val="28"/>
          <w:rtl w:val="true"/>
          <w:lang w:bidi="fa-IR"/>
        </w:rPr>
        <w:t>، کما ادّعاه فی غایة المرام، و مجمع الفائدة، و جامع المدارک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مقبول کالإقرار بالمال بلا خلاف بین العلماء، و ادّعی علیه إجماعهم کافّة السیّد فی شرح الکتاب و صاحب الکفایة</w:t>
      </w:r>
      <w:r>
        <w:rPr>
          <w:rStyle w:val="FootnoteAnchor"/>
          <w:rtl w:val="true"/>
        </w:rPr>
        <w:footnoteReference w:id="705"/>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عبّر فی مهذّب الأحکام عنه بإجماع المسلمین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بالنسب الذی أجمع العلماء کافّة علی قبوله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بین العلماء فی ثبوته به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9530727_73709187"/>
      <w:bookmarkStart w:id="417" w:name="_Toc166"/>
      <w:bookmarkEnd w:id="416"/>
      <w:r>
        <w:rPr>
          <w:rtl w:val="true"/>
        </w:rPr>
        <w:t>الثانی</w:t>
      </w:r>
      <w:r>
        <w:rPr>
          <w:rtl w:val="true"/>
        </w:rPr>
        <w:t xml:space="preserve">: </w:t>
      </w:r>
      <w:r>
        <w:rPr>
          <w:rtl w:val="true"/>
        </w:rPr>
        <w:t>عموم قاعدة إقرار العقلاء علی أنفسهم جائز</w:t>
      </w:r>
      <w:bookmarkEnd w:id="41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الریاض</w:t>
      </w:r>
      <w:r>
        <w:rPr>
          <w:rStyle w:val="FootnoteAnchor"/>
          <w:rtl w:val="true"/>
        </w:rPr>
        <w:footnoteReference w:id="709"/>
      </w:r>
      <w:bookmarkStart w:id="418" w:name="pg11754_112948"/>
    </w:p>
    <w:p>
      <w:pPr>
        <w:pStyle w:val="BookText"/>
        <w:rPr/>
      </w:pPr>
      <w:bookmarkEnd w:id="418"/>
      <w:r>
        <w:rPr>
          <w:rFonts w:ascii="IRNazanin" w:hAnsi="IRNazanin" w:eastAsia="IRNazanin"/>
          <w:color w:val="111111"/>
          <w:sz w:val="28"/>
          <w:sz w:val="28"/>
          <w:szCs w:val="28"/>
          <w:rtl w:val="true"/>
          <w:lang w:bidi="fa-IR"/>
        </w:rPr>
        <w:t>و مهذّب الأحکام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علی عدم اختصاص نفوذ الإقرار بالإقرار بالمال، إطلاق دلیل القاعدة، حیث لم یقع فیه التقیید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الأقاریر النافذة الإقرار بالنسب</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هذا إقرار علی نفسه بوجوب النفقة و الحضانة، فیجب علیه 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بالإقرار یثبت ما علیه فقط، و النسب لا یکون</w:t>
      </w:r>
      <w:r>
        <w:rPr>
          <w:rStyle w:val="FootnoteAnchor"/>
          <w:rtl w:val="true"/>
        </w:rPr>
        <w:footnoteReference w:id="71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6"/>
        <w:numPr>
          <w:ilvl w:val="5"/>
          <w:numId w:val="1"/>
        </w:numPr>
        <w:rPr/>
      </w:pPr>
      <w:bookmarkStart w:id="419" w:name="__RefHeading___Toc9530729_73709187"/>
      <w:bookmarkStart w:id="420" w:name="_Toc167"/>
      <w:bookmarkEnd w:id="419"/>
      <w:r>
        <w:rPr>
          <w:rtl w:val="true"/>
        </w:rPr>
        <w:t>الثالث</w:t>
      </w:r>
      <w:r>
        <w:rPr>
          <w:rtl w:val="true"/>
        </w:rPr>
        <w:t xml:space="preserve">: - </w:t>
      </w:r>
      <w:r>
        <w:rPr>
          <w:rtl w:val="true"/>
        </w:rPr>
        <w:t xml:space="preserve">و هو العمدة، النصوص </w:t>
      </w:r>
      <w:r>
        <w:rPr>
          <w:rtl w:val="true"/>
        </w:rPr>
        <w:t>-:</w:t>
      </w:r>
      <w:bookmarkEnd w:id="42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الحمیل؟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الحمیل؟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تسبی من أرضها و معها الولد الصغیر،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 الرجل یسبی فیلقی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 لیس لهم بیّنة إلاّ قولهم،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فیهم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یورّثونهم؛ لأنّه لم یکن لهم علی ولادتهم بیّنة، و إنّما هی ولادة الشرک،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جاءت بابنها أو بابنتها و لم تزل مقرّة به، و إذا عرف أخاه و کان ذلک فی صحّة منهما، و لم یزالا مقرّین بذلک ورث بعضهم من بعض</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حمیلین جیء بهما من أرض الشرک،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فعرفا</w:t>
      </w:r>
      <w:bookmarkStart w:id="421" w:name="pg11754_112949"/>
    </w:p>
    <w:p>
      <w:pPr>
        <w:pStyle w:val="BookText"/>
        <w:rPr/>
      </w:pPr>
      <w:bookmarkEnd w:id="421"/>
      <w:r>
        <w:rPr>
          <w:rFonts w:ascii="IRNazanin" w:hAnsi="IRNazanin" w:eastAsia="IRNazanin"/>
          <w:color w:val="111111"/>
          <w:sz w:val="28"/>
          <w:sz w:val="28"/>
          <w:szCs w:val="28"/>
          <w:rtl w:val="true"/>
          <w:lang w:bidi="fa-IR"/>
        </w:rPr>
        <w:t>بذلک ثمّ اعتقا و مکثا مقرّین بالإخاء ثمّ إنّ أحدهما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المیراث للأخ یصدّقان</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22" w:name="__RefHeading___Toc9530731_73709187"/>
      <w:bookmarkStart w:id="423" w:name="_Toc168"/>
      <w:bookmarkEnd w:id="422"/>
      <w:r>
        <w:rPr>
          <w:rtl w:val="true"/>
        </w:rPr>
        <w:t>شرائط نفوذ الإقرار بالنسب</w:t>
      </w:r>
      <w:bookmarkEnd w:id="423"/>
    </w:p>
    <w:p>
      <w:pPr>
        <w:pStyle w:val="BookText"/>
        <w:rPr/>
      </w:pPr>
      <w:r>
        <w:rPr>
          <w:rFonts w:ascii="IRNazanin" w:hAnsi="IRNazanin" w:eastAsia="IRNazanin"/>
          <w:color w:val="111111"/>
          <w:sz w:val="28"/>
          <w:sz w:val="28"/>
          <w:szCs w:val="28"/>
          <w:rtl w:val="true"/>
          <w:lang w:bidi="fa-IR"/>
        </w:rPr>
        <w:t xml:space="preserve">یشترط فی الإقرار بالنسب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أهلیّة المقرّ للإقرار و تحقّق شرائط العامّة المعتبرة فیه، من البلوغ و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بابن له ثبت نسبه بشروط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المقرّ به مجهول النسب، فلو عرف نسبه لم یصحّ الإقرار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ینازعه غیره، فلو نازعه منازع لم یثبت النسب إلاّ بالبیّنة أو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تکون البنوّة ممکنة، فلو أقرّ ببنوّة مَن هو مثله فی السنّ أو أکبر منه أو أصغر بما لم تجر العادة بمثله لم یلتفت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یکون الولد ممّن لا قول له کالصغیر و المجنون</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716"/>
      </w:r>
      <w:r>
        <w:rPr>
          <w:rFonts w:ascii="IRNazanin" w:hAnsi="IRNazanin" w:eastAsia="IRNazanin"/>
          <w:color w:val="111111"/>
          <w:sz w:val="28"/>
          <w:sz w:val="28"/>
          <w:szCs w:val="28"/>
          <w:rtl w:val="true"/>
          <w:lang w:bidi="fa-IR"/>
        </w:rPr>
        <w:t>، و القواعد</w:t>
      </w:r>
      <w:r>
        <w:rPr>
          <w:rStyle w:val="FootnoteAnchor"/>
          <w:rtl w:val="true"/>
        </w:rPr>
        <w:footnoteReference w:id="717"/>
      </w:r>
      <w:r>
        <w:rPr>
          <w:rFonts w:ascii="IRNazanin" w:hAnsi="IRNazanin" w:eastAsia="IRNazanin"/>
          <w:color w:val="111111"/>
          <w:sz w:val="28"/>
          <w:sz w:val="28"/>
          <w:szCs w:val="28"/>
          <w:rtl w:val="true"/>
          <w:lang w:bidi="fa-IR"/>
        </w:rPr>
        <w:t>، و الشرائع</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جامع المقاصد فی توجیه الشرط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أقرّ ببنوّة مشهور النسب بغیره لم یعتدّ بإقراره؛ لأنّ النسب الثابت شرعاً لا ینقل، و لو صدّقه الولد أو من انتسابه إلیه معلوم لم یلتفت إلیه أیضاً</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قال فی الریاض فی توجیه الشرط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أقرّ ببنوّة من استلحقه غیره ممّن یمکن الإلحاق به لم ینفذ؛ فإنّ الولد حینئذٍ لا یلحق بأحد المتنازعین إلاّ ببیّنة أو قرعة، و لا خلاف فی شیء من ذلک، بل لعلّه مجمع علیه، و یساعده الاعتبار</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اعتبار الشرائط الثلاثة الاُولی فی الإقرار بنسب الولد و إن اختلف التعبیر عنها، ففی کثیر من الکتب التعبیر بالعبارة المزبورة، و فی جملة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الإقرار به عدم تکذیب الحسّ و الشرع و عدم المنازع، إلاّ أنّ المراد واحد کما فی الجواهر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ممّا ذکرنا أنّه إذا کان فی إقراره منازع، بأن أقرّ ببنوّة من ادّعی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یمکن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بنوّته لم ینفذ، فإنّ الولد حینئذٍ لا یلحق بأحد المتنازعین إلاّ بإقامة البیّنة أو القرعة، کما تدلّ علیه 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w:t>
      </w:r>
    </w:p>
    <w:p>
      <w:pPr>
        <w:pStyle w:val="BookText"/>
        <w:rPr/>
      </w:pPr>
      <w:r>
        <w:rPr>
          <w:rFonts w:ascii="IRNazanin" w:hAnsi="IRNazanin" w:eastAsia="IRNazanin"/>
          <w:color w:val="111111"/>
          <w:sz w:val="28"/>
          <w:sz w:val="28"/>
          <w:szCs w:val="28"/>
          <w:rtl w:val="true"/>
          <w:lang w:bidi="fa-IR"/>
        </w:rPr>
        <w:t>معاویة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وط‌ء رجلان أو ثلاثة جاریة فی طهر واحد فولدت فادّعوه جمیعاً، أقرع الوالی بینهم، فمن قرع کان الولد ولده، و یردّ قیمة الولد علی صاحب الجاریة</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سلیمان بن خالد،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 علیه السلام فی ثلاثة وقعوا علی امرأة فی طهر واحد، و ذلک فی الجاهلیّة قبل أن یظهر الإسلام، فأقرع بینهم فجعل الولد للذی قرع</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و غیرها</w:t>
      </w:r>
      <w:r>
        <w:rPr>
          <w:rStyle w:val="FootnoteAnchor"/>
          <w:rtl w:val="true"/>
        </w:rPr>
        <w:footnoteReference w:id="724"/>
      </w:r>
      <w:bookmarkStart w:id="424" w:name="pg11754_112951"/>
    </w:p>
    <w:p>
      <w:pPr>
        <w:pStyle w:val="Heading5"/>
        <w:numPr>
          <w:ilvl w:val="4"/>
          <w:numId w:val="1"/>
        </w:numPr>
        <w:rPr/>
      </w:pPr>
      <w:bookmarkStart w:id="425" w:name="__RefHeading___Toc9530733_73709187"/>
      <w:bookmarkStart w:id="426" w:name="_Toc169"/>
      <w:bookmarkEnd w:id="424"/>
      <w:bookmarkEnd w:id="425"/>
      <w:r>
        <w:rPr>
          <w:rtl w:val="true"/>
        </w:rPr>
        <w:t>عدم اعتبار تصدیق الصغیر</w:t>
      </w:r>
      <w:bookmarkEnd w:id="426"/>
    </w:p>
    <w:p>
      <w:pPr>
        <w:pStyle w:val="BookText"/>
        <w:rPr/>
      </w:pPr>
      <w:r>
        <w:rPr>
          <w:rFonts w:ascii="IRNazanin" w:hAnsi="IRNazanin" w:eastAsia="IRNazanin"/>
          <w:color w:val="111111"/>
          <w:sz w:val="28"/>
          <w:sz w:val="28"/>
          <w:szCs w:val="28"/>
          <w:rtl w:val="true"/>
          <w:lang w:bidi="fa-IR"/>
        </w:rPr>
        <w:t>لا یعتبر فی الإقرار ببنوّة الصغیر تصدیقه، کما صرّح به کثیر من الفقهاء</w:t>
      </w:r>
      <w:r>
        <w:rPr>
          <w:rStyle w:val="FootnoteAnchor"/>
          <w:rtl w:val="true"/>
        </w:rPr>
        <w:footnoteReference w:id="725"/>
      </w:r>
      <w:r>
        <w:rPr>
          <w:rFonts w:ascii="IRNazanin" w:hAnsi="IRNazanin" w:eastAsia="IRNazanin"/>
          <w:color w:val="111111"/>
          <w:sz w:val="28"/>
          <w:sz w:val="28"/>
          <w:szCs w:val="28"/>
          <w:rtl w:val="true"/>
          <w:lang w:bidi="fa-IR"/>
        </w:rPr>
        <w:t>، و ادّعی فی المسالک</w:t>
      </w:r>
      <w:r>
        <w:rPr>
          <w:rStyle w:val="FootnoteAnchor"/>
          <w:rtl w:val="true"/>
        </w:rPr>
        <w:footnoteReference w:id="726"/>
      </w:r>
      <w:r>
        <w:rPr>
          <w:rFonts w:ascii="IRNazanin" w:hAnsi="IRNazanin" w:eastAsia="IRNazanin"/>
          <w:color w:val="111111"/>
          <w:sz w:val="28"/>
          <w:sz w:val="28"/>
          <w:szCs w:val="28"/>
          <w:rtl w:val="true"/>
          <w:lang w:bidi="fa-IR"/>
        </w:rPr>
        <w:t>و الریاض</w:t>
      </w:r>
      <w:r>
        <w:rPr>
          <w:rStyle w:val="FootnoteAnchor"/>
          <w:rtl w:val="true"/>
        </w:rPr>
        <w:footnoteReference w:id="727"/>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الثانی فی ذیل کلام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تصدیق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بشرط فی نفوذ الإقرار، فلا یتوقّف علی بلوغه و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یعتبر تصدیقه و تکذیبه حالة الصغر، فعلی هذا متی استلحق صغیراً ثبت أحکام النسب کلّها تبعاً لثبوته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مراهقاً رشیداً أو لا، بل عن نهایة المرام الإجماع علی أنّه لا یتوقّف نفوذ الإقرار به علی بلوغه و تصدیقه</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الأخبار المتقدّمة یدلّ علی عدم اعتبار تصدیق الصغیر، مضافاً إلی عدم أهلیته لذلک؛ لأنّه مسلوب العبارة فی الشرع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أقرّ بنسب الکبیر فیلزم تصدیقه؛ سواء أقرّ ببنوّته أو أقرّ بأنّ هذا أخی أو غیر ذلک، و الظاهر أنّه لا خلاف فی هذا أیضاً؛ کما صرّح به فی الکفایة</w:t>
      </w:r>
      <w:r>
        <w:rPr>
          <w:rStyle w:val="FootnoteAnchor"/>
          <w:rtl w:val="true"/>
        </w:rPr>
        <w:footnoteReference w:id="73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الریاض</w:t>
      </w:r>
      <w:r>
        <w:rPr>
          <w:rStyle w:val="FootnoteAnchor"/>
          <w:rtl w:val="true"/>
        </w:rPr>
        <w:footnoteReference w:id="731"/>
      </w:r>
      <w:r>
        <w:rPr>
          <w:rFonts w:ascii="IRNazanin" w:hAnsi="IRNazanin" w:eastAsia="IRNazanin"/>
          <w:color w:val="111111"/>
          <w:sz w:val="28"/>
          <w:sz w:val="28"/>
          <w:szCs w:val="28"/>
          <w:rtl w:val="true"/>
          <w:lang w:bidi="fa-IR"/>
        </w:rPr>
        <w:t>، و ادّعی المحقّق الأردبیلی علیه الإجماع،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اعتبار التصدیق فیما اعتبر فهو المشهور، بحیث لا یعرف الخلاف، فکأنّه مجمع علیه و العقل</w:t>
      </w:r>
    </w:p>
    <w:p>
      <w:pPr>
        <w:pStyle w:val="BookText"/>
        <w:rPr/>
      </w:pPr>
      <w:r>
        <w:rPr>
          <w:rFonts w:ascii="IRNazanin" w:hAnsi="IRNazanin" w:eastAsia="IRNazanin"/>
          <w:color w:val="111111"/>
          <w:sz w:val="28"/>
          <w:sz w:val="28"/>
          <w:szCs w:val="28"/>
          <w:rtl w:val="true"/>
          <w:lang w:bidi="fa-IR"/>
        </w:rPr>
        <w:t>یساعده؛ لأنّ الحکم علی شخص بإقرار آخر مع أهلیّته للتصدیق و التکذیب مع تصدیقه مخالف للعقل و النقل</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الولد کبیراً و صدّق المقرّ فی الإقرار بولدیّته له مع رعایة الأمر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تکذیب الحسّ و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به الولدیّة و یترتّب علیها جمیع آثارها بشرط أن لا تعدو عنهما، و ألاّ یجری احتمال التبانی مع عدم ثبوت النسب فی الواقع، إلاّ أن یکونا عادلین، حیث إنّه بذلک یثبت البینة علی الولدیّة</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اشتراط تصدیق الکبیر أیضاً الأصل، أی عدم الانتساب کما فی المختلف</w:t>
      </w:r>
      <w:r>
        <w:rPr>
          <w:rStyle w:val="FootnoteAnchor"/>
          <w:rtl w:val="true"/>
        </w:rPr>
        <w:footnoteReference w:id="734"/>
      </w:r>
      <w:r>
        <w:rPr>
          <w:rFonts w:ascii="IRNazanin" w:hAnsi="IRNazanin" w:eastAsia="IRNazanin"/>
          <w:color w:val="111111"/>
          <w:sz w:val="28"/>
          <w:sz w:val="28"/>
          <w:szCs w:val="28"/>
          <w:rtl w:val="true"/>
          <w:lang w:bidi="fa-IR"/>
        </w:rPr>
        <w:t>و الجواهر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استلحق بالغاً عاقلاً فکذّبه لم یثبت النسب فی أظهر القولین؛ لأنّ الإقرار بالنسب یتضمّن الإقرار فی حقّ الغیر، فیتوقّف علی تصدیقه أو البیّنة، فإن لم یکن بیّنة حلّفه، فإن حلف سقطت دعواه، و إن نکل حلف المدّعی و ثبت نسبه</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جامع المقاصد فی شرح کلام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اشتراط التصدیق فی الکبیر العاقل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القرب أنّ الإقرار بالنسب یتضمّن الإقرار فی حقّ الغیر؛ لأنّه أمر إضافیّ؛ فیتوقّف علی تصدیقه أو البیّنة، و سقوط ذلک فی الصبیّ و المجنون بالإجماع لتعذّر التصدیق منهما لا یوجب السقوط هنا، اقتصاراً فی مخالفة الأصل</w:t>
      </w:r>
      <w:bookmarkStart w:id="427" w:name="pg11754_112953"/>
    </w:p>
    <w:p>
      <w:pPr>
        <w:pStyle w:val="BookText"/>
        <w:rPr/>
      </w:pPr>
      <w:bookmarkEnd w:id="427"/>
      <w:r>
        <w:rPr>
          <w:rFonts w:ascii="IRNazanin" w:hAnsi="IRNazanin" w:eastAsia="IRNazanin"/>
          <w:color w:val="111111"/>
          <w:sz w:val="28"/>
          <w:sz w:val="28"/>
          <w:szCs w:val="28"/>
          <w:rtl w:val="true"/>
          <w:lang w:bidi="fa-IR"/>
        </w:rPr>
        <w:t>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لأنّ ذلک إقرار فی حقّ نفسه، و إلاّ لم ینفذ مع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ظاهر، و الأصحّ الأوّل</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یلزم المقرّ بمقتضی إقراره لدلیل الإقرار، فلو کان بنتاً لا یجوز له تزویجها و غیر ذلک</w:t>
      </w:r>
      <w:r>
        <w:rPr>
          <w:rFonts w:eastAsia="IRNazanin" w:cs="IRNazanin"/>
          <w:color w:val="111111"/>
          <w:sz w:val="28"/>
          <w:szCs w:val="28"/>
          <w:rtl w:val="true"/>
          <w:lang w:bidi="fa-IR"/>
        </w:rPr>
        <w:t>.</w:t>
      </w:r>
    </w:p>
    <w:p>
      <w:pPr>
        <w:pStyle w:val="Heading5"/>
        <w:numPr>
          <w:ilvl w:val="4"/>
          <w:numId w:val="1"/>
        </w:numPr>
        <w:rPr/>
      </w:pPr>
      <w:bookmarkStart w:id="428" w:name="__RefHeading___Toc9530735_73709187"/>
      <w:bookmarkStart w:id="429" w:name="_Toc170"/>
      <w:bookmarkEnd w:id="428"/>
      <w:r>
        <w:rPr>
          <w:rtl w:val="true"/>
        </w:rPr>
        <w:t>عدم الفرق فی الإقرار بین الأب و الاُمّ‌</w:t>
      </w:r>
      <w:bookmarkEnd w:id="429"/>
    </w:p>
    <w:p>
      <w:pPr>
        <w:pStyle w:val="BookText"/>
        <w:rPr/>
      </w:pPr>
      <w:r>
        <w:rPr>
          <w:rFonts w:ascii="IRNazanin" w:hAnsi="IRNazanin" w:eastAsia="IRNazanin"/>
          <w:color w:val="111111"/>
          <w:sz w:val="28"/>
          <w:sz w:val="28"/>
          <w:szCs w:val="28"/>
          <w:rtl w:val="true"/>
          <w:lang w:bidi="fa-IR"/>
        </w:rPr>
        <w:t>هل یعتبر فی الإقرار بالولد أن یکون المقرّ أباً، أو یصحّ من الاُمّ أیضاً،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بالفرق و اختصاص ذلک بإقرار الأب، کالشهید رحمه الله فی الدروس، حیث جعل من جملة الشرائط المعتبرة فی الإقرار بالنسب أن یکون أباً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المقرّ أباً، فلو أقرّت الاُمّ فلا بدّ من التصدیق علی الأقرب؛ لإمکان إقامتها البیّنة علی الولادة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مال إلی هذا القول فی المسالک،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الاُمّ، ففی إلحاقها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منشؤهما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الأدلّة الدالّة علی نفوذ الإقرار بالولد، و من ثبوت نسب غیر معلوم الثبوت علی خلاف الأصل، فیقتصر علی إقرار الرجل مع وجود الفارق بینهما بإمکان إقامة الاُمّ البیّنة علی الولادة دونه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و جعله فی الروضة أصحّ القولین</w:t>
      </w:r>
      <w:r>
        <w:rPr>
          <w:rStyle w:val="FootnoteAnchor"/>
          <w:rtl w:val="true"/>
        </w:rPr>
        <w:footnoteReference w:id="740"/>
      </w:r>
      <w:r>
        <w:rPr>
          <w:rFonts w:ascii="IRNazanin" w:hAnsi="IRNazanin" w:eastAsia="IRNazanin"/>
          <w:color w:val="111111"/>
          <w:sz w:val="28"/>
          <w:sz w:val="28"/>
          <w:szCs w:val="28"/>
          <w:rtl w:val="true"/>
          <w:lang w:bidi="fa-IR"/>
        </w:rPr>
        <w:t>، و توقّف فی القواعد</w:t>
      </w:r>
      <w:r>
        <w:rPr>
          <w:rStyle w:val="FootnoteAnchor"/>
          <w:rtl w:val="true"/>
        </w:rPr>
        <w:footnoteReference w:id="741"/>
      </w:r>
      <w:r>
        <w:rPr>
          <w:rFonts w:ascii="IRNazanin" w:hAnsi="IRNazanin" w:eastAsia="IRNazanin"/>
          <w:color w:val="111111"/>
          <w:sz w:val="28"/>
          <w:sz w:val="28"/>
          <w:szCs w:val="28"/>
          <w:rtl w:val="true"/>
          <w:lang w:bidi="fa-IR"/>
        </w:rPr>
        <w:t>، و الإیضاح</w:t>
      </w:r>
      <w:r>
        <w:rPr>
          <w:rStyle w:val="FootnoteAnchor"/>
          <w:rtl w:val="true"/>
        </w:rPr>
        <w:footnoteReference w:id="742"/>
      </w:r>
      <w:r>
        <w:rPr>
          <w:rFonts w:ascii="IRNazanin" w:hAnsi="IRNazanin" w:eastAsia="IRNazanin"/>
          <w:color w:val="111111"/>
          <w:sz w:val="28"/>
          <w:sz w:val="28"/>
          <w:szCs w:val="28"/>
          <w:rtl w:val="true"/>
          <w:lang w:bidi="fa-IR"/>
        </w:rPr>
        <w:t>، و جامع المقاصد</w:t>
      </w:r>
      <w:r>
        <w:rPr>
          <w:rStyle w:val="FootnoteAnchor"/>
          <w:rtl w:val="true"/>
        </w:rPr>
        <w:footnoteReference w:id="743"/>
      </w:r>
      <w:bookmarkStart w:id="430" w:name="pg11754_112954"/>
    </w:p>
    <w:p>
      <w:pPr>
        <w:pStyle w:val="Heading5"/>
        <w:numPr>
          <w:ilvl w:val="4"/>
          <w:numId w:val="1"/>
        </w:numPr>
        <w:rPr/>
      </w:pPr>
      <w:bookmarkStart w:id="431" w:name="__RefHeading___Toc9530737_73709187"/>
      <w:bookmarkStart w:id="432" w:name="_Toc171"/>
      <w:bookmarkEnd w:id="430"/>
      <w:bookmarkEnd w:id="431"/>
      <w:r>
        <w:rPr>
          <w:rtl w:val="true"/>
        </w:rPr>
        <w:t>أدلّة اختصاص الإقرار بالأب</w:t>
      </w:r>
      <w:bookmarkEnd w:id="432"/>
    </w:p>
    <w:p>
      <w:pPr>
        <w:pStyle w:val="Heading6"/>
        <w:numPr>
          <w:ilvl w:val="5"/>
          <w:numId w:val="1"/>
        </w:numPr>
        <w:rPr/>
      </w:pPr>
      <w:bookmarkStart w:id="433" w:name="__RefHeading___Toc9530739_73709187"/>
      <w:bookmarkStart w:id="434" w:name="_Toc172"/>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و ما یمکن أن یکون دلیلاً لهذا القول امور</w:t>
      </w:r>
      <w:r>
        <w:rPr>
          <w:rFonts w:eastAsia="IRNazanin" w:cs="IRNazanin"/>
          <w:color w:val="111111"/>
          <w:sz w:val="28"/>
          <w:szCs w:val="28"/>
          <w:rtl w:val="true"/>
          <w:lang w:bidi="fa-IR"/>
        </w:rPr>
        <w:t>:</w:t>
      </w:r>
    </w:p>
    <w:p>
      <w:pPr>
        <w:pStyle w:val="Heading6"/>
        <w:numPr>
          <w:ilvl w:val="5"/>
          <w:numId w:val="1"/>
        </w:numPr>
        <w:rPr/>
      </w:pPr>
      <w:bookmarkStart w:id="435" w:name="__RefHeading___Toc9530741_73709187"/>
      <w:bookmarkStart w:id="436" w:name="_Toc173"/>
      <w:bookmarkEnd w:id="435"/>
      <w:r>
        <w:rPr>
          <w:rtl w:val="true"/>
        </w:rPr>
        <w:t>الأوّل</w:t>
      </w:r>
      <w:r>
        <w:rPr>
          <w:rtl w:val="true"/>
        </w:rPr>
        <w:t xml:space="preserve">: </w:t>
      </w:r>
      <w:r>
        <w:rPr>
          <w:rtl w:val="true"/>
        </w:rPr>
        <w:t>أنّ ثبوت نسب غیر معلوم الثبوت علی خلاف الأصل</w:t>
      </w:r>
      <w:bookmarkEnd w:id="436"/>
    </w:p>
    <w:p>
      <w:pPr>
        <w:pStyle w:val="BookText"/>
        <w:rPr/>
      </w:pPr>
      <w:r>
        <w:rPr>
          <w:rFonts w:ascii="IRNazanin" w:hAnsi="IRNazanin" w:eastAsia="IRNazanin"/>
          <w:color w:val="111111"/>
          <w:sz w:val="28"/>
          <w:sz w:val="28"/>
          <w:szCs w:val="28"/>
          <w:rtl w:val="true"/>
          <w:lang w:bidi="fa-IR"/>
        </w:rPr>
        <w:t>، فیقتصر فیه علی إقرار الرجل بالولد الصغیر للإجماع، و یبقی ما عداه علی الأصل، فیتوقّف علی البیّنة أو التصدیق، کما فی جامع المقاصد</w:t>
      </w:r>
      <w:r>
        <w:rPr>
          <w:rStyle w:val="FootnoteAnchor"/>
          <w:rtl w:val="true"/>
        </w:rPr>
        <w:footnoteReference w:id="744"/>
      </w:r>
      <w:r>
        <w:rPr>
          <w:rFonts w:ascii="IRNazanin" w:hAnsi="IRNazanin" w:eastAsia="IRNazanin"/>
          <w:color w:val="111111"/>
          <w:sz w:val="28"/>
          <w:sz w:val="28"/>
          <w:szCs w:val="28"/>
          <w:rtl w:val="true"/>
          <w:lang w:bidi="fa-IR"/>
        </w:rPr>
        <w:t>و المسالک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قریباً أنّ النصّ الصحیح یدلّ بعدم الفرق بین الأب و الاُمّ فی هذا الحکم</w:t>
      </w:r>
      <w:r>
        <w:rPr>
          <w:rFonts w:eastAsia="IRNazanin" w:cs="IRNazanin"/>
          <w:color w:val="111111"/>
          <w:sz w:val="28"/>
          <w:szCs w:val="28"/>
          <w:rtl w:val="true"/>
          <w:lang w:bidi="fa-IR"/>
        </w:rPr>
        <w:t>.</w:t>
      </w:r>
    </w:p>
    <w:p>
      <w:pPr>
        <w:pStyle w:val="Heading6"/>
        <w:numPr>
          <w:ilvl w:val="5"/>
          <w:numId w:val="1"/>
        </w:numPr>
        <w:rPr/>
      </w:pPr>
      <w:bookmarkStart w:id="437" w:name="__RefHeading___Toc9530743_73709187"/>
      <w:bookmarkStart w:id="438" w:name="_Toc174"/>
      <w:bookmarkEnd w:id="437"/>
      <w:r>
        <w:rPr>
          <w:rtl w:val="true"/>
        </w:rPr>
        <w:t>الثانی</w:t>
      </w:r>
      <w:r>
        <w:rPr>
          <w:rtl w:val="true"/>
        </w:rPr>
        <w:t xml:space="preserve">: </w:t>
      </w:r>
      <w:r>
        <w:rPr>
          <w:rtl w:val="true"/>
        </w:rPr>
        <w:t>النصوص التی تدلّ علی نفوذ الإقرار، وردت فی الرجل</w:t>
      </w:r>
      <w:bookmarkEnd w:id="438"/>
    </w:p>
    <w:p>
      <w:pPr>
        <w:pStyle w:val="BookText"/>
        <w:rPr/>
      </w:pPr>
      <w:r>
        <w:rPr>
          <w:rStyle w:val="FootnoteAnchor"/>
          <w:rtl w:val="true"/>
        </w:rPr>
        <w:footnoteReference w:id="746"/>
      </w:r>
      <w:r>
        <w:rPr>
          <w:rFonts w:ascii="IRNazanin" w:hAnsi="IRNazanin" w:eastAsia="IRNazanin"/>
          <w:color w:val="111111"/>
          <w:sz w:val="28"/>
          <w:sz w:val="28"/>
          <w:szCs w:val="28"/>
          <w:rtl w:val="true"/>
          <w:lang w:bidi="fa-IR"/>
        </w:rPr>
        <w:t>، فلا تتناول المرأة، کما فی الإیضاح</w:t>
      </w:r>
      <w:r>
        <w:rPr>
          <w:rStyle w:val="FootnoteAnchor"/>
          <w:rtl w:val="true"/>
        </w:rPr>
        <w:footnoteReference w:id="747"/>
      </w:r>
      <w:r>
        <w:rPr>
          <w:rFonts w:ascii="IRNazanin" w:hAnsi="IRNazanin" w:eastAsia="IRNazanin"/>
          <w:color w:val="111111"/>
          <w:sz w:val="28"/>
          <w:sz w:val="28"/>
          <w:szCs w:val="28"/>
          <w:rtl w:val="true"/>
          <w:lang w:bidi="fa-IR"/>
        </w:rPr>
        <w:t>و الروضة، و أضاف فیها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اتّحاد طریقهما ممنوع؛ لإمکان إقامتها البیّنة علی الولادة دونه</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النصوص أنّ مناط الحکم هو إقرار مَن یمکن أن یتولّد المقرّ به منه، و لا خصوصیة للأب، بل هو و الاُمّ فی هذا الحکم سیّان، و صدروها بلفظ الرجل من باب التغلیب کما فی موارد کثیرة اخری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إمکان إقامة البیّنة من قبل الاُمّ لا یوجب عدم تأثیر إقرارها، و إلاّ یلزم أن یحکم بعدم تأثیر إقرار الأب إن أمکن أن یقیم البیّنة، و لا یقول المستدلّ به، مضافاً إلی أنّ إمکان إقامتها البیّنة علی أصل الولادة غیر إقامتها علی ولادة المقرّ به بخصوصه الذی تتعذّر فی الغالب، کما فی الجواهر</w:t>
      </w:r>
      <w:r>
        <w:rPr>
          <w:rStyle w:val="FootnoteAnchor"/>
          <w:rtl w:val="true"/>
        </w:rPr>
        <w:footnoteReference w:id="749"/>
      </w:r>
      <w:bookmarkStart w:id="439" w:name="pg11754_112955"/>
    </w:p>
    <w:p>
      <w:pPr>
        <w:pStyle w:val="Heading6"/>
        <w:numPr>
          <w:ilvl w:val="5"/>
          <w:numId w:val="1"/>
        </w:numPr>
        <w:rPr/>
      </w:pPr>
      <w:bookmarkStart w:id="440" w:name="__RefHeading___Toc9530745_73709187"/>
      <w:bookmarkStart w:id="441" w:name="_Toc175"/>
      <w:bookmarkEnd w:id="439"/>
      <w:bookmarkEnd w:id="440"/>
      <w:r>
        <w:rPr>
          <w:rtl w:val="true"/>
        </w:rPr>
        <w:t>الثالث</w:t>
      </w:r>
      <w:r>
        <w:rPr>
          <w:rtl w:val="true"/>
        </w:rPr>
        <w:t xml:space="preserve">: </w:t>
      </w:r>
      <w:r>
        <w:rPr>
          <w:rtl w:val="true"/>
        </w:rPr>
        <w:t>موثّقة إسحاق بن عمّار</w:t>
      </w:r>
      <w:bookmarkEnd w:id="44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ادّعته النساء دون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یدفعه إلی الذی یعرف أنّ الحقّ لهم علی معرفته التی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عصبة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یعرف لهذا المدّعی میراث بدعوی النساء له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عدم ثبوت النسب بدعوی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 هو الرجل لا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الدعوی فیها هو المیراث لا النسب، مضافاً إلی أنّها قد خصّصت بصحیحة اخری سنذکرها قریباً، و عبّر عنها فی الجواهر بالخبر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 عدم جامعیّته لشرائط الحجّیة یمکن تخصیصه بما دلّ علی ثبوته بإقرارها فی الولد الصغیر</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الأقوی أنّها موثّقة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9530747_73709187"/>
      <w:bookmarkStart w:id="443" w:name="_Toc176"/>
      <w:bookmarkEnd w:id="442"/>
      <w:r>
        <w:rPr>
          <w:rtl w:val="true"/>
        </w:rPr>
        <w:t>عدم الفرق فی الإقرار بین الأب و الاُمّ‌</w:t>
      </w:r>
      <w:bookmarkEnd w:id="443"/>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مشهور الفقهاء من أنّه لا فرق بین الأب و الاُمّ فی ذلک، کما هو الظاهر من إطلاق کلمات بعضهم</w:t>
      </w:r>
      <w:r>
        <w:rPr>
          <w:rStyle w:val="FootnoteAnchor"/>
          <w:rtl w:val="true"/>
        </w:rPr>
        <w:footnoteReference w:id="752"/>
      </w:r>
      <w:r>
        <w:rPr>
          <w:rFonts w:ascii="IRNazanin" w:hAnsi="IRNazanin" w:eastAsia="IRNazanin"/>
          <w:color w:val="111111"/>
          <w:sz w:val="28"/>
          <w:sz w:val="28"/>
          <w:szCs w:val="28"/>
          <w:rtl w:val="true"/>
          <w:lang w:bidi="fa-IR"/>
        </w:rPr>
        <w:t>و تصریح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إطلاق العبارة و غیرها من عبائر الجماعة یقتضی عدم الفرق فی المقرّ بالولد بین کونه أباً أو امّاً</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المحقّق الأردبیلی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لم یجد الفرق، بل یحکم فی الاُمّ</w:t>
      </w:r>
      <w:bookmarkStart w:id="444" w:name="pg11754_112956"/>
    </w:p>
    <w:p>
      <w:pPr>
        <w:pStyle w:val="BookText"/>
        <w:rPr/>
      </w:pPr>
      <w:bookmarkEnd w:id="444"/>
      <w:r>
        <w:rPr>
          <w:rFonts w:ascii="IRNazanin" w:hAnsi="IRNazanin" w:eastAsia="IRNazanin"/>
          <w:color w:val="111111"/>
          <w:sz w:val="28"/>
          <w:sz w:val="28"/>
          <w:szCs w:val="28"/>
          <w:rtl w:val="true"/>
          <w:lang w:bidi="fa-IR"/>
        </w:rPr>
        <w:t>بالطریق الأولی</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یقوی الظنّ بإلحاق الاُمّ بالأب فی ذلک</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تحریر الوسیلة</w:t>
      </w:r>
      <w:r>
        <w:rPr>
          <w:rStyle w:val="FootnoteAnchor"/>
          <w:rtl w:val="true"/>
        </w:rPr>
        <w:footnoteReference w:id="756"/>
      </w:r>
      <w:r>
        <w:rPr>
          <w:rFonts w:ascii="IRNazanin" w:hAnsi="IRNazanin" w:eastAsia="IRNazanin"/>
          <w:color w:val="111111"/>
          <w:sz w:val="28"/>
          <w:sz w:val="28"/>
          <w:szCs w:val="28"/>
          <w:rtl w:val="true"/>
          <w:lang w:bidi="fa-IR"/>
        </w:rPr>
        <w:t>و شرحها أیضاً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النصوص الواردة تشمل الاُمّ أیضاً، و کذا عموم أدلّة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کصحیحة عبد الرحمن بن الحجّاج المتقدّمة</w:t>
      </w:r>
      <w:r>
        <w:rPr>
          <w:rStyle w:val="FootnoteAnchor"/>
          <w:rtl w:val="true"/>
        </w:rPr>
        <w:footnoteReference w:id="758"/>
      </w:r>
      <w:r>
        <w:rPr>
          <w:rFonts w:ascii="Amiri" w:hAnsi="Amiri" w:eastAsia="Amiri" w:cs="Amiri"/>
          <w:color w:val="111111"/>
          <w:sz w:val="28"/>
          <w:sz w:val="28"/>
          <w:szCs w:val="28"/>
          <w:rtl w:val="true"/>
          <w:lang w:bidi="ar-SA"/>
        </w:rPr>
        <w:t>؛ فإنّ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تسبی من أرضها و معها الولد الصغیر،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 الرجل یسبی فیلقی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 لیس لهم بیّنة إلاّ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جاءت بابنها أو بابنتها و لم تزل مقرّة به، و إذا عرف أخاه و کان ذلک فی صحّة منهما و لم یزالا مقرّین بذلک، ورث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إذا جاءت بابنها أو بابنتها و لم تزل مقرّة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التعلیل، بأنّ صرف إقرار الاُمّ یوجب ثبوت النسب بینها، و بین ولدها المقرّ به</w:t>
      </w:r>
      <w:r>
        <w:rPr>
          <w:rFonts w:eastAsia="IRNazanin" w:cs="IRNazanin"/>
          <w:color w:val="111111"/>
          <w:sz w:val="28"/>
          <w:szCs w:val="28"/>
          <w:rtl w:val="true"/>
          <w:lang w:bidi="fa-IR"/>
        </w:rPr>
        <w:t>.</w:t>
      </w:r>
    </w:p>
    <w:p>
      <w:pPr>
        <w:pStyle w:val="Heading5"/>
        <w:numPr>
          <w:ilvl w:val="4"/>
          <w:numId w:val="1"/>
        </w:numPr>
        <w:rPr/>
      </w:pPr>
      <w:bookmarkStart w:id="445" w:name="__RefHeading___Toc9530749_73709187"/>
      <w:bookmarkStart w:id="446" w:name="_Toc177"/>
      <w:bookmarkEnd w:id="445"/>
      <w:r>
        <w:rPr>
          <w:rtl w:val="true"/>
        </w:rPr>
        <w:t>آراء أهل السنّة فی الإقرار بالولد</w:t>
      </w:r>
      <w:bookmarkEnd w:id="446"/>
    </w:p>
    <w:p>
      <w:pPr>
        <w:pStyle w:val="BookText"/>
        <w:rPr/>
      </w:pPr>
      <w:r>
        <w:rPr>
          <w:rFonts w:ascii="IRNazanin" w:hAnsi="IRNazanin" w:eastAsia="IRNazanin"/>
          <w:color w:val="111111"/>
          <w:sz w:val="28"/>
          <w:sz w:val="28"/>
          <w:szCs w:val="28"/>
          <w:rtl w:val="true"/>
          <w:lang w:bidi="fa-IR"/>
        </w:rPr>
        <w:t>الظاهر أنّه لا خلاف بینهم فی أنّه یثبت النسب بالإقرار إذا تحقّق مع شرائطه المعتبرة فیه، و یترتّب علیه آثاره، فإلیک نصّ بعض کلماتهم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أقرّ رجل علی نفسه بنسب مجهول النسب یمکن أن یکون منه، فإن کان المقرّ به صغیراً أو مجنوناً ثبت نسبه؛ لأنّه أقرّ له بحقّ فثبت، کما لو أقرّ</w:t>
      </w:r>
    </w:p>
    <w:p>
      <w:pPr>
        <w:pStyle w:val="BookText"/>
        <w:rPr/>
      </w:pPr>
      <w:r>
        <w:rPr>
          <w:rFonts w:ascii="IRNazanin" w:hAnsi="IRNazanin" w:eastAsia="IRNazanin"/>
          <w:color w:val="111111"/>
          <w:sz w:val="28"/>
          <w:sz w:val="28"/>
          <w:szCs w:val="28"/>
          <w:rtl w:val="true"/>
          <w:lang w:bidi="fa-IR"/>
        </w:rPr>
        <w:t>له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به عاقلاً بالغاً لم یثبت إلاّ بتصدیقه؛ لأنّ له قولاً صحیحاً، فاعتبر تصدیقه فی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به میّتاً، فإن کان صغیراً أو مجنوناً ثبت نسبه؛ لأنّه یقبل إقراره به إذا کان حیّاً، فقبل إذا کان میّتاً</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شرح التنبیه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الفقیه الحنفی فی البنایة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بغلام یولد مثله، لمثله و لیس له نسب معروف أنّه ابنه و صدّقه الغلام ثبت نسبه منه؛ أی فیما إذا کان الغلام یُعبِّرُ عن نفسه، أمّا إذا کان لا یعبّر عنه یثبت نسبه منه بدون تصدیقه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762"/>
      </w:r>
      <w:r>
        <w:rPr>
          <w:rFonts w:ascii="IRNazanin" w:hAnsi="IRNazanin" w:eastAsia="IRNazanin"/>
          <w:color w:val="111111"/>
          <w:sz w:val="28"/>
          <w:sz w:val="28"/>
          <w:szCs w:val="28"/>
          <w:rtl w:val="true"/>
          <w:lang w:bidi="fa-IR"/>
        </w:rPr>
        <w:t>و الهدایة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بنسب مجهول النسب یمکن کونه منه و هو صغیر أو مجنون، ثبت نسبه منه؛ لأنّه أقرّ له بحقّ فثبت، کما لو أقرّ له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به بالغاً عاقلاً لم یثبت نسبه حتّی یصدّقه؛ لأنّ له فیه قولاً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المقرّ به میّتاً ثبت نسبه و إن کان بالغاً؛ لأنّه لا قول له</w:t>
      </w:r>
      <w:r>
        <w:rPr>
          <w:rStyle w:val="FootnoteAnchor"/>
          <w:rtl w:val="true"/>
        </w:rPr>
        <w:footnoteReference w:id="764"/>
      </w:r>
      <w:r>
        <w:rPr>
          <w:rFonts w:ascii="IRNazanin" w:hAnsi="IRNazanin" w:eastAsia="IRNazanin"/>
          <w:color w:val="111111"/>
          <w:sz w:val="28"/>
          <w:sz w:val="28"/>
          <w:szCs w:val="28"/>
          <w:rtl w:val="true"/>
          <w:lang w:bidi="fa-IR"/>
        </w:rPr>
        <w:t>، و به قال فی الفروع</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الاستلحاق فی العرف إقرار ذکر لا انثی، فلا استلحاق لاُمّ اتّفاقاً؛ لأنّ الاستلحاق من خصائص الأب</w:t>
      </w:r>
      <w:r>
        <w:rPr>
          <w:rFonts w:eastAsia="IRNazanin" w:cs="IRNazanin"/>
          <w:color w:val="111111"/>
          <w:sz w:val="28"/>
          <w:szCs w:val="28"/>
          <w:rtl w:val="true"/>
          <w:lang w:bidi="fa-IR"/>
        </w:rPr>
        <w:t>»</w:t>
      </w:r>
      <w:r>
        <w:rPr>
          <w:rStyle w:val="FootnoteAnchor"/>
          <w:rtl w:val="true"/>
        </w:rPr>
        <w:footnoteReference w:id="767"/>
      </w:r>
      <w:bookmarkStart w:id="447" w:name="pg11754_112958"/>
    </w:p>
    <w:p>
      <w:pPr>
        <w:pStyle w:val="Heading5"/>
        <w:numPr>
          <w:ilvl w:val="4"/>
          <w:numId w:val="1"/>
        </w:numPr>
        <w:rPr/>
      </w:pPr>
      <w:bookmarkStart w:id="448" w:name="__RefHeading___Toc9530751_73709187"/>
      <w:bookmarkStart w:id="449" w:name="_Toc178"/>
      <w:bookmarkEnd w:id="447"/>
      <w:bookmarkEnd w:id="448"/>
      <w:r>
        <w:rPr>
          <w:rtl w:val="true"/>
        </w:rPr>
        <w:t>فرعان ینبغی ذکرهما فی مبحث الإقرار</w:t>
      </w:r>
      <w:r>
        <w:rPr>
          <w:rtl w:val="true"/>
        </w:rPr>
        <w:t>:</w:t>
      </w:r>
      <w:bookmarkEnd w:id="449"/>
    </w:p>
    <w:p>
      <w:pPr>
        <w:pStyle w:val="Heading6"/>
        <w:numPr>
          <w:ilvl w:val="5"/>
          <w:numId w:val="1"/>
        </w:numPr>
        <w:rPr/>
      </w:pPr>
      <w:bookmarkStart w:id="450" w:name="__RefHeading___Toc9530753_73709187"/>
      <w:bookmarkStart w:id="451" w:name="_Toc179"/>
      <w:bookmarkEnd w:id="450"/>
      <w:r>
        <w:rPr>
          <w:rtl w:val="true"/>
        </w:rPr>
        <w:t>الأوّل</w:t>
      </w:r>
      <w:r>
        <w:rPr>
          <w:rtl w:val="true"/>
        </w:rPr>
        <w:t xml:space="preserve">: </w:t>
      </w:r>
      <w:r>
        <w:rPr>
          <w:rtl w:val="true"/>
        </w:rPr>
        <w:t>اتّفق الفقهاء فی أنّه إذا أقرّ الرجل بولد لم یقبل إنکاره بعده حتّی باللعان و الزم الولد</w:t>
      </w:r>
      <w:bookmarkEnd w:id="451"/>
    </w:p>
    <w:p>
      <w:pPr>
        <w:pStyle w:val="BookText"/>
        <w:rPr/>
      </w:pPr>
      <w:r>
        <w:rPr>
          <w:rFonts w:ascii="IRNazanin" w:hAnsi="IRNazanin" w:eastAsia="IRNazanin"/>
          <w:color w:val="111111"/>
          <w:sz w:val="28"/>
          <w:sz w:val="28"/>
          <w:szCs w:val="28"/>
          <w:rtl w:val="true"/>
          <w:lang w:bidi="fa-IR"/>
        </w:rPr>
        <w:t>ففی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بولد و قبله ثمّ نفاه بعد ذلک لم یقبل نفیه و الزم الولد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و به قال ابن سعید الحلّی</w:t>
      </w:r>
      <w:r>
        <w:rPr>
          <w:rStyle w:val="FootnoteAnchor"/>
          <w:rtl w:val="true"/>
        </w:rPr>
        <w:footnoteReference w:id="769"/>
      </w:r>
      <w:r>
        <w:rPr>
          <w:rFonts w:ascii="IRNazanin" w:hAnsi="IRNazanin" w:eastAsia="IRNazanin"/>
          <w:color w:val="111111"/>
          <w:sz w:val="28"/>
          <w:sz w:val="28"/>
          <w:szCs w:val="28"/>
          <w:rtl w:val="true"/>
          <w:lang w:bidi="fa-IR"/>
        </w:rPr>
        <w:t>و ابن إدریس</w:t>
      </w:r>
      <w:r>
        <w:rPr>
          <w:rStyle w:val="FootnoteAnchor"/>
          <w:rtl w:val="true"/>
        </w:rPr>
        <w:footnoteReference w:id="770"/>
      </w:r>
      <w:r>
        <w:rPr>
          <w:rFonts w:ascii="IRNazanin" w:hAnsi="IRNazanin" w:eastAsia="IRNazanin"/>
          <w:color w:val="111111"/>
          <w:sz w:val="28"/>
          <w:sz w:val="28"/>
          <w:szCs w:val="28"/>
          <w:rtl w:val="true"/>
          <w:lang w:bidi="fa-IR"/>
        </w:rPr>
        <w:t>، و کذا فی الکافی</w:t>
      </w:r>
      <w:r>
        <w:rPr>
          <w:rStyle w:val="FootnoteAnchor"/>
          <w:rtl w:val="true"/>
        </w:rPr>
        <w:footnoteReference w:id="771"/>
      </w:r>
      <w:r>
        <w:rPr>
          <w:rFonts w:ascii="Amiri" w:hAnsi="Amiri" w:eastAsia="Amiri" w:cs="Amiri"/>
          <w:color w:val="111111"/>
          <w:sz w:val="28"/>
          <w:sz w:val="28"/>
          <w:szCs w:val="28"/>
          <w:rtl w:val="true"/>
          <w:lang w:bidi="ar-SA"/>
        </w:rPr>
        <w:t>، و التبصرة</w:t>
      </w:r>
      <w:r>
        <w:rPr>
          <w:rStyle w:val="FootnoteAnchor"/>
          <w:rtl w:val="true"/>
        </w:rPr>
        <w:footnoteReference w:id="772"/>
      </w:r>
      <w:r>
        <w:rPr>
          <w:rFonts w:ascii="IRNazanin" w:hAnsi="IRNazanin" w:eastAsia="IRNazanin"/>
          <w:color w:val="111111"/>
          <w:sz w:val="28"/>
          <w:sz w:val="28"/>
          <w:szCs w:val="28"/>
          <w:rtl w:val="true"/>
          <w:lang w:bidi="fa-IR"/>
        </w:rPr>
        <w:t>، و الإیضاح</w:t>
      </w:r>
      <w:r>
        <w:rPr>
          <w:rStyle w:val="FootnoteAnchor"/>
          <w:rtl w:val="true"/>
        </w:rPr>
        <w:footnoteReference w:id="773"/>
      </w:r>
      <w:r>
        <w:rPr>
          <w:rFonts w:ascii="Amiri" w:hAnsi="Amiri" w:eastAsia="Amiri" w:cs="Amiri"/>
          <w:color w:val="111111"/>
          <w:sz w:val="28"/>
          <w:sz w:val="28"/>
          <w:szCs w:val="28"/>
          <w:rtl w:val="true"/>
          <w:lang w:bidi="ar-SA"/>
        </w:rPr>
        <w:t>، و الروضة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اعترف بالولد إمّا صریحاً أو فحوی لم یکن له بعد ذلک نفیه، و یحدّ لو نفاه و 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أجاب عن بارک اللّه لک فی مولدک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بالتأمین أو بمشیئة اللّه تعالی أو بنعم فهو اعتراف، بخلاف بارک اللّه فیک أو أحسن اللّه إلیک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و کذا فی التحریر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أقرّ بولد صریحاً أو فحوی لم یکن له إنکاره بعده و الصریح ظاهر، و الفحوی أن یجیب المبشّر بما یدلّ علی الرضا، مثل أن یقال 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 اللّه لک فی مولودک هذا،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أو إن شاء اللّه</w:t>
      </w:r>
      <w:r>
        <w:rPr>
          <w:rFonts w:eastAsia="IRNazanin" w:cs="IRNazanin"/>
          <w:color w:val="111111"/>
          <w:sz w:val="28"/>
          <w:szCs w:val="28"/>
          <w:rtl w:val="true"/>
          <w:lang w:bidi="fa-IR"/>
        </w:rPr>
        <w:t>»</w:t>
      </w:r>
      <w:r>
        <w:rPr>
          <w:rStyle w:val="FootnoteAnchor"/>
          <w:rtl w:val="true"/>
        </w:rPr>
        <w:footnoteReference w:id="777"/>
      </w:r>
      <w:bookmarkStart w:id="452" w:name="pg11754_112959"/>
    </w:p>
    <w:p>
      <w:pPr>
        <w:pStyle w:val="Heading6"/>
        <w:numPr>
          <w:ilvl w:val="5"/>
          <w:numId w:val="1"/>
        </w:numPr>
        <w:rPr/>
      </w:pPr>
      <w:bookmarkStart w:id="453" w:name="__RefHeading___Toc9530755_73709187"/>
      <w:bookmarkStart w:id="454" w:name="_Toc180"/>
      <w:bookmarkEnd w:id="452"/>
      <w:bookmarkEnd w:id="453"/>
      <w:r>
        <w:rPr>
          <w:rtl w:val="true"/>
        </w:rPr>
        <w:t>أدلّة عدم قبول الإنکار بعد الإقرار</w:t>
      </w:r>
      <w:bookmarkEnd w:id="454"/>
    </w:p>
    <w:p>
      <w:pPr>
        <w:pStyle w:val="BookText"/>
        <w:rPr/>
      </w:pPr>
      <w:r>
        <w:rPr>
          <w:rFonts w:ascii="IRNazanin" w:hAnsi="IRNazanin" w:eastAsia="IRNazanin"/>
          <w:color w:val="111111"/>
          <w:sz w:val="28"/>
          <w:sz w:val="28"/>
          <w:szCs w:val="28"/>
          <w:rtl w:val="true"/>
          <w:lang w:bidi="fa-IR"/>
        </w:rPr>
        <w:t>و یدلّ علی هذا الحکم امور</w:t>
      </w:r>
      <w:r>
        <w:rPr>
          <w:rFonts w:eastAsia="IRNazanin" w:cs="IRNazanin"/>
          <w:color w:val="111111"/>
          <w:sz w:val="28"/>
          <w:szCs w:val="28"/>
          <w:rtl w:val="true"/>
          <w:lang w:bidi="fa-IR"/>
        </w:rPr>
        <w:t>:</w:t>
      </w:r>
    </w:p>
    <w:p>
      <w:pPr>
        <w:pStyle w:val="Heading6"/>
        <w:numPr>
          <w:ilvl w:val="5"/>
          <w:numId w:val="1"/>
        </w:numPr>
        <w:rPr/>
      </w:pPr>
      <w:bookmarkStart w:id="455" w:name="__RefHeading___Toc9530757_73709187"/>
      <w:bookmarkStart w:id="456" w:name="_Toc181"/>
      <w:bookmarkEnd w:id="455"/>
      <w:r>
        <w:rPr>
          <w:rtl w:val="true"/>
        </w:rPr>
        <w:t>الأوّل</w:t>
      </w:r>
      <w:r>
        <w:rPr>
          <w:rtl w:val="true"/>
        </w:rPr>
        <w:t xml:space="preserve">: </w:t>
      </w:r>
      <w:r>
        <w:rPr>
          <w:rtl w:val="true"/>
        </w:rPr>
        <w:t>الإجماع</w:t>
      </w:r>
      <w:bookmarkEnd w:id="456"/>
    </w:p>
    <w:p>
      <w:pPr>
        <w:pStyle w:val="BookText"/>
        <w:rPr/>
      </w:pPr>
      <w:r>
        <w:rPr>
          <w:rFonts w:ascii="IRNazanin" w:hAnsi="IRNazanin" w:eastAsia="IRNazanin"/>
          <w:color w:val="111111"/>
          <w:sz w:val="28"/>
          <w:sz w:val="28"/>
          <w:szCs w:val="28"/>
          <w:rtl w:val="true"/>
          <w:lang w:bidi="fa-IR"/>
        </w:rPr>
        <w:t>الذی ادّعاه فی القواعد</w:t>
      </w:r>
      <w:r>
        <w:rPr>
          <w:rStyle w:val="FootnoteAnchor"/>
          <w:rtl w:val="true"/>
        </w:rPr>
        <w:footnoteReference w:id="778"/>
      </w:r>
      <w:r>
        <w:rPr>
          <w:rFonts w:ascii="IRNazanin" w:hAnsi="IRNazanin" w:eastAsia="IRNazanin"/>
          <w:color w:val="111111"/>
          <w:sz w:val="28"/>
          <w:sz w:val="28"/>
          <w:szCs w:val="28"/>
          <w:rtl w:val="true"/>
          <w:lang w:bidi="fa-IR"/>
        </w:rPr>
        <w:t>و کشف اللثام</w:t>
      </w:r>
      <w:r>
        <w:rPr>
          <w:rStyle w:val="FootnoteAnchor"/>
          <w:rtl w:val="true"/>
        </w:rPr>
        <w:footnoteReference w:id="779"/>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 إلاّ أنّ هذا الإجماع مدرکیّ، فلا یکون دلیلاً مستقلاًّ</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9530759_73709187"/>
      <w:bookmarkStart w:id="458" w:name="_Toc182"/>
      <w:bookmarkEnd w:id="457"/>
      <w:r>
        <w:rPr>
          <w:rtl w:val="true"/>
        </w:rPr>
        <w:t>الثانی</w:t>
      </w:r>
      <w:r>
        <w:rPr>
          <w:rtl w:val="true"/>
        </w:rPr>
        <w:t xml:space="preserve">: </w:t>
      </w:r>
      <w:r>
        <w:rPr>
          <w:rtl w:val="true"/>
        </w:rPr>
        <w:t>عموم قاعدة إقرار العقلاء علی أنفسهم</w:t>
      </w:r>
      <w:bookmarkEnd w:id="458"/>
    </w:p>
    <w:p>
      <w:pPr>
        <w:pStyle w:val="BookText"/>
        <w:rPr/>
      </w:pPr>
      <w:r>
        <w:rPr>
          <w:rFonts w:ascii="IRNazanin" w:hAnsi="IRNazanin" w:eastAsia="IRNazanin"/>
          <w:color w:val="111111"/>
          <w:sz w:val="28"/>
          <w:sz w:val="28"/>
          <w:szCs w:val="28"/>
          <w:rtl w:val="true"/>
          <w:lang w:bidi="fa-IR"/>
        </w:rPr>
        <w:t>؛ لأنّ الإقرار أمارة علی ثبوت ما أقرّ به علی نفسه و نفوذه فی حقّه، و الإنکار الذی یصدر منه بعد إقراره لا دلیل علی اعتباره، فوجوده کعدمه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9530761_73709187"/>
      <w:bookmarkStart w:id="460" w:name="_Toc183"/>
      <w:bookmarkEnd w:id="459"/>
      <w:r>
        <w:rPr>
          <w:rtl w:val="true"/>
        </w:rPr>
        <w:t>الثالث</w:t>
      </w:r>
      <w:r>
        <w:rPr>
          <w:rtl w:val="true"/>
        </w:rPr>
        <w:t xml:space="preserve">: </w:t>
      </w:r>
      <w:r>
        <w:rPr>
          <w:rtl w:val="true"/>
        </w:rPr>
        <w:t>النصوص المعتبرة</w:t>
      </w:r>
      <w:r>
        <w:rPr>
          <w:rtl w:val="true"/>
        </w:rPr>
        <w:t>:</w:t>
      </w:r>
      <w:bookmarkEnd w:id="46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أیّما رجل أقرّ بولده ثمّ انتفی منه فلیس له ذلک و لا کرامة، یلحق به ولده إذا کان من امرأته أو ولیدته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رجل بولده ثمّ نفاه لزمه</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ادّعی ولد امرأة لا یعرف له أب، ثمّ انتفی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بالولد ساعة لم ینف عنه أبداً</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bookmarkStart w:id="461" w:name="pg11754_112960"/>
    </w:p>
    <w:p>
      <w:pPr>
        <w:pStyle w:val="BookText"/>
        <w:rPr/>
      </w:pPr>
      <w:bookmarkEnd w:id="461"/>
      <w:r>
        <w:rPr>
          <w:rFonts w:ascii="IRNazanin" w:hAnsi="IRNazanin" w:eastAsia="IRNazanin"/>
          <w:color w:val="111111"/>
          <w:sz w:val="28"/>
          <w:sz w:val="28"/>
          <w:szCs w:val="28"/>
          <w:rtl w:val="true"/>
          <w:lang w:bidi="fa-IR"/>
        </w:rPr>
        <w:t>و یستفاد منها عدم سماع الإنکار حتّی لو لاعن</w:t>
      </w:r>
      <w:r>
        <w:rPr>
          <w:rFonts w:eastAsia="IRNazanin" w:cs="IRNazanin"/>
          <w:color w:val="111111"/>
          <w:sz w:val="28"/>
          <w:szCs w:val="28"/>
          <w:rtl w:val="true"/>
          <w:lang w:bidi="fa-IR"/>
        </w:rPr>
        <w:t>.</w:t>
      </w:r>
    </w:p>
    <w:p>
      <w:pPr>
        <w:pStyle w:val="Heading6"/>
        <w:numPr>
          <w:ilvl w:val="5"/>
          <w:numId w:val="1"/>
        </w:numPr>
        <w:rPr/>
      </w:pPr>
      <w:bookmarkStart w:id="462" w:name="__RefHeading___Toc9530763_73709187"/>
      <w:bookmarkStart w:id="463" w:name="_Toc184"/>
      <w:bookmarkEnd w:id="462"/>
      <w:r>
        <w:rPr>
          <w:rtl w:val="true"/>
        </w:rPr>
        <w:t>الفرع الثانی</w:t>
      </w:r>
      <w:r>
        <w:rPr>
          <w:rtl w:val="true"/>
        </w:rPr>
        <w:t xml:space="preserve">: </w:t>
      </w:r>
      <w:r>
        <w:rPr>
          <w:rtl w:val="true"/>
        </w:rPr>
        <w:t>قال الشیخ فی النهایة</w:t>
      </w:r>
      <w:r>
        <w:rPr>
          <w:rtl w:val="true"/>
        </w:rPr>
        <w:t>: «</w:t>
      </w:r>
      <w:r>
        <w:rPr>
          <w:rtl w:val="true"/>
        </w:rPr>
        <w:t xml:space="preserve">إن اعترف به </w:t>
      </w:r>
      <w:r>
        <w:rPr>
          <w:rtl w:val="true"/>
        </w:rPr>
        <w:t xml:space="preserve">- </w:t>
      </w:r>
      <w:r>
        <w:rPr>
          <w:rtl w:val="true"/>
        </w:rPr>
        <w:t xml:space="preserve">أی بالولد </w:t>
      </w:r>
      <w:r>
        <w:rPr>
          <w:rtl w:val="true"/>
        </w:rPr>
        <w:t xml:space="preserve">- </w:t>
      </w:r>
      <w:r>
        <w:rPr>
          <w:rtl w:val="true"/>
        </w:rPr>
        <w:t>بعد مضیّ اللعان الحق به</w:t>
      </w:r>
      <w:bookmarkEnd w:id="463"/>
    </w:p>
    <w:p>
      <w:pPr>
        <w:pStyle w:val="BookText"/>
        <w:rPr/>
      </w:pPr>
      <w:r>
        <w:rPr>
          <w:rFonts w:ascii="IRNazanin" w:hAnsi="IRNazanin" w:eastAsia="IRNazanin"/>
          <w:color w:val="111111"/>
          <w:sz w:val="28"/>
          <w:sz w:val="28"/>
          <w:szCs w:val="28"/>
          <w:rtl w:val="true"/>
          <w:lang w:bidi="fa-IR"/>
        </w:rPr>
        <w:t>و یرثه ولده و هو لا یرث ابنه، و یکون میراث الابن لاُمّه</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أکذب نفسه بعد اللعان الحق به الولد، لکن یرثه الولد و لا یرثه الأب، و لا من یتقرّب به، و ترثه الاُمّ و من یتقرّب بها</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إرشاد الأذهان</w:t>
      </w:r>
      <w:r>
        <w:rPr>
          <w:rStyle w:val="FootnoteAnchor"/>
          <w:rtl w:val="true"/>
        </w:rPr>
        <w:footnoteReference w:id="788"/>
      </w:r>
      <w:r>
        <w:rPr>
          <w:rFonts w:ascii="IRNazanin" w:hAnsi="IRNazanin" w:eastAsia="IRNazanin"/>
          <w:color w:val="111111"/>
          <w:sz w:val="28"/>
          <w:sz w:val="28"/>
          <w:szCs w:val="28"/>
          <w:rtl w:val="true"/>
          <w:lang w:bidi="fa-IR"/>
        </w:rPr>
        <w:t>، و القواعد</w:t>
      </w:r>
      <w:r>
        <w:rPr>
          <w:rStyle w:val="FootnoteAnchor"/>
          <w:rtl w:val="true"/>
        </w:rPr>
        <w:footnoteReference w:id="789"/>
      </w:r>
      <w:r>
        <w:rPr>
          <w:rFonts w:ascii="IRNazanin" w:hAnsi="IRNazanin" w:eastAsia="IRNazanin"/>
          <w:color w:val="111111"/>
          <w:sz w:val="28"/>
          <w:sz w:val="28"/>
          <w:szCs w:val="28"/>
          <w:rtl w:val="true"/>
          <w:lang w:bidi="fa-IR"/>
        </w:rPr>
        <w:t>، و الإیضاح</w:t>
      </w:r>
      <w:r>
        <w:rPr>
          <w:rStyle w:val="FootnoteAnchor"/>
          <w:rtl w:val="true"/>
        </w:rPr>
        <w:footnoteReference w:id="790"/>
      </w:r>
      <w:r>
        <w:rPr>
          <w:rFonts w:ascii="Amiri" w:hAnsi="Amiri" w:eastAsia="Amiri" w:cs="Amiri"/>
          <w:color w:val="111111"/>
          <w:sz w:val="28"/>
          <w:sz w:val="28"/>
          <w:szCs w:val="28"/>
          <w:rtl w:val="true"/>
          <w:lang w:bidi="ar-SA"/>
        </w:rPr>
        <w:t>، و الروضة</w:t>
      </w:r>
      <w:r>
        <w:rPr>
          <w:rStyle w:val="FootnoteAnchor"/>
          <w:rtl w:val="true"/>
        </w:rPr>
        <w:footnoteReference w:id="791"/>
      </w:r>
      <w:r>
        <w:rPr>
          <w:rFonts w:ascii="IRNazanin" w:hAnsi="IRNazanin" w:eastAsia="IRNazanin"/>
          <w:color w:val="111111"/>
          <w:sz w:val="28"/>
          <w:sz w:val="28"/>
          <w:szCs w:val="28"/>
          <w:rtl w:val="true"/>
          <w:lang w:bidi="fa-IR"/>
        </w:rPr>
        <w:t>، 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فیه نصّاً و فتوی</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 فی ذیل کلام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تلاعنا و أکذب نفسه بعد اللعان لم یتغیّر الحکم المترتّب علی اللعان، من التحریم المؤبّد، و انتفاء الإرث، إلاّ أنّه بمقتضی إقراره یرثه الولد من غیر عکس، و لا یرث أقرباء الأب و لا یرثونه إلاّ مع تصدیقهم فی قول، لأنّ الإقرار لا یتعدّی المقرّ</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9530765_73709187"/>
      <w:bookmarkStart w:id="465" w:name="_Toc185"/>
      <w:bookmarkEnd w:id="464"/>
      <w:r>
        <w:rPr>
          <w:rtl w:val="true"/>
        </w:rPr>
        <w:t>الدلیل علی جواز الإقرار بعد مضیّ اللعان</w:t>
      </w:r>
      <w:bookmarkEnd w:id="465"/>
    </w:p>
    <w:p>
      <w:pPr>
        <w:pStyle w:val="BookText"/>
        <w:rPr/>
      </w:pPr>
      <w:r>
        <w:rPr>
          <w:rFonts w:ascii="IRNazanin" w:hAnsi="IRNazanin" w:eastAsia="IRNazanin"/>
          <w:color w:val="111111"/>
          <w:sz w:val="28"/>
          <w:sz w:val="28"/>
          <w:szCs w:val="28"/>
          <w:rtl w:val="true"/>
          <w:lang w:bidi="fa-IR"/>
        </w:rPr>
        <w:t>و یدلّ علی هذا الحکم امور</w:t>
      </w:r>
      <w:r>
        <w:rPr>
          <w:rFonts w:eastAsia="IRNazanin" w:cs="IRNazanin"/>
          <w:color w:val="111111"/>
          <w:sz w:val="28"/>
          <w:szCs w:val="28"/>
          <w:rtl w:val="true"/>
          <w:lang w:bidi="fa-IR"/>
        </w:rPr>
        <w:t>.</w:t>
      </w:r>
    </w:p>
    <w:p>
      <w:pPr>
        <w:pStyle w:val="Heading6"/>
        <w:numPr>
          <w:ilvl w:val="5"/>
          <w:numId w:val="1"/>
        </w:numPr>
        <w:rPr/>
      </w:pPr>
      <w:bookmarkStart w:id="466" w:name="__RefHeading___Toc9530767_73709187"/>
      <w:bookmarkStart w:id="467" w:name="_Toc186"/>
      <w:bookmarkEnd w:id="466"/>
      <w:r>
        <w:rPr>
          <w:rtl w:val="true"/>
        </w:rPr>
        <w:t>الأوّل</w:t>
      </w:r>
      <w:r>
        <w:rPr>
          <w:rtl w:val="true"/>
        </w:rPr>
        <w:t xml:space="preserve">: </w:t>
      </w:r>
      <w:r>
        <w:rPr>
          <w:rtl w:val="true"/>
        </w:rPr>
        <w:t>الإجماع</w:t>
      </w:r>
      <w:bookmarkEnd w:id="4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المهذّب</w:t>
      </w:r>
      <w:r>
        <w:rPr>
          <w:rStyle w:val="FootnoteAnchor"/>
          <w:rtl w:val="true"/>
        </w:rPr>
        <w:footnoteReference w:id="794"/>
      </w:r>
      <w:bookmarkStart w:id="468" w:name="pg11754_112961"/>
    </w:p>
    <w:p>
      <w:pPr>
        <w:pStyle w:val="Heading6"/>
        <w:numPr>
          <w:ilvl w:val="5"/>
          <w:numId w:val="1"/>
        </w:numPr>
        <w:rPr/>
      </w:pPr>
      <w:bookmarkStart w:id="469" w:name="__RefHeading___Toc9530769_73709187"/>
      <w:bookmarkStart w:id="470" w:name="_Toc187"/>
      <w:bookmarkEnd w:id="468"/>
      <w:bookmarkEnd w:id="469"/>
      <w:r>
        <w:rPr>
          <w:rtl w:val="true"/>
        </w:rPr>
        <w:t>الثانی</w:t>
      </w:r>
      <w:r>
        <w:rPr>
          <w:rtl w:val="true"/>
        </w:rPr>
        <w:t xml:space="preserve">: </w:t>
      </w:r>
      <w:r>
        <w:rPr>
          <w:rtl w:val="true"/>
        </w:rPr>
        <w:t>عموم قاعدة الإقرار</w:t>
      </w:r>
      <w:bookmarkEnd w:id="470"/>
    </w:p>
    <w:p>
      <w:pPr>
        <w:pStyle w:val="BookText"/>
        <w:rPr/>
      </w:pP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علّل الحکم بإرث الولد أباه دون العکس؛ بأنّ اعترافه إقرار فی حقّ نفسه بإرثه منه</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9530771_73709187"/>
      <w:bookmarkStart w:id="472" w:name="_Toc188"/>
      <w:bookmarkEnd w:id="471"/>
      <w:r>
        <w:rPr>
          <w:rtl w:val="true"/>
        </w:rPr>
        <w:t>الثالث</w:t>
      </w:r>
      <w:r>
        <w:rPr>
          <w:rtl w:val="true"/>
        </w:rPr>
        <w:t xml:space="preserve">: </w:t>
      </w:r>
      <w:r>
        <w:rPr>
          <w:rtl w:val="true"/>
        </w:rPr>
        <w:t>النصوص</w:t>
      </w:r>
      <w:bookmarkEnd w:id="4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w:t>
      </w:r>
    </w:p>
    <w:p>
      <w:p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الملاعنة التی یقذفها زوجها و ینتفی من ولدها، فیلاعنها و یفارقها، ثمّ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ولدی و یکذّب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المرأة فلا 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فإنّی أردّه علیه إذا ادّعاه و لا أدع ولده، و لیس له میراث، و یرث الابن الأب، و لا یرث الأب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الصحیحة الثانیة له</w:t>
      </w:r>
    </w:p>
    <w:p>
      <w:pPr>
        <w:pStyle w:val="BookText"/>
        <w:rPr/>
      </w:pPr>
      <w:r>
        <w:rPr>
          <w:rFonts w:ascii="IRNazanin" w:hAnsi="IRNazanin" w:eastAsia="IRNazanin"/>
          <w:color w:val="111111"/>
          <w:sz w:val="28"/>
          <w:sz w:val="28"/>
          <w:szCs w:val="28"/>
          <w:rtl w:val="true"/>
          <w:lang w:bidi="fa-IR"/>
        </w:rPr>
        <w:t>عنه علیه السلام أنّه سأله عن رجل لاعَنَ امرأته و هی حبلی، و قد استبان حملها و أنکر ما فی بطنها، فلمّا وضعت ادّعاه و أقرّ به و زعم أنّه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علیه ولده، و یرثه، و لا یجلد؛ لأنّ اللعان بینهما قد مضی</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بعض النصوص التی یظهر منها الخلاف مثل معتبرة</w:t>
      </w:r>
    </w:p>
    <w:p>
      <w:pPr>
        <w:pStyle w:val="BookText"/>
        <w:rPr/>
      </w:pPr>
      <w:r>
        <w:rPr>
          <w:rFonts w:ascii="IRNazanin" w:hAnsi="IRNazanin" w:eastAsia="IRNazanin"/>
          <w:color w:val="111111"/>
          <w:sz w:val="28"/>
          <w:sz w:val="28"/>
          <w:szCs w:val="28"/>
          <w:rtl w:val="true"/>
          <w:lang w:bidi="fa-IR"/>
        </w:rPr>
        <w:t>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و انتفی من ولدها، ثمّ أکذب نفسه بعد الملاعنة و زعم أنّ الولد ولده، هل یردّ علیه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کرامة، لا یردّ علیه، و لا تحلّ له إلی یوم القیامة</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بالنسبة إلی ما له، لا بالنسبة إلی ما علیه، و لذا قال الشیخ بعد نقل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لا یلحق به لحوقاً صحیحاً یرثه و یرثه أبوه</w:t>
      </w:r>
      <w:r>
        <w:rPr>
          <w:rFonts w:eastAsia="IRNazanin" w:cs="IRNazanin"/>
          <w:color w:val="111111"/>
          <w:sz w:val="28"/>
          <w:szCs w:val="28"/>
          <w:rtl w:val="true"/>
          <w:lang w:bidi="fa-IR"/>
        </w:rPr>
        <w:t>»</w:t>
      </w:r>
      <w:r>
        <w:rPr>
          <w:rFonts w:eastAsia="IRNazanin" w:cs="IRNazanin"/>
          <w:color w:val="111111"/>
          <w:sz w:val="28"/>
          <w:szCs w:val="28"/>
          <w:lang w:bidi="fa-IR"/>
        </w:rPr>
        <w:t>6</w:t>
      </w:r>
      <w:bookmarkStart w:id="473" w:name="pg11754_112962"/>
    </w:p>
    <w:p>
      <w:pPr>
        <w:pStyle w:val="BookText"/>
        <w:rPr/>
      </w:pPr>
      <w:bookmarkEnd w:id="473"/>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صحیح الحلبی المتقدّم بمنزلة الشرح و البیان لجمیع الروایات الواردة فی الباب، فلا وجه لتوهّم التعارض بینها، و لا بدّ حینئذٍ من ردّ غیره إلیه</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فالنصوص المتقدّمة تدلّ صریحاً علی وجوب ردّ الولد إلی الأب، بعد تکذیب نفسه من نفی الولد، و إثبات ما علیه من إرث الولد منه، و لکن لا یثبت 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کإرثه من الولد، و نفی الحرمة بینه و بین زوجها، و هو ظاهر</w:t>
      </w:r>
      <w:r>
        <w:rPr>
          <w:rFonts w:eastAsia="IRNazanin" w:cs="IRNazanin"/>
          <w:color w:val="111111"/>
          <w:sz w:val="28"/>
          <w:szCs w:val="28"/>
          <w:rtl w:val="true"/>
          <w:lang w:bidi="fa-IR"/>
        </w:rPr>
        <w:t>.</w:t>
      </w:r>
    </w:p>
    <w:p>
      <w:pPr>
        <w:pStyle w:val="Heading5"/>
        <w:numPr>
          <w:ilvl w:val="4"/>
          <w:numId w:val="1"/>
        </w:numPr>
        <w:rPr/>
      </w:pPr>
      <w:bookmarkStart w:id="474" w:name="__RefHeading___Toc9530773_73709187"/>
      <w:bookmarkStart w:id="475" w:name="_Toc189"/>
      <w:bookmarkEnd w:id="474"/>
      <w:r>
        <w:rPr>
          <w:rtl w:val="true"/>
        </w:rPr>
        <w:t>آراء أهل السنّة فی هذین الفرعین</w:t>
      </w:r>
      <w:bookmarkEnd w:id="475"/>
    </w:p>
    <w:p>
      <w:pPr>
        <w:pStyle w:val="BookText"/>
        <w:rPr/>
      </w:pPr>
      <w:r>
        <w:rPr>
          <w:rFonts w:ascii="IRNazanin" w:hAnsi="IRNazanin" w:eastAsia="IRNazanin"/>
          <w:color w:val="111111"/>
          <w:sz w:val="28"/>
          <w:sz w:val="28"/>
          <w:szCs w:val="28"/>
          <w:rtl w:val="true"/>
          <w:lang w:bidi="fa-IR"/>
        </w:rPr>
        <w:t>الظاهر أنّه لا خلاف بینهم فی أنّه إذا أقرّ الرجل بولد لا یقبل إنکاره بعده، و الزم بالولد، فإلیک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العزیز فی فقه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 امرأته بولد فأقرّ بنسبه لم یکن له النفی بعد ذلک؛ لأنّ المولود حقّاً فی النسب، فإذا أقرّ فقد التزم تلک الحقوق، و من أقرّ بما یوجب علیه حقّاً من حقوق الآدمیّین لم یتمکّن من الرجوع عنه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المهذّب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الفقهاء الحنفیّة، قال السرخسی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ثبت النسب بإقراره لم یکن له أن ینفیه بعد ذلک</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ردّ المحتار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النسب لا یحتمل النقض بعد ثبوته و الإقرار بمثله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الفقه الحنبلی، قال ابن قدامة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ثبت نسب المقرّ له به،</w:t>
      </w:r>
    </w:p>
    <w:p>
      <w:pPr>
        <w:pStyle w:val="BookText"/>
        <w:rPr/>
      </w:pPr>
      <w:r>
        <w:rPr>
          <w:rFonts w:ascii="IRNazanin" w:hAnsi="IRNazanin" w:eastAsia="IRNazanin"/>
          <w:color w:val="111111"/>
          <w:sz w:val="28"/>
          <w:sz w:val="28"/>
          <w:szCs w:val="28"/>
          <w:rtl w:val="true"/>
          <w:lang w:bidi="fa-IR"/>
        </w:rPr>
        <w:t>فرجع المقرّ عن الإقرار، لم یقبل رجوعه؛ لأنّه حقّ لغیره</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المبدع</w:t>
      </w:r>
      <w:r>
        <w:rPr>
          <w:rStyle w:val="FootnoteAnchor"/>
          <w:rtl w:val="true"/>
        </w:rPr>
        <w:footnoteReference w:id="806"/>
      </w:r>
      <w:r>
        <w:rPr>
          <w:rFonts w:ascii="IRNazanin" w:hAnsi="IRNazanin" w:eastAsia="IRNazanin"/>
          <w:color w:val="111111"/>
          <w:sz w:val="28"/>
          <w:sz w:val="28"/>
          <w:szCs w:val="28"/>
          <w:rtl w:val="true"/>
          <w:lang w:bidi="fa-IR"/>
        </w:rPr>
        <w:t>، و به قال أیضاً فقهاء المالکیّة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لا خلاف بینهم أیضاً فی أنّه إذا لاعن الزوج ثمّ أکذب نفسه لحقه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لاعن الزوج ثمّ أکذب نفسه وجب علیه حدّ القذف إن کانت المرأة محصنةً، أو التعزیر إن لم تکن محصنة، و لحقه النسب؛ لأنّ ذلک حقّ علیه، فعاد بتکذیبه</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809"/>
      </w:r>
      <w:r>
        <w:rPr>
          <w:rFonts w:ascii="IRNazanin" w:hAnsi="IRNazanin" w:eastAsia="IRNazanin"/>
          <w:color w:val="111111"/>
          <w:sz w:val="28"/>
          <w:sz w:val="28"/>
          <w:szCs w:val="28"/>
          <w:rtl w:val="true"/>
          <w:lang w:bidi="fa-IR"/>
        </w:rPr>
        <w:t>، و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لاعن الزوج ثمّ أکذب نفسه عاد کلّ حقّ علیه، و هو وجوب حدّ القذف علیه و لحوق النسب الذی نفاه به، و عادت حصانتها فی حقّه، و لا یعود کلّ حقّ 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الزوجیّة، و ارتفاع التحریم علی التأبید</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الإنصاف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المذهب، و علیه الأصحاب، و ینجرّ أیضاً نَسَبُهُ من جهة الاُمّ إلی جهة الأب کالولاء، و یتوارثان</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أکذب نفسه لحقه الولد إذا کان حیّاً بغیر خلاف بین أهل العلم، و إن کان میّتاً لحقه نسبه فی قول أکثر أهل العلم</w:t>
      </w:r>
      <w:r>
        <w:rPr>
          <w:rFonts w:eastAsia="IRNazanin" w:cs="IRNazanin"/>
          <w:color w:val="111111"/>
          <w:sz w:val="28"/>
          <w:szCs w:val="28"/>
          <w:rtl w:val="true"/>
          <w:lang w:bidi="fa-IR"/>
        </w:rPr>
        <w:t>»</w:t>
      </w:r>
      <w:r>
        <w:rPr>
          <w:rStyle w:val="FootnoteAnchor"/>
          <w:rtl w:val="true"/>
        </w:rPr>
        <w:footnoteReference w:id="812"/>
      </w:r>
      <w:bookmarkStart w:id="476" w:name="pg11754_112964"/>
    </w:p>
    <w:p>
      <w:pPr>
        <w:pStyle w:val="Heading3"/>
        <w:numPr>
          <w:ilvl w:val="2"/>
          <w:numId w:val="1"/>
        </w:numPr>
        <w:rPr/>
      </w:pPr>
      <w:bookmarkStart w:id="477" w:name="__RefHeading___Toc9530775_73709187"/>
      <w:bookmarkStart w:id="478" w:name="_Toc190"/>
      <w:bookmarkEnd w:id="476"/>
      <w:bookmarkEnd w:id="477"/>
      <w:r>
        <w:rPr>
          <w:rtl w:val="true"/>
        </w:rPr>
        <w:t>الفصل الثالث</w:t>
      </w:r>
      <w:r>
        <w:rPr>
          <w:rtl w:val="true"/>
        </w:rPr>
        <w:t xml:space="preserve">: </w:t>
      </w:r>
      <w:r>
        <w:rPr>
          <w:rtl w:val="true"/>
        </w:rPr>
        <w:t>اللقیط</w:t>
      </w:r>
      <w:bookmarkEnd w:id="478"/>
    </w:p>
    <w:p>
      <w:pPr>
        <w:pStyle w:val="Heading4"/>
        <w:numPr>
          <w:ilvl w:val="3"/>
          <w:numId w:val="1"/>
        </w:numPr>
        <w:rPr/>
      </w:pPr>
      <w:bookmarkStart w:id="479" w:name="__RefHeading___Toc9530777_73709187"/>
      <w:bookmarkStart w:id="480" w:name="_Toc191"/>
      <w:bookmarkEnd w:id="479"/>
      <w:r>
        <w:rPr>
          <w:rtl w:val="true"/>
        </w:rPr>
        <w:t>تمهید</w:t>
      </w:r>
      <w:r>
        <w:rPr>
          <w:rtl w:val="true"/>
        </w:rPr>
        <w:t>:</w:t>
      </w:r>
      <w:bookmarkEnd w:id="480"/>
    </w:p>
    <w:p>
      <w:pPr>
        <w:pStyle w:val="BookText"/>
        <w:rPr/>
      </w:pPr>
      <w:r>
        <w:rPr>
          <w:rFonts w:ascii="IRNazanin" w:hAnsi="IRNazanin" w:eastAsia="IRNazanin"/>
          <w:color w:val="111111"/>
          <w:sz w:val="28"/>
          <w:sz w:val="28"/>
          <w:szCs w:val="28"/>
          <w:rtl w:val="true"/>
          <w:lang w:bidi="fa-IR"/>
        </w:rPr>
        <w:t>من المباحث المهمّة التی ترتبط بالأطفال و ینبغی معرفة أحکامها، مسائل الطفل الذی یوجد ملقًی علی الطریق لا یُعرَفُ أبواه، و هو المسمّی فی اصطلاح الفقهاء باللقیط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نجده ملقًی علی الأرض إمّا مال، أو حیوان أو إنسان، و یسمّی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الضالّة،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w:t>
      </w:r>
      <w:r>
        <w:rPr>
          <w:rStyle w:val="FootnoteAnchor"/>
          <w:rtl w:val="true"/>
        </w:rPr>
        <w:footnoteReference w:id="813"/>
      </w:r>
      <w:r>
        <w:rPr>
          <w:rFonts w:ascii="IRNazanin" w:hAnsi="IRNazanin" w:eastAsia="IRNazanin"/>
          <w:color w:val="111111"/>
          <w:sz w:val="28"/>
          <w:sz w:val="28"/>
          <w:szCs w:val="28"/>
          <w:rtl w:val="true"/>
          <w:lang w:bidi="fa-IR"/>
        </w:rPr>
        <w:t xml:space="preserve">، و الملتقط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لمن أخذ هذا الشیء، و المقصود هنا البحث فی الثالث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إن وجدنا طفلاً علی الطریق أو فی المسجد أو سائر الأماکن العامّة، و لم یکن معه کبیر یحفظه و یحضنه، فکنّا مسئولین فی قباله، فما هو الحکم شرعاً؟ و هل یجب علی الملتقط حفظه و حضانته؟ أو یستحبّ له ذلک؟</w:t>
      </w:r>
      <w:bookmarkStart w:id="481" w:name="pg11754_112965"/>
    </w:p>
    <w:p>
      <w:pPr>
        <w:pStyle w:val="BookText"/>
        <w:rPr/>
      </w:pPr>
      <w:bookmarkEnd w:id="481"/>
      <w:r>
        <w:rPr>
          <w:rFonts w:ascii="IRNazanin" w:hAnsi="IRNazanin" w:eastAsia="IRNazanin"/>
          <w:color w:val="111111"/>
          <w:sz w:val="28"/>
          <w:sz w:val="28"/>
          <w:szCs w:val="28"/>
          <w:rtl w:val="true"/>
          <w:lang w:bidi="fa-IR"/>
        </w:rPr>
        <w:t>أم فیه تفصیل؟ و من هو وارثه؟ و علی من نفقته؟ و کیف یثبت نسبه و دینه؟ و هل یکون مالکاً لما معه، و هل کان له و لمن أخذه شرائط، أم لا؟</w:t>
      </w:r>
    </w:p>
    <w:p>
      <w:pPr>
        <w:pStyle w:val="BookText"/>
        <w:rPr/>
      </w:pPr>
      <w:r>
        <w:rPr>
          <w:rFonts w:ascii="IRNazanin" w:hAnsi="IRNazanin" w:eastAsia="IRNazanin"/>
          <w:color w:val="111111"/>
          <w:sz w:val="28"/>
          <w:sz w:val="28"/>
          <w:szCs w:val="28"/>
          <w:rtl w:val="true"/>
          <w:lang w:bidi="fa-IR"/>
        </w:rPr>
        <w:t>و للتحقیق فی المسائل التی اشیر إلیها و غیرها التی ترتبط به عقدنا هذا الفصل و یتشکّل من مباحث</w:t>
      </w:r>
      <w:r>
        <w:rPr>
          <w:rFonts w:eastAsia="IRNazanin" w:cs="IRNazanin"/>
          <w:color w:val="111111"/>
          <w:sz w:val="28"/>
          <w:szCs w:val="28"/>
          <w:rtl w:val="true"/>
          <w:lang w:bidi="fa-IR"/>
        </w:rPr>
        <w:t>:</w:t>
      </w:r>
    </w:p>
    <w:p>
      <w:pPr>
        <w:pStyle w:val="Heading4"/>
        <w:numPr>
          <w:ilvl w:val="3"/>
          <w:numId w:val="1"/>
        </w:numPr>
        <w:rPr/>
      </w:pPr>
      <w:bookmarkStart w:id="482" w:name="__RefHeading___Toc9530779_73709187"/>
      <w:bookmarkStart w:id="483" w:name="_Toc192"/>
      <w:bookmarkEnd w:id="482"/>
      <w:r>
        <w:rPr>
          <w:rtl w:val="true"/>
        </w:rPr>
        <w:t>المبحث الأوّل</w:t>
      </w:r>
      <w:r>
        <w:rPr>
          <w:rtl w:val="true"/>
        </w:rPr>
        <w:t xml:space="preserve">: </w:t>
      </w:r>
      <w:r>
        <w:rPr>
          <w:rtl w:val="true"/>
        </w:rPr>
        <w:t>معنی اللقیط‌</w:t>
      </w:r>
      <w:bookmarkEnd w:id="483"/>
    </w:p>
    <w:p>
      <w:pPr>
        <w:pStyle w:val="Heading5"/>
        <w:numPr>
          <w:ilvl w:val="4"/>
          <w:numId w:val="1"/>
        </w:numPr>
        <w:rPr/>
      </w:pPr>
      <w:bookmarkStart w:id="484" w:name="__RefHeading___Toc9530781_73709187"/>
      <w:bookmarkStart w:id="485" w:name="_Toc193"/>
      <w:bookmarkEnd w:id="484"/>
      <w:r>
        <w:rPr>
          <w:rtl w:val="true"/>
        </w:rPr>
        <w:t>أ</w:t>
      </w:r>
      <w:r>
        <w:rPr>
          <w:rtl w:val="true"/>
        </w:rPr>
        <w:t xml:space="preserve">: </w:t>
      </w:r>
      <w:r>
        <w:rPr>
          <w:rtl w:val="true"/>
        </w:rPr>
        <w:t>المعنی اللغوی</w:t>
      </w:r>
      <w:bookmarkEnd w:id="485"/>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الذی یوجد مرمیّاً علی الطُّرُق، لا یُعرف أبوه و لا امّه، فعیل بمعنی المفعول</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و کذا فی لسان العرب</w:t>
      </w:r>
      <w:r>
        <w:rPr>
          <w:rStyle w:val="FootnoteAnchor"/>
          <w:rtl w:val="true"/>
        </w:rPr>
        <w:footnoteReference w:id="815"/>
      </w:r>
      <w:r>
        <w:rPr>
          <w:rFonts w:ascii="IRNazanin" w:hAnsi="IRNazanin" w:eastAsia="IRNazanin"/>
          <w:color w:val="111111"/>
          <w:sz w:val="28"/>
          <w:sz w:val="28"/>
          <w:szCs w:val="28"/>
          <w:rtl w:val="true"/>
          <w:lang w:bidi="fa-IR"/>
        </w:rPr>
        <w:t>و معجم الوسیط‌</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وجودک للشیء علی غیر طلب،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یَلْتَقِطْهُ بَعْضُ السَّیّارَةِ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یجده من غیر قصد،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التقاطاً و وردت الماء التقاطاً إذا وردته و هجمت علیه بغتةً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 المنبوذ یجده إنسان، فهو اللقیط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المولود الذی ینبذ علی الطرق، أو یوجد مرمیّاً علی الطرق لا یعرف أبوه و لا امّه</w:t>
      </w:r>
      <w:r>
        <w:rPr>
          <w:rFonts w:eastAsia="IRNazanin" w:cs="IRNazanin"/>
          <w:color w:val="111111"/>
          <w:sz w:val="28"/>
          <w:szCs w:val="28"/>
          <w:rtl w:val="true"/>
          <w:lang w:bidi="fa-IR"/>
        </w:rPr>
        <w:t>»</w:t>
      </w:r>
      <w:r>
        <w:rPr>
          <w:rStyle w:val="FootnoteAnchor"/>
          <w:rtl w:val="true"/>
        </w:rPr>
        <w:footnoteReference w:id="818"/>
      </w:r>
      <w:bookmarkStart w:id="486" w:name="pg11754_112966"/>
    </w:p>
    <w:p>
      <w:pPr>
        <w:pStyle w:val="Heading5"/>
        <w:numPr>
          <w:ilvl w:val="4"/>
          <w:numId w:val="1"/>
        </w:numPr>
        <w:rPr/>
      </w:pPr>
      <w:bookmarkStart w:id="487" w:name="__RefHeading___Toc9530783_73709187"/>
      <w:bookmarkStart w:id="488" w:name="_Toc194"/>
      <w:bookmarkEnd w:id="486"/>
      <w:bookmarkEnd w:id="487"/>
      <w:r>
        <w:rPr>
          <w:rtl w:val="true"/>
        </w:rPr>
        <w:t>ب</w:t>
      </w:r>
      <w:r>
        <w:rPr>
          <w:rtl w:val="true"/>
        </w:rPr>
        <w:t xml:space="preserve">: </w:t>
      </w:r>
      <w:r>
        <w:rPr>
          <w:rtl w:val="true"/>
        </w:rPr>
        <w:t>المعنی الاصطلاحی</w:t>
      </w:r>
      <w:bookmarkEnd w:id="488"/>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و الملقوط و اللقیط بمعنی واحد</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صبیّ ضائع لا کافل له</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821"/>
      </w:r>
      <w:r>
        <w:rPr>
          <w:rFonts w:ascii="IRNazanin" w:hAnsi="IRNazanin" w:eastAsia="IRNazanin"/>
          <w:color w:val="111111"/>
          <w:sz w:val="28"/>
          <w:sz w:val="28"/>
          <w:szCs w:val="28"/>
          <w:rtl w:val="true"/>
          <w:lang w:bidi="fa-IR"/>
        </w:rPr>
        <w:t>و التحریر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ممیّزاً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 فی شرح تعریف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احترز بالصبیّ، عن البالغ؛ فإنّه مستغن عن الحضانة و التعهّد، فلا معنی لالتقاطه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فی معرض هلاکٍ وجب تخلیصه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بالضائع، عن غیر المنبوذ و إن لم یکن له کافل؛ فإنّه لا یصدق علیه اسمُ اللقیط و إن کانت کفالته واجبة کفایة کالضائع، إلاّ أنّه لا یسمّی لقیطاً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الاحتراز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کافل له، عن الصبیّ الملقوط؛ فإنّه فی ید الملتقط یصدق أنّ له کافلاً، و مع ذلک لا یخرج به عن اسم الضائع بالنسبة إلی أهله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یستثنی من الممیّز المراهق؛ لأنّه کالبالغ فی حفظ نفسه، فلا یجوز التقاطه</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الدروس المجنون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کلّ صبیّ أو صبیّة أو مجنون ضائع لا کافل له، و یسمّی ملقوطاً و منبوذاً، و اختلاف اسمیه باعتبار حالیه؛ فإنّه ینبذ أوّلاً</w:t>
      </w:r>
    </w:p>
    <w:p>
      <w:pPr>
        <w:pStyle w:val="BookText"/>
        <w:rPr/>
      </w:pPr>
      <w:r>
        <w:rPr>
          <w:rFonts w:ascii="IRNazanin" w:hAnsi="IRNazanin" w:eastAsia="IRNazanin"/>
          <w:color w:val="111111"/>
          <w:sz w:val="28"/>
          <w:sz w:val="28"/>
          <w:szCs w:val="28"/>
          <w:rtl w:val="true"/>
          <w:lang w:bidi="fa-IR"/>
        </w:rPr>
        <w:t>و یلتقط أخیراً</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فی اللمعة و الروضة</w:t>
      </w:r>
      <w:r>
        <w:rPr>
          <w:rStyle w:val="FootnoteAnchor"/>
          <w:rtl w:val="true"/>
        </w:rPr>
        <w:footnoteReference w:id="827"/>
      </w:r>
      <w:r>
        <w:rPr>
          <w:rFonts w:ascii="IRNazanin" w:hAnsi="IRNazanin" w:eastAsia="IRNazanin"/>
          <w:color w:val="111111"/>
          <w:sz w:val="28"/>
          <w:sz w:val="28"/>
          <w:szCs w:val="28"/>
          <w:rtl w:val="true"/>
          <w:lang w:bidi="fa-IR"/>
        </w:rPr>
        <w:t>و المسالک</w:t>
      </w:r>
      <w:r>
        <w:rPr>
          <w:rStyle w:val="FootnoteAnchor"/>
          <w:rtl w:val="true"/>
        </w:rPr>
        <w:footnoteReference w:id="828"/>
      </w:r>
      <w:r>
        <w:rPr>
          <w:rFonts w:ascii="IRNazanin" w:hAnsi="IRNazanin" w:eastAsia="IRNazanin"/>
          <w:color w:val="111111"/>
          <w:sz w:val="28"/>
          <w:sz w:val="28"/>
          <w:szCs w:val="28"/>
          <w:rtl w:val="true"/>
          <w:lang w:bidi="fa-IR"/>
        </w:rPr>
        <w:t>، و جامع المقاصد</w:t>
      </w:r>
      <w:r>
        <w:rPr>
          <w:rStyle w:val="FootnoteAnchor"/>
          <w:rtl w:val="true"/>
        </w:rPr>
        <w:footnoteReference w:id="829"/>
      </w:r>
      <w:r>
        <w:rPr>
          <w:rFonts w:ascii="IRNazanin" w:hAnsi="IRNazanin" w:eastAsia="IRNazanin"/>
          <w:color w:val="111111"/>
          <w:sz w:val="28"/>
          <w:sz w:val="28"/>
          <w:szCs w:val="28"/>
          <w:rtl w:val="true"/>
          <w:lang w:bidi="fa-IR"/>
        </w:rPr>
        <w:t>، و کذا فی المختصر النافع</w:t>
      </w:r>
      <w:r>
        <w:rPr>
          <w:rStyle w:val="FootnoteAnchor"/>
          <w:rtl w:val="true"/>
        </w:rPr>
        <w:footnoteReference w:id="830"/>
      </w:r>
      <w:r>
        <w:rPr>
          <w:rFonts w:ascii="IRNazanin" w:hAnsi="IRNazanin" w:eastAsia="IRNazanin"/>
          <w:color w:val="111111"/>
          <w:sz w:val="28"/>
          <w:sz w:val="28"/>
          <w:szCs w:val="28"/>
          <w:rtl w:val="true"/>
          <w:lang w:bidi="fa-IR"/>
        </w:rPr>
        <w:t>، و التنقیح الرائع</w:t>
      </w:r>
      <w:r>
        <w:rPr>
          <w:rStyle w:val="FootnoteAnchor"/>
          <w:rtl w:val="true"/>
        </w:rPr>
        <w:footnoteReference w:id="831"/>
      </w:r>
      <w:r>
        <w:rPr>
          <w:rFonts w:ascii="IRNazanin" w:hAnsi="IRNazanin" w:eastAsia="IRNazanin"/>
          <w:color w:val="111111"/>
          <w:sz w:val="28"/>
          <w:sz w:val="28"/>
          <w:szCs w:val="28"/>
          <w:rtl w:val="true"/>
          <w:lang w:bidi="fa-IR"/>
        </w:rPr>
        <w:t>، و المهذّب البارع</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الظاهر أنّه لم یکن للّقیط حقیقة شرعیة، و لم یکن عند الفقهاء فیه اصطلاح خاصّ، بل المقصود منه عندهم معناه اللغوی، و المعنی اللغوی کما عرفته لا یشمل المجنون، 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صبیّاً ضائعاً لا کافل له، و لا یستقلّ‌</w:t>
      </w:r>
      <w:r>
        <w:rPr>
          <w:rStyle w:val="FootnoteAnchor"/>
          <w:rtl w:val="true"/>
        </w:rPr>
        <w:footnoteReference w:id="833"/>
      </w:r>
      <w:r>
        <w:rPr>
          <w:rFonts w:ascii="IRNazanin" w:hAnsi="IRNazanin" w:eastAsia="IRNazanin"/>
          <w:color w:val="111111"/>
          <w:sz w:val="28"/>
          <w:sz w:val="28"/>
          <w:szCs w:val="28"/>
          <w:rtl w:val="true"/>
          <w:lang w:bidi="fa-IR"/>
        </w:rPr>
        <w:t xml:space="preserve">بنفسه علی السعی فیما یصلحه، و الدفع عمّا یضرّه و یهلکه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اللقیط یجوز بل یستحبّ التقاطه و أخذه، 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ذلک کلّه یظهر لک أنّ إیکال اللقیط إلی العرف لعدم الحقیقة الشرعیّة له أولی من هذه الکلمات التی لا یخفی علیک ما فیها بعد الإحاطة بما ذکرناه</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الأقرب عندنا تعریف المحقّق فی الشرائع و من تبعه، و مفاده </w:t>
      </w:r>
      <w:r>
        <w:rPr>
          <w:rFonts w:eastAsia="IRNazanin" w:cs="IRNazanin"/>
          <w:color w:val="111111"/>
          <w:sz w:val="28"/>
          <w:szCs w:val="28"/>
          <w:rtl w:val="true"/>
          <w:lang w:bidi="fa-IR"/>
        </w:rPr>
        <w:t>-</w:t>
      </w:r>
      <w:bookmarkStart w:id="489" w:name="pg11754_112968"/>
    </w:p>
    <w:p>
      <w:pPr>
        <w:pStyle w:val="BookText"/>
        <w:rPr/>
      </w:pPr>
      <w:bookmarkEnd w:id="489"/>
      <w:r>
        <w:rPr>
          <w:rFonts w:ascii="IRNazanin" w:hAnsi="IRNazanin" w:eastAsia="IRNazanin"/>
          <w:color w:val="111111"/>
          <w:sz w:val="28"/>
          <w:sz w:val="28"/>
          <w:szCs w:val="28"/>
          <w:rtl w:val="true"/>
          <w:lang w:bidi="fa-IR"/>
        </w:rPr>
        <w:t xml:space="preserve">بتوضیح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 هو کلّ صبیّ ضائع لا کافل له، و لا یستقلّ علی السعی فیما یصلحه و یدفع ما یضرّه و یهلکه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إلحاق المجنون کما فی کلمات بعضهم فی غیر محلّه، قال المحقّق الأردبیلی فی توضیح ما فی إرشاد الأذهان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یفهم أنّه یجوز التقاط المجنون، و أنّه محلّ تأمّل</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أهل اللغة یوافق ما فی الشرائع و ما وافقها</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کذا فی الجواهر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لما ذکراه هما و غیرهما من إلحاق المجنون مطلقاً بالصبیّ مع اعترافهم بما ذکرناه، و تصریح بعض</w:t>
      </w:r>
      <w:r>
        <w:rPr>
          <w:rStyle w:val="FootnoteAnchor"/>
          <w:rtl w:val="true"/>
        </w:rPr>
        <w:footnoteReference w:id="839"/>
      </w:r>
      <w:r>
        <w:rPr>
          <w:rFonts w:ascii="IRNazanin" w:hAnsi="IRNazanin" w:eastAsia="IRNazanin"/>
          <w:color w:val="111111"/>
          <w:sz w:val="28"/>
          <w:sz w:val="28"/>
          <w:szCs w:val="28"/>
          <w:rtl w:val="true"/>
          <w:lang w:bidi="fa-IR"/>
        </w:rPr>
        <w:t>أهل اللغة فی تعریف اللقیط بأنّه الصبیّ المنبوذ خاصّة، فالأجود وفاقاً لبعض من تأخّر عدم القطع بالإلحاق، بل التوقّف فیه، اللّهمَّ إلاّ أن یکون إجماعاً و لم أتحقّقه</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9530785_73709187"/>
      <w:bookmarkStart w:id="491" w:name="_Toc195"/>
      <w:bookmarkEnd w:id="490"/>
      <w:r>
        <w:rPr>
          <w:rtl w:val="true"/>
        </w:rPr>
        <w:t>ج</w:t>
      </w:r>
      <w:r>
        <w:rPr>
          <w:rtl w:val="true"/>
        </w:rPr>
        <w:t xml:space="preserve">: </w:t>
      </w:r>
      <w:r>
        <w:rPr>
          <w:rtl w:val="true"/>
        </w:rPr>
        <w:t>اللقیط عند أهل السنّة</w:t>
      </w:r>
      <w:bookmarkEnd w:id="491"/>
    </w:p>
    <w:p>
      <w:pPr>
        <w:pStyle w:val="BookText"/>
        <w:rPr/>
      </w:pPr>
      <w:r>
        <w:rPr>
          <w:rFonts w:ascii="IRNazanin" w:hAnsi="IRNazanin" w:eastAsia="IRNazanin"/>
          <w:color w:val="111111"/>
          <w:sz w:val="28"/>
          <w:sz w:val="28"/>
          <w:szCs w:val="28"/>
          <w:rtl w:val="true"/>
          <w:lang w:bidi="fa-IR"/>
        </w:rPr>
        <w:t xml:space="preserve">عرّفه بعض الشافعیة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اللقیط طفل نبیذ بنحو شارع لا یعرف له مدّع</w:t>
      </w:r>
      <w:r>
        <w:rPr>
          <w:rFonts w:eastAsia="IRNazanin" w:cs="IRNazanin"/>
          <w:color w:val="111111"/>
          <w:sz w:val="28"/>
          <w:szCs w:val="28"/>
          <w:rtl w:val="true"/>
          <w:lang w:bidi="fa-IR"/>
        </w:rPr>
        <w:t>»</w:t>
      </w:r>
      <w:r>
        <w:rPr>
          <w:rStyle w:val="FootnoteAnchor"/>
          <w:rtl w:val="true"/>
        </w:rPr>
        <w:footnoteReference w:id="84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مغنی المحتاج</w:t>
      </w:r>
      <w:r>
        <w:rPr>
          <w:rStyle w:val="FootnoteAnchor"/>
          <w:rtl w:val="true"/>
        </w:rPr>
        <w:footnoteReference w:id="842"/>
      </w:r>
      <w:r>
        <w:rPr>
          <w:rFonts w:ascii="IRNazanin" w:hAnsi="IRNazanin" w:eastAsia="IRNazanin"/>
          <w:color w:val="111111"/>
          <w:sz w:val="28"/>
          <w:sz w:val="28"/>
          <w:szCs w:val="28"/>
          <w:rtl w:val="true"/>
          <w:lang w:bidi="fa-IR"/>
        </w:rPr>
        <w:t>، و تبیین المسالک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 طرحه</w:t>
      </w:r>
    </w:p>
    <w:p>
      <w:pPr>
        <w:pStyle w:val="BookText"/>
        <w:rPr/>
      </w:pPr>
      <w:r>
        <w:rPr>
          <w:rFonts w:ascii="IRNazanin" w:hAnsi="IRNazanin" w:eastAsia="IRNazanin"/>
          <w:color w:val="111111"/>
          <w:sz w:val="28"/>
          <w:sz w:val="28"/>
          <w:szCs w:val="28"/>
          <w:rtl w:val="true"/>
          <w:lang w:bidi="fa-IR"/>
        </w:rPr>
        <w:t>أهله خوفاً من العیلة، أو فراراً من التهمة</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طفل لا ممیّز، لا یعرف نسبه و لا یعرف رقّه، طرح فی شارع، أو ضلّ الطریق ما بین ولادته إلی سنّ التمییز</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للطفل المفقود و هو الملقی، أو الطفل المأخوذ و المرفوع عادةً، فکان تسمیته لقیطاً باسم العاقبة؛ لأنّه یلقط عادة؛ أی یؤخذ و یرفع</w:t>
      </w:r>
      <w:r>
        <w:rPr>
          <w:rFonts w:eastAsia="IRNazanin" w:cs="IRNazanin"/>
          <w:color w:val="111111"/>
          <w:sz w:val="28"/>
          <w:szCs w:val="28"/>
          <w:rtl w:val="true"/>
          <w:lang w:bidi="fa-IR"/>
        </w:rPr>
        <w:t>»</w:t>
      </w:r>
      <w:r>
        <w:rPr>
          <w:rStyle w:val="FootnoteAnchor"/>
          <w:rtl w:val="true"/>
        </w:rPr>
        <w:footnoteReference w:id="845"/>
      </w:r>
      <w:bookmarkStart w:id="492" w:name="pg11754_112970"/>
    </w:p>
    <w:p>
      <w:pPr>
        <w:pStyle w:val="Heading4"/>
        <w:numPr>
          <w:ilvl w:val="3"/>
          <w:numId w:val="1"/>
        </w:numPr>
        <w:rPr/>
      </w:pPr>
      <w:bookmarkStart w:id="493" w:name="__RefHeading___Toc9530787_73709187"/>
      <w:bookmarkStart w:id="494" w:name="_Toc196"/>
      <w:bookmarkEnd w:id="492"/>
      <w:bookmarkEnd w:id="493"/>
      <w:r>
        <w:rPr>
          <w:rtl w:val="true"/>
        </w:rPr>
        <w:t>المبحث الثانی</w:t>
      </w:r>
      <w:r>
        <w:rPr>
          <w:rtl w:val="true"/>
        </w:rPr>
        <w:t xml:space="preserve">: </w:t>
      </w:r>
      <w:r>
        <w:rPr>
          <w:rtl w:val="true"/>
        </w:rPr>
        <w:t>ما یشترط فی اللقیط‌</w:t>
      </w:r>
      <w:bookmarkEnd w:id="494"/>
    </w:p>
    <w:p>
      <w:pPr>
        <w:pStyle w:val="Heading5"/>
        <w:numPr>
          <w:ilvl w:val="4"/>
          <w:numId w:val="1"/>
        </w:numPr>
        <w:rPr/>
      </w:pPr>
      <w:bookmarkStart w:id="495" w:name="__RefHeading___Toc9530789_73709187"/>
      <w:bookmarkStart w:id="496" w:name="_Toc197"/>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و یشترط فی اللقیط أن یکون صبیّاً ضائعاً لا کافل له حال الالتقاط، کما تقدّم فی تعریفه، و لا ریب فی تعلّق الحکم بالتقاط الطفل غیر الممیّز؛ لأنّه المتیقّن من النصوص و کلام أهل اللغة، و جرت به السیرة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ممّا لا خلاف فیه، بل الإجماع بقسیمه علیه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حکم الالتقاط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الأخذ و التصرّف فی اللقیط و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الأصل، فیقتصر فیه علی القدر المتیقن؛ و هو ما اطلق علیه اسم اللقیط حقیقةً و عرفاً؛ و هو الصّبی و الصبیّة غیر الممیّزین، و ثبوت أحکامه لهما ممّا تسالم علیه الأصحاب، و إنّما اختلفوا فی الصبیّ و الصبیّة الممیّزین،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 الممیّز إن لم یصل تمیّزه حدّاً یحفظ نفسه من الهلاک؛ بأن یقع فی بئرٍ أو نار أو سطح أو نحو ذلک، فالظاهر أنّه مثل غیر الممیّز، بل کاد أن لا یسمّی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تعدّی عن هذه المرتبة و بلغ سنّ التمیّز و إن احتاج إلی بعض الضروریّات؛ کغسل ثیابه و تعلیمه و تربیته، ففیه قولان</w:t>
      </w:r>
      <w:r>
        <w:rPr>
          <w:rFonts w:eastAsia="IRNazanin" w:cs="IRNazanin"/>
          <w:color w:val="111111"/>
          <w:sz w:val="28"/>
          <w:szCs w:val="28"/>
          <w:rtl w:val="true"/>
          <w:lang w:bidi="fa-IR"/>
        </w:rPr>
        <w:t>:</w:t>
      </w:r>
    </w:p>
    <w:p>
      <w:pPr>
        <w:pStyle w:val="Heading5"/>
        <w:numPr>
          <w:ilvl w:val="4"/>
          <w:numId w:val="1"/>
        </w:numPr>
        <w:rPr/>
      </w:pPr>
      <w:bookmarkStart w:id="497" w:name="__RefHeading___Toc9530791_73709187"/>
      <w:bookmarkStart w:id="498" w:name="_Toc198"/>
      <w:bookmarkEnd w:id="497"/>
      <w:r>
        <w:rPr>
          <w:rtl w:val="true"/>
        </w:rPr>
        <w:t>القول الأوّل</w:t>
      </w:r>
      <w:r>
        <w:rPr>
          <w:rtl w:val="true"/>
        </w:rPr>
        <w:t xml:space="preserve">: </w:t>
      </w:r>
      <w:r>
        <w:rPr>
          <w:rtl w:val="true"/>
        </w:rPr>
        <w:t>أنّه لا یجوز التقاطه</w:t>
      </w:r>
      <w:bookmarkEnd w:id="498"/>
    </w:p>
    <w:p>
      <w:pPr>
        <w:pStyle w:val="Heading6"/>
        <w:numPr>
          <w:ilvl w:val="5"/>
          <w:numId w:val="1"/>
        </w:numPr>
        <w:rPr/>
      </w:pPr>
      <w:bookmarkStart w:id="499" w:name="__RefHeading___Toc9530793_73709187"/>
      <w:bookmarkStart w:id="500" w:name="_Toc199"/>
      <w:bookmarkEnd w:id="499"/>
      <w:r>
        <w:rPr>
          <w:rtl w:val="true"/>
        </w:rPr>
        <w:t>اشارة</w:t>
      </w:r>
      <w:bookmarkEnd w:id="5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ذهب إلیه المحقّق الأردبیلی</w:t>
      </w:r>
      <w:r>
        <w:rPr>
          <w:rStyle w:val="FootnoteAnchor"/>
          <w:rtl w:val="true"/>
        </w:rPr>
        <w:footnoteReference w:id="847"/>
      </w:r>
      <w:r>
        <w:rPr>
          <w:rFonts w:ascii="IRNazanin" w:hAnsi="IRNazanin" w:eastAsia="IRNazanin"/>
          <w:color w:val="111111"/>
          <w:sz w:val="28"/>
          <w:sz w:val="28"/>
          <w:szCs w:val="28"/>
          <w:rtl w:val="true"/>
          <w:lang w:bidi="fa-IR"/>
        </w:rPr>
        <w:t>و السیّد صاحب الریاض</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مناهج المتّقین</w:t>
      </w:r>
      <w:r>
        <w:rPr>
          <w:rStyle w:val="FootnoteAnchor"/>
          <w:rtl w:val="true"/>
        </w:rPr>
        <w:footnoteReference w:id="849"/>
      </w:r>
      <w:r>
        <w:rPr>
          <w:rFonts w:ascii="IRNazanin" w:hAnsi="IRNazanin" w:eastAsia="IRNazanin"/>
          <w:color w:val="111111"/>
          <w:sz w:val="28"/>
          <w:sz w:val="28"/>
          <w:szCs w:val="28"/>
          <w:rtl w:val="true"/>
          <w:lang w:bidi="fa-IR"/>
        </w:rPr>
        <w:t>، و نسبه فی الدروس إلی القیل</w:t>
      </w:r>
      <w:r>
        <w:rPr>
          <w:rStyle w:val="FootnoteAnchor"/>
          <w:rtl w:val="true"/>
        </w:rPr>
        <w:footnoteReference w:id="850"/>
      </w:r>
      <w:bookmarkStart w:id="501" w:name="pg11754_112971"/>
    </w:p>
    <w:p>
      <w:pPr>
        <w:pStyle w:val="BookText"/>
        <w:rPr/>
      </w:pPr>
      <w:bookmarkEnd w:id="501"/>
      <w:r>
        <w:rPr>
          <w:rFonts w:ascii="IRNazanin" w:hAnsi="IRNazanin" w:eastAsia="IRNazanin"/>
          <w:color w:val="111111"/>
          <w:sz w:val="28"/>
          <w:sz w:val="28"/>
          <w:szCs w:val="28"/>
          <w:rtl w:val="true"/>
          <w:lang w:bidi="fa-IR"/>
        </w:rPr>
        <w:t>و استشکل فیه فی التحریر</w:t>
      </w:r>
      <w:r>
        <w:rPr>
          <w:rStyle w:val="FootnoteAnchor"/>
          <w:rtl w:val="true"/>
        </w:rPr>
        <w:footnoteReference w:id="851"/>
      </w:r>
      <w:r>
        <w:rPr>
          <w:rFonts w:ascii="IRNazanin" w:hAnsi="IRNazanin" w:eastAsia="IRNazanin"/>
          <w:color w:val="111111"/>
          <w:sz w:val="28"/>
          <w:sz w:val="28"/>
          <w:szCs w:val="28"/>
          <w:rtl w:val="true"/>
          <w:lang w:bidi="fa-IR"/>
        </w:rPr>
        <w:t>، و جعله فی التذکرة قولاً للشافعی</w:t>
      </w:r>
      <w:r>
        <w:rPr>
          <w:rStyle w:val="FootnoteAnchor"/>
          <w:rtl w:val="true"/>
        </w:rPr>
        <w:footnoteReference w:id="852"/>
      </w:r>
      <w:r>
        <w:rPr>
          <w:rFonts w:ascii="IRNazanin" w:hAnsi="IRNazanin" w:eastAsia="IRNazanin"/>
          <w:color w:val="111111"/>
          <w:sz w:val="28"/>
          <w:sz w:val="28"/>
          <w:szCs w:val="28"/>
          <w:rtl w:val="true"/>
          <w:lang w:bidi="fa-IR"/>
        </w:rPr>
        <w:t>، فلا بدّ حینئذٍ من إرجاع أمره إلی الحاکم، و هو من باب الولایة العامّة لحفظ المجانین و الغیّاب، فینصب له من یباشر ذلک و یصرف علیه من بیت المال</w:t>
      </w:r>
      <w:r>
        <w:rPr>
          <w:rFonts w:eastAsia="IRNazanin" w:cs="IRNazanin"/>
          <w:color w:val="111111"/>
          <w:sz w:val="28"/>
          <w:szCs w:val="28"/>
          <w:rtl w:val="true"/>
          <w:lang w:bidi="fa-IR"/>
        </w:rPr>
        <w:t>.</w:t>
      </w:r>
    </w:p>
    <w:p>
      <w:pPr>
        <w:pStyle w:val="Heading6"/>
        <w:numPr>
          <w:ilvl w:val="5"/>
          <w:numId w:val="1"/>
        </w:numPr>
        <w:rPr/>
      </w:pPr>
      <w:bookmarkStart w:id="502" w:name="__RefHeading___Toc9530795_73709187"/>
      <w:bookmarkStart w:id="503" w:name="_Toc200"/>
      <w:bookmarkEnd w:id="502"/>
      <w:r>
        <w:rPr>
          <w:rtl w:val="true"/>
        </w:rPr>
        <w:t>مستند القائل بعدم جواز التقاط الصبیّ الممیّز</w:t>
      </w:r>
      <w:bookmarkEnd w:id="503"/>
    </w:p>
    <w:p>
      <w:pPr>
        <w:pStyle w:val="BookText"/>
        <w:rPr/>
      </w:pPr>
      <w:r>
        <w:rPr>
          <w:rFonts w:ascii="IRNazanin" w:hAnsi="IRNazanin" w:eastAsia="IRNazanin"/>
          <w:color w:val="111111"/>
          <w:sz w:val="28"/>
          <w:sz w:val="28"/>
          <w:szCs w:val="28"/>
          <w:rtl w:val="true"/>
          <w:lang w:bidi="fa-IR"/>
        </w:rPr>
        <w:t>ما یمکن أن یستدلّ به علی عدم جواز التقاط الصبیّ الممیّز امور</w:t>
      </w:r>
      <w:r>
        <w:rPr>
          <w:rFonts w:eastAsia="IRNazanin" w:cs="IRNazanin"/>
          <w:color w:val="111111"/>
          <w:sz w:val="28"/>
          <w:szCs w:val="28"/>
          <w:rtl w:val="true"/>
          <w:lang w:bidi="fa-IR"/>
        </w:rPr>
        <w:t>:</w:t>
      </w:r>
    </w:p>
    <w:p>
      <w:pPr>
        <w:pStyle w:val="Heading6"/>
        <w:numPr>
          <w:ilvl w:val="5"/>
          <w:numId w:val="1"/>
        </w:numPr>
        <w:rPr/>
      </w:pPr>
      <w:bookmarkStart w:id="504" w:name="__RefHeading___Toc9530797_73709187"/>
      <w:bookmarkStart w:id="505" w:name="_Toc201"/>
      <w:bookmarkEnd w:id="504"/>
      <w:r>
        <w:rPr>
          <w:rtl w:val="true"/>
        </w:rPr>
        <w:t>الأوّل</w:t>
      </w:r>
      <w:r>
        <w:rPr>
          <w:rtl w:val="true"/>
        </w:rPr>
        <w:t xml:space="preserve">: </w:t>
      </w:r>
      <w:r>
        <w:rPr>
          <w:rtl w:val="true"/>
        </w:rPr>
        <w:t>عدم صدق اللقیط علیه</w:t>
      </w:r>
      <w:bookmarkEnd w:id="505"/>
    </w:p>
    <w:p>
      <w:pPr>
        <w:pStyle w:val="BookText"/>
        <w:rPr/>
      </w:pPr>
      <w:r>
        <w:rPr>
          <w:rFonts w:ascii="IRNazanin" w:hAnsi="IRNazanin" w:eastAsia="IRNazanin"/>
          <w:color w:val="111111"/>
          <w:sz w:val="28"/>
          <w:sz w:val="28"/>
          <w:szCs w:val="28"/>
          <w:rtl w:val="true"/>
          <w:lang w:bidi="fa-IR"/>
        </w:rPr>
        <w:t>، کما فی مفتاح الکرامة،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المدار علی الاسم لا علی الحاجة و أنّ الممیّز لا یسمّی لقیطاً عرفاً</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6" w:name="__RefHeading___Toc9530799_73709187"/>
      <w:bookmarkStart w:id="507" w:name="_Toc202"/>
      <w:bookmarkEnd w:id="506"/>
      <w:r>
        <w:rPr>
          <w:rtl w:val="true"/>
        </w:rPr>
        <w:t>الثانی</w:t>
      </w:r>
      <w:r>
        <w:rPr>
          <w:rtl w:val="true"/>
        </w:rPr>
        <w:t xml:space="preserve">: </w:t>
      </w:r>
      <w:r>
        <w:rPr>
          <w:rtl w:val="true"/>
        </w:rPr>
        <w:t>الأصل</w:t>
      </w:r>
      <w:bookmarkEnd w:id="507"/>
    </w:p>
    <w:p>
      <w:pPr>
        <w:pStyle w:val="BookText"/>
        <w:rPr/>
      </w:pPr>
      <w:r>
        <w:rPr>
          <w:rFonts w:ascii="IRNazanin" w:hAnsi="IRNazanin" w:eastAsia="IRNazanin"/>
          <w:color w:val="111111"/>
          <w:sz w:val="28"/>
          <w:sz w:val="28"/>
          <w:szCs w:val="28"/>
          <w:rtl w:val="true"/>
          <w:lang w:bidi="fa-IR"/>
        </w:rPr>
        <w:t>، ففی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الممیّز الدافع عن نفسه لا یسمّی لقیطاً جدّاً، و علی تقدیر التنزّل فلا أقلّ من الشکّ فی تسمیته بذلک حقیقة عرفاً، و هو کاف فی الرجوع إلی حکم الأصل، و لعلّ مراد المجوّزین خصوص الممیّز الغیر الدافع، علی ما یظهر من تعلیلهم الجواز بما یدلّ علیه</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وجوب الالتقاط، فیقتصر علی محلّ الوفاق، فإن لم یکن ممیّزاً فهو محلّ الوفاق، و إن کان ممیّزاً فی الجملة، و لکن مع ذلک ما وصل تمییزه إلی حفظ نفسه عن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یقع فی ماء أو بئرٍ أو نارٍ، أو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سطح و نحو ذلک، مثل وقوعه بین یدی الحیوانات، و خروجه من البلد إلی محلّ الهلاک 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مثل غیر الممیّز، بل کاد أن لا یسمّی به</w:t>
      </w:r>
      <w:r>
        <w:rPr>
          <w:rFonts w:eastAsia="IRNazanin" w:cs="IRNazanin"/>
          <w:color w:val="111111"/>
          <w:sz w:val="28"/>
          <w:szCs w:val="28"/>
          <w:rtl w:val="true"/>
          <w:lang w:bidi="fa-IR"/>
        </w:rPr>
        <w:t>.</w:t>
      </w:r>
      <w:bookmarkStart w:id="508" w:name="pg11754_112972"/>
    </w:p>
    <w:p>
      <w:pPr>
        <w:pStyle w:val="BookText"/>
        <w:rPr/>
      </w:pPr>
      <w:bookmarkEnd w:id="508"/>
      <w:r>
        <w:rPr>
          <w:rFonts w:ascii="IRNazanin" w:hAnsi="IRNazanin" w:eastAsia="IRNazanin"/>
          <w:color w:val="111111"/>
          <w:sz w:val="28"/>
          <w:sz w:val="28"/>
          <w:szCs w:val="28"/>
          <w:rtl w:val="true"/>
          <w:lang w:bidi="fa-IR"/>
        </w:rPr>
        <w:t>و أمّا إذا تعدّی عن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لا یجب التقاطه، بل لیس ذلک محلاًّ له، فیکون أمره إلی الحاکم کالبالغ، و الممیّز الذی لا یقدر بنفسه علی تلک الاُمور من باب الولایة العامّة، کحفظ المجانین و أموال الغیّاب و سائر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فینصب له من یباشر ذلک، و یصرف علیه من بیت المال إن لم یکن له مال</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مفتاح الکرامة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9530801_73709187"/>
      <w:bookmarkStart w:id="510" w:name="_Toc203"/>
      <w:bookmarkEnd w:id="509"/>
      <w:r>
        <w:rPr>
          <w:rtl w:val="true"/>
        </w:rPr>
        <w:t>الثالث</w:t>
      </w:r>
      <w:r>
        <w:rPr>
          <w:rtl w:val="true"/>
        </w:rPr>
        <w:t xml:space="preserve">: </w:t>
      </w:r>
      <w:r>
        <w:rPr>
          <w:rtl w:val="true"/>
        </w:rPr>
        <w:t>أنّه مستغن عن الحضانة و التعهّد</w:t>
      </w:r>
      <w:bookmarkEnd w:id="510"/>
    </w:p>
    <w:p>
      <w:pPr>
        <w:pStyle w:val="BookText"/>
        <w:rPr/>
      </w:pPr>
      <w:r>
        <w:rPr>
          <w:rFonts w:ascii="IRNazanin" w:hAnsi="IRNazanin" w:eastAsia="IRNazanin"/>
          <w:color w:val="111111"/>
          <w:sz w:val="28"/>
          <w:sz w:val="28"/>
          <w:szCs w:val="28"/>
          <w:rtl w:val="true"/>
          <w:lang w:bidi="fa-IR"/>
        </w:rPr>
        <w:t>، فلا معنی لالتقاطه، فکان کالبالغ فی حفظ نفسه کما فی التذکرة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9530803_73709187"/>
      <w:bookmarkStart w:id="512" w:name="_Toc204"/>
      <w:bookmarkEnd w:id="511"/>
      <w:r>
        <w:rPr>
          <w:rtl w:val="true"/>
        </w:rPr>
        <w:t xml:space="preserve">القول الثانی </w:t>
      </w:r>
      <w:r>
        <w:rPr>
          <w:rtl w:val="true"/>
        </w:rPr>
        <w:t xml:space="preserve">- </w:t>
      </w:r>
      <w:r>
        <w:rPr>
          <w:rtl w:val="true"/>
        </w:rPr>
        <w:t xml:space="preserve">و هو قول المشهور </w:t>
      </w:r>
      <w:r>
        <w:rPr>
          <w:rtl w:val="true"/>
        </w:rPr>
        <w:t xml:space="preserve">-: </w:t>
      </w:r>
      <w:r>
        <w:rPr>
          <w:rtl w:val="true"/>
        </w:rPr>
        <w:t>أنّه یجوز التقاط الصّبی الممیّز</w:t>
      </w:r>
      <w:bookmarkEnd w:id="512"/>
    </w:p>
    <w:p>
      <w:pPr>
        <w:pStyle w:val="Heading6"/>
        <w:numPr>
          <w:ilvl w:val="5"/>
          <w:numId w:val="1"/>
        </w:numPr>
        <w:rPr/>
      </w:pPr>
      <w:bookmarkStart w:id="513" w:name="__RefHeading___Toc9530805_73709187"/>
      <w:bookmarkStart w:id="514" w:name="_Toc205"/>
      <w:bookmarkEnd w:id="513"/>
      <w:r>
        <w:rPr>
          <w:rtl w:val="true"/>
        </w:rPr>
        <w:t>اشارة</w:t>
      </w:r>
      <w:bookmarkEnd w:id="5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یترتّب علیه أحکام اللقیط، و قد صرّح کثیر من الأصحاب بذلک، کالمحقّق فی الشرائع</w:t>
      </w:r>
      <w:r>
        <w:rPr>
          <w:rStyle w:val="FootnoteAnchor"/>
          <w:rtl w:val="true"/>
        </w:rPr>
        <w:footnoteReference w:id="858"/>
      </w:r>
      <w:r>
        <w:rPr>
          <w:rFonts w:ascii="IRNazanin" w:hAnsi="IRNazanin" w:eastAsia="IRNazanin"/>
          <w:color w:val="111111"/>
          <w:sz w:val="28"/>
          <w:sz w:val="28"/>
          <w:szCs w:val="28"/>
          <w:rtl w:val="true"/>
          <w:lang w:bidi="fa-IR"/>
        </w:rPr>
        <w:t>، و العلاّمة فی أکثر کتبه</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اللمعة</w:t>
      </w:r>
      <w:r>
        <w:rPr>
          <w:rStyle w:val="FootnoteAnchor"/>
          <w:rtl w:val="true"/>
        </w:rPr>
        <w:footnoteReference w:id="860"/>
      </w:r>
      <w:r>
        <w:rPr>
          <w:rFonts w:ascii="Amiri" w:hAnsi="Amiri" w:eastAsia="Amiri" w:cs="Amiri"/>
          <w:color w:val="111111"/>
          <w:sz w:val="28"/>
          <w:sz w:val="28"/>
          <w:szCs w:val="28"/>
          <w:rtl w:val="true"/>
          <w:lang w:bidi="ar-SA"/>
        </w:rPr>
        <w:t>، و الروضة</w:t>
      </w:r>
      <w:r>
        <w:rPr>
          <w:rStyle w:val="FootnoteAnchor"/>
          <w:rtl w:val="true"/>
        </w:rPr>
        <w:footnoteReference w:id="861"/>
      </w:r>
      <w:r>
        <w:rPr>
          <w:rFonts w:ascii="IRNazanin" w:hAnsi="IRNazanin" w:eastAsia="IRNazanin"/>
          <w:color w:val="111111"/>
          <w:sz w:val="28"/>
          <w:sz w:val="28"/>
          <w:szCs w:val="28"/>
          <w:rtl w:val="true"/>
          <w:lang w:bidi="fa-IR"/>
        </w:rPr>
        <w:t>، و المسالک</w:t>
      </w:r>
      <w:r>
        <w:rPr>
          <w:rStyle w:val="FootnoteAnchor"/>
          <w:rtl w:val="true"/>
        </w:rPr>
        <w:footnoteReference w:id="862"/>
      </w:r>
      <w:r>
        <w:rPr>
          <w:rFonts w:ascii="IRNazanin" w:hAnsi="IRNazanin" w:eastAsia="IRNazanin"/>
          <w:color w:val="111111"/>
          <w:sz w:val="28"/>
          <w:sz w:val="28"/>
          <w:szCs w:val="28"/>
          <w:rtl w:val="true"/>
          <w:lang w:bidi="fa-IR"/>
        </w:rPr>
        <w:t>، و غایة المراد</w:t>
      </w:r>
      <w:r>
        <w:rPr>
          <w:rStyle w:val="FootnoteAnchor"/>
          <w:rtl w:val="true"/>
        </w:rPr>
        <w:footnoteReference w:id="863"/>
      </w:r>
      <w:r>
        <w:rPr>
          <w:rFonts w:ascii="IRNazanin" w:hAnsi="IRNazanin" w:eastAsia="IRNazanin"/>
          <w:color w:val="111111"/>
          <w:sz w:val="28"/>
          <w:sz w:val="28"/>
          <w:szCs w:val="28"/>
          <w:rtl w:val="true"/>
          <w:lang w:bidi="fa-IR"/>
        </w:rPr>
        <w:t>، و جامع المقاصد</w:t>
      </w:r>
      <w:r>
        <w:rPr>
          <w:rStyle w:val="FootnoteAnchor"/>
          <w:rtl w:val="true"/>
        </w:rPr>
        <w:footnoteReference w:id="864"/>
      </w:r>
      <w:r>
        <w:rPr>
          <w:rFonts w:ascii="IRNazanin" w:hAnsi="IRNazanin" w:eastAsia="IRNazanin"/>
          <w:color w:val="111111"/>
          <w:sz w:val="28"/>
          <w:sz w:val="28"/>
          <w:szCs w:val="28"/>
          <w:rtl w:val="true"/>
          <w:lang w:bidi="fa-IR"/>
        </w:rPr>
        <w:t>، و الجواهر</w:t>
      </w:r>
      <w:r>
        <w:rPr>
          <w:rStyle w:val="FootnoteAnchor"/>
          <w:rtl w:val="true"/>
        </w:rPr>
        <w:footnoteReference w:id="865"/>
      </w:r>
      <w:r>
        <w:rPr>
          <w:rFonts w:ascii="IRNazanin" w:hAnsi="IRNazanin" w:eastAsia="IRNazanin"/>
          <w:color w:val="111111"/>
          <w:sz w:val="28"/>
          <w:sz w:val="28"/>
          <w:szCs w:val="28"/>
          <w:rtl w:val="true"/>
          <w:lang w:bidi="fa-IR"/>
        </w:rPr>
        <w:t>، و تحریر الوسیلة</w:t>
      </w:r>
      <w:r>
        <w:rPr>
          <w:rStyle w:val="FootnoteAnchor"/>
          <w:rtl w:val="true"/>
        </w:rPr>
        <w:footnoteReference w:id="866"/>
      </w:r>
      <w:r>
        <w:rPr>
          <w:rFonts w:ascii="IRNazanin" w:hAnsi="IRNazanin" w:eastAsia="IRNazanin"/>
          <w:color w:val="111111"/>
          <w:sz w:val="28"/>
          <w:sz w:val="28"/>
          <w:szCs w:val="28"/>
          <w:rtl w:val="true"/>
          <w:lang w:bidi="fa-IR"/>
        </w:rPr>
        <w:t>و شرحه</w:t>
      </w:r>
      <w:r>
        <w:rPr>
          <w:rStyle w:val="FootnoteAnchor"/>
          <w:rtl w:val="true"/>
        </w:rPr>
        <w:footnoteReference w:id="867"/>
      </w:r>
      <w:r>
        <w:rPr>
          <w:rFonts w:ascii="IRNazanin" w:hAnsi="IRNazanin" w:eastAsia="IRNazanin"/>
          <w:color w:val="111111"/>
          <w:sz w:val="28"/>
          <w:sz w:val="28"/>
          <w:szCs w:val="28"/>
          <w:rtl w:val="true"/>
          <w:lang w:bidi="fa-IR"/>
        </w:rPr>
        <w:t>، و استثنی المحقق</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الشهید</w:t>
      </w:r>
      <w:r>
        <w:rPr>
          <w:rStyle w:val="FootnoteAnchor"/>
          <w:rtl w:val="true"/>
        </w:rPr>
        <w:footnoteReference w:id="869"/>
      </w:r>
      <w:r>
        <w:rPr>
          <w:rFonts w:ascii="IRNazanin" w:hAnsi="IRNazanin" w:eastAsia="IRNazanin"/>
          <w:color w:val="111111"/>
          <w:sz w:val="28"/>
          <w:sz w:val="28"/>
          <w:szCs w:val="28"/>
          <w:rtl w:val="true"/>
          <w:lang w:bidi="fa-IR"/>
        </w:rPr>
        <w:t>الثانیان من الممیّز المراهق، و إلیه مال فی الدروس</w:t>
      </w:r>
      <w:r>
        <w:rPr>
          <w:rStyle w:val="FootnoteAnchor"/>
          <w:rtl w:val="true"/>
        </w:rPr>
        <w:footnoteReference w:id="870"/>
      </w:r>
      <w:r>
        <w:rPr>
          <w:rFonts w:ascii="Amiri" w:hAnsi="Amiri" w:eastAsia="Amiri" w:cs="Amiri"/>
          <w:color w:val="111111"/>
          <w:sz w:val="28"/>
          <w:sz w:val="28"/>
          <w:szCs w:val="28"/>
          <w:rtl w:val="true"/>
          <w:lang w:bidi="ar-SA"/>
        </w:rPr>
        <w:t>و اللمعة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القائلین بجواز التقاط الصبیّ الممیّز</w:t>
      </w:r>
    </w:p>
    <w:p>
      <w:pPr>
        <w:pStyle w:val="BookText"/>
        <w:rPr/>
      </w:pPr>
      <w:r>
        <w:rPr>
          <w:rFonts w:ascii="IRNazanin" w:hAnsi="IRNazanin" w:eastAsia="IRNazanin"/>
          <w:color w:val="111111"/>
          <w:sz w:val="28"/>
          <w:sz w:val="28"/>
          <w:szCs w:val="28"/>
          <w:rtl w:val="true"/>
          <w:lang w:bidi="fa-IR"/>
        </w:rPr>
        <w:t>ما یمکن أن یستدلّ علی جواز التقاط الصبیّ الممیّز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صغره و حاجته</w:t>
      </w:r>
      <w:r>
        <w:rPr>
          <w:rStyle w:val="FootnoteAnchor"/>
          <w:rtl w:val="true"/>
        </w:rPr>
        <w:footnoteReference w:id="872"/>
      </w:r>
      <w:r>
        <w:rPr>
          <w:rFonts w:ascii="IRNazanin" w:hAnsi="IRNazanin" w:eastAsia="IRNazanin"/>
          <w:color w:val="111111"/>
          <w:sz w:val="28"/>
          <w:sz w:val="28"/>
          <w:szCs w:val="28"/>
          <w:rtl w:val="true"/>
          <w:lang w:bidi="fa-IR"/>
        </w:rPr>
        <w:t>إلی التعهّد و التربیة</w:t>
      </w:r>
      <w:r>
        <w:rPr>
          <w:rStyle w:val="FootnoteAnchor"/>
          <w:rtl w:val="true"/>
        </w:rPr>
        <w:footnoteReference w:id="873"/>
      </w:r>
      <w:r>
        <w:rPr>
          <w:rFonts w:ascii="IRNazanin" w:hAnsi="IRNazanin" w:eastAsia="IRNazanin"/>
          <w:color w:val="111111"/>
          <w:sz w:val="28"/>
          <w:sz w:val="28"/>
          <w:szCs w:val="28"/>
          <w:rtl w:val="true"/>
          <w:lang w:bidi="fa-IR"/>
        </w:rPr>
        <w:t>، و عجزه عن رفع ضرورته، و صدق کونه لقیطاً بعد أن یکون ضائعاً و مرمیّاً و منبوذاً، کما فی الجواهر</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الدروس</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الالتقاط‌</w:t>
      </w:r>
      <w:r>
        <w:rPr>
          <w:rStyle w:val="FootnoteAnchor"/>
          <w:rtl w:val="true"/>
        </w:rPr>
        <w:footnoteReference w:id="876"/>
      </w:r>
      <w:r>
        <w:rPr>
          <w:rFonts w:ascii="Amiri" w:hAnsi="Amiri" w:eastAsia="Amiri" w:cs="Amiri"/>
          <w:color w:val="111111"/>
          <w:sz w:val="28"/>
          <w:sz w:val="28"/>
          <w:szCs w:val="28"/>
          <w:rtl w:val="true"/>
          <w:lang w:bidi="ar-SA"/>
        </w:rPr>
        <w:t>علی یوسف علیه السلام فی قوله تعالی،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أَلْقُوهُ فِی غَیابَتِ الْجُبِّ یَلْتَقِطْهُ بَعْضُ السَّیّارَةِ</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لأنّه کان ممیّزاً، کما یشهد علیه رؤیاه التی قصّها علی أبیه قبل أن یرمی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بعض الأخبار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عبد الرحمن العرزمی، 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فإذا کبر فإن شاء توالی إلی الذی التقطه، و إلاّ فلیردّ علیه النفقة، و لیذهب</w:t>
      </w:r>
      <w:bookmarkStart w:id="515" w:name="pg11754_112974"/>
    </w:p>
    <w:p>
      <w:pPr>
        <w:pStyle w:val="BookText"/>
        <w:rPr/>
      </w:pPr>
      <w:bookmarkEnd w:id="515"/>
      <w:r>
        <w:rPr>
          <w:rFonts w:ascii="IRNazanin" w:hAnsi="IRNazanin" w:eastAsia="IRNazanin"/>
          <w:color w:val="111111"/>
          <w:sz w:val="28"/>
          <w:sz w:val="28"/>
          <w:szCs w:val="28"/>
          <w:rtl w:val="true"/>
          <w:lang w:bidi="fa-IR"/>
        </w:rPr>
        <w:t>فلیوال من شاء</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ظاهرها یدلّ علی بقاء الطفل علی حکم الالتقاط حتّی یکبر فیتوالی من شاء؛ لأنّ المقصود من الکبر فیها البلوغ بقرینة المطالبة بالنفقة، و لو أنّ الممیّز المراهق</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لا یلتقط لکان المناسب خروج الملتقط عن حکم الالتقاط بوصول الصبیّ إلی الحدّ المزبور لا إلی البلوغ، کما فی الجواهر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9530807_73709187"/>
      <w:bookmarkStart w:id="517" w:name="_Toc206"/>
      <w:bookmarkEnd w:id="516"/>
      <w:r>
        <w:rPr>
          <w:rtl w:val="true"/>
        </w:rPr>
        <w:t>الرابع</w:t>
      </w:r>
      <w:r>
        <w:rPr>
          <w:rtl w:val="true"/>
        </w:rPr>
        <w:t xml:space="preserve">: </w:t>
      </w:r>
      <w:r>
        <w:rPr>
          <w:rtl w:val="true"/>
        </w:rPr>
        <w:t>إطلاق بعض الآخر</w:t>
      </w:r>
      <w:bookmarkEnd w:id="517"/>
    </w:p>
    <w:p>
      <w:pPr>
        <w:pStyle w:val="BookText"/>
        <w:rPr/>
      </w:pPr>
      <w:r>
        <w:rPr>
          <w:rFonts w:ascii="IRNazanin" w:hAnsi="IRNazanin" w:eastAsia="IRNazanin"/>
          <w:color w:val="111111"/>
          <w:sz w:val="28"/>
          <w:sz w:val="28"/>
          <w:szCs w:val="28"/>
          <w:rtl w:val="true"/>
          <w:lang w:bidi="fa-IR"/>
        </w:rPr>
        <w:t>لصحیحة ابن مسلم أو حسنته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اللقیط؟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لا یباع و لا یوهب</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لا یشتری و لا یباع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w:t>
      </w:r>
    </w:p>
    <w:p>
      <w:pPr>
        <w:pStyle w:val="BookText"/>
        <w:rPr/>
      </w:pPr>
      <w:r>
        <w:rPr>
          <w:rFonts w:ascii="IRNazanin" w:hAnsi="IRNazanin" w:eastAsia="IRNazanin"/>
          <w:color w:val="111111"/>
          <w:sz w:val="28"/>
          <w:sz w:val="28"/>
          <w:szCs w:val="28"/>
          <w:rtl w:val="true"/>
          <w:lang w:bidi="fa-IR"/>
        </w:rPr>
        <w:t>حاتم بن إسماعیل المدائنی،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فإن أحبّ أن یوالی غیر الذی ربّاه والاه، فإن طلب منه الذی ربّاه النفقة و کان موسراً ردّ علیه، و إن کان معسراً کان ما أنفق علیه صدقة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إطلاقها</w:t>
      </w:r>
      <w:r>
        <w:rPr>
          <w:rStyle w:val="FootnoteAnchor"/>
          <w:rtl w:val="true"/>
        </w:rPr>
        <w:footnoteReference w:id="882"/>
      </w:r>
      <w:r>
        <w:rPr>
          <w:rFonts w:ascii="IRNazanin" w:hAnsi="IRNazanin" w:eastAsia="IRNazanin"/>
          <w:color w:val="111111"/>
          <w:sz w:val="28"/>
          <w:sz w:val="28"/>
          <w:szCs w:val="28"/>
          <w:rtl w:val="true"/>
          <w:lang w:bidi="fa-IR"/>
        </w:rPr>
        <w:t>یشمل غیر الکبیر؛ سواء کان ممیّزاً مراهقاً، أم لم یکن کذلک، بعد فرض صدق اللقیط الذی کان ضائعاً لا کافل له علیهما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الجواب عمّا استدلّ به القائلون بعدم جواز التقاط الصبی الممیّز؛ لأنّه أیضاً یصدق علیه اللقیط، و لا یجری الأصل مع وجود الدلیل، و مفروض</w:t>
      </w:r>
      <w:bookmarkStart w:id="518" w:name="pg11754_112975"/>
    </w:p>
    <w:p>
      <w:pPr>
        <w:pStyle w:val="BookText"/>
        <w:rPr/>
      </w:pPr>
      <w:bookmarkEnd w:id="518"/>
      <w:r>
        <w:rPr>
          <w:rFonts w:ascii="IRNazanin" w:hAnsi="IRNazanin" w:eastAsia="IRNazanin"/>
          <w:color w:val="111111"/>
          <w:sz w:val="28"/>
          <w:sz w:val="28"/>
          <w:szCs w:val="28"/>
          <w:rtl w:val="true"/>
          <w:lang w:bidi="fa-IR"/>
        </w:rPr>
        <w:t xml:space="preserve">الکلام فی الممیّز الذی لا یستغنی عن الحضانة و الکفالة، و لعلّ النزاع لفظیّ، حیث إنّ الصبی الممیّز إن وصل تمییزه إلی مرتبة یقدر علی حفظ نفسه عن الهلاک، فالظاهر أنّه لا یجب التقاطه، و أمّا ما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یحتاج إلی الحضانة و الکفالة، و لا یستقلّ بحفظ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أو یجب التقاطه و إن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مقصود مَن قال بجواز التقاط الصّبی الممیز هو الثانی</w:t>
      </w:r>
      <w:r>
        <w:rPr>
          <w:rFonts w:eastAsia="IRNazanin" w:cs="IRNazanin"/>
          <w:color w:val="111111"/>
          <w:sz w:val="28"/>
          <w:szCs w:val="28"/>
          <w:rtl w:val="true"/>
          <w:lang w:bidi="fa-IR"/>
        </w:rPr>
        <w:t>.</w:t>
      </w:r>
    </w:p>
    <w:p>
      <w:pPr>
        <w:pStyle w:val="Heading5"/>
        <w:numPr>
          <w:ilvl w:val="4"/>
          <w:numId w:val="1"/>
        </w:numPr>
        <w:rPr/>
      </w:pPr>
      <w:bookmarkStart w:id="519" w:name="__RefHeading___Toc9530809_73709187"/>
      <w:bookmarkStart w:id="520" w:name="_Toc207"/>
      <w:bookmarkEnd w:id="519"/>
      <w:r>
        <w:rPr>
          <w:rtl w:val="true"/>
        </w:rPr>
        <w:t>عدم صدق اللقیط علی المجنون الکبیر</w:t>
      </w:r>
      <w:bookmarkEnd w:id="520"/>
    </w:p>
    <w:p>
      <w:pPr>
        <w:pStyle w:val="BookText"/>
        <w:rPr/>
      </w:pPr>
      <w:r>
        <w:rPr>
          <w:rFonts w:ascii="IRNazanin" w:hAnsi="IRNazanin" w:eastAsia="IRNazanin"/>
          <w:color w:val="111111"/>
          <w:sz w:val="28"/>
          <w:sz w:val="28"/>
          <w:szCs w:val="28"/>
          <w:rtl w:val="true"/>
          <w:lang w:bidi="fa-IR"/>
        </w:rPr>
        <w:t>و أمّا المجنون، فقد ذهب الشهیدان و المحقّق الثانی إلی أنّه یجوز التقاطه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کلّ صبی أو صبیّةٍ أو مجنون ضائع لا کافل له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للتقیید بالصبیّ؛ فإنّ غیره من الصبیّة و الخنثی غیر البالغ کذلک، و 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الضائع غیر المستقلّ بنفسه الّذی لا کافل له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یلتقط البالغ العاقل یفهم منه انّ المجنون یلتقط‌</w:t>
      </w:r>
      <w:r>
        <w:rPr>
          <w:rStyle w:val="FootnoteAnchor"/>
          <w:rtl w:val="true"/>
        </w:rPr>
        <w:footnoteReference w:id="885"/>
      </w:r>
      <w:r>
        <w:rPr>
          <w:rFonts w:ascii="IRNazanin" w:hAnsi="IRNazanin" w:eastAsia="IRNazanin"/>
          <w:color w:val="111111"/>
          <w:sz w:val="28"/>
          <w:sz w:val="28"/>
          <w:szCs w:val="28"/>
          <w:rtl w:val="true"/>
          <w:lang w:bidi="fa-IR"/>
        </w:rPr>
        <w:t>، و کذا هو ظاهر القواعد</w:t>
      </w:r>
      <w:r>
        <w:rPr>
          <w:rStyle w:val="FootnoteAnchor"/>
          <w:rtl w:val="true"/>
        </w:rPr>
        <w:footnoteReference w:id="886"/>
      </w:r>
      <w:r>
        <w:rPr>
          <w:rFonts w:ascii="IRNazanin" w:hAnsi="IRNazanin" w:eastAsia="IRNazanin"/>
          <w:color w:val="111111"/>
          <w:sz w:val="28"/>
          <w:sz w:val="28"/>
          <w:szCs w:val="28"/>
          <w:rtl w:val="true"/>
          <w:lang w:bidi="fa-IR"/>
        </w:rPr>
        <w:t>و الإرشاد</w:t>
      </w:r>
      <w:r>
        <w:rPr>
          <w:rStyle w:val="FootnoteAnchor"/>
          <w:rtl w:val="true"/>
        </w:rPr>
        <w:footnoteReference w:id="887"/>
      </w:r>
      <w:r>
        <w:rPr>
          <w:rFonts w:ascii="IRNazanin" w:hAnsi="IRNazanin" w:eastAsia="IRNazanin"/>
          <w:color w:val="111111"/>
          <w:sz w:val="28"/>
          <w:sz w:val="28"/>
          <w:szCs w:val="28"/>
          <w:rtl w:val="true"/>
          <w:lang w:bidi="fa-IR"/>
        </w:rPr>
        <w:t>و الکفایة</w:t>
      </w:r>
      <w:r>
        <w:rPr>
          <w:rStyle w:val="FootnoteAnchor"/>
          <w:rtl w:val="true"/>
        </w:rPr>
        <w:footnoteReference w:id="888"/>
      </w:r>
      <w:r>
        <w:rPr>
          <w:rFonts w:ascii="IRNazanin" w:hAnsi="IRNazanin" w:eastAsia="IRNazanin"/>
          <w:color w:val="111111"/>
          <w:sz w:val="28"/>
          <w:sz w:val="28"/>
          <w:szCs w:val="28"/>
          <w:rtl w:val="true"/>
          <w:lang w:bidi="fa-IR"/>
        </w:rPr>
        <w:t>حیث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حکم اللقیط بالبالغ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مقتضاه أنّه یلتقط غیر العاقل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له بأنّ الظاهر من تعلیلات علماء الخاصّة و العامّة أنّ</w:t>
      </w:r>
    </w:p>
    <w:p>
      <w:pPr>
        <w:pStyle w:val="BookText"/>
        <w:rPr/>
      </w:pPr>
      <w:r>
        <w:rPr>
          <w:rFonts w:ascii="IRNazanin" w:hAnsi="IRNazanin" w:eastAsia="IRNazanin"/>
          <w:color w:val="111111"/>
          <w:sz w:val="28"/>
          <w:sz w:val="28"/>
          <w:szCs w:val="28"/>
          <w:rtl w:val="true"/>
          <w:lang w:bidi="fa-IR"/>
        </w:rPr>
        <w:t>المدار</w:t>
      </w:r>
      <w:r>
        <w:rPr>
          <w:rStyle w:val="FootnoteAnchor"/>
          <w:rtl w:val="true"/>
        </w:rPr>
        <w:footnoteReference w:id="889"/>
      </w:r>
      <w:r>
        <w:rPr>
          <w:rFonts w:ascii="IRNazanin" w:hAnsi="IRNazanin" w:eastAsia="IRNazanin"/>
          <w:color w:val="111111"/>
          <w:sz w:val="28"/>
          <w:sz w:val="28"/>
          <w:szCs w:val="28"/>
          <w:rtl w:val="true"/>
          <w:lang w:bidi="fa-IR"/>
        </w:rPr>
        <w:t>علی الحاجة إلی الحضانة و التّعهد و العجز عن دفع الضرر، و هذه العلّة فی المجنون أیضاً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قال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الالتقاط لا یشمل المجنون، و أنّه مختصّ بالصبیّ نصّاً و فتوی 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أقوال اللغویّین و بعض الفقهاء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یشمل شیء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ما سمعته من النصوص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بل لعلّ العرف أیضاً یساعد علیه</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و فی مناهج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یلحق المجنون بالصبیّ، فلا یجوز التقاطه، و إنّما ولایته إلی الحاکم و عدول المؤمنین مع فقده</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حکم الالتقاط و هو الأخذ و التصرّف فی اللقیط و حفظه علی خلاف الأصل، و لا سیّما علی القول بوجوبه، فیقتصر فیه علی القدر المتیقّن من النصّ و الفتوی، و هو ما اطلق علیه اسم اللقیط حقیقةً عرفاً، و هو الصبیّ الشامل للصبیّة تغلیباً شائعاً دون مطلق الإنسان الشامل له و لمن فی حکمه، کالمجنون و إن لم یستقلّ بدفع المهلکات عن نفسه</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الریاض</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فإلحاق المجنون بالصبیّ کما أختاره جملة من الأصحاب غیر متّجهٍ، و الاستدلال بظاهر کلمات الأصحاب؛ من أنّ المدار علی الحاجة إلی الحضانة، لعلّه لبیان الحکمة لا العلّة، و وجوب حفظه عن التلف و انقاذه من الهلکة لا یثبت للمجنون حکم الالتقاط، فیکفی فیه حینئذ إیصاله إلی الحاکم المتولّی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یشترط فی صدق اللقیط علی الصغیر أیضاً انتفاء الأب و الاُمّ و الجدّ و الوصیّ لها و الملتقط السابق، کما فی عبائر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عدم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أب أو جدّ أو امّ اجبر الموجود منهم علی أخذه، و کذا لو سبق إلیه ملتقط ثمّ نبذه فأخذه آخر الزم الأوّل أخذه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قولنا ضائع یرید به المنبوذ؛ لأنّ غیر المنبوذ یحفظه أبوه أو جدّه لأبیه أو الوصیّ لأحدهما، فإن لم یکن أحد هؤلاء نصب القاضی له من یراعیه و یحفظه</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896"/>
      </w:r>
      <w:r>
        <w:rPr>
          <w:rFonts w:ascii="IRNazanin" w:hAnsi="IRNazanin" w:eastAsia="IRNazanin"/>
          <w:color w:val="111111"/>
          <w:sz w:val="28"/>
          <w:sz w:val="28"/>
          <w:szCs w:val="28"/>
          <w:rtl w:val="true"/>
          <w:lang w:bidi="fa-IR"/>
        </w:rPr>
        <w:t>، و التحریر</w:t>
      </w:r>
      <w:r>
        <w:rPr>
          <w:rStyle w:val="FootnoteAnchor"/>
          <w:rtl w:val="true"/>
        </w:rPr>
        <w:footnoteReference w:id="897"/>
      </w:r>
      <w:r>
        <w:rPr>
          <w:rFonts w:ascii="Amiri" w:hAnsi="Amiri" w:eastAsia="Amiri" w:cs="Amiri"/>
          <w:color w:val="111111"/>
          <w:sz w:val="28"/>
          <w:sz w:val="28"/>
          <w:szCs w:val="28"/>
          <w:rtl w:val="true"/>
          <w:lang w:bidi="ar-SA"/>
        </w:rPr>
        <w:t>، و الروضة</w:t>
      </w:r>
      <w:r>
        <w:rPr>
          <w:rStyle w:val="FootnoteAnchor"/>
          <w:rtl w:val="true"/>
        </w:rPr>
        <w:footnoteReference w:id="898"/>
      </w:r>
      <w:r>
        <w:rPr>
          <w:rFonts w:ascii="IRNazanin" w:hAnsi="IRNazanin" w:eastAsia="IRNazanin"/>
          <w:color w:val="111111"/>
          <w:sz w:val="28"/>
          <w:sz w:val="28"/>
          <w:szCs w:val="28"/>
          <w:rtl w:val="true"/>
          <w:lang w:bidi="fa-IR"/>
        </w:rPr>
        <w:t>، و جامع المقاصد</w:t>
      </w:r>
      <w:r>
        <w:rPr>
          <w:rStyle w:val="FootnoteAnchor"/>
          <w:rtl w:val="true"/>
        </w:rPr>
        <w:footnoteReference w:id="899"/>
      </w:r>
      <w:r>
        <w:rPr>
          <w:rFonts w:ascii="IRNazanin" w:hAnsi="IRNazanin" w:eastAsia="IRNazanin"/>
          <w:color w:val="111111"/>
          <w:sz w:val="28"/>
          <w:sz w:val="28"/>
          <w:szCs w:val="28"/>
          <w:rtl w:val="true"/>
          <w:lang w:bidi="fa-IR"/>
        </w:rPr>
        <w:t>، و غایة المرام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أب و إن علا، أو امّ و إن تصاعدت، أو ملتقط سابق اجبر علی أخذه</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الریاض</w:t>
      </w:r>
      <w:r>
        <w:rPr>
          <w:rStyle w:val="FootnoteAnchor"/>
          <w:rtl w:val="true"/>
        </w:rPr>
        <w:footnoteReference w:id="902"/>
      </w:r>
      <w:r>
        <w:rPr>
          <w:rFonts w:ascii="IRNazanin" w:hAnsi="IRNazanin" w:eastAsia="IRNazanin"/>
          <w:color w:val="111111"/>
          <w:sz w:val="28"/>
          <w:sz w:val="28"/>
          <w:szCs w:val="28"/>
          <w:rtl w:val="true"/>
          <w:lang w:bidi="fa-IR"/>
        </w:rPr>
        <w:t>، و مفتاح الکرامة</w:t>
      </w:r>
      <w:r>
        <w:rPr>
          <w:rStyle w:val="FootnoteAnchor"/>
          <w:rtl w:val="true"/>
        </w:rPr>
        <w:footnoteReference w:id="903"/>
      </w:r>
      <w:r>
        <w:rPr>
          <w:rFonts w:ascii="IRNazanin" w:hAnsi="IRNazanin" w:eastAsia="IRNazanin"/>
          <w:color w:val="111111"/>
          <w:sz w:val="28"/>
          <w:sz w:val="28"/>
          <w:szCs w:val="28"/>
          <w:rtl w:val="true"/>
          <w:lang w:bidi="fa-IR"/>
        </w:rPr>
        <w:t>، و مهذّب الأحکام</w:t>
      </w:r>
      <w:r>
        <w:rPr>
          <w:rStyle w:val="FootnoteAnchor"/>
          <w:rtl w:val="true"/>
        </w:rPr>
        <w:footnoteReference w:id="904"/>
      </w:r>
      <w:r>
        <w:rPr>
          <w:rFonts w:ascii="IRNazanin" w:hAnsi="IRNazanin" w:eastAsia="IRNazanin"/>
          <w:color w:val="111111"/>
          <w:sz w:val="28"/>
          <w:sz w:val="28"/>
          <w:szCs w:val="28"/>
          <w:rtl w:val="true"/>
          <w:lang w:bidi="fa-IR"/>
        </w:rPr>
        <w:t>، و الوسیلة</w:t>
      </w:r>
      <w:r>
        <w:rPr>
          <w:rStyle w:val="FootnoteAnchor"/>
          <w:rtl w:val="true"/>
        </w:rPr>
        <w:footnoteReference w:id="9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ممّا تقدّم فی البحث عن تعریف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وجد أحد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الأب أو الجدّ أو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بذلک عن عنوان اللقیط؛ لوجود الکافل له حینئذٍ، و اللقیط‌</w:t>
      </w:r>
      <w:r>
        <w:rPr>
          <w:rStyle w:val="FootnoteAnchor"/>
          <w:rtl w:val="true"/>
        </w:rPr>
        <w:footnoteReference w:id="906"/>
      </w:r>
      <w:r>
        <w:rPr>
          <w:rFonts w:ascii="IRNazanin" w:hAnsi="IRNazanin" w:eastAsia="IRNazanin"/>
          <w:color w:val="111111"/>
          <w:sz w:val="28"/>
          <w:sz w:val="28"/>
          <w:szCs w:val="28"/>
          <w:rtl w:val="true"/>
          <w:lang w:bidi="fa-IR"/>
        </w:rPr>
        <w:t>من لا کافل له، و کما لهؤلاء حقّ الحضانة، فلهم انتزاعه من ید آخذه، کذلک علیهم ذلک، فلو امتنعوا اجبروا علیه</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هذا الشرط ظاهر؛ لأنّه إن کان للصبیّ أب أو جدّ أو الوصیّ لهما لا یصدق علیه اللقیط، و یجب علیهم حفظه و حضانته، و إن امتنعوا عن ذلک أجبرهم الحاکم من حفظه، کما تقدّم فی کلام المحقّق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 فی شرح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کافل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الضائع المعروف النسب؛ فإنّ أباه و جدّه و من یجب علیه حضانته مختصّون بحکمه، و لا یلحقه حکم الالتقاط، و إن کان ضائعاً یجب علی من وجده أخذه و تسلیمه إلی من تجب علیه حضانته کفایة من باب الحسبة</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و کذا فی الجواهر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کلّ من یجب علیه حضانة الطفل کالأب و الاُمّ و الجدّ و الوصیّ لها کان سبباً لعدم صدق اللقیط علیه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ورود بعض هؤلاء کالأُمّ أو الوصی فی کلمات بعض الفقهاء، لا یوجب أن ینسب إلیه أنّه قائل بصدق اللقیط علی الطفل المنبوذ علی الطریق حتّی مع</w:t>
      </w:r>
      <w:bookmarkStart w:id="521" w:name="pg11754_112979"/>
    </w:p>
    <w:p>
      <w:pPr>
        <w:pStyle w:val="BookText"/>
        <w:rPr/>
      </w:pPr>
      <w:bookmarkEnd w:id="521"/>
      <w:r>
        <w:rPr>
          <w:rFonts w:ascii="IRNazanin" w:hAnsi="IRNazanin" w:eastAsia="IRNazanin"/>
          <w:color w:val="111111"/>
          <w:sz w:val="28"/>
          <w:sz w:val="28"/>
          <w:szCs w:val="28"/>
          <w:rtl w:val="true"/>
          <w:lang w:bidi="fa-IR"/>
        </w:rPr>
        <w:t>وجود الاُمّ؛ لأنّهم لم یکونوا فی مقام بیان کلّ من وجب علیه الحضانة و حفظ الطفل، بل مقصودهم ذکر ما اشترط فی مفهوم اللقیط فی الجملة، و هو فقد الکافل، و هذا معلوم لمن تدبّر کلماتهم</w:t>
      </w:r>
      <w:r>
        <w:rPr>
          <w:rFonts w:eastAsia="IRNazanin" w:cs="IRNazanin"/>
          <w:color w:val="111111"/>
          <w:sz w:val="28"/>
          <w:szCs w:val="28"/>
          <w:rtl w:val="true"/>
          <w:lang w:bidi="fa-IR"/>
        </w:rPr>
        <w:t>.</w:t>
      </w:r>
    </w:p>
    <w:p>
      <w:pPr>
        <w:pStyle w:val="Heading5"/>
        <w:numPr>
          <w:ilvl w:val="4"/>
          <w:numId w:val="1"/>
        </w:numPr>
        <w:rPr/>
      </w:pPr>
      <w:bookmarkStart w:id="522" w:name="__RefHeading___Toc9530811_73709187"/>
      <w:bookmarkStart w:id="523" w:name="_Toc208"/>
      <w:bookmarkEnd w:id="522"/>
      <w:r>
        <w:rPr>
          <w:rtl w:val="true"/>
        </w:rPr>
        <w:t>آراء فقهاء أهل السنّة فی هذا المبحث</w:t>
      </w:r>
      <w:bookmarkEnd w:id="523"/>
    </w:p>
    <w:p>
      <w:pPr>
        <w:pStyle w:val="BookText"/>
        <w:rPr/>
      </w:pPr>
      <w:r>
        <w:rPr>
          <w:rFonts w:ascii="IRNazanin" w:hAnsi="IRNazanin" w:eastAsia="IRNazanin"/>
          <w:color w:val="111111"/>
          <w:sz w:val="28"/>
          <w:sz w:val="28"/>
          <w:szCs w:val="28"/>
          <w:rtl w:val="true"/>
          <w:lang w:bidi="fa-IR"/>
        </w:rPr>
        <w:t>یشترط عندهم أیضاً فی صدق اللقیط الصغر، و عدم الکافل للطفل المنبوذ علی الطریق، کما هو الظاهر من کلماتهم فی تعریف اللقیط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مغنی المحتاج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اللقیط هو صغیر منبوذ فی شارع أو مسجد أو نحو ذلک لا کافل له معلوم و لو ممیّزاً، لحاجته إلی التعهّد و إن أفهم التعبیر بالمنبوذ اختصاصه بغیر الممیّز</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کشّاف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المختار عند أصحابنا أنّ الممیّز یکون لقیطاً</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و کذا فی منتهی الإرادات</w:t>
      </w:r>
      <w:r>
        <w:rPr>
          <w:rStyle w:val="FootnoteAnchor"/>
          <w:rtl w:val="true"/>
        </w:rPr>
        <w:footnoteReference w:id="913"/>
      </w:r>
      <w:r>
        <w:rPr>
          <w:rFonts w:ascii="IRNazanin" w:hAnsi="IRNazanin" w:eastAsia="IRNazanin"/>
          <w:color w:val="111111"/>
          <w:sz w:val="28"/>
          <w:sz w:val="28"/>
          <w:szCs w:val="28"/>
          <w:rtl w:val="true"/>
          <w:lang w:bidi="fa-IR"/>
        </w:rPr>
        <w:t>، و نهایة المحتاج، و أضاف بأنّه یجب ردّ من له کافل کوصیٍّ و قاضٍ و ملتقط لکافله</w:t>
      </w:r>
      <w:r>
        <w:rPr>
          <w:rStyle w:val="FootnoteAnchor"/>
          <w:rtl w:val="true"/>
        </w:rPr>
        <w:footnoteReference w:id="914"/>
      </w:r>
      <w:r>
        <w:rPr>
          <w:rFonts w:ascii="IRNazanin" w:hAnsi="IRNazanin" w:eastAsia="IRNazanin"/>
          <w:color w:val="111111"/>
          <w:sz w:val="28"/>
          <w:sz w:val="28"/>
          <w:szCs w:val="28"/>
          <w:rtl w:val="true"/>
          <w:lang w:bidi="fa-IR"/>
        </w:rPr>
        <w:t>، و هو الظاهر من تبیین المسالک</w:t>
      </w:r>
      <w:r>
        <w:rPr>
          <w:rStyle w:val="FootnoteAnchor"/>
          <w:rtl w:val="true"/>
        </w:rPr>
        <w:footnoteReference w:id="915"/>
      </w:r>
      <w:bookmarkStart w:id="524" w:name="pg11754_112980"/>
    </w:p>
    <w:p>
      <w:pPr>
        <w:pStyle w:val="Heading4"/>
        <w:numPr>
          <w:ilvl w:val="3"/>
          <w:numId w:val="1"/>
        </w:numPr>
        <w:rPr/>
      </w:pPr>
      <w:bookmarkStart w:id="525" w:name="__RefHeading___Toc9530813_73709187"/>
      <w:bookmarkStart w:id="526" w:name="_Toc209"/>
      <w:bookmarkEnd w:id="524"/>
      <w:bookmarkEnd w:id="525"/>
      <w:r>
        <w:rPr>
          <w:rtl w:val="true"/>
        </w:rPr>
        <w:t>المبحث الثالث</w:t>
      </w:r>
      <w:r>
        <w:rPr>
          <w:rtl w:val="true"/>
        </w:rPr>
        <w:t xml:space="preserve">: </w:t>
      </w:r>
      <w:r>
        <w:rPr>
          <w:rtl w:val="true"/>
        </w:rPr>
        <w:t>شرائط الملتقط‌</w:t>
      </w:r>
      <w:bookmarkEnd w:id="526"/>
    </w:p>
    <w:p>
      <w:pPr>
        <w:pStyle w:val="Heading5"/>
        <w:numPr>
          <w:ilvl w:val="4"/>
          <w:numId w:val="1"/>
        </w:numPr>
        <w:rPr/>
      </w:pPr>
      <w:bookmarkStart w:id="527" w:name="__RefHeading___Toc9530815_73709187"/>
      <w:bookmarkStart w:id="528" w:name="_Toc210"/>
      <w:bookmarkEnd w:id="527"/>
      <w:r>
        <w:rPr>
          <w:rtl w:val="true"/>
        </w:rPr>
        <w:t>الشرائط عند الخاصة</w:t>
      </w:r>
      <w:bookmarkEnd w:id="528"/>
    </w:p>
    <w:p>
      <w:pPr>
        <w:pStyle w:val="Heading6"/>
        <w:numPr>
          <w:ilvl w:val="5"/>
          <w:numId w:val="1"/>
        </w:numPr>
        <w:rPr/>
      </w:pPr>
      <w:bookmarkStart w:id="529" w:name="__RefHeading___Toc9530817_73709187"/>
      <w:bookmarkStart w:id="530" w:name="_Toc211"/>
      <w:bookmarkEnd w:id="529"/>
      <w:r>
        <w:rPr>
          <w:rtl w:val="true"/>
        </w:rPr>
        <w:t>الأوّل و الثانی</w:t>
      </w:r>
      <w:r>
        <w:rPr>
          <w:rtl w:val="true"/>
        </w:rPr>
        <w:t xml:space="preserve">: </w:t>
      </w:r>
      <w:r>
        <w:rPr>
          <w:rtl w:val="true"/>
        </w:rPr>
        <w:t>البلوغ و العقل</w:t>
      </w:r>
      <w:bookmarkEnd w:id="530"/>
    </w:p>
    <w:p>
      <w:pPr>
        <w:pStyle w:val="BookText"/>
        <w:rPr/>
      </w:pPr>
      <w:r>
        <w:rPr>
          <w:rFonts w:ascii="IRNazanin" w:hAnsi="IRNazanin" w:eastAsia="IRNazanin"/>
          <w:color w:val="111111"/>
          <w:sz w:val="28"/>
          <w:sz w:val="28"/>
          <w:szCs w:val="28"/>
          <w:rtl w:val="true"/>
          <w:lang w:bidi="fa-IR"/>
        </w:rPr>
        <w:t>الظاهر عدم الخلاف بین فقهاء الشیعة و أهل السنّة فی اشتراط البلوغ و العقل فیه، فلا اعتبار لالتقاط الصبیّ و إن کان ممیّزاً مراهقاً، و لا المجنون و لو کان أدواریّاً و لم یصیرا ملتقطین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فی الملتقط و یراعی فیه البلوغ و العقل و الحریّة، فلا حکم لالتقاط الصبی و لا المجنون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بذلک العلاّمة فی القواعد</w:t>
      </w:r>
      <w:r>
        <w:rPr>
          <w:rStyle w:val="FootnoteAnchor"/>
          <w:rtl w:val="true"/>
        </w:rPr>
        <w:footnoteReference w:id="917"/>
      </w:r>
      <w:r>
        <w:rPr>
          <w:rFonts w:ascii="IRNazanin" w:hAnsi="IRNazanin" w:eastAsia="IRNazanin"/>
          <w:color w:val="111111"/>
          <w:sz w:val="28"/>
          <w:sz w:val="28"/>
          <w:szCs w:val="28"/>
          <w:rtl w:val="true"/>
          <w:lang w:bidi="fa-IR"/>
        </w:rPr>
        <w:t>، و التذکرة</w:t>
      </w:r>
      <w:r>
        <w:rPr>
          <w:rStyle w:val="FootnoteAnchor"/>
          <w:rtl w:val="true"/>
        </w:rPr>
        <w:footnoteReference w:id="918"/>
      </w:r>
      <w:r>
        <w:rPr>
          <w:rFonts w:ascii="IRNazanin" w:hAnsi="IRNazanin" w:eastAsia="IRNazanin"/>
          <w:color w:val="111111"/>
          <w:sz w:val="28"/>
          <w:sz w:val="28"/>
          <w:szCs w:val="28"/>
          <w:rtl w:val="true"/>
          <w:lang w:bidi="fa-IR"/>
        </w:rPr>
        <w:t>، و الإرشاد</w:t>
      </w:r>
      <w:r>
        <w:rPr>
          <w:rStyle w:val="FootnoteAnchor"/>
          <w:rtl w:val="true"/>
        </w:rPr>
        <w:footnoteReference w:id="919"/>
      </w:r>
      <w:r>
        <w:rPr>
          <w:rFonts w:ascii="IRNazanin" w:hAnsi="IRNazanin" w:eastAsia="IRNazanin"/>
          <w:color w:val="111111"/>
          <w:sz w:val="28"/>
          <w:sz w:val="28"/>
          <w:szCs w:val="28"/>
          <w:rtl w:val="true"/>
          <w:lang w:bidi="fa-IR"/>
        </w:rPr>
        <w:t>، و التحریر</w:t>
      </w:r>
      <w:r>
        <w:rPr>
          <w:rStyle w:val="FootnoteAnchor"/>
          <w:rtl w:val="true"/>
        </w:rPr>
        <w:footnoteReference w:id="920"/>
      </w:r>
      <w:r>
        <w:rPr>
          <w:rFonts w:ascii="IRNazanin" w:hAnsi="IRNazanin" w:eastAsia="IRNazanin"/>
          <w:color w:val="111111"/>
          <w:sz w:val="28"/>
          <w:sz w:val="28"/>
          <w:szCs w:val="28"/>
          <w:rtl w:val="true"/>
          <w:lang w:bidi="fa-IR"/>
        </w:rPr>
        <w:t>، و الشهیدان فی اللمعة</w:t>
      </w:r>
      <w:r>
        <w:rPr>
          <w:rStyle w:val="FootnoteAnchor"/>
          <w:rtl w:val="true"/>
        </w:rPr>
        <w:footnoteReference w:id="921"/>
      </w:r>
      <w:r>
        <w:rPr>
          <w:rFonts w:ascii="IRNazanin" w:hAnsi="IRNazanin" w:eastAsia="IRNazanin"/>
          <w:color w:val="111111"/>
          <w:sz w:val="28"/>
          <w:sz w:val="28"/>
          <w:szCs w:val="28"/>
          <w:rtl w:val="true"/>
          <w:lang w:bidi="fa-IR"/>
        </w:rPr>
        <w:t>و المسالک</w:t>
      </w:r>
      <w:r>
        <w:rPr>
          <w:rStyle w:val="FootnoteAnchor"/>
          <w:rtl w:val="true"/>
        </w:rPr>
        <w:footnoteReference w:id="922"/>
      </w:r>
      <w:r>
        <w:rPr>
          <w:rFonts w:ascii="IRNazanin" w:hAnsi="IRNazanin" w:eastAsia="IRNazanin"/>
          <w:color w:val="111111"/>
          <w:sz w:val="28"/>
          <w:sz w:val="28"/>
          <w:szCs w:val="28"/>
          <w:rtl w:val="true"/>
          <w:lang w:bidi="fa-IR"/>
        </w:rPr>
        <w:t>و الأردبیلی فی مجمع الفائدة و البرهان</w:t>
      </w:r>
      <w:r>
        <w:rPr>
          <w:rStyle w:val="FootnoteAnchor"/>
          <w:rtl w:val="true"/>
        </w:rPr>
        <w:footnoteReference w:id="923"/>
      </w:r>
      <w:r>
        <w:rPr>
          <w:rFonts w:ascii="IRNazanin" w:hAnsi="IRNazanin" w:eastAsia="IRNazanin"/>
          <w:color w:val="111111"/>
          <w:sz w:val="28"/>
          <w:sz w:val="28"/>
          <w:szCs w:val="28"/>
          <w:rtl w:val="true"/>
          <w:lang w:bidi="fa-IR"/>
        </w:rPr>
        <w:t>، و کذا فی الریاض</w:t>
      </w:r>
      <w:r>
        <w:rPr>
          <w:rStyle w:val="FootnoteAnchor"/>
          <w:rtl w:val="true"/>
        </w:rPr>
        <w:footnoteReference w:id="924"/>
      </w:r>
      <w:r>
        <w:rPr>
          <w:rFonts w:ascii="IRNazanin" w:hAnsi="IRNazanin" w:eastAsia="IRNazanin"/>
          <w:color w:val="111111"/>
          <w:sz w:val="28"/>
          <w:sz w:val="28"/>
          <w:szCs w:val="28"/>
          <w:rtl w:val="true"/>
          <w:lang w:bidi="fa-IR"/>
        </w:rPr>
        <w:t>، و الجواهر</w:t>
      </w:r>
      <w:r>
        <w:rPr>
          <w:rStyle w:val="FootnoteAnchor"/>
          <w:rtl w:val="true"/>
        </w:rPr>
        <w:footnoteReference w:id="925"/>
      </w:r>
      <w:r>
        <w:rPr>
          <w:rFonts w:ascii="IRNazanin" w:hAnsi="IRNazanin" w:eastAsia="IRNazanin"/>
          <w:color w:val="111111"/>
          <w:sz w:val="28"/>
          <w:sz w:val="28"/>
          <w:szCs w:val="28"/>
          <w:rtl w:val="true"/>
          <w:lang w:bidi="fa-IR"/>
        </w:rPr>
        <w:t>و غیرهما</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لأنّ الالتقاط یستلزم ولایة</w:t>
      </w:r>
      <w:r>
        <w:rPr>
          <w:rStyle w:val="FootnoteAnchor"/>
          <w:rtl w:val="true"/>
        </w:rPr>
        <w:footnoteReference w:id="927"/>
      </w:r>
      <w:r>
        <w:rPr>
          <w:rFonts w:ascii="IRNazanin" w:hAnsi="IRNazanin" w:eastAsia="IRNazanin"/>
          <w:color w:val="111111"/>
          <w:sz w:val="28"/>
          <w:sz w:val="28"/>
          <w:szCs w:val="28"/>
          <w:rtl w:val="true"/>
          <w:lang w:bidi="fa-IR"/>
        </w:rPr>
        <w:t>الملتقط علی حضانة اللقیط و حفظه، و القیام بحوائجه، و السعی فی مصالحه، و هما لم یکونا أهلاً لذلک؛ إذ من کان نفسه تحت کفالة الغیر و ولایته لا یصلح لتکفّل الغیر و القیام بحوائجه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التقط الصبیّ أو المجنون لقیطاً یجب أو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له أهلیة الالتقاط أخذه من یدهما، کما یظهر من کلمات بعضهم، منهم الشهید الثانی فی الروضة،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کلام الشهید الأوّل فی اشتراط بلوغ الملتقط و عقله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یصحّ التقاط الصبی و المجنون؛ بمعنی أنّ حکم اللقیط فی أیدیهما علی ما کان علیه قبل الید</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فسّر عبارة الشرائع فی المسالک</w:t>
      </w:r>
      <w:r>
        <w:rPr>
          <w:rStyle w:val="FootnoteAnchor"/>
          <w:rtl w:val="true"/>
        </w:rPr>
        <w:footnoteReference w:id="929"/>
      </w:r>
      <w:r>
        <w:rPr>
          <w:rFonts w:ascii="IRNazanin" w:hAnsi="IRNazanin" w:eastAsia="IRNazanin"/>
          <w:color w:val="111111"/>
          <w:sz w:val="28"/>
          <w:sz w:val="28"/>
          <w:szCs w:val="28"/>
          <w:rtl w:val="true"/>
          <w:lang w:bidi="fa-IR"/>
        </w:rPr>
        <w:t>، و کذا فی مجمع الفائدة و البرهان،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من یأخذ من أیدیهما یصیر ملتقطاً</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مناهج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التقط الصبیّ أو المجنون جاز لکلّ أحد التقاطه من یدهما، من غیر فرق بین ولیّهما و غیره، و لا تختصّ ولایة اللقیط حینئذٍ بالحاکم</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أنّه لم یکن لقیطاً کما یظهر من کلام العلاّمة فی التذکرة، حیث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المجنون یعتوره أدواراً أخذه الحاکم من عنده، کما یأخذه لو التقطه المجنون المطلق أو الصبیّ</w:t>
      </w:r>
      <w:r>
        <w:rPr>
          <w:rFonts w:eastAsia="IRNazanin" w:cs="IRNazanin"/>
          <w:color w:val="111111"/>
          <w:sz w:val="28"/>
          <w:szCs w:val="28"/>
          <w:rtl w:val="true"/>
          <w:lang w:bidi="fa-IR"/>
        </w:rPr>
        <w:t>»</w:t>
      </w:r>
      <w:r>
        <w:rPr>
          <w:rStyle w:val="FootnoteAnchor"/>
          <w:rtl w:val="true"/>
        </w:rPr>
        <w:footnoteReference w:id="932"/>
      </w:r>
      <w:bookmarkStart w:id="531" w:name="pg11754_112982"/>
    </w:p>
    <w:p>
      <w:pPr>
        <w:pStyle w:val="BookText"/>
        <w:rPr/>
      </w:pPr>
      <w:bookmarkEnd w:id="531"/>
      <w:r>
        <w:rPr>
          <w:rFonts w:ascii="IRNazanin" w:hAnsi="IRNazanin" w:eastAsia="IRNazanin"/>
          <w:color w:val="111111"/>
          <w:sz w:val="28"/>
          <w:sz w:val="28"/>
          <w:szCs w:val="28"/>
          <w:rtl w:val="true"/>
          <w:lang w:bidi="fa-IR"/>
        </w:rPr>
        <w:t>و هو صریح فی أنّه لم یکن لقیطاً بأخذهما و بعده أیضاً، فإذا أخذه أحد لم یکن کذلک، و لیس لأحد أخذه إلاّ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فیما أفاد المحقّق الأردبیلی فی المقام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الأخذ من أیدیهما للحاکم فقط، فلا یکون لقطةً؛ لأنّه غیر منبوذ، و قد اعتبر فی تعریف اللقطة، و قد أشرنا إلیه فیما نقلناه عن التذکرة و إن کان الظاهر أنّ المنبوذ هو الذی لیس فی ید من یجب حضانته، فتأمّل، فأمره إلی الحاکم</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9530819_73709187"/>
      <w:bookmarkStart w:id="533" w:name="_Toc212"/>
      <w:bookmarkEnd w:id="532"/>
      <w:r>
        <w:rPr>
          <w:rtl w:val="true"/>
        </w:rPr>
        <w:t>عدم اشتراط الرشد فی الملتقط‌</w:t>
      </w:r>
      <w:bookmarkEnd w:id="533"/>
    </w:p>
    <w:p>
      <w:pPr>
        <w:pStyle w:val="BookText"/>
        <w:rPr/>
      </w:pPr>
      <w:r>
        <w:rPr>
          <w:rFonts w:ascii="IRNazanin" w:hAnsi="IRNazanin" w:eastAsia="IRNazanin"/>
          <w:color w:val="111111"/>
          <w:sz w:val="28"/>
          <w:sz w:val="28"/>
          <w:szCs w:val="28"/>
          <w:rtl w:val="true"/>
          <w:lang w:bidi="fa-IR"/>
        </w:rPr>
        <w:t>هل یشترط فی الملتقط الرشد أم لا؟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کلمات بعض الفقهاء اشتراطه کالعلاّمة فی التذکرة</w:t>
      </w:r>
      <w:r>
        <w:rPr>
          <w:rStyle w:val="FootnoteAnchor"/>
          <w:rtl w:val="true"/>
        </w:rPr>
        <w:footnoteReference w:id="934"/>
      </w:r>
      <w:r>
        <w:rPr>
          <w:rFonts w:ascii="IRNazanin" w:hAnsi="IRNazanin" w:eastAsia="IRNazanin"/>
          <w:color w:val="111111"/>
          <w:sz w:val="28"/>
          <w:sz w:val="28"/>
          <w:szCs w:val="28"/>
          <w:rtl w:val="true"/>
          <w:lang w:bidi="fa-IR"/>
        </w:rPr>
        <w:t>، و کذا السیّد فی الریاض</w:t>
      </w:r>
      <w:r>
        <w:rPr>
          <w:rStyle w:val="FootnoteAnchor"/>
          <w:rtl w:val="true"/>
        </w:rPr>
        <w:footnoteReference w:id="935"/>
      </w:r>
      <w:r>
        <w:rPr>
          <w:rFonts w:ascii="IRNazanin" w:hAnsi="IRNazanin" w:eastAsia="IRNazanin"/>
          <w:color w:val="111111"/>
          <w:sz w:val="28"/>
          <w:sz w:val="28"/>
          <w:szCs w:val="28"/>
          <w:rtl w:val="true"/>
          <w:lang w:bidi="fa-IR"/>
        </w:rPr>
        <w:t>، و قوّی اشتراطه فی جامع المقاصد</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أنّ السفیه محجور عن التصرّف فی ماله، فکیف یتصرّف فی مال اللقیط بإنفاقه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یأتمنه الشرع علی ماله فعلی الطفل و ماله أولی بالمنع، و هو الأقرب؛ لأنّ الالتقاط ائتمان شرعیّ، و الشرع لم یأتمنه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اشتراطه فی الملتقط، و أکثرهم و إن لم یصرّحوا بعدم الاشتراط، إلاّ أنّه یستفاد ذلک من إطلاق کلماتهم باشتراط البلوغ</w:t>
      </w:r>
    </w:p>
    <w:p>
      <w:pPr>
        <w:pStyle w:val="BookText"/>
        <w:rPr/>
      </w:pPr>
      <w:r>
        <w:rPr>
          <w:rFonts w:ascii="IRNazanin" w:hAnsi="IRNazanin" w:eastAsia="IRNazanin"/>
          <w:color w:val="111111"/>
          <w:sz w:val="28"/>
          <w:sz w:val="28"/>
          <w:szCs w:val="28"/>
          <w:rtl w:val="true"/>
          <w:lang w:bidi="fa-IR"/>
        </w:rPr>
        <w:t>و العقل خاصّة کما فی الریاض،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یفهم من إطلاق الماتن و کثیرٍ اشتراط التکلیف خاصّة و عدم اشتراط الرشد، فیصحّ من السفیه</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المسالک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 بعضهم التردید فی ترجیح أحد القولین،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السبزواری فی الکفایة</w:t>
      </w:r>
      <w:r>
        <w:rPr>
          <w:rStyle w:val="FootnoteAnchor"/>
          <w:rtl w:val="true"/>
        </w:rPr>
        <w:footnoteReference w:id="941"/>
      </w:r>
      <w:r>
        <w:rPr>
          <w:rFonts w:ascii="IRNazanin" w:hAnsi="IRNazanin" w:eastAsia="IRNazanin"/>
          <w:color w:val="111111"/>
          <w:sz w:val="28"/>
          <w:sz w:val="28"/>
          <w:szCs w:val="28"/>
          <w:rtl w:val="true"/>
          <w:lang w:bidi="fa-IR"/>
        </w:rPr>
        <w:t>و کذا العاملی فی مفتاح الکرامة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الروضة فی الجواب عن استدلال الشهید الأوّل و من تبعه باشتراط الرشد فی الملتقط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لأنّ الشارع إنّما لم یأتمنه علی المال، لا علی غیره، بل جوّز تصرّفه فی غیره مطلقاً، و علی تقدیر أن یوجد معه مال یمکن الجمع بین القاعدتین الشرعیّتین،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استئمان المبذّر علی المال، و تأهیله لغیره من التصرّفات التی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الالتقاط و الحضانة، فیؤخذ المال منه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صحّة التقاطه یستلزم وجوب إنفاقه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ممتنع من المبذّر؛ لاستلزامه التصرّف المالیّ، و جعل التصرّف فیه لآخر یستدعی الضرر علی الطفل بتوزیع اموره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تحقّق الضرر بذلک و إلاّ فالقول بالجواز أجود</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ذلک فی جامع المقاصد</w:t>
      </w:r>
      <w:r>
        <w:rPr>
          <w:rStyle w:val="FootnoteAnchor"/>
          <w:rtl w:val="true"/>
        </w:rPr>
        <w:footnoteReference w:id="944"/>
      </w:r>
      <w:r>
        <w:rPr>
          <w:rFonts w:ascii="IRNazanin" w:hAnsi="IRNazanin" w:eastAsia="IRNazanin"/>
          <w:color w:val="111111"/>
          <w:sz w:val="28"/>
          <w:sz w:val="28"/>
          <w:szCs w:val="28"/>
          <w:rtl w:val="true"/>
          <w:lang w:bidi="fa-IR"/>
        </w:rPr>
        <w:t>، و الجواهر</w:t>
      </w:r>
      <w:r>
        <w:rPr>
          <w:rStyle w:val="FootnoteAnchor"/>
          <w:rtl w:val="true"/>
        </w:rPr>
        <w:footnoteReference w:id="945"/>
      </w:r>
      <w:r>
        <w:rPr>
          <w:rFonts w:ascii="IRNazanin" w:hAnsi="IRNazanin" w:eastAsia="IRNazanin"/>
          <w:color w:val="111111"/>
          <w:sz w:val="28"/>
          <w:sz w:val="28"/>
          <w:szCs w:val="28"/>
          <w:rtl w:val="true"/>
          <w:lang w:bidi="fa-IR"/>
        </w:rPr>
        <w:t>، و المسالک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کلّه الاحتیاط یقتضی ذلک؛ لأنّه و إن قلنا بالتفریق بین من</w:t>
      </w:r>
      <w:bookmarkStart w:id="534" w:name="pg11754_112984"/>
    </w:p>
    <w:p>
      <w:pPr>
        <w:pStyle w:val="BookText"/>
        <w:rPr/>
      </w:pPr>
      <w:bookmarkEnd w:id="534"/>
      <w:r>
        <w:rPr>
          <w:rFonts w:ascii="IRNazanin" w:hAnsi="IRNazanin" w:eastAsia="IRNazanin"/>
          <w:color w:val="111111"/>
          <w:sz w:val="28"/>
          <w:sz w:val="28"/>
          <w:szCs w:val="28"/>
          <w:rtl w:val="true"/>
          <w:lang w:bidi="fa-IR"/>
        </w:rPr>
        <w:t>یتصرّف فی مال اللقیط و حضانته، و لکن لأجل أنّ من جملة وظائف الملتقط تربیة اللقیط و تعلیمه علی نحو کان سبباً لنیله بالسعادة، و من المعلوم أنّ السفیه لا یقدر علی ذلک کاملة کالرشید، فالأولی أنّه إن التقط السفیه لقیطاً دفَعَه إلی الحاکم أو إلی غیر 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یوجد الحاکم و لم یکن رشید، أو کان و لکن تسامح بوظیفته بأخذ اللقیط و القیام بحوائجه، فالسفیه یقوم بوظیفة الملتقط</w:t>
      </w:r>
      <w:r>
        <w:rPr>
          <w:rFonts w:eastAsia="IRNazanin" w:cs="IRNazanin"/>
          <w:color w:val="111111"/>
          <w:sz w:val="28"/>
          <w:szCs w:val="28"/>
          <w:rtl w:val="true"/>
          <w:lang w:bidi="fa-IR"/>
        </w:rPr>
        <w:t>.</w:t>
      </w:r>
    </w:p>
    <w:p>
      <w:pPr>
        <w:pStyle w:val="Heading6"/>
        <w:numPr>
          <w:ilvl w:val="5"/>
          <w:numId w:val="1"/>
        </w:numPr>
        <w:rPr/>
      </w:pPr>
      <w:bookmarkStart w:id="535" w:name="__RefHeading___Toc9530821_73709187"/>
      <w:bookmarkStart w:id="536" w:name="_Toc213"/>
      <w:bookmarkEnd w:id="535"/>
      <w:r>
        <w:rPr>
          <w:rtl w:val="true"/>
        </w:rPr>
        <w:t>الثالث</w:t>
      </w:r>
      <w:r>
        <w:rPr>
          <w:rtl w:val="true"/>
        </w:rPr>
        <w:t xml:space="preserve">: </w:t>
      </w:r>
      <w:r>
        <w:rPr>
          <w:rtl w:val="true"/>
        </w:rPr>
        <w:t>الحرّیة</w:t>
      </w:r>
      <w:bookmarkEnd w:id="536"/>
    </w:p>
    <w:p>
      <w:pPr>
        <w:pStyle w:val="BookText"/>
        <w:rPr/>
      </w:pPr>
      <w:r>
        <w:rPr>
          <w:rFonts w:ascii="IRNazanin" w:hAnsi="IRNazanin" w:eastAsia="IRNazanin"/>
          <w:color w:val="111111"/>
          <w:sz w:val="28"/>
          <w:sz w:val="28"/>
          <w:szCs w:val="28"/>
          <w:rtl w:val="true"/>
          <w:lang w:bidi="fa-IR"/>
        </w:rPr>
        <w:t>الظاهر عدم الخلاف فی اشتراطها فی الملتقط، 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حکم لالتقاط الصبی و لا المجنون و لا العبد</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 فی شرحها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المشهور، بل لم أتحقّق فیه خلافاً</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قطع به الأصحاب</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 و کذا فی اللمعة و الروضة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المسالک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اعتبارها</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و کذا فی غیرها ممّا تقدّم فی اعتبار الشرط الأوّل و الثانی؛ لأنّه لا یقدر علی شیء؛ إذ هو عبد لمولاه، و لا بدّ للملتقط من القیام بأُمور اللقیط من حضانته و تربیته، و العبد لیس أهلاً لها؛ لأنّه مشغول باستیلاء المولی علی منافعه</w:t>
      </w:r>
      <w:r>
        <w:rPr>
          <w:rFonts w:eastAsia="IRNazanin" w:cs="IRNazanin"/>
          <w:color w:val="111111"/>
          <w:sz w:val="28"/>
          <w:szCs w:val="28"/>
          <w:rtl w:val="true"/>
          <w:lang w:bidi="fa-IR"/>
        </w:rPr>
        <w:t>.</w:t>
      </w:r>
      <w:bookmarkStart w:id="537" w:name="pg11754_112985"/>
    </w:p>
    <w:p>
      <w:pPr>
        <w:pStyle w:val="BookText"/>
        <w:rPr/>
      </w:pPr>
      <w:bookmarkEnd w:id="537"/>
      <w:r>
        <w:rPr>
          <w:rFonts w:ascii="IRNazanin" w:hAnsi="IRNazanin" w:eastAsia="IRNazanin"/>
          <w:color w:val="111111"/>
          <w:sz w:val="28"/>
          <w:sz w:val="28"/>
          <w:szCs w:val="28"/>
          <w:rtl w:val="true"/>
          <w:lang w:bidi="fa-IR"/>
        </w:rPr>
        <w:t>قال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العبد، فالظاهر أنّه لیس له الالتقاط أیضاً بالإجماع؛ لأنّ منافعه لسیّده، فإن أذن فیکون السیّد هو الملتقط حقیقة و یکون هو نائبه، و إلاّ لم یصحّ أخذه، فیصیر أمره إلی الحاکم، کمأخوذ الصبیّ و المجنون، أو کغیر الملتقط</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جامع المقاصد، و أضاف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یوجد سوی العبد و خیف علی الطفل التلف بالإبقاء، وجب علی العبد التقاطه و إن لم یأذن المولی</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و کذا فی التحریر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9530823_73709187"/>
      <w:bookmarkStart w:id="539" w:name="_Toc214"/>
      <w:bookmarkEnd w:id="538"/>
      <w:r>
        <w:rPr>
          <w:rtl w:val="true"/>
        </w:rPr>
        <w:t>الرابع</w:t>
      </w:r>
      <w:r>
        <w:rPr>
          <w:rtl w:val="true"/>
        </w:rPr>
        <w:t xml:space="preserve">: </w:t>
      </w:r>
      <w:r>
        <w:rPr>
          <w:rtl w:val="true"/>
        </w:rPr>
        <w:t>الإسلام</w:t>
      </w:r>
      <w:bookmarkEnd w:id="539"/>
    </w:p>
    <w:p>
      <w:pPr>
        <w:pStyle w:val="BookText"/>
        <w:rPr/>
      </w:pPr>
      <w:r>
        <w:rPr>
          <w:rFonts w:ascii="IRNazanin" w:hAnsi="IRNazanin" w:eastAsia="IRNazanin"/>
          <w:color w:val="111111"/>
          <w:sz w:val="28"/>
          <w:sz w:val="28"/>
          <w:szCs w:val="28"/>
          <w:rtl w:val="true"/>
          <w:lang w:bidi="fa-IR"/>
        </w:rPr>
        <w:t xml:space="preserve">المشهور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اللقیط محکوماً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وجد فی دار الإسلام، أو فی دار الحرب و کان فیها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ملتقطه أن یکون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وجده حرّ فلا یخلو أن یکون مسلماً أو کافراً، فإن کان کافراً نظرت فی اللقیط، فإن کان بحکم الإسلام نزع من یده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اللمعة و الروضة</w:t>
      </w:r>
      <w:r>
        <w:rPr>
          <w:rStyle w:val="FootnoteAnchor"/>
          <w:rtl w:val="true"/>
        </w:rPr>
        <w:footnoteReference w:id="957"/>
      </w:r>
      <w:r>
        <w:rPr>
          <w:rFonts w:ascii="IRNazanin" w:hAnsi="IRNazanin" w:eastAsia="IRNazanin"/>
          <w:color w:val="111111"/>
          <w:sz w:val="28"/>
          <w:sz w:val="28"/>
          <w:szCs w:val="28"/>
          <w:rtl w:val="true"/>
          <w:lang w:bidi="fa-IR"/>
        </w:rPr>
        <w:t>و المسالک</w:t>
      </w:r>
      <w:r>
        <w:rPr>
          <w:rStyle w:val="FootnoteAnchor"/>
          <w:rtl w:val="true"/>
        </w:rPr>
        <w:footnoteReference w:id="958"/>
      </w:r>
      <w:r>
        <w:rPr>
          <w:rFonts w:ascii="IRNazanin" w:hAnsi="IRNazanin" w:eastAsia="IRNazanin"/>
          <w:color w:val="111111"/>
          <w:sz w:val="28"/>
          <w:sz w:val="28"/>
          <w:szCs w:val="28"/>
          <w:rtl w:val="true"/>
          <w:lang w:bidi="fa-IR"/>
        </w:rPr>
        <w:t>، 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وفاقاً لأکثر أصحابنا، بل علیه عامّتهم، کما لا یذهب علی</w:t>
      </w:r>
    </w:p>
    <w:p>
      <w:pPr>
        <w:pStyle w:val="BookText"/>
        <w:rPr/>
      </w:pPr>
      <w:r>
        <w:rPr>
          <w:rFonts w:ascii="IRNazanin" w:hAnsi="IRNazanin" w:eastAsia="IRNazanin"/>
          <w:color w:val="111111"/>
          <w:sz w:val="28"/>
          <w:sz w:val="28"/>
          <w:szCs w:val="28"/>
          <w:rtl w:val="true"/>
          <w:lang w:bidi="fa-IR"/>
        </w:rPr>
        <w:t>المتتبّع و لا یخفی</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ادّعی فی مجمع الفائدة و البرهان</w:t>
      </w:r>
      <w:r>
        <w:rPr>
          <w:rStyle w:val="FootnoteAnchor"/>
          <w:rtl w:val="true"/>
        </w:rPr>
        <w:footnoteReference w:id="960"/>
      </w:r>
      <w:r>
        <w:rPr>
          <w:rFonts w:ascii="IRNazanin" w:hAnsi="IRNazanin" w:eastAsia="IRNazanin"/>
          <w:color w:val="111111"/>
          <w:sz w:val="28"/>
          <w:sz w:val="28"/>
          <w:szCs w:val="28"/>
          <w:rtl w:val="true"/>
          <w:lang w:bidi="fa-IR"/>
        </w:rPr>
        <w:t>و الجواهر</w:t>
      </w:r>
      <w:r>
        <w:rPr>
          <w:rStyle w:val="FootnoteAnchor"/>
          <w:rtl w:val="true"/>
        </w:rPr>
        <w:footnoteReference w:id="961"/>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فی التذکرة</w:t>
      </w:r>
      <w:r>
        <w:rPr>
          <w:rStyle w:val="FootnoteAnchor"/>
          <w:rtl w:val="true"/>
        </w:rPr>
        <w:footnoteReference w:id="962"/>
      </w:r>
      <w:r>
        <w:rPr>
          <w:rFonts w:ascii="IRNazanin" w:hAnsi="IRNazanin" w:eastAsia="IRNazanin"/>
          <w:color w:val="111111"/>
          <w:sz w:val="28"/>
          <w:sz w:val="28"/>
          <w:szCs w:val="28"/>
          <w:rtl w:val="true"/>
          <w:lang w:bidi="fa-IR"/>
        </w:rPr>
        <w:t>، و القواعد</w:t>
      </w:r>
      <w:r>
        <w:rPr>
          <w:rStyle w:val="FootnoteAnchor"/>
          <w:rtl w:val="true"/>
        </w:rPr>
        <w:footnoteReference w:id="963"/>
      </w:r>
      <w:r>
        <w:rPr>
          <w:rFonts w:ascii="IRNazanin" w:hAnsi="IRNazanin" w:eastAsia="IRNazanin"/>
          <w:color w:val="111111"/>
          <w:sz w:val="28"/>
          <w:sz w:val="28"/>
          <w:szCs w:val="28"/>
          <w:rtl w:val="true"/>
          <w:lang w:bidi="fa-IR"/>
        </w:rPr>
        <w:t>، و جامع المقاصد</w:t>
      </w:r>
      <w:r>
        <w:rPr>
          <w:rStyle w:val="FootnoteAnchor"/>
          <w:rtl w:val="true"/>
        </w:rPr>
        <w:footnoteReference w:id="964"/>
      </w:r>
      <w:r>
        <w:rPr>
          <w:rFonts w:ascii="IRNazanin" w:hAnsi="IRNazanin" w:eastAsia="IRNazanin"/>
          <w:color w:val="111111"/>
          <w:sz w:val="28"/>
          <w:sz w:val="28"/>
          <w:szCs w:val="28"/>
          <w:rtl w:val="true"/>
          <w:lang w:bidi="fa-IR"/>
        </w:rPr>
        <w:t>، 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الحرّیة، و کذا الإسلام إن کان اللقیط محکوماً بالإسلام</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مستندهم فی ذلک أوّلاً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إنّه لا بدّ للملتقط من حضانة اللقیط و تربیته، و هو نوع سبیل علیه، و هو منفی عن الکافر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ادّعی فی کلام بعضهم کما تقدّم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یؤمن أن یفتنه عن دینه و یعلّمه الکفر، بل الظاهر أنّه یربّیه علی دینه و ینشأ علی ذلک کولده، کما فی المبسوط‌</w:t>
      </w:r>
      <w:r>
        <w:rPr>
          <w:rStyle w:val="FootnoteAnchor"/>
          <w:rtl w:val="true"/>
        </w:rPr>
        <w:footnoteReference w:id="967"/>
      </w:r>
      <w:r>
        <w:rPr>
          <w:rFonts w:ascii="Amiri" w:hAnsi="Amiri" w:eastAsia="Amiri" w:cs="Amiri"/>
          <w:color w:val="111111"/>
          <w:sz w:val="28"/>
          <w:sz w:val="28"/>
          <w:szCs w:val="28"/>
          <w:rtl w:val="true"/>
          <w:lang w:bidi="ar-SA"/>
        </w:rPr>
        <w:t>و الروضة</w:t>
      </w:r>
      <w:r>
        <w:rPr>
          <w:rStyle w:val="FootnoteAnchor"/>
          <w:rtl w:val="true"/>
        </w:rPr>
        <w:footnoteReference w:id="968"/>
      </w:r>
      <w:r>
        <w:rPr>
          <w:rFonts w:ascii="IRNazanin" w:hAnsi="IRNazanin" w:eastAsia="IRNazanin"/>
          <w:color w:val="111111"/>
          <w:sz w:val="28"/>
          <w:sz w:val="28"/>
          <w:szCs w:val="28"/>
          <w:rtl w:val="true"/>
          <w:lang w:bidi="fa-IR"/>
        </w:rPr>
        <w:t>و المسالک</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قال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w:t>
      </w:r>
      <w:r>
        <w:rPr>
          <w:rStyle w:val="FootnoteAnchor"/>
          <w:rtl w:val="true"/>
        </w:rPr>
        <w:footnoteReference w:id="970"/>
      </w:r>
      <w:r>
        <w:rPr>
          <w:rFonts w:ascii="IRNazanin" w:hAnsi="IRNazanin" w:eastAsia="IRNazanin"/>
          <w:color w:val="111111"/>
          <w:sz w:val="28"/>
          <w:sz w:val="28"/>
          <w:szCs w:val="28"/>
          <w:rtl w:val="true"/>
          <w:lang w:bidi="fa-IR"/>
        </w:rPr>
        <w:t>عدم ثبوت الولایة و عدم ثبوت أحکام الالتقاط إلاّ فیما ثبت بالدلیل، و لیس إلاّ الإجماع، و لا إجماع هنا، بل الظاهر انعقاده علی العکس و موافقة الاعتبار؛ لأنّه یفتنه عن دینه، فإبقاؤه فی یده إعانة علی تکفیره، و قد ورد النصّ بالتعلیل الاعتباری فی تزویج العارفة المؤمنة بالمخالف،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تأخذ من أدب زوجها</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قول المشهور قول المحقّق الحلّی فی کتابیه، فقال فی المختصر النافع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الإسلام تردّد</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الشرائع إلی القیل</w:t>
      </w:r>
      <w:r>
        <w:rPr>
          <w:rStyle w:val="FootnoteAnchor"/>
          <w:rtl w:val="true"/>
        </w:rPr>
        <w:footnoteReference w:id="973"/>
      </w:r>
      <w:r>
        <w:rPr>
          <w:rFonts w:ascii="IRNazanin" w:hAnsi="IRNazanin" w:eastAsia="IRNazanin"/>
          <w:color w:val="111111"/>
          <w:sz w:val="28"/>
          <w:sz w:val="28"/>
          <w:szCs w:val="28"/>
          <w:rtl w:val="true"/>
          <w:lang w:bidi="fa-IR"/>
        </w:rPr>
        <w:t>، و مراده هو الشیخ فی المبسوط کما تقدّم، 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اقتصار المصنّف رحمه الله علی نقل القول یشعر بتردّده فیه</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 هو ظاهر کشف الرموز</w:t>
      </w:r>
      <w:r>
        <w:rPr>
          <w:rStyle w:val="FootnoteAnchor"/>
          <w:rtl w:val="true"/>
        </w:rPr>
        <w:footnoteReference w:id="975"/>
      </w:r>
      <w:r>
        <w:rPr>
          <w:rFonts w:ascii="IRNazanin" w:hAnsi="IRNazanin" w:eastAsia="IRNazanin"/>
          <w:color w:val="111111"/>
          <w:sz w:val="28"/>
          <w:sz w:val="28"/>
          <w:szCs w:val="28"/>
          <w:rtl w:val="true"/>
          <w:lang w:bidi="fa-IR"/>
        </w:rPr>
        <w:t>و الکفایة أیضاً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المدارک بعدم اشتراطه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المتردّدین أو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الجواز، و الأصل عدم الاشتراط‌</w:t>
      </w:r>
      <w:r>
        <w:rPr>
          <w:rStyle w:val="FootnoteAnchor"/>
          <w:rtl w:val="true"/>
        </w:rPr>
        <w:footnoteReference w:id="978"/>
      </w:r>
      <w:r>
        <w:rPr>
          <w:rFonts w:ascii="IRNazanin" w:hAnsi="IRNazanin" w:eastAsia="IRNazanin"/>
          <w:color w:val="111111"/>
          <w:sz w:val="28"/>
          <w:sz w:val="28"/>
          <w:szCs w:val="28"/>
          <w:rtl w:val="true"/>
          <w:lang w:bidi="fa-IR"/>
        </w:rPr>
        <w:t>، و منع إثبات السبیل له علیه؛ إذ لا سلطنة له علیه کما فی المسالک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الأصل الأوّل بعدم الدلیل علیه سوی الإطلاقات، و فی انصرافها</w:t>
      </w:r>
      <w:bookmarkStart w:id="540" w:name="pg11754_112988"/>
    </w:p>
    <w:p>
      <w:pPr>
        <w:pStyle w:val="BookText"/>
        <w:rPr/>
      </w:pPr>
      <w:bookmarkEnd w:id="540"/>
      <w:r>
        <w:rPr>
          <w:rFonts w:ascii="IRNazanin" w:hAnsi="IRNazanin" w:eastAsia="IRNazanin"/>
          <w:color w:val="111111"/>
          <w:sz w:val="28"/>
          <w:sz w:val="28"/>
          <w:szCs w:val="28"/>
          <w:rtl w:val="true"/>
          <w:lang w:bidi="fa-IR"/>
        </w:rPr>
        <w:t>إلی محلّ البحث إشکال؛ لعدم تبادره منها بناءً</w:t>
      </w:r>
      <w:r>
        <w:rPr>
          <w:rStyle w:val="FootnoteAnchor"/>
          <w:rtl w:val="true"/>
        </w:rPr>
        <w:footnoteReference w:id="980"/>
      </w:r>
      <w:r>
        <w:rPr>
          <w:rFonts w:ascii="IRNazanin" w:hAnsi="IRNazanin" w:eastAsia="IRNazanin"/>
          <w:color w:val="111111"/>
          <w:sz w:val="28"/>
          <w:sz w:val="28"/>
          <w:szCs w:val="28"/>
          <w:rtl w:val="true"/>
          <w:lang w:bidi="fa-IR"/>
        </w:rPr>
        <w:t>علی ورودها خطابات للمسلمین و فی بلادهم، و یعضده ورود النصوص لحریّة المنبوذ علی الإطلاق، مع اختصاصه بمنبوذ دار الإسلام بالإجماع</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الأصل الثانی، فهو فرع وجود عمومات و إطلاقات ظاهرة تدلّ علی الجواز، و قد عرفت عدم وجود ذلک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منع إثبات السبیل فلأنّ الالتقاط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سلطنة الملتقط علی حضانة اللقیط و تربیته، و هی منفیّ عن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اللقیط محکوماً بالإسلام، أمّا لو کان محکوماً بالکفر فلا إشکال فی جواز التقاط الکافر له، للأصل، و انتفاء المانع، و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6"/>
        <w:numPr>
          <w:ilvl w:val="5"/>
          <w:numId w:val="1"/>
        </w:numPr>
        <w:rPr/>
      </w:pPr>
      <w:bookmarkStart w:id="541" w:name="__RefHeading___Toc9530825_73709187"/>
      <w:bookmarkStart w:id="542" w:name="_Toc215"/>
      <w:bookmarkEnd w:id="541"/>
      <w:r>
        <w:rPr>
          <w:rtl w:val="true"/>
        </w:rPr>
        <w:t>فرع</w:t>
      </w:r>
      <w:r>
        <w:rPr>
          <w:rtl w:val="true"/>
        </w:rPr>
        <w:t>:</w:t>
      </w:r>
      <w:bookmarkEnd w:id="5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اختلاف مذاهب المسلمین یقضی بمنع التقاط ولد العارف لغیر أهل مذهبه؟ لا أجد فیه تصریحاً، و لکنّه محتمل و إن کان الأقوی خلافه؛ لما عرفت من أنّ احتمال الخدع حکمة لا علّة، و إلاّ لمنعت فی الفسق الذی مقتضی إطلاق الأکثر جواز الالتقاط معه</w:t>
      </w:r>
      <w:r>
        <w:rPr>
          <w:rFonts w:eastAsia="IRNazanin" w:cs="IRNazanin"/>
          <w:color w:val="111111"/>
          <w:sz w:val="28"/>
          <w:szCs w:val="28"/>
          <w:rtl w:val="true"/>
          <w:lang w:bidi="fa-IR"/>
        </w:rPr>
        <w:t>»</w:t>
      </w:r>
      <w:r>
        <w:rPr>
          <w:rStyle w:val="FootnoteAnchor"/>
          <w:rtl w:val="true"/>
        </w:rPr>
        <w:footnoteReference w:id="983"/>
      </w:r>
      <w:bookmarkStart w:id="543" w:name="pg11754_112989"/>
    </w:p>
    <w:p>
      <w:pPr>
        <w:pStyle w:val="Heading6"/>
        <w:numPr>
          <w:ilvl w:val="5"/>
          <w:numId w:val="1"/>
        </w:numPr>
        <w:rPr/>
      </w:pPr>
      <w:bookmarkStart w:id="544" w:name="__RefHeading___Toc9530827_73709187"/>
      <w:bookmarkStart w:id="545" w:name="_Toc216"/>
      <w:bookmarkEnd w:id="543"/>
      <w:bookmarkEnd w:id="544"/>
      <w:r>
        <w:rPr>
          <w:rtl w:val="true"/>
        </w:rPr>
        <w:t>الخامس</w:t>
      </w:r>
      <w:r>
        <w:rPr>
          <w:rtl w:val="true"/>
        </w:rPr>
        <w:t xml:space="preserve">: </w:t>
      </w:r>
      <w:r>
        <w:rPr>
          <w:rtl w:val="true"/>
        </w:rPr>
        <w:t>العدالة علی قول</w:t>
      </w:r>
      <w:bookmarkEnd w:id="545"/>
    </w:p>
    <w:p>
      <w:pPr>
        <w:pStyle w:val="BookText"/>
        <w:rPr/>
      </w:pPr>
      <w:r>
        <w:rPr>
          <w:rFonts w:ascii="IRNazanin" w:hAnsi="IRNazanin" w:eastAsia="IRNazanin"/>
          <w:color w:val="111111"/>
          <w:sz w:val="28"/>
          <w:sz w:val="28"/>
          <w:szCs w:val="28"/>
          <w:rtl w:val="true"/>
          <w:lang w:bidi="fa-IR"/>
        </w:rPr>
        <w:t xml:space="preserve">أفتی جمع من الفقهاء باشتراط العدالة فی الملتقط، کالشیخ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الذی وجده مسلماً فلا یخلو إمّا أن یکون أمیناً أو فاسقاً، فإن کان فاسقاً فإنّه ینزع من یده</w:t>
      </w:r>
      <w:r>
        <w:rPr>
          <w:rFonts w:eastAsia="IRNazanin" w:cs="IRNazanin"/>
          <w:color w:val="111111"/>
          <w:sz w:val="28"/>
          <w:szCs w:val="28"/>
          <w:rtl w:val="true"/>
          <w:lang w:bidi="fa-IR"/>
        </w:rPr>
        <w:t>»</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القواعد</w:t>
      </w:r>
      <w:r>
        <w:rPr>
          <w:rStyle w:val="FootnoteAnchor"/>
          <w:rtl w:val="true"/>
        </w:rPr>
        <w:footnoteReference w:id="985"/>
      </w:r>
      <w:r>
        <w:rPr>
          <w:rFonts w:ascii="IRNazanin" w:hAnsi="IRNazanin" w:eastAsia="IRNazanin"/>
          <w:color w:val="111111"/>
          <w:sz w:val="28"/>
          <w:sz w:val="28"/>
          <w:szCs w:val="28"/>
          <w:rtl w:val="true"/>
          <w:lang w:bidi="fa-IR"/>
        </w:rPr>
        <w:t>و الإرشاد</w:t>
      </w:r>
      <w:r>
        <w:rPr>
          <w:rStyle w:val="FootnoteAnchor"/>
          <w:rtl w:val="true"/>
        </w:rPr>
        <w:footnoteReference w:id="986"/>
      </w:r>
      <w:r>
        <w:rPr>
          <w:rFonts w:ascii="IRNazanin" w:hAnsi="IRNazanin" w:eastAsia="IRNazanin"/>
          <w:color w:val="111111"/>
          <w:sz w:val="28"/>
          <w:sz w:val="28"/>
          <w:szCs w:val="28"/>
          <w:rtl w:val="true"/>
          <w:lang w:bidi="fa-IR"/>
        </w:rPr>
        <w:t>و التذکرة، قال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اعتبار العدالة فی الملتقط، فلو التقطه الفاسق لم یقرّ فی یده و ینتزعه الحاکم</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و کذا الشهید فی اللمعة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اشتراط العدالة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له مال فالاشتراط قویّ</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و کذا فی المسالک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من اعتبر العدالة قال بوجوب انتزاع اللقیط من ید الفاسق، و مستندهم فی اشتراطها أنّ الالتقاط یستلزم الحضانة، و هی استئمان لا یلیق بالفاسق، و لأنّه لا یؤمن أن یسترقّه و یأخذ ماله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الفاسق غیر مؤتمن شرعاً و هو ظالم، فلا یجوز الرکون به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و لا یؤمن أن یبیع الطفل أو یسترقّه و یدّعیه مملوکاً بعد مدّة، و لا یؤمن سوء تربیته و لا یوثق علیه و یخشی</w:t>
      </w:r>
    </w:p>
    <w:p>
      <w:pPr>
        <w:pStyle w:val="BookText"/>
        <w:rPr/>
      </w:pPr>
      <w:r>
        <w:rPr>
          <w:rFonts w:ascii="IRNazanin" w:hAnsi="IRNazanin" w:eastAsia="IRNazanin"/>
          <w:color w:val="111111"/>
          <w:sz w:val="28"/>
          <w:sz w:val="28"/>
          <w:szCs w:val="28"/>
          <w:rtl w:val="true"/>
          <w:lang w:bidi="fa-IR"/>
        </w:rPr>
        <w:t>الفساد به</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جمع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اشتراط العدالة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الملتقط فاسقاً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ینتزعه الحاکم من یده و یدفعه إلی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الأشبه أنّه لا ینتزع</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الشهید الثانی، و نسب فی کتابیه الروضة</w:t>
      </w:r>
      <w:r>
        <w:rPr>
          <w:rStyle w:val="FootnoteAnchor"/>
          <w:rtl w:val="true"/>
        </w:rPr>
        <w:footnoteReference w:id="995"/>
      </w:r>
      <w:r>
        <w:rPr>
          <w:rFonts w:ascii="IRNazanin" w:hAnsi="IRNazanin" w:eastAsia="IRNazanin"/>
          <w:color w:val="111111"/>
          <w:sz w:val="28"/>
          <w:sz w:val="28"/>
          <w:szCs w:val="28"/>
          <w:rtl w:val="true"/>
          <w:lang w:bidi="fa-IR"/>
        </w:rPr>
        <w:t>و المسالک</w:t>
      </w:r>
      <w:r>
        <w:rPr>
          <w:rStyle w:val="FootnoteAnchor"/>
          <w:rtl w:val="true"/>
        </w:rPr>
        <w:footnoteReference w:id="996"/>
      </w:r>
      <w:r>
        <w:rPr>
          <w:rFonts w:ascii="IRNazanin" w:hAnsi="IRNazanin" w:eastAsia="IRNazanin"/>
          <w:color w:val="111111"/>
          <w:sz w:val="28"/>
          <w:sz w:val="28"/>
          <w:szCs w:val="28"/>
          <w:rtl w:val="true"/>
          <w:lang w:bidi="fa-IR"/>
        </w:rPr>
        <w:t>قول عدم اعتبار العدالة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اعتبار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سیّما مع التأیّد بالإطلاقات الواردة مورد الغالب، لندرة العادل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الأوّل أحوط، کما صرّح به الشهید الثانی</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الفاسق یجوز له أخذه بلا خلاف عندنا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أیضاً فی الکفایة</w:t>
      </w:r>
      <w:r>
        <w:rPr>
          <w:rStyle w:val="FootnoteAnchor"/>
          <w:rtl w:val="true"/>
        </w:rPr>
        <w:footnoteReference w:id="999"/>
      </w:r>
      <w:r>
        <w:rPr>
          <w:rFonts w:ascii="IRNazanin" w:hAnsi="IRNazanin" w:eastAsia="IRNazanin"/>
          <w:color w:val="111111"/>
          <w:sz w:val="28"/>
          <w:sz w:val="28"/>
          <w:szCs w:val="28"/>
          <w:rtl w:val="true"/>
          <w:lang w:bidi="fa-IR"/>
        </w:rPr>
        <w:t>و الجواهر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عدم اشتراط العدالة فی الملتقط الأصل و السیرة، و أنّ ظاهر حال المسلم الائتمان، و لهذا قُبِلَ قوله فی ما فی یده؛ من أنّه له، و طاهر و نجس، و الأصل عدم کون فعله غیرَ مشروع، و أنّه یجوز للفاسق لقطة الأموال، مع أنّه محلّ الخیانة، و الفرق بینهما غیر ظاهر، و کذا یدلّ علی عدم الاشتراط إطلاق النصوص المتقدّمة،</w:t>
      </w:r>
      <w:bookmarkStart w:id="546" w:name="pg11754_112991"/>
    </w:p>
    <w:p>
      <w:pPr>
        <w:pStyle w:val="BookText"/>
        <w:rPr/>
      </w:pPr>
      <w:bookmarkEnd w:id="546"/>
      <w:r>
        <w:rPr>
          <w:rFonts w:ascii="IRNazanin" w:hAnsi="IRNazanin" w:eastAsia="IRNazanin"/>
          <w:color w:val="111111"/>
          <w:sz w:val="28"/>
          <w:sz w:val="28"/>
          <w:szCs w:val="28"/>
          <w:rtl w:val="true"/>
          <w:lang w:bidi="fa-IR"/>
        </w:rPr>
        <w:t>حیث إنّها وردت مورد الغالب و العادل نادر</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ذلک کلّه اعتبارها أحوط، کما فی الروضة</w:t>
      </w:r>
      <w:r>
        <w:rPr>
          <w:rStyle w:val="FootnoteAnchor"/>
          <w:rtl w:val="true"/>
        </w:rPr>
        <w:footnoteReference w:id="1002"/>
      </w:r>
      <w:r>
        <w:rPr>
          <w:rFonts w:ascii="IRNazanin" w:hAnsi="IRNazanin" w:eastAsia="IRNazanin"/>
          <w:color w:val="111111"/>
          <w:sz w:val="28"/>
          <w:sz w:val="28"/>
          <w:szCs w:val="28"/>
          <w:rtl w:val="true"/>
          <w:lang w:bidi="fa-IR"/>
        </w:rPr>
        <w:t>و جامع المقاصد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9530829_73709187"/>
      <w:bookmarkStart w:id="548" w:name="_Toc217"/>
      <w:bookmarkEnd w:id="547"/>
      <w:r>
        <w:rPr>
          <w:rtl w:val="true"/>
        </w:rPr>
        <w:t>شرائط الملتقط عند فقهاء أهل السنّة</w:t>
      </w:r>
      <w:bookmarkEnd w:id="548"/>
    </w:p>
    <w:p>
      <w:pPr>
        <w:pStyle w:val="BookText"/>
        <w:rPr/>
      </w:pPr>
      <w:r>
        <w:rPr>
          <w:rFonts w:ascii="IRNazanin" w:hAnsi="IRNazanin" w:eastAsia="IRNazanin"/>
          <w:color w:val="111111"/>
          <w:sz w:val="28"/>
          <w:sz w:val="28"/>
          <w:szCs w:val="28"/>
          <w:rtl w:val="true"/>
          <w:lang w:bidi="fa-IR"/>
        </w:rPr>
        <w:t>اتّفقت المذاهب الأربعة فی اشتراط البلوغ، و العقل، و الإسلام، و الحریّة فی الملتقط‌</w:t>
      </w:r>
      <w:r>
        <w:rPr>
          <w:rStyle w:val="FootnoteAnchor"/>
          <w:rtl w:val="true"/>
        </w:rPr>
        <w:footnoteReference w:id="1004"/>
      </w:r>
      <w:r>
        <w:rPr>
          <w:rFonts w:ascii="IRNazanin" w:hAnsi="IRNazanin" w:eastAsia="IRNazanin"/>
          <w:color w:val="111111"/>
          <w:sz w:val="28"/>
          <w:sz w:val="28"/>
          <w:szCs w:val="28"/>
          <w:rtl w:val="true"/>
          <w:lang w:bidi="fa-IR"/>
        </w:rPr>
        <w:t>و مستندهم الأدلّة التی تقدّمت فی نقل آراء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فصرّح الشافعیّة و الحنابلة و المالکیّة باعتبارها، و لم نعثر فی کتب الحنفیّة علی تصریح باعتبارها، و الظاهر عدم الاشتراط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الرافعی فی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فلیس للفاسق الالتقاط، و لو التقط انتزع منه؛ فإنّه غیر مؤتمن شرعاً، و یخاف منه الاسترقاق و سوء التربیة</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 لا یقرّ اللقیط بیده خشیة أن یسترقّه، و الحق بالفاسق الغریب مجهول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 الفقیر وجهان</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الملتقط أن یکون عدلاً علی الصحیح من المذهب</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التقطه فاسق نزع منه؛ لأنّه لیس فی حفظه</w:t>
      </w:r>
    </w:p>
    <w:p>
      <w:pPr>
        <w:pStyle w:val="BookText"/>
        <w:rPr/>
      </w:pPr>
      <w:r>
        <w:rPr>
          <w:rFonts w:ascii="IRNazanin" w:hAnsi="IRNazanin" w:eastAsia="IRNazanin"/>
          <w:color w:val="111111"/>
          <w:sz w:val="28"/>
          <w:sz w:val="28"/>
          <w:szCs w:val="28"/>
          <w:rtl w:val="true"/>
          <w:lang w:bidi="fa-IR"/>
        </w:rPr>
        <w:t>إلاّ الولایة، و لا ولایة لفاسق</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الشافعیّة و الحنابلة باشتراط الرشد فی الملتقط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الملتقط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فالمبذّر المحجور علیه لا یقرّ اللقیط فی یده</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و کذا فی مغنی المحتاج</w:t>
      </w:r>
      <w:r>
        <w:rPr>
          <w:rStyle w:val="FootnoteAnchor"/>
          <w:rtl w:val="true"/>
        </w:rPr>
        <w:footnoteReference w:id="1010"/>
      </w:r>
      <w:r>
        <w:rPr>
          <w:rFonts w:ascii="IRNazanin" w:hAnsi="IRNazanin" w:eastAsia="IRNazanin"/>
          <w:color w:val="111111"/>
          <w:sz w:val="28"/>
          <w:sz w:val="28"/>
          <w:szCs w:val="28"/>
          <w:rtl w:val="true"/>
          <w:lang w:bidi="fa-IR"/>
        </w:rPr>
        <w:t>و العزیز</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الرشد فلا یقرّ بید السفیه، جزم به فی الهدایة و المذهّب و المستوعب و التلخیص و غیره، و قدّمه فی الرعایة</w:t>
      </w:r>
      <w:r>
        <w:rPr>
          <w:rFonts w:eastAsia="IRNazanin" w:cs="IRNazanin"/>
          <w:color w:val="111111"/>
          <w:sz w:val="28"/>
          <w:szCs w:val="28"/>
          <w:rtl w:val="true"/>
          <w:lang w:bidi="fa-IR"/>
        </w:rPr>
        <w:t>»</w:t>
      </w:r>
      <w:r>
        <w:rPr>
          <w:rStyle w:val="FootnoteAnchor"/>
          <w:rtl w:val="true"/>
        </w:rPr>
        <w:footnoteReference w:id="1012"/>
      </w:r>
      <w:bookmarkStart w:id="549" w:name="pg11754_112993"/>
    </w:p>
    <w:p>
      <w:pPr>
        <w:pStyle w:val="Heading4"/>
        <w:numPr>
          <w:ilvl w:val="3"/>
          <w:numId w:val="1"/>
        </w:numPr>
        <w:rPr/>
      </w:pPr>
      <w:bookmarkStart w:id="550" w:name="__RefHeading___Toc9530831_73709187"/>
      <w:bookmarkStart w:id="551" w:name="_Toc218"/>
      <w:bookmarkEnd w:id="549"/>
      <w:bookmarkEnd w:id="550"/>
      <w:r>
        <w:rPr>
          <w:rtl w:val="true"/>
        </w:rPr>
        <w:t>المبحث الرابع</w:t>
      </w:r>
      <w:r>
        <w:rPr>
          <w:rtl w:val="true"/>
        </w:rPr>
        <w:t xml:space="preserve">: </w:t>
      </w:r>
      <w:r>
        <w:rPr>
          <w:rtl w:val="true"/>
        </w:rPr>
        <w:t>ما یجب علی الملتقط‌</w:t>
      </w:r>
      <w:bookmarkEnd w:id="551"/>
    </w:p>
    <w:p>
      <w:pPr>
        <w:pStyle w:val="Heading5"/>
        <w:numPr>
          <w:ilvl w:val="4"/>
          <w:numId w:val="1"/>
        </w:numPr>
        <w:rPr/>
      </w:pPr>
      <w:bookmarkStart w:id="552" w:name="__RefHeading___Toc9530833_73709187"/>
      <w:bookmarkStart w:id="553" w:name="_Toc219"/>
      <w:bookmarkEnd w:id="552"/>
      <w:r>
        <w:rPr>
          <w:rtl w:val="true"/>
        </w:rPr>
        <w:t>أ</w:t>
      </w:r>
      <w:r>
        <w:rPr>
          <w:rtl w:val="true"/>
        </w:rPr>
        <w:t xml:space="preserve">: </w:t>
      </w:r>
      <w:r>
        <w:rPr>
          <w:rtl w:val="true"/>
        </w:rPr>
        <w:t>أخذ اللقیط‌</w:t>
      </w:r>
      <w:bookmarkEnd w:id="553"/>
    </w:p>
    <w:p>
      <w:pPr>
        <w:pStyle w:val="Heading6"/>
        <w:numPr>
          <w:ilvl w:val="5"/>
          <w:numId w:val="1"/>
        </w:numPr>
        <w:rPr/>
      </w:pPr>
      <w:bookmarkStart w:id="554" w:name="__RefHeading___Toc9530835_73709187"/>
      <w:bookmarkStart w:id="555" w:name="_Toc220"/>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هل یجب علی الملتقط أخذ اللقیط أو یستحبّ له، أم فیه تفصیل؟ أی یجب أخذه إن کان فی معرض التلف، و یستحبّ إن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الفقهاء فیه علی ثلاثة أقوال</w:t>
      </w:r>
      <w:r>
        <w:rPr>
          <w:rFonts w:eastAsia="IRNazanin" w:cs="IRNazanin"/>
          <w:color w:val="111111"/>
          <w:sz w:val="28"/>
          <w:szCs w:val="28"/>
          <w:rtl w:val="true"/>
          <w:lang w:bidi="fa-IR"/>
        </w:rPr>
        <w:t>:</w:t>
      </w:r>
    </w:p>
    <w:p>
      <w:pPr>
        <w:pStyle w:val="Heading6"/>
        <w:numPr>
          <w:ilvl w:val="5"/>
          <w:numId w:val="1"/>
        </w:numPr>
        <w:rPr/>
      </w:pPr>
      <w:bookmarkStart w:id="556" w:name="__RefHeading___Toc9530837_73709187"/>
      <w:bookmarkStart w:id="557" w:name="_Toc221"/>
      <w:bookmarkEnd w:id="556"/>
      <w:r>
        <w:rPr>
          <w:rtl w:val="true"/>
        </w:rPr>
        <w:t>وجوب أخذ اللقیط‌</w:t>
      </w:r>
      <w:bookmarkEnd w:id="557"/>
    </w:p>
    <w:p>
      <w:pPr>
        <w:pStyle w:val="BookText"/>
        <w:rPr/>
      </w:pPr>
      <w:r>
        <w:rPr>
          <w:rFonts w:ascii="IRNazanin" w:hAnsi="IRNazanin" w:eastAsia="IRNazanin"/>
          <w:color w:val="111111"/>
          <w:sz w:val="28"/>
          <w:sz w:val="28"/>
          <w:szCs w:val="28"/>
          <w:rtl w:val="true"/>
          <w:lang w:bidi="fa-IR"/>
        </w:rPr>
        <w:t>المشهور بین القدماء و المتأخّرین هو الأوّل، قال الشیخ فی المبسوط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الملقوط و اللقیط بمعنی واحد، و أخذ الملقوط واجب، و هو فرض علی الکفایة، مثل الصلاة علی الجنازة و دفن الموتی</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التقاطه واجب علی الکفایة</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و کذا فی التذکرة</w:t>
      </w:r>
      <w:r>
        <w:rPr>
          <w:rStyle w:val="FootnoteAnchor"/>
          <w:rtl w:val="true"/>
        </w:rPr>
        <w:footnoteReference w:id="1015"/>
      </w:r>
      <w:r>
        <w:rPr>
          <w:rFonts w:ascii="IRNazanin" w:hAnsi="IRNazanin" w:eastAsia="IRNazanin"/>
          <w:color w:val="111111"/>
          <w:sz w:val="28"/>
          <w:sz w:val="28"/>
          <w:szCs w:val="28"/>
          <w:rtl w:val="true"/>
          <w:lang w:bidi="fa-IR"/>
        </w:rPr>
        <w:t>، و الإرشاد</w:t>
      </w:r>
      <w:r>
        <w:rPr>
          <w:rStyle w:val="FootnoteAnchor"/>
          <w:rtl w:val="true"/>
        </w:rPr>
        <w:footnoteReference w:id="1016"/>
      </w:r>
      <w:r>
        <w:rPr>
          <w:rFonts w:ascii="IRNazanin" w:hAnsi="IRNazanin" w:eastAsia="IRNazanin"/>
          <w:color w:val="111111"/>
          <w:sz w:val="28"/>
          <w:sz w:val="28"/>
          <w:szCs w:val="28"/>
          <w:rtl w:val="true"/>
          <w:lang w:bidi="fa-IR"/>
        </w:rPr>
        <w:t>، و الإیضاح</w:t>
      </w:r>
      <w:r>
        <w:rPr>
          <w:rStyle w:val="FootnoteAnchor"/>
          <w:rtl w:val="true"/>
        </w:rPr>
        <w:footnoteReference w:id="1017"/>
      </w:r>
      <w:r>
        <w:rPr>
          <w:rFonts w:ascii="IRNazanin" w:hAnsi="IRNazanin" w:eastAsia="IRNazanin"/>
          <w:color w:val="111111"/>
          <w:sz w:val="28"/>
          <w:sz w:val="28"/>
          <w:szCs w:val="28"/>
          <w:rtl w:val="true"/>
          <w:lang w:bidi="fa-IR"/>
        </w:rPr>
        <w:t>، و الدروس</w:t>
      </w:r>
      <w:r>
        <w:rPr>
          <w:rStyle w:val="FootnoteAnchor"/>
          <w:rtl w:val="true"/>
        </w:rPr>
        <w:footnoteReference w:id="1018"/>
      </w:r>
      <w:r>
        <w:rPr>
          <w:rFonts w:ascii="Amiri" w:hAnsi="Amiri" w:eastAsia="Amiri" w:cs="Amiri"/>
          <w:color w:val="111111"/>
          <w:sz w:val="28"/>
          <w:sz w:val="28"/>
          <w:szCs w:val="28"/>
          <w:rtl w:val="true"/>
          <w:lang w:bidi="ar-SA"/>
        </w:rPr>
        <w:t>، و مجمع الفائدة</w:t>
      </w:r>
      <w:r>
        <w:rPr>
          <w:rStyle w:val="FootnoteAnchor"/>
          <w:rtl w:val="true"/>
        </w:rPr>
        <w:footnoteReference w:id="1019"/>
      </w:r>
      <w:r>
        <w:rPr>
          <w:rFonts w:ascii="IRNazanin" w:hAnsi="IRNazanin" w:eastAsia="IRNazanin"/>
          <w:color w:val="111111"/>
          <w:sz w:val="28"/>
          <w:sz w:val="28"/>
          <w:szCs w:val="28"/>
          <w:rtl w:val="true"/>
          <w:lang w:bidi="fa-IR"/>
        </w:rPr>
        <w:t>، و جامع المقاصد</w:t>
      </w:r>
      <w:r>
        <w:rPr>
          <w:rStyle w:val="FootnoteAnchor"/>
          <w:rtl w:val="true"/>
        </w:rPr>
        <w:footnoteReference w:id="10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غایة المرام</w:t>
      </w:r>
      <w:r>
        <w:rPr>
          <w:rStyle w:val="FootnoteAnchor"/>
          <w:rtl w:val="true"/>
        </w:rPr>
        <w:footnoteReference w:id="1021"/>
      </w:r>
      <w:r>
        <w:rPr>
          <w:rFonts w:ascii="IRNazanin" w:hAnsi="IRNazanin" w:eastAsia="IRNazanin"/>
          <w:color w:val="111111"/>
          <w:sz w:val="28"/>
          <w:sz w:val="28"/>
          <w:szCs w:val="28"/>
          <w:rtl w:val="true"/>
          <w:lang w:bidi="fa-IR"/>
        </w:rPr>
        <w:t>، و الریاض</w:t>
      </w:r>
      <w:r>
        <w:rPr>
          <w:rStyle w:val="FootnoteAnchor"/>
          <w:rtl w:val="true"/>
        </w:rPr>
        <w:footnoteReference w:id="1022"/>
      </w:r>
      <w:r>
        <w:rPr>
          <w:rFonts w:ascii="IRNazanin" w:hAnsi="IRNazanin" w:eastAsia="IRNazanin"/>
          <w:color w:val="111111"/>
          <w:sz w:val="28"/>
          <w:sz w:val="28"/>
          <w:szCs w:val="28"/>
          <w:rtl w:val="true"/>
          <w:lang w:bidi="fa-IR"/>
        </w:rPr>
        <w:t>، و نسب الشهید فی المسالک القول بوجوب الأخذ کفایة إلی معظم الأصحاب</w:t>
      </w:r>
      <w:r>
        <w:rPr>
          <w:rStyle w:val="FootnoteAnchor"/>
          <w:rtl w:val="true"/>
        </w:rPr>
        <w:footnoteReference w:id="1023"/>
      </w:r>
      <w:r>
        <w:rPr>
          <w:rFonts w:ascii="IRNazanin" w:hAnsi="IRNazanin" w:eastAsia="IRNazanin"/>
          <w:color w:val="111111"/>
          <w:sz w:val="28"/>
          <w:sz w:val="28"/>
          <w:szCs w:val="28"/>
          <w:rtl w:val="true"/>
          <w:lang w:bidi="fa-IR"/>
        </w:rPr>
        <w:t>، و کذا المحقّق السبزواری فی الکفایة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لهذا الحکم أوّلاً بآیات من الکتاب،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من البرّ و ترکه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افْعَلُوا الْخَیْرَ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 اللقیط و حفظه من التلف من أفضل الخیرات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حفظ النفس عن التلف؛ لأنّه بدون الحفظ فی معرض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إطعام المضطرّ و إنقاذه، و اللقیط مضطرّ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الاستدلال بالآیات أنّ الأمر فیها للندب</w:t>
      </w:r>
      <w:r>
        <w:rPr>
          <w:rStyle w:val="FootnoteAnchor"/>
          <w:rtl w:val="true"/>
        </w:rPr>
        <w:footnoteReference w:id="1027"/>
      </w:r>
      <w:r>
        <w:rPr>
          <w:rFonts w:ascii="IRNazanin" w:hAnsi="IRNazanin" w:eastAsia="IRNazanin"/>
          <w:color w:val="111111"/>
          <w:sz w:val="28"/>
          <w:sz w:val="28"/>
          <w:szCs w:val="28"/>
          <w:rtl w:val="true"/>
          <w:lang w:bidi="fa-IR"/>
        </w:rPr>
        <w:t>، و إلاّ لزم خروج أکثر</w:t>
      </w:r>
      <w:bookmarkStart w:id="558" w:name="pg11754_112995"/>
    </w:p>
    <w:p>
      <w:pPr>
        <w:pStyle w:val="BookText"/>
        <w:rPr/>
      </w:pPr>
      <w:bookmarkEnd w:id="558"/>
      <w:r>
        <w:rPr>
          <w:rFonts w:ascii="IRNazanin" w:hAnsi="IRNazanin" w:eastAsia="IRNazanin"/>
          <w:color w:val="111111"/>
          <w:sz w:val="28"/>
          <w:sz w:val="28"/>
          <w:szCs w:val="28"/>
          <w:rtl w:val="true"/>
          <w:lang w:bidi="fa-IR"/>
        </w:rPr>
        <w:t>مصادیقها عن حکم الوجوب و هو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منع کون اللقیط فی معرض التلف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الثالث منع کونه مضطرّاً</w:t>
      </w:r>
      <w:r>
        <w:rPr>
          <w:rStyle w:val="FootnoteAnchor"/>
          <w:rtl w:val="true"/>
        </w:rPr>
        <w:footnoteReference w:id="1028"/>
      </w:r>
      <w:r>
        <w:rPr>
          <w:rFonts w:ascii="IRNazanin" w:hAnsi="IRNazanin" w:eastAsia="IRNazanin"/>
          <w:color w:val="111111"/>
          <w:sz w:val="28"/>
          <w:sz w:val="28"/>
          <w:szCs w:val="28"/>
          <w:rtl w:val="true"/>
          <w:lang w:bidi="fa-IR"/>
        </w:rPr>
        <w:t>، مضافاً إلی أنّ البحث فی التقاطه لا فی حفظه الذی هو أعمّ من الالتقاط‌</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الواجب فی الصورة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توقّف حفظ اللقیط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الحفظ لا الالتقاط،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أعمّ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علی فرض التساوی و الانطباق موجباً لسرایة الأمر إلیه</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9530839_73709187"/>
      <w:bookmarkStart w:id="560" w:name="_Toc222"/>
      <w:bookmarkEnd w:id="559"/>
      <w:r>
        <w:rPr>
          <w:rtl w:val="true"/>
        </w:rPr>
        <w:t>استحباب أخذ اللقیط‌</w:t>
      </w:r>
      <w:bookmarkEnd w:id="560"/>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أخذ اللقیط، و هو للمحقّق الحلّی فی الشرائع؛ فإنّه قدس سره بعد الإشارة إلی قول الشیخ علی وجوبه کفایة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الاستحباب</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و کذا فی المختصر النافع</w:t>
      </w:r>
      <w:r>
        <w:rPr>
          <w:rStyle w:val="FootnoteAnchor"/>
          <w:rtl w:val="true"/>
        </w:rPr>
        <w:footnoteReference w:id="1032"/>
      </w:r>
      <w:r>
        <w:rPr>
          <w:rFonts w:ascii="IRNazanin" w:hAnsi="IRNazanin" w:eastAsia="IRNazanin"/>
          <w:color w:val="111111"/>
          <w:sz w:val="28"/>
          <w:sz w:val="28"/>
          <w:szCs w:val="28"/>
          <w:rtl w:val="true"/>
          <w:lang w:bidi="fa-IR"/>
        </w:rPr>
        <w:t xml:space="preserve">، و به قال بعض المعاصرین؛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المناقشة فی القول بالتفصیل، و أنّه یرجع إلی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و الاستحباب، و الأظهر هو الثانی</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لهذا القول بالأصل کما فی الجواهر</w:t>
      </w:r>
      <w:r>
        <w:rPr>
          <w:rStyle w:val="FootnoteAnchor"/>
          <w:rtl w:val="true"/>
        </w:rPr>
        <w:footnoteReference w:id="1034"/>
      </w:r>
      <w:r>
        <w:rPr>
          <w:rFonts w:ascii="IRNazanin" w:hAnsi="IRNazanin" w:eastAsia="IRNazanin"/>
          <w:color w:val="111111"/>
          <w:sz w:val="28"/>
          <w:sz w:val="28"/>
          <w:szCs w:val="28"/>
          <w:rtl w:val="true"/>
          <w:lang w:bidi="fa-IR"/>
        </w:rPr>
        <w:t>؛ أی البراءة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bookmarkStart w:id="561" w:name="pg11754_112996"/>
    </w:p>
    <w:p>
      <w:pPr>
        <w:pStyle w:val="BookText"/>
        <w:rPr/>
      </w:pPr>
      <w:bookmarkEnd w:id="561"/>
      <w:r>
        <w:rPr>
          <w:rFonts w:ascii="IRNazanin" w:hAnsi="IRNazanin" w:eastAsia="IRNazanin"/>
          <w:color w:val="111111"/>
          <w:sz w:val="28"/>
          <w:sz w:val="28"/>
          <w:szCs w:val="28"/>
          <w:rtl w:val="true"/>
          <w:lang w:bidi="fa-IR"/>
        </w:rPr>
        <w:t>الاستحباب، فیستفاد من الآیات المتقدّمة؛ لأنّه معاونة علی البرّ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بالاستحباب مطلقاً حتّی فی الصورة التی یکون اللقیط فی معرض التلف لا دلیل علیه، بل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نوقش بعدم تحقّق صورة للندب؛ لکون الطفل فی محلّ التلف</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الفقیه الخوانساری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استحباب أخذ اللقیط فلم یظهر وجهه، مع کون اللقیط منبوذاً معرضاً للهلاکة</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9530841_73709187"/>
      <w:bookmarkStart w:id="563" w:name="_Toc223"/>
      <w:bookmarkEnd w:id="562"/>
      <w:r>
        <w:rPr>
          <w:rtl w:val="true"/>
        </w:rPr>
        <w:t>التفصیل بین القولین</w:t>
      </w:r>
      <w:bookmarkEnd w:id="563"/>
    </w:p>
    <w:p>
      <w:pPr>
        <w:pStyle w:val="BookText"/>
        <w:rPr/>
      </w:pPr>
      <w:r>
        <w:rPr>
          <w:rFonts w:ascii="IRNazanin" w:hAnsi="IRNazanin" w:eastAsia="IRNazanin"/>
          <w:color w:val="111111"/>
          <w:sz w:val="28"/>
          <w:sz w:val="28"/>
          <w:szCs w:val="28"/>
          <w:rtl w:val="true"/>
          <w:lang w:bidi="fa-IR"/>
        </w:rPr>
        <w:t xml:space="preserve">ذهب غیر واحد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التفصیل بین القولین، بمعنی أنّه یجب أخذ اللقیط کفایة إن کان فی معرض التلف، و یستحبّ أخذه إن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خاف التلف وجب أخذه کفایة، و إلاّ 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الروضة</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التفصیل بالوجوب مع الخوف علیه، و الاستحباب مع عدمه متّجه</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استوجهه فی الکفایة</w:t>
      </w:r>
      <w:r>
        <w:rPr>
          <w:rStyle w:val="FootnoteAnchor"/>
          <w:rtl w:val="true"/>
        </w:rPr>
        <w:footnoteReference w:id="1039"/>
      </w:r>
      <w:r>
        <w:rPr>
          <w:rFonts w:ascii="IRNazanin" w:hAnsi="IRNazanin" w:eastAsia="IRNazanin"/>
          <w:color w:val="111111"/>
          <w:sz w:val="28"/>
          <w:sz w:val="28"/>
          <w:szCs w:val="28"/>
          <w:rtl w:val="true"/>
          <w:lang w:bidi="fa-IR"/>
        </w:rPr>
        <w:t>، و مفتاح الکرامة</w:t>
      </w:r>
      <w:r>
        <w:rPr>
          <w:rStyle w:val="FootnoteAnchor"/>
          <w:rtl w:val="true"/>
        </w:rPr>
        <w:footnoteReference w:id="1040"/>
      </w:r>
      <w:r>
        <w:rPr>
          <w:rFonts w:ascii="IRNazanin" w:hAnsi="IRNazanin" w:eastAsia="IRNazanin"/>
          <w:color w:val="111111"/>
          <w:sz w:val="28"/>
          <w:sz w:val="28"/>
          <w:szCs w:val="28"/>
          <w:rtl w:val="true"/>
          <w:lang w:bidi="fa-IR"/>
        </w:rPr>
        <w:t>، و صرّح بالتفصیل فی مناهج</w:t>
      </w:r>
    </w:p>
    <w:p>
      <w:pPr>
        <w:pStyle w:val="BookText"/>
        <w:rPr/>
      </w:pPr>
      <w:r>
        <w:rPr>
          <w:rFonts w:ascii="IRNazanin" w:hAnsi="IRNazanin" w:eastAsia="IRNazanin"/>
          <w:color w:val="111111"/>
          <w:sz w:val="28"/>
          <w:sz w:val="28"/>
          <w:szCs w:val="28"/>
          <w:rtl w:val="true"/>
          <w:lang w:bidi="fa-IR"/>
        </w:rPr>
        <w:t>المتّقین،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اللقیط فی صورة توقّف حفظه عن التلف علی أخذه واجب علی المطّلع علی إشرافه علی التلف عیناً إن اتّحد المطّلع، کفایة إن تعدّد، و أخذه فی صورة عدم توقّف حفظه عن التلف علی أخذه مستحبّ و لیس بواجب علی الأظهر</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بعض أعلام العصر</w:t>
      </w:r>
      <w:r>
        <w:rPr>
          <w:rStyle w:val="FootnoteAnchor"/>
          <w:rtl w:val="true"/>
        </w:rPr>
        <w:footnoteReference w:id="1042"/>
      </w:r>
      <w:r>
        <w:rPr>
          <w:rFonts w:ascii="IRNazanin" w:hAnsi="IRNazanin" w:eastAsia="IRNazanin"/>
          <w:color w:val="111111"/>
          <w:sz w:val="28"/>
          <w:sz w:val="28"/>
          <w:szCs w:val="28"/>
          <w:rtl w:val="true"/>
          <w:lang w:bidi="fa-IR"/>
        </w:rPr>
        <w:t>، و فی تحریر الوسیلة</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اللقیط یجوز بل یستحبّ التقاطُهُ و أخذُهُ، بل یجب مقدّمةً إن توقّف حفظه علیه لو کان فی معرض التلف</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الدلیل الثانی و الثالث فی القول الأوّل؛ فإنّ صیانة النفس المحترمة عن الهلاک واجب شرعاً و عقلاً، و لا ریب أنّ الصبی المنبوذ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کافل له، و لا یعرف أقرباؤه و لا یستقلّ علی السعی فیما یصلحه و الدفع عمّا یضرّه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معرض التلف و الهلاکة فیجب أخذه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إذا توقّف علیه حفظ النفس فإنّه لا کلام فی وجوبه حینئذٍ مقدّمة لحفظ النفس المحترمة، المعلوم وجوبه ضرورة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الأظهر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الواجبات</w:t>
      </w:r>
      <w:r>
        <w:rPr>
          <w:rFonts w:eastAsia="IRNazanin" w:cs="IRNazanin"/>
          <w:color w:val="111111"/>
          <w:sz w:val="28"/>
          <w:szCs w:val="28"/>
          <w:rtl w:val="true"/>
          <w:lang w:bidi="fa-IR"/>
        </w:rPr>
        <w:t>»</w:t>
      </w:r>
      <w:r>
        <w:rPr>
          <w:rStyle w:val="FootnoteAnchor"/>
          <w:rtl w:val="true"/>
        </w:rPr>
        <w:footnoteReference w:id="1046"/>
      </w:r>
      <w:bookmarkStart w:id="564" w:name="pg11754_112998"/>
    </w:p>
    <w:p>
      <w:pPr>
        <w:pStyle w:val="BookText"/>
        <w:rPr/>
      </w:pPr>
      <w:bookmarkEnd w:id="564"/>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النزاع لفظیّ؛ لأنّه من قال باستحباب أخذ اللقیط أیضاً قال بوجوب حفظه إذا کان فی معرض التلف، کما یظهر من تتّبع کلماتهم</w:t>
      </w:r>
      <w:r>
        <w:rPr>
          <w:rFonts w:eastAsia="IRNazanin" w:cs="IRNazanin"/>
          <w:color w:val="111111"/>
          <w:sz w:val="28"/>
          <w:szCs w:val="28"/>
          <w:rtl w:val="true"/>
          <w:lang w:bidi="fa-IR"/>
        </w:rPr>
        <w:t>.</w:t>
      </w:r>
    </w:p>
    <w:p>
      <w:pPr>
        <w:pStyle w:val="Heading5"/>
        <w:numPr>
          <w:ilvl w:val="4"/>
          <w:numId w:val="1"/>
        </w:numPr>
        <w:rPr/>
      </w:pPr>
      <w:bookmarkStart w:id="565" w:name="__RefHeading___Toc9530843_73709187"/>
      <w:bookmarkStart w:id="566" w:name="_Toc224"/>
      <w:bookmarkEnd w:id="565"/>
      <w:r>
        <w:rPr>
          <w:rtl w:val="true"/>
        </w:rPr>
        <w:t>ب</w:t>
      </w:r>
      <w:r>
        <w:rPr>
          <w:rtl w:val="true"/>
        </w:rPr>
        <w:t xml:space="preserve">: </w:t>
      </w:r>
      <w:r>
        <w:rPr>
          <w:rtl w:val="true"/>
        </w:rPr>
        <w:t>وجوب حضانته</w:t>
      </w:r>
      <w:bookmarkEnd w:id="566"/>
    </w:p>
    <w:p>
      <w:pPr>
        <w:pStyle w:val="Heading6"/>
        <w:numPr>
          <w:ilvl w:val="5"/>
          <w:numId w:val="1"/>
        </w:numPr>
        <w:rPr/>
      </w:pPr>
      <w:bookmarkStart w:id="567" w:name="__RefHeading___Toc9530845_73709187"/>
      <w:bookmarkStart w:id="568" w:name="_Toc225"/>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الظاهر لا خلاف بین الفقهاء فی أنّه یجب علی الملتقط حضانة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بالحضانة القیام بأُمور فیها مصلحته من حفظه و تنظیفه و غسل ثیابه و نحو ذلک و لو بالاستعانة بالغیر، و لا یجب علیه تبرّعاً، بل له الرجوع إلی الحاکم لأخذ ما بذل فی امور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الملتقط الحضانة، فإن عجز سلّمه إلی القاضی</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و کذا فی التذکرة</w:t>
      </w:r>
      <w:r>
        <w:rPr>
          <w:rStyle w:val="FootnoteAnchor"/>
          <w:rtl w:val="true"/>
        </w:rPr>
        <w:footnoteReference w:id="1048"/>
      </w:r>
      <w:r>
        <w:rPr>
          <w:rFonts w:ascii="IRNazanin" w:hAnsi="IRNazanin" w:eastAsia="IRNazanin"/>
          <w:color w:val="111111"/>
          <w:sz w:val="28"/>
          <w:sz w:val="28"/>
          <w:szCs w:val="28"/>
          <w:rtl w:val="true"/>
          <w:lang w:bidi="fa-IR"/>
        </w:rPr>
        <w:t>، و فی مفتاح الکرامة بلا خلاف</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حضانته بالمعروف؛ و هو القیام بتعهّده علی وجه المصلحة بنفسه أو زوجته أو غیرهما</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اللمعة و الروضة</w:t>
      </w:r>
      <w:r>
        <w:rPr>
          <w:rStyle w:val="FootnoteAnchor"/>
          <w:rtl w:val="true"/>
        </w:rPr>
        <w:footnoteReference w:id="1051"/>
      </w:r>
      <w:r>
        <w:rPr>
          <w:rFonts w:ascii="IRNazanin" w:hAnsi="IRNazanin" w:eastAsia="IRNazanin"/>
          <w:color w:val="111111"/>
          <w:sz w:val="28"/>
          <w:sz w:val="28"/>
          <w:szCs w:val="28"/>
          <w:rtl w:val="true"/>
          <w:lang w:bidi="fa-IR"/>
        </w:rPr>
        <w:t>، و جامع المقاصد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من مذهب الأصحاب من غیر خلاف یعرف أنّ الواجب علی الملتقط حضانته بالمعروف، و هو تعهّده و القیام بضرورة تربیته بنفسه أو بغیره</w:t>
      </w:r>
      <w:r>
        <w:rPr>
          <w:rFonts w:eastAsia="IRNazanin" w:cs="IRNazanin"/>
          <w:color w:val="111111"/>
          <w:sz w:val="28"/>
          <w:szCs w:val="28"/>
          <w:rtl w:val="true"/>
          <w:lang w:bidi="fa-IR"/>
        </w:rPr>
        <w:t>»</w:t>
      </w:r>
      <w:r>
        <w:rPr>
          <w:rStyle w:val="FootnoteAnchor"/>
          <w:rtl w:val="true"/>
        </w:rPr>
        <w:footnoteReference w:id="1053"/>
      </w:r>
      <w:bookmarkStart w:id="569" w:name="pg11754_112999"/>
    </w:p>
    <w:p>
      <w:pPr>
        <w:pStyle w:val="BookText"/>
        <w:rPr/>
      </w:pPr>
      <w:bookmarkEnd w:id="569"/>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أخذ اللقیط و التقطه یجب علیه حضانته و حفظه و القیام بضرورة تربیته بنفسه أو بغیره، و هو أحقّ به من غیره إلی أن یبلغ، فلا یجوز لأحدٍ أن ینتزعه من یده و یتصدی حضانته إلاّ لمن کان له حقّ الحضانة شرعاً بحقّ النسب أو بحقّ الوصایة</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المقصود من الحضانة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حسب ما یجب علیه لولده مثلاً، فقد یکون إخراجه من البلد أصلح من بقائه و بالعکس، بلا خلاف أجده فی شیء من ذلک، و ربما کان فی النصوص المزبورة نوع إشعار به</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لأنّه ورد فی صحیحة عبد الرحمن العرزمی المتقدّمة،</w:t>
      </w:r>
    </w:p>
    <w:p>
      <w:pPr>
        <w:pStyle w:val="BookText"/>
        <w:rPr/>
      </w:pPr>
      <w:r>
        <w:rPr>
          <w:rFonts w:ascii="IRNazanin" w:hAnsi="IRNazanin" w:eastAsia="IRNazanin"/>
          <w:color w:val="111111"/>
          <w:sz w:val="28"/>
          <w:sz w:val="28"/>
          <w:szCs w:val="28"/>
          <w:rtl w:val="true"/>
          <w:lang w:bidi="fa-IR"/>
        </w:rPr>
        <w:t>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فإذا کَبُرَ فإن شاء توالی إلی الذی التقطه</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فیه إشعار</w:t>
      </w:r>
      <w:r>
        <w:rPr>
          <w:rStyle w:val="FootnoteAnchor"/>
          <w:rtl w:val="true"/>
        </w:rPr>
        <w:footnoteReference w:id="1057"/>
      </w:r>
      <w:r>
        <w:rPr>
          <w:rFonts w:ascii="IRNazanin" w:hAnsi="IRNazanin" w:eastAsia="IRNazanin"/>
          <w:color w:val="111111"/>
          <w:sz w:val="28"/>
          <w:sz w:val="28"/>
          <w:szCs w:val="28"/>
          <w:rtl w:val="true"/>
          <w:lang w:bidi="fa-IR"/>
        </w:rPr>
        <w:t>بنوع ولایة للملتقط علی اللقیط فی حال صغره؛ بمعنی أنّ علیه حفظه و القیام بتربیته، و کذا فی خبر حاتم بن إسماعیل المدائنی، حیث</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أحبّ أن یوالی غیر الذی ربّاه والاه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حضانة اللقیط ما تقدّم من وجوب التقاطه، بل دلالتها علی وجوب الحضانة أظهر کما لا یخفی</w:t>
      </w:r>
      <w:r>
        <w:rPr>
          <w:rFonts w:eastAsia="IRNazanin" w:cs="IRNazanin"/>
          <w:color w:val="111111"/>
          <w:sz w:val="28"/>
          <w:szCs w:val="28"/>
          <w:rtl w:val="true"/>
          <w:lang w:bidi="fa-IR"/>
        </w:rPr>
        <w:t>.</w:t>
      </w:r>
    </w:p>
    <w:p>
      <w:pPr>
        <w:pStyle w:val="Heading6"/>
        <w:numPr>
          <w:ilvl w:val="5"/>
          <w:numId w:val="1"/>
        </w:numPr>
        <w:rPr/>
      </w:pPr>
      <w:bookmarkStart w:id="570" w:name="__RefHeading___Toc9530847_73709187"/>
      <w:bookmarkStart w:id="571" w:name="_Toc226"/>
      <w:bookmarkEnd w:id="570"/>
      <w:r>
        <w:rPr>
          <w:rtl w:val="true"/>
        </w:rPr>
        <w:t>فرعان</w:t>
      </w:r>
      <w:bookmarkEnd w:id="571"/>
    </w:p>
    <w:p>
      <w:pPr>
        <w:pStyle w:val="Heading6"/>
        <w:numPr>
          <w:ilvl w:val="5"/>
          <w:numId w:val="1"/>
        </w:numPr>
        <w:rPr/>
      </w:pPr>
      <w:bookmarkStart w:id="572" w:name="__RefHeading___Toc9530849_73709187"/>
      <w:bookmarkStart w:id="573" w:name="_Toc227"/>
      <w:bookmarkEnd w:id="572"/>
      <w:r>
        <w:rPr>
          <w:rtl w:val="true"/>
        </w:rPr>
        <w:t>الأوّل</w:t>
      </w:r>
      <w:r>
        <w:rPr>
          <w:rtl w:val="true"/>
        </w:rPr>
        <w:t xml:space="preserve">: </w:t>
      </w:r>
      <w:r>
        <w:rPr>
          <w:rtl w:val="true"/>
        </w:rPr>
        <w:t>المقصود من الحضانة فی المقام کما تقدّم، وجوب حفظ اللقیط و تربیته</w:t>
      </w:r>
      <w:bookmarkEnd w:id="5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القیام بأُمور فیها مصلحته، و لیس للملتقط علی اللقیط ولایة کنوع ولایة الأب</w:t>
      </w:r>
      <w:bookmarkStart w:id="574" w:name="pg11754_113000"/>
    </w:p>
    <w:p>
      <w:pPr>
        <w:pStyle w:val="BookText"/>
        <w:rPr/>
      </w:pPr>
      <w:bookmarkEnd w:id="574"/>
      <w:r>
        <w:rPr>
          <w:rFonts w:ascii="IRNazanin" w:hAnsi="IRNazanin" w:eastAsia="IRNazanin"/>
          <w:color w:val="111111"/>
          <w:sz w:val="28"/>
          <w:sz w:val="28"/>
          <w:szCs w:val="28"/>
          <w:rtl w:val="true"/>
          <w:lang w:bidi="fa-IR"/>
        </w:rPr>
        <w:t>و الجدّ علی الابن، فلیس له تزویج اللقیط و لا التصرّف فی أمواله بدون إذن الحاکم، و لا یکون هو وارثه، بل الولایة علیه فی زمان الحضور للإمام علیه السلام، و لولیّ المسلمین و الحاکم الجامع للشرائط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ممّا اتّفق علیه جمیع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ولاء للملتقط علیه، بل هو سائبة یتولّی من شاء</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و کذا فی اللمعة و الروضة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المعروف من مذهب الأصحاب و أکثر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المسالک</w:t>
      </w:r>
      <w:r>
        <w:rPr>
          <w:rStyle w:val="FootnoteAnchor"/>
          <w:rtl w:val="true"/>
        </w:rPr>
        <w:footnoteReference w:id="1061"/>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ولایة للملتقط و لا لغیره من المسلمین علیه إلاّ فی حضانته و تربیته، بل هو سائبة یتولّی من شاء</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 فی ذیل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بل الإجماع بقسمیه علیه</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9530851_73709187"/>
      <w:bookmarkStart w:id="576" w:name="_Toc228"/>
      <w:bookmarkEnd w:id="575"/>
      <w:r>
        <w:rPr>
          <w:rtl w:val="true"/>
        </w:rPr>
        <w:t>دلیل عدم ولایة الملتقط علی اللقیط‌</w:t>
      </w:r>
      <w:bookmarkEnd w:id="576"/>
    </w:p>
    <w:p>
      <w:pPr>
        <w:pStyle w:val="BookText"/>
        <w:rPr/>
      </w:pPr>
      <w:r>
        <w:rPr>
          <w:rFonts w:ascii="IRNazanin" w:hAnsi="IRNazanin" w:eastAsia="IRNazanin"/>
          <w:color w:val="111111"/>
          <w:sz w:val="28"/>
          <w:sz w:val="28"/>
          <w:szCs w:val="28"/>
          <w:rtl w:val="true"/>
          <w:lang w:bidi="fa-IR"/>
        </w:rPr>
        <w:t>و یدلّ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بمعنی أنّ ولایة شخص علی غیره کان علی خلاف الأصل، و علی خلاف حریّته التی وهبها اللّه تعالی إلیه، 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ولایة الإمام علی اللقیط، فهو ما یدلّ علی ولایته عموماً، کما ورد عن طریق أهل السنّة، عن النبیّ صلی الله علیه و آله أنّه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w:t>
      </w:r>
      <w:bookmarkStart w:id="577" w:name="pg11754_113001"/>
    </w:p>
    <w:p>
      <w:pPr>
        <w:pStyle w:val="BookText"/>
        <w:rPr/>
      </w:pPr>
      <w:bookmarkEnd w:id="577"/>
      <w:r>
        <w:rPr>
          <w:rFonts w:ascii="IRNazanin" w:hAnsi="IRNazanin" w:eastAsia="IRNazanin"/>
          <w:color w:val="111111"/>
          <w:sz w:val="28"/>
          <w:sz w:val="28"/>
          <w:szCs w:val="28"/>
          <w:rtl w:val="true"/>
          <w:lang w:bidi="fa-IR"/>
        </w:rPr>
        <w:t>و اعتماد الفقهاء علی العمل بمضمونها یجبر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 بعد التمسّک بها لإثبات ولایة الحاکم علی تزویج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استغنت عن الجابر فی خصوص الموارد، نحو غیرها من القواعد</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و بمثل هذا قال المحقّق النراقی أیضاً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 w:name="__RefHeading___Toc9530853_73709187"/>
      <w:bookmarkStart w:id="579" w:name="_Toc229"/>
      <w:bookmarkEnd w:id="578"/>
      <w:r>
        <w:rPr>
          <w:rtl w:val="true"/>
        </w:rPr>
        <w:t>الفرع الثانی</w:t>
      </w:r>
      <w:r>
        <w:rPr>
          <w:rtl w:val="true"/>
        </w:rPr>
        <w:t xml:space="preserve">: </w:t>
      </w:r>
      <w:r>
        <w:rPr>
          <w:rtl w:val="true"/>
        </w:rPr>
        <w:t>لا ریب فی أنّه لا یجوز للملتقط بعد أخذ اللقیط و القیام بحوائجه مدّة، ترک ما وجب علیه</w:t>
      </w:r>
      <w:bookmarkEnd w:id="579"/>
    </w:p>
    <w:p>
      <w:pPr>
        <w:pStyle w:val="BookText"/>
        <w:rPr/>
      </w:pPr>
      <w:r>
        <w:rPr>
          <w:rFonts w:ascii="IRNazanin" w:hAnsi="IRNazanin" w:eastAsia="IRNazanin"/>
          <w:color w:val="111111"/>
          <w:sz w:val="28"/>
          <w:sz w:val="28"/>
          <w:szCs w:val="28"/>
          <w:rtl w:val="true"/>
          <w:lang w:bidi="fa-IR"/>
        </w:rPr>
        <w:t>و نبذه و طرده فی الطریق؛ لأنّه یوجب التلف و یجب حفظه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عجز عن القیام بحوائجه یجوز له تسلیم اللقیط إلی الحاکم، و أمّا إن قدر علیه فهل یجوز له ذلک أم لا؟ اختلف الفقهاء فیه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العلاّمة فی التذکرة بالجواز،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تبرّم به مع القدرة علی حضانته و تربیته فالأقرب أنّه یسلّمه إلی القاضی أیضاً</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للأصل، و لعدم وجوب إتمام العمل علی من شرع بعمل الذی وجب علیه کفایة، و لأنّ الحاکم ولیّ من لا ولیّ 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أفتی جمع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جوازه، کالعلاّمة فی القواعد،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الملتقط الحضانة، فإن عجز سلّمه إلی القاضی، و هل له ذلک مع التبرّم و القدرة؟ نظر، ینشأ من شروعه فی فرض کفایةٍ‌</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فلزمه</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أی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ولده فی الإیضاح</w:t>
      </w:r>
      <w:r>
        <w:rPr>
          <w:rStyle w:val="FootnoteAnchor"/>
          <w:rtl w:val="true"/>
        </w:rPr>
        <w:footnoteReference w:id="1071"/>
      </w:r>
      <w:r>
        <w:rPr>
          <w:rFonts w:ascii="IRNazanin" w:hAnsi="IRNazanin" w:eastAsia="IRNazanin"/>
          <w:color w:val="111111"/>
          <w:sz w:val="28"/>
          <w:sz w:val="28"/>
          <w:szCs w:val="28"/>
          <w:rtl w:val="true"/>
          <w:lang w:bidi="fa-IR"/>
        </w:rPr>
        <w:t>، و کذا فی جامع المقاصد</w:t>
      </w:r>
      <w:r>
        <w:rPr>
          <w:rStyle w:val="FootnoteAnchor"/>
          <w:rtl w:val="true"/>
        </w:rPr>
        <w:footnoteReference w:id="1072"/>
      </w:r>
      <w:r>
        <w:rPr>
          <w:rFonts w:ascii="IRNazanin" w:hAnsi="IRNazanin" w:eastAsia="IRNazanin"/>
          <w:color w:val="111111"/>
          <w:sz w:val="28"/>
          <w:sz w:val="28"/>
          <w:szCs w:val="28"/>
          <w:rtl w:val="true"/>
          <w:lang w:bidi="fa-IR"/>
        </w:rPr>
        <w:t>و الجواهر</w:t>
      </w:r>
      <w:r>
        <w:rPr>
          <w:rStyle w:val="FootnoteAnchor"/>
          <w:rtl w:val="true"/>
        </w:rPr>
        <w:footnoteReference w:id="1073"/>
      </w:r>
      <w:r>
        <w:rPr>
          <w:rFonts w:ascii="IRNazanin" w:hAnsi="IRNazanin" w:eastAsia="IRNazanin"/>
          <w:color w:val="111111"/>
          <w:sz w:val="28"/>
          <w:sz w:val="28"/>
          <w:szCs w:val="28"/>
          <w:rtl w:val="true"/>
          <w:lang w:bidi="fa-IR"/>
        </w:rPr>
        <w:t>، و لقد أجاد فی مفتاح الکرامة فی الاستدلال علی الوجوب و الإیراد علی الجواز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علیه حقّ الحفظ فیستصحب، و لقوله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فالشروع فی فروض الکفایة یوجب إتمامها و تعیّنها،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الشروع لا یغیّر حکم المشروع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الأصل غیر أصیل مع ثبوت الولایة و وجوب القیام بمقتضاها، و الحاکم ولیّ عامّ ولایته علی من لا ولیّ له، و الملتقط ولیّ خاصّ،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أخذه تعیّنت الحضانة علیه، فلیس من الشروع فی الواجب الکفائی، فلا معنی للنظر</w:t>
      </w:r>
      <w:r>
        <w:rPr>
          <w:rFonts w:eastAsia="IRNazanin" w:cs="IRNazanin"/>
          <w:color w:val="111111"/>
          <w:sz w:val="28"/>
          <w:szCs w:val="28"/>
          <w:rtl w:val="true"/>
          <w:lang w:bidi="fa-IR"/>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فی الجواهر</w:t>
      </w:r>
      <w:r>
        <w:rPr>
          <w:rStyle w:val="FootnoteAnchor"/>
          <w:rtl w:val="true"/>
        </w:rPr>
        <w:footnoteReference w:id="1075"/>
      </w:r>
      <w:bookmarkStart w:id="580" w:name="pg11754_113003"/>
    </w:p>
    <w:p>
      <w:pPr>
        <w:pStyle w:val="Heading5"/>
        <w:numPr>
          <w:ilvl w:val="4"/>
          <w:numId w:val="1"/>
        </w:numPr>
        <w:rPr/>
      </w:pPr>
      <w:bookmarkStart w:id="581" w:name="__RefHeading___Toc9530855_73709187"/>
      <w:bookmarkStart w:id="582" w:name="_Toc230"/>
      <w:bookmarkEnd w:id="580"/>
      <w:bookmarkEnd w:id="581"/>
      <w:r>
        <w:rPr>
          <w:rtl w:val="true"/>
        </w:rPr>
        <w:t>آراء مذاهب أهل السنّة فی أخذ اللقیط و حضانته</w:t>
      </w:r>
      <w:bookmarkEnd w:id="582"/>
    </w:p>
    <w:p>
      <w:pPr>
        <w:pStyle w:val="Heading6"/>
        <w:numPr>
          <w:ilvl w:val="5"/>
          <w:numId w:val="1"/>
        </w:numPr>
        <w:rPr/>
      </w:pPr>
      <w:bookmarkStart w:id="583" w:name="__RefHeading___Toc9530857_73709187"/>
      <w:bookmarkStart w:id="584" w:name="_Toc231"/>
      <w:bookmarkEnd w:id="583"/>
      <w:r>
        <w:rPr>
          <w:rtl w:val="true"/>
        </w:rPr>
        <w:t>أ</w:t>
      </w:r>
      <w:r>
        <w:rPr>
          <w:rtl w:val="true"/>
        </w:rPr>
        <w:t xml:space="preserve">: </w:t>
      </w:r>
      <w:r>
        <w:rPr>
          <w:rtl w:val="true"/>
        </w:rPr>
        <w:t>أخذ اللقیط‌</w:t>
      </w:r>
      <w:bookmarkEnd w:id="584"/>
    </w:p>
    <w:p>
      <w:pPr>
        <w:pStyle w:val="BookText"/>
        <w:rPr/>
      </w:pPr>
      <w:r>
        <w:rPr>
          <w:rFonts w:ascii="IRNazanin" w:hAnsi="IRNazanin" w:eastAsia="IRNazanin"/>
          <w:color w:val="111111"/>
          <w:sz w:val="28"/>
          <w:sz w:val="28"/>
          <w:szCs w:val="28"/>
          <w:rtl w:val="true"/>
          <w:lang w:bidi="fa-IR"/>
        </w:rPr>
        <w:t>ذهب الشافعیّة</w:t>
      </w:r>
      <w:r>
        <w:rPr>
          <w:rStyle w:val="FootnoteAnchor"/>
          <w:rtl w:val="true"/>
        </w:rPr>
        <w:footnoteReference w:id="1076"/>
      </w:r>
      <w:r>
        <w:rPr>
          <w:rFonts w:ascii="Amiri" w:hAnsi="Amiri" w:eastAsia="Amiri" w:cs="Amiri"/>
          <w:color w:val="111111"/>
          <w:sz w:val="28"/>
          <w:sz w:val="28"/>
          <w:szCs w:val="28"/>
          <w:rtl w:val="true"/>
          <w:lang w:bidi="ar-SA"/>
        </w:rPr>
        <w:t>و المالکیّة</w:t>
      </w:r>
      <w:r>
        <w:rPr>
          <w:rStyle w:val="FootnoteAnchor"/>
          <w:rtl w:val="true"/>
        </w:rPr>
        <w:footnoteReference w:id="1077"/>
      </w:r>
      <w:r>
        <w:rPr>
          <w:rFonts w:ascii="Amiri" w:hAnsi="Amiri" w:eastAsia="Amiri" w:cs="Amiri"/>
          <w:color w:val="111111"/>
          <w:sz w:val="28"/>
          <w:sz w:val="28"/>
          <w:szCs w:val="28"/>
          <w:rtl w:val="true"/>
          <w:lang w:bidi="ar-SA"/>
        </w:rPr>
        <w:t>و الحنابلة</w:t>
      </w:r>
      <w:r>
        <w:rPr>
          <w:rStyle w:val="FootnoteAnchor"/>
          <w:rtl w:val="true"/>
        </w:rPr>
        <w:footnoteReference w:id="1078"/>
      </w:r>
      <w:r>
        <w:rPr>
          <w:rFonts w:ascii="IRNazanin" w:hAnsi="IRNazanin" w:eastAsia="IRNazanin"/>
          <w:color w:val="111111"/>
          <w:sz w:val="28"/>
          <w:sz w:val="28"/>
          <w:szCs w:val="28"/>
          <w:rtl w:val="true"/>
          <w:lang w:bidi="fa-IR"/>
        </w:rPr>
        <w:t>إلی أنّ التقاط اللقیط واجب کفایة، و إذا قام به بعض المسلمین سقط عن الباقین، و إلاّ أثموا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الإلقاط و هو من فروض الکفایات، صیانة للنفس المحترمة عن الهلاک، و فی هامشه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بإحیائها یسقط الحرج عن الناس فإحیاؤهم بالنجاة من العذاب، و لأنّه آدمی محترم فوجب حفظه کالمضطرّ إلی طعام بل هو أولی</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البیان استدلالاً بالآیة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ثواب من أحیا النّاس کلّهم، و فی أخذ اللقیط إحیاء له، فکان واجباً، کبذل الطعام للمضطرّ</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الحنفیّة إلی أنّ أخذ اللقیط مندوب</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9530859_73709187"/>
      <w:bookmarkStart w:id="586" w:name="_Toc232"/>
      <w:bookmarkEnd w:id="585"/>
      <w:r>
        <w:rPr>
          <w:rtl w:val="true"/>
        </w:rPr>
        <w:t>ب</w:t>
      </w:r>
      <w:r>
        <w:rPr>
          <w:rtl w:val="true"/>
        </w:rPr>
        <w:t xml:space="preserve">: </w:t>
      </w:r>
      <w:r>
        <w:rPr>
          <w:rtl w:val="true"/>
        </w:rPr>
        <w:t>وجوب حضانته</w:t>
      </w:r>
      <w:bookmarkEnd w:id="5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خلاف بین المذاهب الأربعة فی وجوب حضانة اللقیط بعد أخذه، و للملتقط حقّ الحضانة و التربیة علیه فقط، فلا یجوز له إنکاحه و بیع ماله؛</w:t>
      </w:r>
    </w:p>
    <w:p>
      <w:pPr>
        <w:pStyle w:val="BookText"/>
        <w:rPr/>
      </w:pPr>
      <w:r>
        <w:rPr>
          <w:rFonts w:ascii="IRNazanin" w:hAnsi="IRNazanin" w:eastAsia="IRNazanin"/>
          <w:color w:val="111111"/>
          <w:sz w:val="28"/>
          <w:sz w:val="28"/>
          <w:szCs w:val="28"/>
          <w:rtl w:val="true"/>
          <w:lang w:bidi="fa-IR"/>
        </w:rPr>
        <w:t>لأنّ نفوذ هذه التصرّفات یستلزم الولایة، و لا ولاء للملتقط علی اللقیط‌</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التقطه یلزمه الحضانة، و لا یلزمه النفقة فی ماله، فإن عجز سلّمه إلی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الرافعی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التربیة لا الأعمال المفصّلة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 قال ابن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حضانة اللقیط علی ملتقطه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الکاسانی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ولایة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لانعدام سببها؛ و هو القرابة و السلطنة، إلاّ أنّه یجوز له أن یقبض الهبة له و یسلّمه فی صناعة أو یؤاجره؛ لأنّ ذلک لیس من باب الولایة علیه، بل من باب إصلاح حاله و إیصال المنفعة المحضة إلیه من غیر ضرر، فأشبه إطعامه و غسل ثیابه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للملتقط علی اللقیط ذکراً کان أو انثی عقد النکاح، و لا بیع و لا شراء؛ لأنّ نفوذ هذه التصرّفات علی الغیر یعتمد الولایة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ولایة للملتقط علی اللقیط، و إنّما له حقّ الحفظ و التربیة؛ لکونه منفعة محضة فی حقّه</w:t>
      </w:r>
      <w:r>
        <w:rPr>
          <w:rFonts w:eastAsia="IRNazanin" w:cs="IRNazanin"/>
          <w:color w:val="111111"/>
          <w:sz w:val="28"/>
          <w:szCs w:val="28"/>
          <w:rtl w:val="true"/>
          <w:lang w:bidi="fa-IR"/>
        </w:rPr>
        <w:t>»</w:t>
      </w:r>
      <w:r>
        <w:rPr>
          <w:rStyle w:val="FootnoteAnchor"/>
          <w:rtl w:val="true"/>
        </w:rPr>
        <w:footnoteReference w:id="1086"/>
      </w:r>
      <w:bookmarkStart w:id="587" w:name="pg11754_113005"/>
    </w:p>
    <w:p>
      <w:pPr>
        <w:pStyle w:val="Heading4"/>
        <w:numPr>
          <w:ilvl w:val="3"/>
          <w:numId w:val="1"/>
        </w:numPr>
        <w:rPr/>
      </w:pPr>
      <w:bookmarkStart w:id="588" w:name="__RefHeading___Toc9530861_73709187"/>
      <w:bookmarkStart w:id="589" w:name="_Toc233"/>
      <w:bookmarkEnd w:id="587"/>
      <w:bookmarkEnd w:id="588"/>
      <w:r>
        <w:rPr>
          <w:rtl w:val="true"/>
        </w:rPr>
        <w:t>المبحث الخامس</w:t>
      </w:r>
      <w:r>
        <w:rPr>
          <w:rtl w:val="true"/>
        </w:rPr>
        <w:t xml:space="preserve">: </w:t>
      </w:r>
      <w:r>
        <w:rPr>
          <w:rtl w:val="true"/>
        </w:rPr>
        <w:t>أحکام اللقیط‌</w:t>
      </w:r>
      <w:bookmarkEnd w:id="589"/>
    </w:p>
    <w:p>
      <w:pPr>
        <w:pStyle w:val="Heading5"/>
        <w:numPr>
          <w:ilvl w:val="4"/>
          <w:numId w:val="1"/>
        </w:numPr>
        <w:rPr/>
      </w:pPr>
      <w:bookmarkStart w:id="590" w:name="__RefHeading___Toc9530863_73709187"/>
      <w:bookmarkStart w:id="591" w:name="_Toc234"/>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یترتّب علی أخذ اللقیط أحکام، عمدتها ما یلی</w:t>
      </w:r>
      <w:r>
        <w:rPr>
          <w:rFonts w:eastAsia="IRNazanin" w:cs="IRNazanin"/>
          <w:color w:val="111111"/>
          <w:sz w:val="28"/>
          <w:szCs w:val="28"/>
          <w:rtl w:val="true"/>
          <w:lang w:bidi="fa-IR"/>
        </w:rPr>
        <w:t>:</w:t>
      </w:r>
    </w:p>
    <w:p>
      <w:pPr>
        <w:pStyle w:val="Heading5"/>
        <w:numPr>
          <w:ilvl w:val="4"/>
          <w:numId w:val="1"/>
        </w:numPr>
        <w:rPr/>
      </w:pPr>
      <w:bookmarkStart w:id="592" w:name="__RefHeading___Toc9530865_73709187"/>
      <w:bookmarkStart w:id="593" w:name="_Toc235"/>
      <w:bookmarkEnd w:id="592"/>
      <w:r>
        <w:rPr>
          <w:rtl w:val="true"/>
        </w:rPr>
        <w:t>الحکم الأوّل</w:t>
      </w:r>
      <w:r>
        <w:rPr>
          <w:rtl w:val="true"/>
        </w:rPr>
        <w:t xml:space="preserve">: </w:t>
      </w:r>
      <w:r>
        <w:rPr>
          <w:rtl w:val="true"/>
        </w:rPr>
        <w:t>نسب اللقیط‌</w:t>
      </w:r>
      <w:bookmarkEnd w:id="593"/>
    </w:p>
    <w:p>
      <w:pPr>
        <w:pStyle w:val="Heading6"/>
        <w:numPr>
          <w:ilvl w:val="5"/>
          <w:numId w:val="1"/>
        </w:numPr>
        <w:rPr/>
      </w:pPr>
      <w:bookmarkStart w:id="594" w:name="__RefHeading___Toc9530867_73709187"/>
      <w:bookmarkStart w:id="595" w:name="_Toc236"/>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إن ادّعی رجل أنّ اللقیط ولده و کان ممکناً عادةً، و لم یکن علیه مدّع آخر یلحق به؛ سواء کان المدّعی هو الملتقط أو غیره، حرّاً کان المدّعی أو عبداً، مسلماً کان أو کافراً، و لا یطالب المدّعی بالبیّنة؛ لأنّ إقامة البیّنة علی النسب یعسر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فی هذا الحکم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ادّعی الملتقط أنّه ابنه؛ فإنّه یصحّ إقراره و یثبت به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أجنبیّ بأنّه ابنه، فالحکم فیه کما ذکرنا فی الملتقط سواء، و ینزع من ید الملتقط و یدفع إلیه؛ لأنّه أبوه و هو أولی به</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الشرائع</w:t>
      </w:r>
      <w:r>
        <w:rPr>
          <w:rStyle w:val="FootnoteAnchor"/>
          <w:rtl w:val="true"/>
        </w:rPr>
        <w:footnoteReference w:id="1088"/>
      </w:r>
      <w:r>
        <w:rPr>
          <w:rFonts w:ascii="IRNazanin" w:hAnsi="IRNazanin" w:eastAsia="IRNazanin"/>
          <w:color w:val="111111"/>
          <w:sz w:val="28"/>
          <w:sz w:val="28"/>
          <w:szCs w:val="28"/>
          <w:rtl w:val="true"/>
          <w:lang w:bidi="fa-IR"/>
        </w:rPr>
        <w:t>، و القواعد</w:t>
      </w:r>
      <w:r>
        <w:rPr>
          <w:rStyle w:val="FootnoteAnchor"/>
          <w:rtl w:val="true"/>
        </w:rPr>
        <w:footnoteReference w:id="1089"/>
      </w:r>
      <w:r>
        <w:rPr>
          <w:rFonts w:ascii="IRNazanin" w:hAnsi="IRNazanin" w:eastAsia="IRNazanin"/>
          <w:color w:val="111111"/>
          <w:sz w:val="28"/>
          <w:sz w:val="28"/>
          <w:szCs w:val="28"/>
          <w:rtl w:val="true"/>
          <w:lang w:bidi="fa-IR"/>
        </w:rPr>
        <w:t>، و التذکرة</w:t>
      </w:r>
      <w:r>
        <w:rPr>
          <w:rStyle w:val="FootnoteAnchor"/>
          <w:rtl w:val="true"/>
        </w:rPr>
        <w:footnoteReference w:id="1090"/>
      </w:r>
      <w:r>
        <w:rPr>
          <w:rFonts w:ascii="IRNazanin" w:hAnsi="IRNazanin" w:eastAsia="IRNazanin"/>
          <w:color w:val="111111"/>
          <w:sz w:val="28"/>
          <w:sz w:val="28"/>
          <w:szCs w:val="28"/>
          <w:rtl w:val="true"/>
          <w:lang w:bidi="fa-IR"/>
        </w:rPr>
        <w:t>، و إرشاد الأذهان</w:t>
      </w:r>
      <w:r>
        <w:rPr>
          <w:rStyle w:val="FootnoteAnchor"/>
          <w:rtl w:val="true"/>
        </w:rPr>
        <w:footnoteReference w:id="1091"/>
      </w:r>
      <w:r>
        <w:rPr>
          <w:rFonts w:ascii="IRNazanin" w:hAnsi="IRNazanin" w:eastAsia="IRNazanin"/>
          <w:color w:val="111111"/>
          <w:sz w:val="28"/>
          <w:sz w:val="28"/>
          <w:szCs w:val="28"/>
          <w:rtl w:val="true"/>
          <w:lang w:bidi="fa-IR"/>
        </w:rPr>
        <w:t>و غیرها</w:t>
      </w:r>
      <w:r>
        <w:rPr>
          <w:rStyle w:val="FootnoteAnchor"/>
          <w:rtl w:val="true"/>
        </w:rPr>
        <w:footnoteReference w:id="1092"/>
      </w:r>
      <w:r>
        <w:rPr>
          <w:rFonts w:ascii="IRNazanin" w:hAnsi="IRNazanin" w:eastAsia="IRNazanin"/>
          <w:color w:val="111111"/>
          <w:sz w:val="28"/>
          <w:sz w:val="28"/>
          <w:szCs w:val="28"/>
          <w:rtl w:val="true"/>
          <w:lang w:bidi="fa-IR"/>
        </w:rPr>
        <w:t>، و ادّعی فی جامع المقاصد الإجماع علیه</w:t>
      </w:r>
      <w:r>
        <w:rPr>
          <w:rStyle w:val="FootnoteAnchor"/>
          <w:rtl w:val="true"/>
        </w:rPr>
        <w:footnoteReference w:id="1093"/>
      </w:r>
      <w:r>
        <w:rPr>
          <w:rFonts w:ascii="IRNazanin" w:hAnsi="IRNazanin" w:eastAsia="IRNazanin"/>
          <w:color w:val="111111"/>
          <w:sz w:val="28"/>
          <w:sz w:val="28"/>
          <w:szCs w:val="28"/>
          <w:rtl w:val="true"/>
          <w:lang w:bidi="fa-IR"/>
        </w:rPr>
        <w:t>، و نفی الخلاف عنه فی الجواهر</w:t>
      </w:r>
      <w:r>
        <w:rPr>
          <w:rStyle w:val="FootnoteAnchor"/>
          <w:rtl w:val="true"/>
        </w:rPr>
        <w:footnoteReference w:id="1094"/>
      </w:r>
      <w:bookmarkStart w:id="596" w:name="pg11754_113006"/>
    </w:p>
    <w:p>
      <w:pPr>
        <w:pStyle w:val="Heading6"/>
        <w:numPr>
          <w:ilvl w:val="5"/>
          <w:numId w:val="1"/>
        </w:numPr>
        <w:rPr/>
      </w:pPr>
      <w:bookmarkStart w:id="597" w:name="__RefHeading___Toc9530869_73709187"/>
      <w:bookmarkStart w:id="598" w:name="_Toc237"/>
      <w:bookmarkEnd w:id="596"/>
      <w:bookmarkEnd w:id="597"/>
      <w:r>
        <w:rPr>
          <w:rtl w:val="true"/>
        </w:rPr>
        <w:t>أدلّة الحاق اللقیط بمن ادّعی أنّه ولده</w:t>
      </w:r>
      <w:bookmarkEnd w:id="598"/>
    </w:p>
    <w:p>
      <w:pPr>
        <w:pStyle w:val="BookText"/>
        <w:rPr/>
      </w:pPr>
      <w:r>
        <w:rPr>
          <w:rFonts w:ascii="IRNazanin" w:hAnsi="IRNazanin" w:eastAsia="IRNazanin"/>
          <w:color w:val="111111"/>
          <w:sz w:val="28"/>
          <w:sz w:val="28"/>
          <w:szCs w:val="28"/>
          <w:rtl w:val="true"/>
          <w:lang w:bidi="fa-IR"/>
        </w:rPr>
        <w:t>و ما یمکن أن یستدلّ لإثبات هذا الحکم وجوه</w:t>
      </w:r>
      <w:r>
        <w:rPr>
          <w:rFonts w:eastAsia="IRNazanin" w:cs="IRNazanin"/>
          <w:color w:val="111111"/>
          <w:sz w:val="28"/>
          <w:szCs w:val="28"/>
          <w:rtl w:val="true"/>
          <w:lang w:bidi="fa-IR"/>
        </w:rPr>
        <w:t>:</w:t>
      </w:r>
    </w:p>
    <w:p>
      <w:pPr>
        <w:pStyle w:val="Heading6"/>
        <w:numPr>
          <w:ilvl w:val="5"/>
          <w:numId w:val="1"/>
        </w:numPr>
        <w:rPr/>
      </w:pPr>
      <w:bookmarkStart w:id="599" w:name="__RefHeading___Toc9530871_73709187"/>
      <w:bookmarkStart w:id="600" w:name="_Toc238"/>
      <w:bookmarkEnd w:id="599"/>
      <w:r>
        <w:rPr>
          <w:rtl w:val="true"/>
        </w:rPr>
        <w:t>أحدها</w:t>
      </w:r>
      <w:r>
        <w:rPr>
          <w:rtl w:val="true"/>
        </w:rPr>
        <w:t xml:space="preserve">: </w:t>
      </w:r>
      <w:r>
        <w:rPr>
          <w:rtl w:val="true"/>
        </w:rPr>
        <w:t>الإجماع</w:t>
      </w:r>
      <w:bookmarkEnd w:id="600"/>
    </w:p>
    <w:p>
      <w:pPr>
        <w:pStyle w:val="BookText"/>
        <w:rPr/>
      </w:pPr>
      <w:r>
        <w:rPr>
          <w:rFonts w:ascii="Amiri" w:hAnsi="Amiri" w:eastAsia="Amiri" w:cs="Amiri"/>
          <w:color w:val="111111"/>
          <w:sz w:val="28"/>
          <w:sz w:val="28"/>
          <w:szCs w:val="28"/>
          <w:rtl w:val="true"/>
          <w:lang w:bidi="ar-SA"/>
        </w:rPr>
        <w:t>کما تقدّم، إلاّ أنّه لا یکون دلیلاً مستقلاًّ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9530873_73709187"/>
      <w:bookmarkStart w:id="602" w:name="_Toc239"/>
      <w:bookmarkEnd w:id="601"/>
      <w:r>
        <w:rPr>
          <w:rtl w:val="true"/>
        </w:rPr>
        <w:t>ثانیها</w:t>
      </w:r>
      <w:r>
        <w:rPr>
          <w:rtl w:val="true"/>
        </w:rPr>
        <w:t xml:space="preserve">: </w:t>
      </w:r>
      <w:r>
        <w:rPr>
          <w:rtl w:val="true"/>
        </w:rPr>
        <w:t>أنّ المدّعی یقرّ بنسب مجهول یمکن أن یکون منه</w:t>
      </w:r>
      <w:bookmarkEnd w:id="602"/>
    </w:p>
    <w:p>
      <w:pPr>
        <w:pStyle w:val="BookText"/>
        <w:rPr/>
      </w:pPr>
      <w:r>
        <w:rPr>
          <w:rFonts w:ascii="IRNazanin" w:hAnsi="IRNazanin" w:eastAsia="IRNazanin"/>
          <w:color w:val="111111"/>
          <w:sz w:val="28"/>
          <w:sz w:val="28"/>
          <w:szCs w:val="28"/>
          <w:rtl w:val="true"/>
          <w:lang w:bidi="fa-IR"/>
        </w:rPr>
        <w:t>، و هو نفع للّقیط و لیس إضرار بغیره، و تشمله عموم قاعدة الإقرار، فتثبت إقراره کما أشار إلیه فی المبسوط‌</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لو کان هو النفع و عدم الإضرار فلا یتمّ فی بعض الموارد؛ لأنّ المدّعی لو کان عبداً فإلحاق اللقیط به یوجب الإضرار بمولاه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للّقیط مال کثیر و کان المدّعی فقیراً یمکن أن یکون ادّعاؤه للتصرّف فی ماله و الإنفاق لنفسه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فی هذه الموارد لا یجوز الإلحاق بمجرّد الادّعاء، بل یطالب علی ادّعائه بدلیل، کما أفتی بعض الفقهاء بأنّ فی صورة کون مدّعیه امّاً تطالب بالبیّنة،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الشرائع</w:t>
      </w:r>
      <w:r>
        <w:rPr>
          <w:rStyle w:val="FootnoteAnchor"/>
          <w:rtl w:val="true"/>
        </w:rPr>
        <w:footnoteReference w:id="1097"/>
      </w:r>
      <w:r>
        <w:rPr>
          <w:rFonts w:ascii="IRNazanin" w:hAnsi="IRNazanin" w:eastAsia="IRNazanin"/>
          <w:color w:val="111111"/>
          <w:sz w:val="28"/>
          <w:sz w:val="28"/>
          <w:szCs w:val="28"/>
          <w:rtl w:val="true"/>
          <w:lang w:bidi="fa-IR"/>
        </w:rPr>
        <w:t>، و العلاّمة فی القواعد</w:t>
      </w:r>
      <w:r>
        <w:rPr>
          <w:rStyle w:val="FootnoteAnchor"/>
          <w:rtl w:val="true"/>
        </w:rPr>
        <w:footnoteReference w:id="1098"/>
      </w:r>
      <w:r>
        <w:rPr>
          <w:rFonts w:ascii="IRNazanin" w:hAnsi="IRNazanin" w:eastAsia="IRNazanin"/>
          <w:color w:val="111111"/>
          <w:sz w:val="28"/>
          <w:sz w:val="28"/>
          <w:szCs w:val="28"/>
          <w:rtl w:val="true"/>
          <w:lang w:bidi="fa-IR"/>
        </w:rPr>
        <w:t>، و الشهید فی المسالک</w:t>
      </w:r>
      <w:r>
        <w:rPr>
          <w:rStyle w:val="FootnoteAnchor"/>
          <w:rtl w:val="true"/>
        </w:rPr>
        <w:footnoteReference w:id="1099"/>
      </w:r>
      <w:r>
        <w:rPr>
          <w:rFonts w:ascii="IRNazanin" w:hAnsi="IRNazanin" w:eastAsia="IRNazanin"/>
          <w:color w:val="111111"/>
          <w:sz w:val="28"/>
          <w:sz w:val="28"/>
          <w:szCs w:val="28"/>
          <w:rtl w:val="true"/>
          <w:lang w:bidi="fa-IR"/>
        </w:rPr>
        <w:t>، و المحقّق الثانی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الأخیر فی شرح کلام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افتقار الاُمّ إلی البیّنة أو التصدیق بعد بلوغه، وجه القرب عموم البیّنة علی المدّعی</w:t>
      </w:r>
      <w:r>
        <w:rPr>
          <w:rStyle w:val="FootnoteAnchor"/>
          <w:rtl w:val="true"/>
        </w:rPr>
        <w:footnoteReference w:id="1100"/>
      </w:r>
      <w:r>
        <w:rPr>
          <w:rFonts w:ascii="IRNazanin" w:hAnsi="IRNazanin" w:eastAsia="IRNazanin"/>
          <w:color w:val="111111"/>
          <w:sz w:val="28"/>
          <w:sz w:val="28"/>
          <w:szCs w:val="28"/>
          <w:rtl w:val="true"/>
          <w:lang w:bidi="fa-IR"/>
        </w:rPr>
        <w:t>، خرج من ذلک الأب بالإجماع، فیبقی ما عداه علی الأصل</w:t>
      </w:r>
      <w:r>
        <w:rPr>
          <w:rFonts w:eastAsia="IRNazanin" w:cs="IRNazanin"/>
          <w:color w:val="111111"/>
          <w:sz w:val="28"/>
          <w:szCs w:val="28"/>
          <w:rtl w:val="true"/>
          <w:lang w:bidi="fa-IR"/>
        </w:rPr>
        <w:t>»</w:t>
      </w:r>
      <w:r>
        <w:rPr>
          <w:rStyle w:val="FootnoteAnchor"/>
          <w:rtl w:val="true"/>
        </w:rPr>
        <w:footnoteReference w:id="1101"/>
      </w:r>
      <w:bookmarkStart w:id="603" w:name="pg11754_113007"/>
    </w:p>
    <w:p>
      <w:pPr>
        <w:pStyle w:val="Heading6"/>
        <w:numPr>
          <w:ilvl w:val="5"/>
          <w:numId w:val="1"/>
        </w:numPr>
        <w:rPr/>
      </w:pPr>
      <w:bookmarkStart w:id="604" w:name="__RefHeading___Toc9530875_73709187"/>
      <w:bookmarkStart w:id="605" w:name="_Toc240"/>
      <w:bookmarkEnd w:id="603"/>
      <w:bookmarkEnd w:id="604"/>
      <w:r>
        <w:rPr>
          <w:rtl w:val="true"/>
        </w:rPr>
        <w:t>ثالثها</w:t>
      </w:r>
      <w:r>
        <w:rPr>
          <w:rtl w:val="true"/>
        </w:rPr>
        <w:t xml:space="preserve">: </w:t>
      </w:r>
      <w:r>
        <w:rPr>
          <w:rtl w:val="true"/>
        </w:rPr>
        <w:t>قال فی المسالک</w:t>
      </w:r>
      <w:r>
        <w:rPr>
          <w:rtl w:val="true"/>
        </w:rPr>
        <w:t>: «</w:t>
      </w:r>
      <w:r>
        <w:rPr>
          <w:rtl w:val="true"/>
        </w:rPr>
        <w:t>إنّ إقامة البیّنة علی النسب ممّا یعسر</w:t>
      </w:r>
      <w:bookmarkEnd w:id="605"/>
    </w:p>
    <w:p>
      <w:pPr>
        <w:pStyle w:val="BookText"/>
        <w:rPr/>
      </w:pPr>
      <w:r>
        <w:rPr>
          <w:rFonts w:ascii="IRNazanin" w:hAnsi="IRNazanin" w:eastAsia="IRNazanin"/>
          <w:color w:val="111111"/>
          <w:sz w:val="28"/>
          <w:sz w:val="28"/>
          <w:szCs w:val="28"/>
          <w:rtl w:val="true"/>
          <w:lang w:bidi="fa-IR"/>
        </w:rPr>
        <w:t>، و لو لم یثبته الاستلحاق لضاع کثیر من الأنساب</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9530877_73709187"/>
      <w:bookmarkStart w:id="607" w:name="_Toc241"/>
      <w:bookmarkEnd w:id="606"/>
      <w:r>
        <w:rPr>
          <w:rtl w:val="true"/>
        </w:rPr>
        <w:t xml:space="preserve">رابعها </w:t>
      </w:r>
      <w:r>
        <w:rPr>
          <w:rtl w:val="true"/>
        </w:rPr>
        <w:t xml:space="preserve">- </w:t>
      </w:r>
      <w:r>
        <w:rPr>
          <w:rtl w:val="true"/>
        </w:rPr>
        <w:t xml:space="preserve">و هو العمدة </w:t>
      </w:r>
      <w:r>
        <w:rPr>
          <w:rtl w:val="true"/>
        </w:rPr>
        <w:t xml:space="preserve">-: </w:t>
      </w:r>
      <w:r>
        <w:rPr>
          <w:rtl w:val="true"/>
        </w:rPr>
        <w:t>النصوص</w:t>
      </w:r>
      <w:bookmarkEnd w:id="60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ادّعی ولد امرأة لا یعرف له أب ثمّ انتفی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منها أنّه بعد الإقرار یثبت النسب و لا ینتفی بالإنکار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p>
    <w:p>
      <w:pPr>
        <w:pStyle w:val="BookText"/>
        <w:rPr/>
      </w:pPr>
      <w:r>
        <w:rPr>
          <w:rFonts w:ascii="IRNazanin" w:hAnsi="IRNazanin" w:eastAsia="IRNazanin"/>
          <w:color w:val="111111"/>
          <w:sz w:val="28"/>
          <w:sz w:val="28"/>
          <w:szCs w:val="28"/>
          <w:rtl w:val="true"/>
          <w:lang w:bidi="fa-IR"/>
        </w:rPr>
        <w:t>السکونی،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بالولد ساعة لم ینتف عنه أبداً</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مدّعی البنوّة واحداً، و أمّا لو کانا اثنین، ففی إلحاق الولد بأحدهما لا بدّ من البیّنة، فإن أقام أحدهما بیِّنة یلحق الولد به، و یترتّب علیه آثاره، کالإرث و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بیّنة لأحدهما، أو أقام کلّ منهما بیّنة، فإلحاق الولد بأحدهما ینحصر الطریق إلی القرعة؛ لأنّها لکلّ أمر مشکل، و المورد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بهذا کثیر من الفقهاء</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9530879_73709187"/>
      <w:bookmarkStart w:id="609" w:name="_Toc242"/>
      <w:bookmarkEnd w:id="608"/>
      <w:r>
        <w:rPr>
          <w:rtl w:val="true"/>
        </w:rPr>
        <w:t>الحکم الثانی</w:t>
      </w:r>
      <w:r>
        <w:rPr>
          <w:rtl w:val="true"/>
        </w:rPr>
        <w:t xml:space="preserve">: </w:t>
      </w:r>
      <w:r>
        <w:rPr>
          <w:rtl w:val="true"/>
        </w:rPr>
        <w:t>إسلام اللقیط‌</w:t>
      </w:r>
      <w:bookmarkEnd w:id="609"/>
    </w:p>
    <w:p>
      <w:pPr>
        <w:pStyle w:val="Heading6"/>
        <w:numPr>
          <w:ilvl w:val="5"/>
          <w:numId w:val="1"/>
        </w:numPr>
        <w:rPr/>
      </w:pPr>
      <w:bookmarkStart w:id="610" w:name="__RefHeading___Toc9530881_73709187"/>
      <w:bookmarkStart w:id="611" w:name="_Toc243"/>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الظاهر أنّه لا خلاف بین الفقهاء فی أنّ لقیط دار الإسلام محکوم بالإسلام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الملقوط فی دار الإسلام یحکم بإسلامه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ملّکها أهل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فیها مسلم، نظراً إلی الاحتمال و إن بعد، تغلیباً لحکم الإسلام،</w:t>
      </w:r>
    </w:p>
    <w:p>
      <w:pPr>
        <w:pStyle w:val="BookText"/>
        <w:rPr/>
      </w:pPr>
      <w:r>
        <w:rPr>
          <w:rFonts w:ascii="IRNazanin" w:hAnsi="IRNazanin" w:eastAsia="IRNazanin"/>
          <w:color w:val="111111"/>
          <w:sz w:val="28"/>
          <w:sz w:val="28"/>
          <w:szCs w:val="28"/>
          <w:rtl w:val="true"/>
          <w:lang w:bidi="fa-IR"/>
        </w:rPr>
        <w:t>و إن لم یکن فیها مسلم فهو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إن وجد فی دار الشرک و لا مستوطن هناک من المسلمین</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من المبسوط‌</w:t>
      </w:r>
      <w:r>
        <w:rPr>
          <w:rStyle w:val="FootnoteAnchor"/>
          <w:rtl w:val="true"/>
        </w:rPr>
        <w:footnoteReference w:id="1107"/>
      </w:r>
      <w:r>
        <w:rPr>
          <w:rFonts w:ascii="IRNazanin" w:hAnsi="IRNazanin" w:eastAsia="IRNazanin"/>
          <w:color w:val="111111"/>
          <w:sz w:val="28"/>
          <w:sz w:val="28"/>
          <w:szCs w:val="28"/>
          <w:rtl w:val="true"/>
          <w:lang w:bidi="fa-IR"/>
        </w:rPr>
        <w:t>، و هو صریح التذکرة</w:t>
      </w:r>
      <w:r>
        <w:rPr>
          <w:rStyle w:val="FootnoteAnchor"/>
          <w:rtl w:val="true"/>
        </w:rPr>
        <w:footnoteReference w:id="1108"/>
      </w:r>
      <w:r>
        <w:rPr>
          <w:rFonts w:ascii="IRNazanin" w:hAnsi="IRNazanin" w:eastAsia="IRNazanin"/>
          <w:color w:val="111111"/>
          <w:sz w:val="28"/>
          <w:sz w:val="28"/>
          <w:szCs w:val="28"/>
          <w:rtl w:val="true"/>
          <w:lang w:bidi="fa-IR"/>
        </w:rPr>
        <w:t>، و القواعد</w:t>
      </w:r>
      <w:r>
        <w:rPr>
          <w:rStyle w:val="FootnoteAnchor"/>
          <w:rtl w:val="true"/>
        </w:rPr>
        <w:footnoteReference w:id="1109"/>
      </w:r>
      <w:r>
        <w:rPr>
          <w:rFonts w:ascii="IRNazanin" w:hAnsi="IRNazanin" w:eastAsia="IRNazanin"/>
          <w:color w:val="111111"/>
          <w:sz w:val="28"/>
          <w:sz w:val="28"/>
          <w:szCs w:val="28"/>
          <w:rtl w:val="true"/>
          <w:lang w:bidi="fa-IR"/>
        </w:rPr>
        <w:t>، و الدروس</w:t>
      </w:r>
      <w:r>
        <w:rPr>
          <w:rStyle w:val="FootnoteAnchor"/>
          <w:rtl w:val="true"/>
        </w:rPr>
        <w:footnoteReference w:id="1110"/>
      </w:r>
      <w:r>
        <w:rPr>
          <w:rFonts w:ascii="Amiri" w:hAnsi="Amiri" w:eastAsia="Amiri" w:cs="Amiri"/>
          <w:color w:val="111111"/>
          <w:sz w:val="28"/>
          <w:sz w:val="28"/>
          <w:szCs w:val="28"/>
          <w:rtl w:val="true"/>
          <w:lang w:bidi="ar-SA"/>
        </w:rPr>
        <w:t>، و اللمعة و الروضة</w:t>
      </w:r>
      <w:r>
        <w:rPr>
          <w:rStyle w:val="FootnoteAnchor"/>
          <w:rtl w:val="true"/>
        </w:rPr>
        <w:footnoteReference w:id="1111"/>
      </w:r>
      <w:r>
        <w:rPr>
          <w:rFonts w:ascii="IRNazanin" w:hAnsi="IRNazanin" w:eastAsia="IRNazanin"/>
          <w:color w:val="111111"/>
          <w:sz w:val="28"/>
          <w:sz w:val="28"/>
          <w:szCs w:val="28"/>
          <w:rtl w:val="true"/>
          <w:lang w:bidi="fa-IR"/>
        </w:rPr>
        <w:t>، و تحریر الوسیلة</w:t>
      </w:r>
      <w:r>
        <w:rPr>
          <w:rStyle w:val="FootnoteAnchor"/>
          <w:rtl w:val="true"/>
        </w:rPr>
        <w:footnoteReference w:id="1112"/>
      </w:r>
      <w:r>
        <w:rPr>
          <w:rFonts w:ascii="IRNazanin" w:hAnsi="IRNazanin" w:eastAsia="IRNazanin"/>
          <w:color w:val="111111"/>
          <w:sz w:val="28"/>
          <w:sz w:val="28"/>
          <w:szCs w:val="28"/>
          <w:rtl w:val="true"/>
          <w:lang w:bidi="fa-IR"/>
        </w:rPr>
        <w:t>و شرحها</w:t>
      </w:r>
      <w:r>
        <w:rPr>
          <w:rStyle w:val="FootnoteAnchor"/>
          <w:rtl w:val="true"/>
        </w:rPr>
        <w:footnoteReference w:id="1113"/>
      </w:r>
      <w:r>
        <w:rPr>
          <w:rFonts w:ascii="IRNazanin" w:hAnsi="IRNazanin" w:eastAsia="IRNazanin"/>
          <w:color w:val="111111"/>
          <w:sz w:val="28"/>
          <w:sz w:val="28"/>
          <w:szCs w:val="28"/>
          <w:rtl w:val="true"/>
          <w:lang w:bidi="fa-IR"/>
        </w:rPr>
        <w:t>، و نفی الخلاف عنه فی الجواهر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 فی ذیل کلام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الإسلام بالتبعیّة، فیکون تارةً بإسلام أحد الأبوین، و تارةً بتبعیّة السابی، و لا غرض فی البحث عن هذین هنا، و تارةً بتبعیّة الدار، و هو الغرض فی باب اللقیط؛ فإنّه إنّما یحکم بإسلامه بهذه الجهة فمن ثمّ اقتصر علیها المصنّف</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بدار الإسلام کما قال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ینفذ فیه حکم الإسلام فلا یکون بها کافر إلاّ معاهداً، فلقیطها حرّ مسلم، و حکم دار الکفر التی تنفذ فیها أحکام الإسلام کذلک إذا کان فیها مسلم و لو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دار کانت للمسلمین فاستولی علیها الکفّار، فإن علم فیها مسلم فهی کدار الإسلام،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دار الکفر، فهی ما ینفذ فیها أحکام الکفّار، فلا یسکن فیها مسلم إلاّ مسالماً، و لقیطها</w:t>
      </w:r>
      <w:bookmarkStart w:id="612" w:name="pg11754_113009"/>
    </w:p>
    <w:p>
      <w:pPr>
        <w:pStyle w:val="BookText"/>
        <w:rPr/>
      </w:pPr>
      <w:bookmarkEnd w:id="612"/>
      <w:r>
        <w:rPr>
          <w:rFonts w:ascii="IRNazanin" w:hAnsi="IRNazanin" w:eastAsia="IRNazanin"/>
          <w:color w:val="111111"/>
          <w:sz w:val="28"/>
          <w:sz w:val="28"/>
          <w:szCs w:val="28"/>
          <w:rtl w:val="true"/>
          <w:lang w:bidi="fa-IR"/>
        </w:rPr>
        <w:t>محکوم بکفره و رقّه، إلاّ أن یکون فیها مسلم و لو تاجراً إذا کان مقیماً، و کذا لو کان أسیراً أو محبوساً، و لا یکفی المارّة من المسلمین</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التذکرة</w:t>
      </w:r>
      <w:r>
        <w:rPr>
          <w:rStyle w:val="FootnoteAnchor"/>
          <w:rtl w:val="true"/>
        </w:rPr>
        <w:footnoteReference w:id="1117"/>
      </w:r>
      <w:r>
        <w:rPr>
          <w:rFonts w:ascii="IRNazanin" w:hAnsi="IRNazanin" w:eastAsia="IRNazanin"/>
          <w:color w:val="111111"/>
          <w:sz w:val="28"/>
          <w:sz w:val="28"/>
          <w:szCs w:val="28"/>
          <w:rtl w:val="true"/>
          <w:lang w:bidi="fa-IR"/>
        </w:rPr>
        <w:t>و الجواهر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هذا الحکم قاعدة نفی السبیل للکافرین علی المسلمین،</w:t>
      </w:r>
    </w:p>
    <w:p>
      <w:pPr>
        <w:pStyle w:val="BookText"/>
        <w:rPr/>
      </w:pPr>
      <w:r>
        <w:rPr>
          <w:rFonts w:ascii="IRNazanin" w:hAnsi="IRNazanin" w:eastAsia="IRNazanin"/>
          <w:color w:val="111111"/>
          <w:sz w:val="28"/>
          <w:sz w:val="28"/>
          <w:szCs w:val="28"/>
          <w:rtl w:val="true"/>
          <w:lang w:bidi="fa-IR"/>
        </w:rPr>
        <w:t>و ما ورد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 و الکفّار بمنزلة الموتی لا یحجبون و لا یرثون</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مشهور معروف موثوق الصدور لاشتهاره بین الفقهاء و عملهم به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هذا المبحث زیادة توضیح فی البحث عن طهارة الصبی</w:t>
      </w:r>
      <w:r>
        <w:rPr>
          <w:rFonts w:eastAsia="IRNazanin" w:cs="IRNazanin"/>
          <w:color w:val="111111"/>
          <w:sz w:val="28"/>
          <w:szCs w:val="28"/>
          <w:rtl w:val="true"/>
          <w:lang w:bidi="fa-IR"/>
        </w:rPr>
        <w:t>.</w:t>
      </w:r>
    </w:p>
    <w:p>
      <w:pPr>
        <w:pStyle w:val="Heading6"/>
        <w:numPr>
          <w:ilvl w:val="5"/>
          <w:numId w:val="1"/>
        </w:numPr>
        <w:rPr/>
      </w:pPr>
      <w:bookmarkStart w:id="613" w:name="__RefHeading___Toc9530883_73709187"/>
      <w:bookmarkStart w:id="614" w:name="_Toc244"/>
      <w:bookmarkEnd w:id="613"/>
      <w:r>
        <w:rPr>
          <w:rtl w:val="true"/>
        </w:rPr>
        <w:t>الحکم بإسلام اللقیط بالاستلحاق</w:t>
      </w:r>
      <w:bookmarkEnd w:id="614"/>
    </w:p>
    <w:p>
      <w:pPr>
        <w:pStyle w:val="BookText"/>
        <w:rPr/>
      </w:pPr>
      <w:r>
        <w:rPr>
          <w:rFonts w:ascii="IRNazanin" w:hAnsi="IRNazanin" w:eastAsia="IRNazanin"/>
          <w:color w:val="111111"/>
          <w:sz w:val="28"/>
          <w:sz w:val="28"/>
          <w:szCs w:val="28"/>
          <w:rtl w:val="true"/>
          <w:lang w:bidi="fa-IR"/>
        </w:rPr>
        <w:t>المقصود بالاستلحاق هو أن یدّعی فرد بنوّة اللقیط فی مورد کان الإلحاق ممکناً عادةً، و فی الحقیقة یرجع بتبعیّة الولد من الوالدین، و یفرض 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المدّعی مسلماً، فحینئذٍ لا ریب فی إلحاق اللقیط به، و یترتّب علیه أحکام الإسلام جمیعاً؛ سواء التقطه مسلم أو کافر، و سواء وجد فی دار الإسلام أو دار الکفر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المدّعی کافراً لکن لم یقم بیّنة لنفسه، فالمشهور حکموا بإلحاق الولد به من حیث النسب، و لا یلحق به من حیث الدین إذا وجد فی دار الإسلام،</w:t>
      </w:r>
    </w:p>
    <w:p>
      <w:pPr>
        <w:pStyle w:val="BookText"/>
        <w:rPr/>
      </w:pPr>
      <w:r>
        <w:rPr>
          <w:rFonts w:ascii="IRNazanin" w:hAnsi="IRNazanin" w:eastAsia="IRNazanin"/>
          <w:color w:val="111111"/>
          <w:sz w:val="28"/>
          <w:sz w:val="28"/>
          <w:szCs w:val="28"/>
          <w:rtl w:val="true"/>
          <w:lang w:bidi="fa-IR"/>
        </w:rPr>
        <w:t>بل یترتّب علیه أحکام الإسلام لتبعیّة الدار، فلا یثبت للکافر علیه حضانته؛ لعدم أهلیّته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معه بیّنة حکم بإسلامه؛ لأنّه وجد فی دار الإسلام تابعاً للدار</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 اللقیط بوالدیه الکافرینِ من حیث النسب، فالملازمة تقتضی أن نحکم بکفر الولد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إلحاق الولد بالکافر من حیث النسب و بین الحکم بالکفر لو وجد فی دار الإسلام، لعلوّ الإسلام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التلازم ممنوع؛ لإمکان کونه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ابن کافر لإسلام جدّه أو امّه أو غیرهما ممّا یکون به مسلماً، کما أنّه یمکن حرّیته، لإطلاق الأدلّة و إن کان أبوه رقّاً لحریّة امّه مثلاً، فاتّضح حینئذٍ أنّ إلحاق نسبه به من حیث الإقرار لا یقتضی الحکم بکفره</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وجد اللقیط فی دار الکفر و ادّعی الکافر بنوّته فحینئذٍ یثبت النسب، و کذا الکفر؛ لعدم مستند حینئذٍ فی الحکم بإسلام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المدّعی کافراً و أقام البیِّنة لادّعائه، اختلف الفقهاء هنا فی إسلام اللقیط و کفره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أفتی الشیخ بکفر اللقیط،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معه بیّنة فإنّه یحکم بکفره؛ لأنّ البیّنة أثبتت فراشه، و المولود علی فراش الکافر یکون کافراً، غیر أنّه یستحبّ نزعه من یده و أن یجعل فی ید مسلم حتّی یبلغ رجاء أن یسلم</w:t>
      </w:r>
      <w:r>
        <w:rPr>
          <w:rFonts w:eastAsia="IRNazanin" w:cs="IRNazanin"/>
          <w:color w:val="111111"/>
          <w:sz w:val="28"/>
          <w:szCs w:val="28"/>
          <w:rtl w:val="true"/>
          <w:lang w:bidi="fa-IR"/>
        </w:rPr>
        <w:t>»</w:t>
      </w:r>
      <w:r>
        <w:rPr>
          <w:rStyle w:val="FootnoteAnchor"/>
          <w:rtl w:val="true"/>
        </w:rPr>
        <w:footnoteReference w:id="1123"/>
      </w:r>
      <w:bookmarkStart w:id="615" w:name="pg11754_113011"/>
    </w:p>
    <w:p>
      <w:pPr>
        <w:pStyle w:val="BookText"/>
        <w:rPr/>
      </w:pPr>
      <w:bookmarkEnd w:id="615"/>
      <w:r>
        <w:rPr>
          <w:rFonts w:ascii="IRNazanin" w:hAnsi="IRNazanin" w:eastAsia="IRNazanin"/>
          <w:color w:val="111111"/>
          <w:sz w:val="28"/>
          <w:sz w:val="28"/>
          <w:szCs w:val="28"/>
          <w:rtl w:val="true"/>
          <w:lang w:bidi="fa-IR"/>
        </w:rPr>
        <w:t>و به قال العلاّمة فی التحریر</w:t>
      </w:r>
      <w:r>
        <w:rPr>
          <w:rStyle w:val="FootnoteAnchor"/>
          <w:rtl w:val="true"/>
        </w:rPr>
        <w:footnoteReference w:id="1124"/>
      </w:r>
      <w:r>
        <w:rPr>
          <w:rFonts w:ascii="IRNazanin" w:hAnsi="IRNazanin" w:eastAsia="IRNazanin"/>
          <w:color w:val="111111"/>
          <w:sz w:val="28"/>
          <w:sz w:val="28"/>
          <w:szCs w:val="28"/>
          <w:rtl w:val="true"/>
          <w:lang w:bidi="fa-IR"/>
        </w:rPr>
        <w:t>، و القواعد</w:t>
      </w:r>
      <w:r>
        <w:rPr>
          <w:rStyle w:val="FootnoteAnchor"/>
          <w:rtl w:val="true"/>
        </w:rPr>
        <w:footnoteReference w:id="1125"/>
      </w:r>
      <w:r>
        <w:rPr>
          <w:rFonts w:ascii="IRNazanin" w:hAnsi="IRNazanin" w:eastAsia="IRNazanin"/>
          <w:color w:val="111111"/>
          <w:sz w:val="28"/>
          <w:sz w:val="28"/>
          <w:szCs w:val="28"/>
          <w:rtl w:val="true"/>
          <w:lang w:bidi="fa-IR"/>
        </w:rPr>
        <w:t>، و الشهید فی الروضة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قوّة البیّنة من تبعیّته بالدار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أفتی بإسلامه المحقّق فی الشرائع</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لاحتمال إسلام أحد أجداده أو جدّاته، کما فی صورة الإقرار الذی لا فرق بینه و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کلّ منهما طریقاً شرعیّاً ظاهراً، لثبوت النسب الذی قد عرفت عدم الدلیل علی التبعیّة بمثله</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القول بإسلام اللقیط مع إقامة البیّنة من قبل الکافر الذی ادّعی بنوّته بعید جدّاً؛ لأنّ صرف احتمال کون أحد أجداده مسلماً لو کان موجباً للحکم بإسلامه لیجری هذا الاحتمال فی الأولاد الکفّار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بکفر اللقیط تبعاً للدار، فادّعی المسلم بنوّته، فیلحق به و یترتّب علیه أحکام الإسلام، و مستند هذا الحکم هو علوّ الإسلام علی الکفر، و للتلازم، حیث لا معنی لکون الأب مسلماً و الصبیّ کافراً</w:t>
      </w:r>
      <w:r>
        <w:rPr>
          <w:rFonts w:eastAsia="IRNazanin" w:cs="IRNazanin"/>
          <w:color w:val="111111"/>
          <w:sz w:val="28"/>
          <w:szCs w:val="28"/>
          <w:rtl w:val="true"/>
          <w:lang w:bidi="fa-IR"/>
        </w:rPr>
        <w:t>.</w:t>
      </w:r>
    </w:p>
    <w:p>
      <w:pPr>
        <w:pStyle w:val="Heading5"/>
        <w:numPr>
          <w:ilvl w:val="4"/>
          <w:numId w:val="1"/>
        </w:numPr>
        <w:rPr/>
      </w:pPr>
      <w:bookmarkStart w:id="616" w:name="__RefHeading___Toc9530885_73709187"/>
      <w:bookmarkStart w:id="617" w:name="_Toc245"/>
      <w:bookmarkEnd w:id="616"/>
      <w:r>
        <w:rPr>
          <w:rtl w:val="true"/>
        </w:rPr>
        <w:t>الحکم الثالث</w:t>
      </w:r>
      <w:r>
        <w:rPr>
          <w:rtl w:val="true"/>
        </w:rPr>
        <w:t xml:space="preserve">: </w:t>
      </w:r>
      <w:r>
        <w:rPr>
          <w:rtl w:val="true"/>
        </w:rPr>
        <w:t>حرّیة اللقیط‌</w:t>
      </w:r>
      <w:bookmarkEnd w:id="617"/>
    </w:p>
    <w:p>
      <w:pPr>
        <w:pStyle w:val="BookText"/>
        <w:rPr/>
      </w:pPr>
      <w:r>
        <w:rPr>
          <w:rFonts w:ascii="IRNazanin" w:hAnsi="IRNazanin" w:eastAsia="IRNazanin"/>
          <w:color w:val="111111"/>
          <w:sz w:val="28"/>
          <w:sz w:val="28"/>
          <w:szCs w:val="28"/>
          <w:rtl w:val="true"/>
          <w:lang w:bidi="fa-IR"/>
        </w:rPr>
        <w:t>لا خلاف أیضاً بین الفقهاء فی أنّ لقیط دار الإسلام محکوم بالحریّة، فتجری علیه أحکام الحرّ من تملیک ماله، و عدم جواز بیعه، و قصاص من جنی علیه 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فإن لم یدّع أحد رقّه فالأصل</w:t>
      </w:r>
      <w:bookmarkStart w:id="618" w:name="pg11754_113012"/>
    </w:p>
    <w:p>
      <w:pPr>
        <w:pStyle w:val="BookText"/>
        <w:rPr/>
      </w:pPr>
      <w:bookmarkEnd w:id="618"/>
      <w:r>
        <w:rPr>
          <w:rFonts w:ascii="IRNazanin" w:hAnsi="IRNazanin" w:eastAsia="IRNazanin"/>
          <w:color w:val="111111"/>
          <w:sz w:val="28"/>
          <w:sz w:val="28"/>
          <w:szCs w:val="28"/>
          <w:rtl w:val="true"/>
          <w:lang w:bidi="fa-IR"/>
        </w:rPr>
        <w:t>الحریّة، و یحکم بها فی کلّ ما لا یلزم غیره شیئاً، فنملّکه المال و نغرم من أتلف علیه شیئاً</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الإرشاد</w:t>
      </w:r>
      <w:r>
        <w:rPr>
          <w:rStyle w:val="FootnoteAnchor"/>
          <w:rtl w:val="true"/>
        </w:rPr>
        <w:footnoteReference w:id="1130"/>
      </w:r>
      <w:r>
        <w:rPr>
          <w:rFonts w:ascii="IRNazanin" w:hAnsi="IRNazanin" w:eastAsia="IRNazanin"/>
          <w:color w:val="111111"/>
          <w:sz w:val="28"/>
          <w:sz w:val="28"/>
          <w:szCs w:val="28"/>
          <w:rtl w:val="true"/>
          <w:lang w:bidi="fa-IR"/>
        </w:rPr>
        <w:t>، و التذکرة</w:t>
      </w:r>
      <w:r>
        <w:rPr>
          <w:rStyle w:val="FootnoteAnchor"/>
          <w:rtl w:val="true"/>
        </w:rPr>
        <w:footnoteReference w:id="1131"/>
      </w:r>
      <w:r>
        <w:rPr>
          <w:rFonts w:ascii="IRNazanin" w:hAnsi="IRNazanin" w:eastAsia="IRNazanin"/>
          <w:color w:val="111111"/>
          <w:sz w:val="28"/>
          <w:sz w:val="28"/>
          <w:szCs w:val="28"/>
          <w:rtl w:val="true"/>
          <w:lang w:bidi="fa-IR"/>
        </w:rPr>
        <w:t>، و الدروس</w:t>
      </w:r>
      <w:r>
        <w:rPr>
          <w:rStyle w:val="FootnoteAnchor"/>
          <w:rtl w:val="true"/>
        </w:rPr>
        <w:footnoteReference w:id="1132"/>
      </w:r>
      <w:r>
        <w:rPr>
          <w:rFonts w:ascii="IRNazanin" w:hAnsi="IRNazanin" w:eastAsia="IRNazanin"/>
          <w:color w:val="111111"/>
          <w:sz w:val="28"/>
          <w:sz w:val="28"/>
          <w:szCs w:val="28"/>
          <w:rtl w:val="true"/>
          <w:lang w:bidi="fa-IR"/>
        </w:rPr>
        <w:t>و غیرها</w:t>
      </w:r>
      <w:r>
        <w:rPr>
          <w:rStyle w:val="FootnoteAnchor"/>
          <w:rtl w:val="true"/>
        </w:rPr>
        <w:footnoteReference w:id="1133"/>
      </w:r>
      <w:r>
        <w:rPr>
          <w:rFonts w:ascii="IRNazanin" w:hAnsi="IRNazanin" w:eastAsia="IRNazanin"/>
          <w:color w:val="111111"/>
          <w:sz w:val="28"/>
          <w:sz w:val="28"/>
          <w:szCs w:val="28"/>
          <w:rtl w:val="true"/>
          <w:lang w:bidi="fa-IR"/>
        </w:rPr>
        <w:t>، و کثیر من المصادر المتقدّمة التی أشرنا إلیها فی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لأنّ الرقّیة تثبت بالکفر، و الأصل عدم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کلّ إنسان ینتهی فی الولادة إلی آدم علیه السلام، فتستصحب الحریّة إلی أن یثبت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المستفیضة</w:t>
      </w:r>
    </w:p>
    <w:p>
      <w:pPr>
        <w:pStyle w:val="BookText"/>
        <w:rPr/>
      </w:pPr>
      <w:r>
        <w:rPr>
          <w:rFonts w:ascii="IRNazanin" w:hAnsi="IRNazanin" w:eastAsia="IRNazanin"/>
          <w:color w:val="111111"/>
          <w:sz w:val="28"/>
          <w:sz w:val="28"/>
          <w:szCs w:val="28"/>
          <w:rtl w:val="true"/>
          <w:lang w:bidi="fa-IR"/>
        </w:rPr>
        <w:t>کصحیحة عبد الرحمن العزرمی المتقدِّمة، فقد ورد فیها</w:t>
      </w:r>
    </w:p>
    <w:p>
      <w:pPr>
        <w:pStyle w:val="BookText"/>
        <w:rPr/>
      </w:pPr>
      <w:r>
        <w:rPr>
          <w:rFonts w:ascii="Amiri" w:hAnsi="Amiri" w:eastAsia="Amiri" w:cs="Amiri"/>
          <w:color w:val="111111"/>
          <w:sz w:val="28"/>
          <w:sz w:val="28"/>
          <w:szCs w:val="28"/>
          <w:rtl w:val="true"/>
          <w:lang w:bidi="ar-SA"/>
        </w:rPr>
        <w:t>أنّ المنبوذ حرّ</w:t>
      </w:r>
      <w:r>
        <w:rPr>
          <w:rStyle w:val="FootnoteAnchor"/>
          <w:rtl w:val="true"/>
        </w:rPr>
        <w:footnoteReference w:id="1134"/>
      </w:r>
      <w:r>
        <w:rPr>
          <w:rFonts w:ascii="IRNazanin" w:hAnsi="IRNazanin" w:eastAsia="IRNazanin"/>
          <w:color w:val="111111"/>
          <w:sz w:val="28"/>
          <w:sz w:val="28"/>
          <w:szCs w:val="28"/>
          <w:rtl w:val="true"/>
          <w:lang w:bidi="fa-IR"/>
        </w:rPr>
        <w:t>، و کذا صحیحة محمّد بن مسلم المتقدّمة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619" w:name="__RefHeading___Toc9530887_73709187"/>
      <w:bookmarkStart w:id="620" w:name="_Toc246"/>
      <w:bookmarkEnd w:id="619"/>
      <w:r>
        <w:rPr>
          <w:rtl w:val="true"/>
        </w:rPr>
        <w:t>الحکم الرابع</w:t>
      </w:r>
      <w:r>
        <w:rPr>
          <w:rtl w:val="true"/>
        </w:rPr>
        <w:t xml:space="preserve">: </w:t>
      </w:r>
      <w:r>
        <w:rPr>
          <w:rtl w:val="true"/>
        </w:rPr>
        <w:t>نفقة اللقیط‌</w:t>
      </w:r>
      <w:bookmarkEnd w:id="62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بل الظاهر أنّه لا خلاف بین الفقهاء فی أنّ اللقیط یملک کالکبیر، و نفقته فی ملکه؛ سواء کان له مال خاصّ، کالمال الموجود معه مثل الدراهم و الدنانیر فی جیبه إن اتّفق، أو العامّ، کالموقوف علی أمثاله أو الزکاة أو غیر ذلک، و لا یجب علی الملتقط نفقة اللقیط من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الإذن من الحاکم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أین ینفق علیه؟ فلا یخلو حال المنبوذ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له مال یوجد معه، أو لم یکن له مال، فإن کان له مال فإنّه ینفق علیه من ماله کمعروف النسب، فإذا ثبت هذا فلا یخلو إمّا أن یکون هناک حاکم أو لم یکن هناک حاکم، فإن کان هناک حاکم فلیس للملتقط أن ینفق علیه بغیر إذن الحاکم</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اللقیط یملک کالکبیر، و یده دالّة علی الملک کید البالغ؛ لأنّ له أهلیة التملّک، فإذا وجد علیه ثوب قُضی به له، و کذا ما یوجد تحته أو فوقه، و کذا ما یکون مشدوداً فی ثیابه، و کذا لو وجد فی دار لا مالک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للمنبوذ مال افتقر الملتقط فی الإنفاق علیه إلی إذن الحاکم</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نفقته فی ماله؛ و هو ما وقف علی اللقطاء، أو وهب منهم، أو اوصی لهم، و یقبله القاضی، أو ما یده علیه عند الالتقاط، کالملفوف علیه، و المشدود علی ثوبه، و الموضوع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للملتقط الإنفاق من مال اللقیط بدون إذن الحاکم، فإن بادر بدونه ضمن</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التذکرة</w:t>
      </w:r>
      <w:r>
        <w:rPr>
          <w:rStyle w:val="FootnoteAnchor"/>
          <w:rtl w:val="true"/>
        </w:rPr>
        <w:footnoteReference w:id="1138"/>
      </w:r>
      <w:r>
        <w:rPr>
          <w:rFonts w:ascii="IRNazanin" w:hAnsi="IRNazanin" w:eastAsia="IRNazanin"/>
          <w:color w:val="111111"/>
          <w:sz w:val="28"/>
          <w:sz w:val="28"/>
          <w:szCs w:val="28"/>
          <w:rtl w:val="true"/>
          <w:lang w:bidi="fa-IR"/>
        </w:rPr>
        <w:t>و التحریر</w:t>
      </w:r>
      <w:r>
        <w:rPr>
          <w:rStyle w:val="FootnoteAnchor"/>
          <w:rtl w:val="true"/>
        </w:rPr>
        <w:footnoteReference w:id="1139"/>
      </w:r>
      <w:r>
        <w:rPr>
          <w:rFonts w:ascii="IRNazanin" w:hAnsi="IRNazanin" w:eastAsia="IRNazanin"/>
          <w:color w:val="111111"/>
          <w:sz w:val="28"/>
          <w:sz w:val="28"/>
          <w:szCs w:val="28"/>
          <w:rtl w:val="true"/>
          <w:lang w:bidi="fa-IR"/>
        </w:rPr>
        <w:t>، 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ینفق علی اللقیط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الإنفاق من ماله إذن الحاکم إلاّ أن یتعذّر، و لو لم یکن له مال انفق علیه من بیت المال</w:t>
      </w:r>
      <w:r>
        <w:rPr>
          <w:rFonts w:eastAsia="IRNazanin" w:cs="IRNazanin"/>
          <w:color w:val="111111"/>
          <w:sz w:val="28"/>
          <w:szCs w:val="28"/>
          <w:rtl w:val="true"/>
          <w:lang w:bidi="fa-IR"/>
        </w:rPr>
        <w:t>»</w:t>
      </w:r>
      <w:r>
        <w:rPr>
          <w:rStyle w:val="FootnoteAnchor"/>
          <w:rtl w:val="true"/>
        </w:rPr>
        <w:footnoteReference w:id="1140"/>
      </w:r>
      <w:bookmarkStart w:id="621" w:name="pg11754_113014"/>
    </w:p>
    <w:p>
      <w:pPr>
        <w:pStyle w:val="BookText"/>
        <w:rPr/>
      </w:pPr>
      <w:bookmarkEnd w:id="621"/>
      <w:r>
        <w:rPr>
          <w:rFonts w:ascii="IRNazanin" w:hAnsi="IRNazanin" w:eastAsia="IRNazanin"/>
          <w:color w:val="111111"/>
          <w:sz w:val="28"/>
          <w:sz w:val="28"/>
          <w:szCs w:val="28"/>
          <w:rtl w:val="true"/>
          <w:lang w:bidi="fa-IR"/>
        </w:rPr>
        <w:t>و کذا فی اللمعة و الروضة</w:t>
      </w:r>
      <w:r>
        <w:rPr>
          <w:rStyle w:val="FootnoteAnchor"/>
          <w:rtl w:val="true"/>
        </w:rPr>
        <w:footnoteReference w:id="1141"/>
      </w:r>
      <w:r>
        <w:rPr>
          <w:rFonts w:ascii="IRNazanin" w:hAnsi="IRNazanin" w:eastAsia="IRNazanin"/>
          <w:color w:val="111111"/>
          <w:sz w:val="28"/>
          <w:sz w:val="28"/>
          <w:szCs w:val="28"/>
          <w:rtl w:val="true"/>
          <w:lang w:bidi="fa-IR"/>
        </w:rPr>
        <w:t>، و إرشاد الأذهان</w:t>
      </w:r>
      <w:r>
        <w:rPr>
          <w:rStyle w:val="FootnoteAnchor"/>
          <w:rtl w:val="true"/>
        </w:rPr>
        <w:footnoteReference w:id="1142"/>
      </w:r>
      <w:r>
        <w:rPr>
          <w:rFonts w:ascii="IRNazanin" w:hAnsi="IRNazanin" w:eastAsia="IRNazanin"/>
          <w:color w:val="111111"/>
          <w:sz w:val="28"/>
          <w:sz w:val="28"/>
          <w:szCs w:val="28"/>
          <w:rtl w:val="true"/>
          <w:lang w:bidi="fa-IR"/>
        </w:rPr>
        <w:t>، و الکفایة</w:t>
      </w:r>
      <w:r>
        <w:rPr>
          <w:rStyle w:val="FootnoteAnchor"/>
          <w:rtl w:val="true"/>
        </w:rPr>
        <w:footnoteReference w:id="1143"/>
      </w:r>
      <w:r>
        <w:rPr>
          <w:rFonts w:ascii="Amiri" w:hAnsi="Amiri" w:eastAsia="Amiri" w:cs="Amiri"/>
          <w:color w:val="111111"/>
          <w:sz w:val="28"/>
          <w:sz w:val="28"/>
          <w:szCs w:val="28"/>
          <w:rtl w:val="true"/>
          <w:lang w:bidi="ar-SA"/>
        </w:rPr>
        <w:t>، و مجمع الفائدة</w:t>
      </w:r>
      <w:r>
        <w:rPr>
          <w:rStyle w:val="FootnoteAnchor"/>
          <w:rtl w:val="true"/>
        </w:rPr>
        <w:footnoteReference w:id="1144"/>
      </w:r>
      <w:r>
        <w:rPr>
          <w:rFonts w:ascii="IRNazanin" w:hAnsi="IRNazanin" w:eastAsia="IRNazanin"/>
          <w:color w:val="111111"/>
          <w:sz w:val="28"/>
          <w:sz w:val="28"/>
          <w:szCs w:val="28"/>
          <w:rtl w:val="true"/>
          <w:lang w:bidi="fa-IR"/>
        </w:rPr>
        <w:t>، و المسالک</w:t>
      </w:r>
      <w:r>
        <w:rPr>
          <w:rStyle w:val="FootnoteAnchor"/>
          <w:rtl w:val="true"/>
        </w:rPr>
        <w:footnoteReference w:id="1145"/>
      </w:r>
      <w:r>
        <w:rPr>
          <w:rFonts w:ascii="IRNazanin" w:hAnsi="IRNazanin" w:eastAsia="IRNazanin"/>
          <w:color w:val="111111"/>
          <w:sz w:val="28"/>
          <w:sz w:val="28"/>
          <w:szCs w:val="28"/>
          <w:rtl w:val="true"/>
          <w:lang w:bidi="fa-IR"/>
        </w:rPr>
        <w:t>، و نفی عنه الخلاف فی الریاض</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أنّه لا یجب علی الملتقط النفقة علی اللقیط من مال نفسه، بل ینفق علیه من مال اللقیط</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أیضاً جماعة من المتأخّرین</w:t>
      </w:r>
      <w:r>
        <w:rPr>
          <w:rStyle w:val="FootnoteAnchor"/>
          <w:rtl w:val="true"/>
        </w:rPr>
        <w:footnoteReference w:id="1148"/>
      </w:r>
      <w:r>
        <w:rPr>
          <w:rFonts w:ascii="Amiri" w:hAnsi="Amiri" w:eastAsia="Amiri" w:cs="Amiri"/>
          <w:color w:val="111111"/>
          <w:sz w:val="28"/>
          <w:sz w:val="28"/>
          <w:szCs w:val="28"/>
          <w:rtl w:val="true"/>
          <w:lang w:bidi="ar-SA"/>
        </w:rPr>
        <w:t>و متأخّریهم</w:t>
      </w:r>
      <w:r>
        <w:rPr>
          <w:rStyle w:val="FootnoteAnchor"/>
          <w:rtl w:val="true"/>
        </w:rPr>
        <w:footnoteReference w:id="1149"/>
      </w:r>
      <w:r>
        <w:rPr>
          <w:rFonts w:ascii="IRNazanin" w:hAnsi="IRNazanin" w:eastAsia="IRNazanin"/>
          <w:color w:val="111111"/>
          <w:sz w:val="28"/>
          <w:sz w:val="28"/>
          <w:szCs w:val="28"/>
          <w:rtl w:val="true"/>
          <w:lang w:bidi="fa-IR"/>
        </w:rPr>
        <w:t>و أعلام العصر</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للقیط مال من فراش أو غطاء زائدین علی مقدار حاجته أو غیر ذلک، جاز للملتقط صرفه فی إنفاقه بإذن الحاکم أو وکیله</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9530889_73709187"/>
      <w:bookmarkStart w:id="623" w:name="_Toc247"/>
      <w:bookmarkEnd w:id="622"/>
      <w:r>
        <w:rPr>
          <w:rtl w:val="true"/>
        </w:rPr>
        <w:t>و الحاصل</w:t>
      </w:r>
      <w:r>
        <w:rPr>
          <w:rtl w:val="true"/>
        </w:rPr>
        <w:t xml:space="preserve">: </w:t>
      </w:r>
      <w:r>
        <w:rPr>
          <w:rtl w:val="true"/>
        </w:rPr>
        <w:t>أنّ هنا أربعة أحکام یلزم أن نذکر أدلّتها</w:t>
      </w:r>
      <w:r>
        <w:rPr>
          <w:rtl w:val="true"/>
        </w:rPr>
        <w:t>:</w:t>
      </w:r>
      <w:bookmarkEnd w:id="623"/>
    </w:p>
    <w:p>
      <w:pPr>
        <w:pStyle w:val="Heading6"/>
        <w:numPr>
          <w:ilvl w:val="5"/>
          <w:numId w:val="1"/>
        </w:numPr>
        <w:rPr/>
      </w:pPr>
      <w:bookmarkStart w:id="624" w:name="__RefHeading___Toc9530891_73709187"/>
      <w:bookmarkStart w:id="625" w:name="_Toc248"/>
      <w:bookmarkEnd w:id="624"/>
      <w:r>
        <w:rPr>
          <w:rtl w:val="true"/>
        </w:rPr>
        <w:t>أ</w:t>
      </w:r>
      <w:r>
        <w:rPr>
          <w:rtl w:val="true"/>
        </w:rPr>
        <w:t xml:space="preserve">: </w:t>
      </w:r>
      <w:r>
        <w:rPr>
          <w:rtl w:val="true"/>
        </w:rPr>
        <w:t>اللقیط یملک کالکبیر</w:t>
      </w:r>
      <w:bookmarkEnd w:id="62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عمومیّة أدلّة الأسباب و القواعد العامّة التی تدلّ علی إثبات الملک</w:t>
      </w:r>
      <w:bookmarkStart w:id="626" w:name="pg11754_113015"/>
    </w:p>
    <w:p>
      <w:pPr>
        <w:pStyle w:val="BookText"/>
        <w:rPr/>
      </w:pPr>
      <w:bookmarkEnd w:id="626"/>
      <w:r>
        <w:rPr>
          <w:rFonts w:ascii="IRNazanin" w:hAnsi="IRNazanin" w:eastAsia="IRNazanin"/>
          <w:color w:val="111111"/>
          <w:sz w:val="28"/>
          <w:sz w:val="28"/>
          <w:szCs w:val="28"/>
          <w:rtl w:val="true"/>
          <w:lang w:bidi="fa-IR"/>
        </w:rPr>
        <w:t>للکبیر، کالوصیّة و الید و غیرها، کما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هذا الصغیر کما یملک الکبیر، و له ید کما أنّ للکبیر یداً، و یملک بالإرث و الوصیّة؛ فإنّه یوصی له و یقبل الولی وصیّته، و کلّ من ثبت ملکه ثبت یده کالکبیر</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المقاصد فی شرح کلام القواعد الذی یذکر مصادیقاً من أملاک اللقیط کالملفوف علیه و المشدود ثوبه و الموضوع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الید فی کلّ واحد من هذه حقیقة، و هی دالّة علی الملک</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9530893_73709187"/>
      <w:bookmarkStart w:id="628" w:name="_Toc249"/>
      <w:bookmarkEnd w:id="627"/>
      <w:r>
        <w:rPr>
          <w:rtl w:val="true"/>
        </w:rPr>
        <w:t>ب</w:t>
      </w:r>
      <w:r>
        <w:rPr>
          <w:rtl w:val="true"/>
        </w:rPr>
        <w:t xml:space="preserve">: </w:t>
      </w:r>
      <w:r>
        <w:rPr>
          <w:rtl w:val="true"/>
        </w:rPr>
        <w:t>نفقة اللقیط فی ملکه و یدلّ علیه أوّلاً</w:t>
      </w:r>
      <w:r>
        <w:rPr>
          <w:rtl w:val="true"/>
        </w:rPr>
        <w:t xml:space="preserve">: </w:t>
      </w:r>
      <w:r>
        <w:rPr>
          <w:rtl w:val="true"/>
        </w:rPr>
        <w:t>الأصل</w:t>
      </w:r>
      <w:bookmarkEnd w:id="628"/>
    </w:p>
    <w:p>
      <w:pPr>
        <w:pStyle w:val="BookText"/>
        <w:rPr/>
      </w:pPr>
      <w:r>
        <w:rPr>
          <w:rFonts w:ascii="IRNazanin" w:hAnsi="IRNazanin" w:eastAsia="IRNazanin"/>
          <w:color w:val="111111"/>
          <w:sz w:val="28"/>
          <w:sz w:val="28"/>
          <w:szCs w:val="28"/>
          <w:rtl w:val="true"/>
          <w:lang w:bidi="fa-IR"/>
        </w:rPr>
        <w:t>، و أنّه مطابق للقاعدة؛ بمعنی أنّ نفقة کلّ إنسان فی ماله إلاّ ما ثبت خلافه، و الفرض أنّه لا دلیل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ادّعاه فی التذکرة</w:t>
      </w:r>
      <w:r>
        <w:rPr>
          <w:rStyle w:val="FootnoteAnchor"/>
          <w:rtl w:val="true"/>
        </w:rPr>
        <w:footnoteReference w:id="1155"/>
      </w:r>
      <w:r>
        <w:rPr>
          <w:rFonts w:ascii="IRNazanin" w:hAnsi="IRNazanin" w:eastAsia="IRNazanin"/>
          <w:color w:val="111111"/>
          <w:sz w:val="28"/>
          <w:sz w:val="28"/>
          <w:szCs w:val="28"/>
          <w:rtl w:val="true"/>
          <w:lang w:bidi="fa-IR"/>
        </w:rPr>
        <w:t>، مضافاً إلی أنّ إیجاب الالتقاط لا یوجب النفقة، کما فی مجمع الفائدة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لم یکن للّقیط مال یجب علی الملتقط الاستعانة بالحاکم إن لم یتبرّع هو لنفقته و لم یوجد من یتبرّع، و إلاّ جاز له الاقتصار علی الإنفاق من ذلک المتبرّع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تعذّر الاستعانة إمّا لعدم إمکان الوصول إلیه، أو لکونه لا مال عنده، أو لأنّ ما عنده یجب صرفه فیما هو أضرّ من ذلک، وجب علیه الاستعانة بالمسلمین، و یجب علیهم بذل النفقة علی الکفایة إمّا تبرّعاً أو قرضاً، کما فی التذکرة</w:t>
      </w:r>
      <w:r>
        <w:rPr>
          <w:rStyle w:val="FootnoteAnchor"/>
          <w:rtl w:val="true"/>
        </w:rPr>
        <w:footnoteReference w:id="1157"/>
      </w:r>
      <w:r>
        <w:rPr>
          <w:rFonts w:ascii="IRNazanin" w:hAnsi="IRNazanin" w:eastAsia="IRNazanin"/>
          <w:color w:val="111111"/>
          <w:sz w:val="28"/>
          <w:sz w:val="28"/>
          <w:szCs w:val="28"/>
          <w:rtl w:val="true"/>
          <w:lang w:bidi="fa-IR"/>
        </w:rPr>
        <w:t>، و جامع المقاصد</w:t>
      </w:r>
      <w:r>
        <w:rPr>
          <w:rStyle w:val="FootnoteAnchor"/>
          <w:rtl w:val="true"/>
        </w:rPr>
        <w:footnoteReference w:id="1158"/>
      </w:r>
      <w:bookmarkStart w:id="629" w:name="pg11754_113016"/>
    </w:p>
    <w:p>
      <w:pPr>
        <w:pStyle w:val="BookText"/>
        <w:rPr/>
      </w:pPr>
      <w:bookmarkEnd w:id="629"/>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تعذّر أنفق الملتقط و رجع علیه بعد یساره إذا نواه، و لو لم ینوه کان متبرّعاً لا رجوع له</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له مال أو کان قلیلاً لا یکتفی به فی الإنفاق، فإن وجد من ینفق علیه من حاکم کان بیده بیت المال، أو من کان عنده حقوق تنطبق علیه من الزکاة و غیرها، أو متبرّع، کان له الاستعانة بهم فی إنفاقه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أمثال ما ذکر تعیّن علی الملتقط، فان قصد التبرّع فلا رجوع له، و إن قصد الرجوع یجوز له</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9530895_73709187"/>
      <w:bookmarkStart w:id="631" w:name="_Toc250"/>
      <w:bookmarkEnd w:id="630"/>
      <w:r>
        <w:rPr>
          <w:rtl w:val="true"/>
        </w:rPr>
        <w:t>ج</w:t>
      </w:r>
      <w:r>
        <w:rPr>
          <w:rtl w:val="true"/>
        </w:rPr>
        <w:t xml:space="preserve">: </w:t>
      </w:r>
      <w:r>
        <w:rPr>
          <w:rtl w:val="true"/>
        </w:rPr>
        <w:t>لا یجب علی الملتقط نفقة اللقیط‌</w:t>
      </w:r>
      <w:bookmarkEnd w:id="631"/>
    </w:p>
    <w:p>
      <w:pPr>
        <w:pStyle w:val="BookText"/>
        <w:rPr/>
      </w:pPr>
      <w:r>
        <w:rPr>
          <w:rFonts w:ascii="IRNazanin" w:hAnsi="IRNazanin" w:eastAsia="IRNazanin"/>
          <w:color w:val="111111"/>
          <w:sz w:val="28"/>
          <w:sz w:val="28"/>
          <w:szCs w:val="28"/>
          <w:rtl w:val="true"/>
          <w:lang w:bidi="fa-IR"/>
        </w:rPr>
        <w:t>و یدلّ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ادّعاه فی التذکرة</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أی براءة ذمّة الملتقط عن وجوب نفقة اللقیط‌</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من وجبت نفقته فی الوالدین و الزوجة و الوارث الصغیر من الأخ و ابن الأخ و غیره، الذی ورد فی صحیحة</w:t>
      </w:r>
    </w:p>
    <w:p>
      <w:pPr>
        <w:pStyle w:val="BookText"/>
        <w:rPr/>
      </w:pP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اجبر علی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 و الوارث الصغیر</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کصحیحة العرزمی المتقدّمة</w:t>
      </w:r>
    </w:p>
    <w:p>
      <w:pPr>
        <w:pStyle w:val="BookText"/>
        <w:rPr/>
      </w:pPr>
      <w:r>
        <w:rPr>
          <w:rFonts w:ascii="IRNazanin" w:hAnsi="IRNazanin" w:eastAsia="IRNazanin"/>
          <w:color w:val="111111"/>
          <w:sz w:val="28"/>
          <w:sz w:val="28"/>
          <w:szCs w:val="28"/>
          <w:rtl w:val="true"/>
          <w:lang w:bidi="fa-IR"/>
        </w:rPr>
        <w:t>عن أبی عبد اللّه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المنبوذ حرّ، فإذا کبر فإن شاء توالی إلی الذی التقطه، و إلاّ فلیردّ علیه النفقة و لیذهب فلیوال من شاء</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إن کان نفقة اللقیط واجباً علی الملتقط لم یأمر الإمام علیه السلام بردّها إلیه بعد</w:t>
      </w:r>
      <w:r>
        <w:rPr>
          <w:rFonts w:eastAsia="IRNazanin" w:cs="IRNazanin"/>
          <w:color w:val="111111"/>
          <w:sz w:val="28"/>
          <w:szCs w:val="28"/>
          <w:rtl w:val="true"/>
          <w:lang w:bidi="fa-IR"/>
        </w:rPr>
        <w:t>.</w:t>
      </w:r>
      <w:bookmarkStart w:id="632" w:name="pg11754_113017"/>
    </w:p>
    <w:p>
      <w:pPr>
        <w:pStyle w:val="BookText"/>
        <w:rPr/>
      </w:pPr>
      <w:bookmarkEnd w:id="632"/>
      <w:r>
        <w:rPr>
          <w:rFonts w:ascii="IRNazanin" w:hAnsi="IRNazanin" w:eastAsia="IRNazanin"/>
          <w:color w:val="111111"/>
          <w:sz w:val="28"/>
          <w:sz w:val="28"/>
          <w:szCs w:val="28"/>
          <w:rtl w:val="true"/>
          <w:lang w:bidi="fa-IR"/>
        </w:rPr>
        <w:t>و کذا خبر حاتم بن إسماعیل المدائنی،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طلب منه الذی ربّاه النفقة و کان موسراً ردّ علیه</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الکافی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اللقیطة؟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و لا تشتری، و لکن تستخدمها بما أنفقت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جواز الاستخدام فی مقابل النفقة دلیل علی عدم وجوبها،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 علی الملتقط الإنفاق علیه من مال نفسه یؤدّی إلی ترک الالتقاط و الضرر علی اللقیط، و هو لا یجوز</w:t>
      </w:r>
      <w:r>
        <w:rPr>
          <w:rFonts w:eastAsia="IRNazanin" w:cs="IRNazanin"/>
          <w:color w:val="111111"/>
          <w:sz w:val="28"/>
          <w:szCs w:val="28"/>
          <w:rtl w:val="true"/>
          <w:lang w:bidi="fa-IR"/>
        </w:rPr>
        <w:t>.</w:t>
      </w:r>
    </w:p>
    <w:p>
      <w:pPr>
        <w:pStyle w:val="Heading6"/>
        <w:numPr>
          <w:ilvl w:val="5"/>
          <w:numId w:val="1"/>
        </w:numPr>
        <w:rPr/>
      </w:pPr>
      <w:bookmarkStart w:id="633" w:name="__RefHeading___Toc9530897_73709187"/>
      <w:bookmarkStart w:id="634" w:name="_Toc251"/>
      <w:bookmarkEnd w:id="633"/>
      <w:r>
        <w:rPr>
          <w:rtl w:val="true"/>
        </w:rPr>
        <w:t>د</w:t>
      </w:r>
      <w:r>
        <w:rPr>
          <w:rtl w:val="true"/>
        </w:rPr>
        <w:t xml:space="preserve">: </w:t>
      </w:r>
      <w:r>
        <w:rPr>
          <w:rtl w:val="true"/>
        </w:rPr>
        <w:t>وجوب إذن الملتقط من الحاکم</w:t>
      </w:r>
      <w:bookmarkEnd w:id="634"/>
    </w:p>
    <w:p>
      <w:pPr>
        <w:pStyle w:val="BookText"/>
        <w:rPr/>
      </w:pPr>
      <w:r>
        <w:rPr>
          <w:rFonts w:ascii="IRNazanin" w:hAnsi="IRNazanin" w:eastAsia="IRNazanin"/>
          <w:color w:val="111111"/>
          <w:sz w:val="28"/>
          <w:sz w:val="28"/>
          <w:szCs w:val="28"/>
          <w:rtl w:val="true"/>
          <w:lang w:bidi="fa-IR"/>
        </w:rPr>
        <w:t>یجب علی الملتقط الإذن من الحاکم فی النفقة علی اللقیط، و إن تصرّف بدونه فهو ضامن؛ لأصالة عدم جواز التصرّف فی مال الغیر إلاّ بإذنه أو بإذن غیره، و حیث إنّ الصغیر لیس أهلاً للإذن قام ولیّه و هو الحاکم مقامه، و الفرض أنّ ولایة الملتقط إنّما هی فی حضانته و تربیته فقط‌</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تعذّر الإذن من الحاکم یجوز للملتقط التصرّف فی مال اللقیط و نفقته منه،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 تعذّرهما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الحاکم أو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تعذّر عدول المؤمنین علی الأحوط، جاز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الإنفاق من مال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ضمان علیه</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و کذا فی تفصیل الشریعة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 المحقّقین جواز التصرّف بدون إذن الحاکم، حیث قال</w:t>
      </w:r>
      <w:r>
        <w:rPr>
          <w:rFonts w:eastAsia="IRNazanin" w:cs="IRNazanin"/>
          <w:color w:val="111111"/>
          <w:sz w:val="28"/>
          <w:szCs w:val="28"/>
          <w:rtl w:val="true"/>
          <w:lang w:bidi="fa-IR"/>
        </w:rPr>
        <w:t>:</w:t>
      </w:r>
      <w:bookmarkStart w:id="635" w:name="pg11754_113018"/>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للملتقط التصرّف فی مال اللقیط بدون إذن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لولایته علیه فی الجملة، و لأنّه من باب الأمر بالمعروف، فیستوی فیه الحاکم و غیره، کإراقة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أنّ بعض النصوص یؤیّده أیضاً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الأقوی هو الأوّل</w:t>
      </w:r>
      <w:r>
        <w:rPr>
          <w:rStyle w:val="FootnoteAnchor"/>
          <w:rtl w:val="true"/>
        </w:rPr>
        <w:footnoteReference w:id="1170"/>
      </w:r>
      <w:r>
        <w:rPr>
          <w:rFonts w:ascii="IRNazanin" w:hAnsi="IRNazanin" w:eastAsia="IRNazanin"/>
          <w:color w:val="111111"/>
          <w:sz w:val="28"/>
          <w:sz w:val="28"/>
          <w:szCs w:val="28"/>
          <w:rtl w:val="true"/>
          <w:lang w:bidi="fa-IR"/>
        </w:rPr>
        <w:t>، و سیجیء تفصیل الکلام فی باب الحجر علی الصبیّ إن شاء اللّه</w:t>
      </w:r>
      <w:r>
        <w:rPr>
          <w:rFonts w:eastAsia="IRNazanin" w:cs="IRNazanin"/>
          <w:color w:val="111111"/>
          <w:sz w:val="28"/>
          <w:szCs w:val="28"/>
          <w:rtl w:val="true"/>
          <w:lang w:bidi="fa-IR"/>
        </w:rPr>
        <w:t>.</w:t>
      </w:r>
    </w:p>
    <w:p>
      <w:pPr>
        <w:pStyle w:val="Heading6"/>
        <w:numPr>
          <w:ilvl w:val="5"/>
          <w:numId w:val="1"/>
        </w:numPr>
        <w:rPr/>
      </w:pPr>
      <w:bookmarkStart w:id="636" w:name="__RefHeading___Toc9530899_73709187"/>
      <w:bookmarkStart w:id="637" w:name="_Toc252"/>
      <w:bookmarkEnd w:id="636"/>
      <w:r>
        <w:rPr>
          <w:rtl w:val="true"/>
        </w:rPr>
        <w:t>ه الحکم الخامس</w:t>
      </w:r>
      <w:r>
        <w:rPr>
          <w:rtl w:val="true"/>
        </w:rPr>
        <w:t xml:space="preserve">: </w:t>
      </w:r>
      <w:r>
        <w:rPr>
          <w:rtl w:val="true"/>
        </w:rPr>
        <w:t>وارث اللقیط‌</w:t>
      </w:r>
      <w:bookmarkEnd w:id="637"/>
    </w:p>
    <w:p>
      <w:pPr>
        <w:pStyle w:val="BookText"/>
        <w:rPr/>
      </w:pPr>
      <w:r>
        <w:rPr>
          <w:rFonts w:ascii="IRNazanin" w:hAnsi="IRNazanin" w:eastAsia="IRNazanin"/>
          <w:color w:val="111111"/>
          <w:sz w:val="28"/>
          <w:sz w:val="28"/>
          <w:szCs w:val="28"/>
          <w:rtl w:val="true"/>
          <w:lang w:bidi="fa-IR"/>
        </w:rPr>
        <w:t>لو لم یدّع أحد بنوّة اللقیط، و لم یثبت له نسب ظاهراً، و لم یتولّ أحداً بعد بلوغه، فوارثه الإمام علیه السلام، فلو مات اللقیط و ترک مالاً کان له؛ لأنّه وارث من لا وارث له، و کذا هو علیه السلام عاقلته، و ولیّه فی القصاص و غیره، و الظاهر أنّ الإمامیّة متّفقة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اللقیط لمن یتولّی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یتوال أحداً کان میراثه للإمام علیه السلام عندنا؛ لأنّه وارث من لا وارث له، و عند أکثر العامّة ولاؤه سائر المسلمین؛ لأنّ میراثه لهم</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کلامه قدس سره اتّفاق الفقهاء علیه، و کذا فی القواعد</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عاقلة اللقیط الإمام علیه السلام إذا لم یظهر له نسب و لم یتوال أحداً</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کذا فی المسالک</w:t>
      </w:r>
      <w:r>
        <w:rPr>
          <w:rStyle w:val="FootnoteAnchor"/>
          <w:rtl w:val="true"/>
        </w:rPr>
        <w:footnoteReference w:id="1174"/>
      </w:r>
      <w:r>
        <w:rPr>
          <w:rFonts w:ascii="Amiri" w:hAnsi="Amiri" w:eastAsia="Amiri" w:cs="Amiri"/>
          <w:color w:val="111111"/>
          <w:sz w:val="28"/>
          <w:sz w:val="28"/>
          <w:szCs w:val="28"/>
          <w:rtl w:val="true"/>
          <w:lang w:bidi="ar-SA"/>
        </w:rPr>
        <w:t>، و الروضة</w:t>
      </w:r>
      <w:r>
        <w:rPr>
          <w:rStyle w:val="FootnoteAnchor"/>
          <w:rtl w:val="true"/>
        </w:rPr>
        <w:footnoteReference w:id="1175"/>
      </w:r>
      <w:r>
        <w:rPr>
          <w:rFonts w:ascii="IRNazanin" w:hAnsi="IRNazanin" w:eastAsia="IRNazanin"/>
          <w:color w:val="111111"/>
          <w:sz w:val="28"/>
          <w:sz w:val="28"/>
          <w:szCs w:val="28"/>
          <w:rtl w:val="true"/>
          <w:lang w:bidi="fa-IR"/>
        </w:rPr>
        <w:t>، و أضاف فی الجواهر بأنّ عاقلة اللقیط عندنا الإمام علیه السلام، الذی هو وارث من لا وارث له قولاً واحداً</w:t>
      </w:r>
      <w:r>
        <w:rPr>
          <w:rStyle w:val="FootnoteAnchor"/>
          <w:rtl w:val="true"/>
        </w:rPr>
        <w:footnoteReference w:id="1176"/>
      </w:r>
      <w:r>
        <w:rPr>
          <w:rFonts w:ascii="IRNazanin" w:hAnsi="IRNazanin" w:eastAsia="IRNazanin"/>
          <w:color w:val="111111"/>
          <w:sz w:val="28"/>
          <w:sz w:val="28"/>
          <w:szCs w:val="28"/>
          <w:rtl w:val="true"/>
          <w:lang w:bidi="fa-IR"/>
        </w:rPr>
        <w:t>، و کذا فی الریاض</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یوهم من کلام الشیخین أنّ میراث اللقیط هو لبیت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یتولّ أحداً حتّی مات کان ولاؤه للمسلمین، و إن ترک مالاً و لم یترک ولداً و لا قرابة له من المسلمین کان ما ترک لبیت مال المسلمین</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مولی کان میراثه لبیت المال، و لیس لمن التقطه و ربّاه شیء من میراثه</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المبسوط‌</w:t>
      </w:r>
      <w:r>
        <w:rPr>
          <w:rStyle w:val="FootnoteAnchor"/>
          <w:rtl w:val="true"/>
        </w:rPr>
        <w:footnoteReference w:id="1181"/>
      </w:r>
      <w:r>
        <w:rPr>
          <w:rFonts w:ascii="IRNazanin" w:hAnsi="IRNazanin" w:eastAsia="IRNazanin"/>
          <w:color w:val="111111"/>
          <w:sz w:val="28"/>
          <w:sz w:val="28"/>
          <w:szCs w:val="28"/>
          <w:rtl w:val="true"/>
          <w:lang w:bidi="fa-IR"/>
        </w:rPr>
        <w:t>و الخلاف</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ظاهر کلاهما خلاف ما قاله الآخرون، وجّه ابن إدریس الحلّی ذلک بأنّ المقصود بیت مال الإمام، دون بیت مال المسلمین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إطلاقه غیر واضح، و إنّما مقصوده هاهنا لبیت مال الإمام علیه السلام، دون بیت مال المسلمین، فإذا کان کذلک فالمراد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ولاؤه للمسلمین أی لإمام المسلمین؛ لأنّا بغیر خلاف بیننا مجمعون علی أنّ میراث من لا وارث له</w:t>
      </w:r>
      <w:bookmarkStart w:id="638" w:name="pg11754_113020"/>
    </w:p>
    <w:p>
      <w:pPr>
        <w:pStyle w:val="BookText"/>
        <w:rPr/>
      </w:pPr>
      <w:bookmarkEnd w:id="638"/>
      <w:r>
        <w:rPr>
          <w:rFonts w:ascii="IRNazanin" w:hAnsi="IRNazanin" w:eastAsia="IRNazanin"/>
          <w:color w:val="111111"/>
          <w:sz w:val="28"/>
          <w:sz w:val="28"/>
          <w:szCs w:val="28"/>
          <w:rtl w:val="true"/>
          <w:lang w:bidi="fa-IR"/>
        </w:rPr>
        <w:t>لإمام المسلمین و کذلک ولاؤه، فإذا ورد لفظ فی مثل ذلک بأنّه للمسلمین أو لبیت المال، فالمراد به لبیت مال الإمام علیه السلام، و إنّما أطلق القول بذلک لما فیه من التقیّة؛ لأنّ بعض المخالفین لا یوافق علیه و یخالف</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الذی ادّعی فی کلام بعضهم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کما</w:t>
      </w:r>
    </w:p>
    <w:p>
      <w:pPr>
        <w:pStyle w:val="BookText"/>
        <w:rPr/>
      </w:pPr>
      <w:r>
        <w:rPr>
          <w:rFonts w:ascii="Amiri" w:hAnsi="Amiri" w:eastAsia="Amiri" w:cs="Amiri"/>
          <w:color w:val="111111"/>
          <w:sz w:val="28"/>
          <w:sz w:val="28"/>
          <w:szCs w:val="28"/>
          <w:rtl w:val="true"/>
          <w:lang w:bidi="ar-SA"/>
        </w:rPr>
        <w:t>رواه الکلینی فی الصحیح عن أبان بن تغلب، عن أبی عبد اللّه علیه السلام فی الرجل یموت و لا وارث له و لا مولی،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عن العبد الصالح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للإمام صفو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وارث من لا وارث له، یعول من لا حیلة له</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9530901_73709187"/>
      <w:bookmarkStart w:id="640" w:name="_Toc253"/>
      <w:bookmarkEnd w:id="639"/>
      <w:r>
        <w:rPr>
          <w:rtl w:val="true"/>
        </w:rPr>
        <w:t>آراء مذاهب أهل السنّة فی أحکام اللقیط‌</w:t>
      </w:r>
      <w:bookmarkEnd w:id="640"/>
    </w:p>
    <w:p>
      <w:pPr>
        <w:pStyle w:val="Heading6"/>
        <w:numPr>
          <w:ilvl w:val="5"/>
          <w:numId w:val="1"/>
        </w:numPr>
        <w:rPr/>
      </w:pPr>
      <w:bookmarkStart w:id="641" w:name="__RefHeading___Toc9530903_73709187"/>
      <w:bookmarkStart w:id="642" w:name="_Toc254"/>
      <w:bookmarkEnd w:id="641"/>
      <w:r>
        <w:rPr>
          <w:rtl w:val="true"/>
        </w:rPr>
        <w:t>أ</w:t>
      </w:r>
      <w:r>
        <w:rPr>
          <w:rtl w:val="true"/>
        </w:rPr>
        <w:t xml:space="preserve">: </w:t>
      </w:r>
      <w:r>
        <w:rPr>
          <w:rtl w:val="true"/>
        </w:rPr>
        <w:t>نسب اللقیط‌</w:t>
      </w:r>
      <w:bookmarkEnd w:id="642"/>
    </w:p>
    <w:p>
      <w:pPr>
        <w:pStyle w:val="BookText"/>
        <w:rPr/>
      </w:pPr>
      <w:r>
        <w:rPr>
          <w:rFonts w:ascii="IRNazanin" w:hAnsi="IRNazanin" w:eastAsia="IRNazanin"/>
          <w:color w:val="111111"/>
          <w:sz w:val="28"/>
          <w:sz w:val="28"/>
          <w:szCs w:val="28"/>
          <w:rtl w:val="true"/>
          <w:lang w:bidi="fa-IR"/>
        </w:rPr>
        <w:t>المشهور عند الشافعیّة و الحنابلة و الحنفیّة إلحاق اللقیط بمن ادّعی نسبه؛ سواء کان المدّعی حرّاً أو عبداً، مسلماً أو کافراً، فإن کان المدّعی غیر الملتقط یأخذه منه؛ لأنّ الوالد أحقّ بحضانة الولد من غیره، و لم یشترطوا إقامة البیّنة من المدّعی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المهذّب للشافعی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ادّعی حرّ مسلم نسبه لحق به و تبعه فی الإسلام؛ لأنّه یقرّ له بحقّ لا ضرر فیه علی أحد فیقبل، کما لو أقرّ له بمال و له أن یأخذه من الملتقط؛ لأنّ الوالد أحقّ بکفالة الولد من الملتقط، و إن کان الذی أقرّ بالنسب هو</w:t>
      </w:r>
      <w:bookmarkStart w:id="643" w:name="pg11754_113021"/>
    </w:p>
    <w:p>
      <w:pPr>
        <w:pStyle w:val="BookText"/>
        <w:rPr/>
      </w:pPr>
      <w:bookmarkEnd w:id="643"/>
      <w:r>
        <w:rPr>
          <w:rFonts w:ascii="IRNazanin" w:hAnsi="IRNazanin" w:eastAsia="IRNazanin"/>
          <w:color w:val="111111"/>
          <w:sz w:val="28"/>
          <w:sz w:val="28"/>
          <w:szCs w:val="28"/>
          <w:rtl w:val="true"/>
          <w:lang w:bidi="fa-IR"/>
        </w:rPr>
        <w:t>الملتقط، فالمستحبّ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صار ابنک؛ لأنّه ربما اعتقد أنّه بالالتقاط صار أباً له، و إن ادّعی نسبه عبد لحق به؛ لأنّ العبد کالحرّ فی السبب الذی یلحق به النسب و لا یدفع إلیه؛ لأنّه لا یقدر علی حضانته؛ لاشتغاله بخدمة مولاه، و إن ادّعی نسبه کافر لحق به؛ لأنّ الکافر کالمسلم فی سبب النسب</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1188"/>
      </w:r>
      <w:r>
        <w:rPr>
          <w:rFonts w:ascii="IRNazanin" w:hAnsi="IRNazanin" w:eastAsia="IRNazanin"/>
          <w:color w:val="111111"/>
          <w:sz w:val="28"/>
          <w:sz w:val="28"/>
          <w:szCs w:val="28"/>
          <w:rtl w:val="true"/>
          <w:lang w:bidi="fa-IR"/>
        </w:rPr>
        <w:t>، و روضة المتّقین</w:t>
      </w:r>
      <w:r>
        <w:rPr>
          <w:rStyle w:val="FootnoteAnchor"/>
          <w:rtl w:val="true"/>
        </w:rPr>
        <w:footnoteReference w:id="1189"/>
      </w:r>
      <w:r>
        <w:rPr>
          <w:rFonts w:ascii="IRNazanin" w:hAnsi="IRNazanin" w:eastAsia="IRNazanin"/>
          <w:color w:val="111111"/>
          <w:sz w:val="28"/>
          <w:sz w:val="28"/>
          <w:szCs w:val="28"/>
          <w:rtl w:val="true"/>
          <w:lang w:bidi="fa-IR"/>
        </w:rPr>
        <w:t>، و البدائع</w:t>
      </w:r>
      <w:r>
        <w:rPr>
          <w:rStyle w:val="FootnoteAnchor"/>
          <w:rtl w:val="true"/>
        </w:rPr>
        <w:footnoteReference w:id="1190"/>
      </w:r>
      <w:r>
        <w:rPr>
          <w:rFonts w:ascii="IRNazanin" w:hAnsi="IRNazanin" w:eastAsia="IRNazanin"/>
          <w:color w:val="111111"/>
          <w:sz w:val="28"/>
          <w:sz w:val="28"/>
          <w:szCs w:val="28"/>
          <w:rtl w:val="true"/>
          <w:lang w:bidi="fa-IR"/>
        </w:rPr>
        <w:t>، و ردّ المحتار</w:t>
      </w:r>
      <w:r>
        <w:rPr>
          <w:rStyle w:val="FootnoteAnchor"/>
          <w:rtl w:val="true"/>
        </w:rPr>
        <w:footnoteReference w:id="1191"/>
      </w:r>
      <w:r>
        <w:rPr>
          <w:rFonts w:ascii="IRNazanin" w:hAnsi="IRNazanin" w:eastAsia="IRNazanin"/>
          <w:color w:val="111111"/>
          <w:sz w:val="28"/>
          <w:sz w:val="28"/>
          <w:szCs w:val="28"/>
          <w:rtl w:val="true"/>
          <w:lang w:bidi="fa-IR"/>
        </w:rPr>
        <w:t>، و المغنی</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المالکیّة، فقالوا بعدم ثبوت النسب بمجرّد الادّعاء إلاّ أن یقیم المدّعی بیّنة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أسهل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ادّعی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لا یصدّق إلاّ ببیّنة تشهد علی ذلک أو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التقط لقیطاً فأتی رجل فادّعی أنّه ولده لم یصدّق و لم یلحق به إلاّ أن یکون لدعواه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یصدّق إلاّ ببیّنة</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اللقیط لا یلحق بملتقط و لا بغیره إلاّ ببیّنة تشهد أنّه أبوه أو بقرینة تدلّ علی ذلک</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9530905_73709187"/>
      <w:bookmarkStart w:id="645" w:name="_Toc255"/>
      <w:bookmarkEnd w:id="644"/>
      <w:r>
        <w:rPr>
          <w:rtl w:val="true"/>
        </w:rPr>
        <w:t>ب</w:t>
      </w:r>
      <w:r>
        <w:rPr>
          <w:rtl w:val="true"/>
        </w:rPr>
        <w:t xml:space="preserve">: </w:t>
      </w:r>
      <w:r>
        <w:rPr>
          <w:rtl w:val="true"/>
        </w:rPr>
        <w:t>إسلام اللقیط‌</w:t>
      </w:r>
      <w:bookmarkEnd w:id="6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مذاهب أهل السنّة أنّ اللقیط لو وجد فی دار الإسلام محکوم</w:t>
      </w:r>
    </w:p>
    <w:p>
      <w:pPr>
        <w:pStyle w:val="BookText"/>
        <w:rPr/>
      </w:pPr>
      <w:r>
        <w:rPr>
          <w:rFonts w:ascii="IRNazanin" w:hAnsi="IRNazanin" w:eastAsia="IRNazanin"/>
          <w:color w:val="111111"/>
          <w:sz w:val="28"/>
          <w:sz w:val="28"/>
          <w:szCs w:val="28"/>
          <w:rtl w:val="true"/>
          <w:lang w:bidi="fa-IR"/>
        </w:rPr>
        <w:t>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فی دار الکفر، فإن کان فیها مسلم یحکم بإسلامه، و إلاّ بکفره، و إلیک نصّ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بإسلامه بلا نزاع، إلاّ أن یوجد فی بلد الکفّار و لا مسلم فیه، فیکون کافراً، و هذا المذهب و علیه الأصحاب</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دار الإسلام فضربان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اختطّها المسلمون، کبغداد و البصرة، فلقیط هذه محکوم بإسلامه و إن کان فیها أهل الذمّة تغلیباً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بلد الکفّار، فضربان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کان للمسلمین فغلب الکفّار علیه کالساحل، فهذا کالقسم الذی قبله إن کان فیه مسلم واحد حکم بإسلام لقیط، و إن لم یکن مسلم فهو کافر</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1197"/>
      </w:r>
      <w:r>
        <w:rPr>
          <w:rFonts w:ascii="IRNazanin" w:hAnsi="IRNazanin" w:eastAsia="IRNazanin"/>
          <w:color w:val="111111"/>
          <w:sz w:val="28"/>
          <w:sz w:val="28"/>
          <w:szCs w:val="28"/>
          <w:rtl w:val="true"/>
          <w:lang w:bidi="fa-IR"/>
        </w:rPr>
        <w:t>، و العزیز</w:t>
      </w:r>
      <w:r>
        <w:rPr>
          <w:rStyle w:val="FootnoteAnchor"/>
          <w:rtl w:val="true"/>
        </w:rPr>
        <w:footnoteReference w:id="1198"/>
      </w:r>
      <w:r>
        <w:rPr>
          <w:rFonts w:ascii="IRNazanin" w:hAnsi="IRNazanin" w:eastAsia="IRNazanin"/>
          <w:color w:val="111111"/>
          <w:sz w:val="28"/>
          <w:sz w:val="28"/>
          <w:szCs w:val="28"/>
          <w:rtl w:val="true"/>
          <w:lang w:bidi="fa-IR"/>
        </w:rPr>
        <w:t>، و روضة الطالبین</w:t>
      </w:r>
      <w:r>
        <w:rPr>
          <w:rStyle w:val="FootnoteAnchor"/>
          <w:rtl w:val="true"/>
        </w:rPr>
        <w:footnoteReference w:id="1199"/>
      </w:r>
      <w:r>
        <w:rPr>
          <w:rFonts w:ascii="IRNazanin" w:hAnsi="IRNazanin" w:eastAsia="IRNazanin"/>
          <w:color w:val="111111"/>
          <w:sz w:val="28"/>
          <w:sz w:val="28"/>
          <w:szCs w:val="28"/>
          <w:rtl w:val="true"/>
          <w:lang w:bidi="fa-IR"/>
        </w:rPr>
        <w:t>و غیرها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اشترط المالکیّة فی الحکم بإسلام اللقیط وجود بیتین أو ثلاثة بیوت فی البلد للمسلمین، و کون الملتقط مسلماً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تبیین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بإسلام اللقیط إن وجد فی بلاد المسلمین، کما یحکم بإسلامه إن وجد فی قریة لم یکن بها إلاّ بیتان مسلمان و التقطه مسلم، تغلیباً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الأربعة فیحکم بإسلامه و إن التقطه کافر</w:t>
      </w:r>
      <w:r>
        <w:rPr>
          <w:rFonts w:eastAsia="IRNazanin" w:cs="IRNazanin"/>
          <w:color w:val="111111"/>
          <w:sz w:val="28"/>
          <w:szCs w:val="28"/>
          <w:rtl w:val="true"/>
          <w:lang w:bidi="fa-IR"/>
        </w:rPr>
        <w:t>»</w:t>
      </w:r>
      <w:r>
        <w:rPr>
          <w:rStyle w:val="FootnoteAnchor"/>
          <w:rtl w:val="true"/>
        </w:rPr>
        <w:footnoteReference w:id="1201"/>
      </w:r>
      <w:bookmarkStart w:id="646" w:name="pg11754_113023"/>
    </w:p>
    <w:p>
      <w:pPr>
        <w:pStyle w:val="BookText"/>
        <w:rPr/>
      </w:pPr>
      <w:bookmarkEnd w:id="646"/>
      <w:r>
        <w:rPr>
          <w:rFonts w:ascii="IRNazanin" w:hAnsi="IRNazanin" w:eastAsia="IRNazanin"/>
          <w:color w:val="111111"/>
          <w:sz w:val="28"/>
          <w:sz w:val="28"/>
          <w:szCs w:val="28"/>
          <w:rtl w:val="true"/>
          <w:lang w:bidi="fa-IR"/>
        </w:rPr>
        <w:t>و کذا فی حاشیة الدسوقی</w:t>
      </w:r>
      <w:r>
        <w:rPr>
          <w:rStyle w:val="FootnoteAnchor"/>
          <w:rtl w:val="true"/>
        </w:rPr>
        <w:footnoteReference w:id="1202"/>
      </w:r>
      <w:r>
        <w:rPr>
          <w:rFonts w:ascii="IRNazanin" w:hAnsi="IRNazanin" w:eastAsia="IRNazanin"/>
          <w:color w:val="111111"/>
          <w:sz w:val="28"/>
          <w:sz w:val="28"/>
          <w:szCs w:val="28"/>
          <w:rtl w:val="true"/>
          <w:lang w:bidi="fa-IR"/>
        </w:rPr>
        <w:t>، و أسهل المدارک</w:t>
      </w:r>
      <w:r>
        <w:rPr>
          <w:rStyle w:val="FootnoteAnchor"/>
          <w:rtl w:val="true"/>
        </w:rPr>
        <w:footnoteReference w:id="1203"/>
      </w:r>
      <w:r>
        <w:rPr>
          <w:rFonts w:ascii="IRNazanin" w:hAnsi="IRNazanin" w:eastAsia="IRNazanin"/>
          <w:color w:val="111111"/>
          <w:sz w:val="28"/>
          <w:sz w:val="28"/>
          <w:szCs w:val="28"/>
          <w:rtl w:val="true"/>
          <w:lang w:bidi="fa-IR"/>
        </w:rPr>
        <w:t>و غیرها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9530907_73709187"/>
      <w:bookmarkStart w:id="648" w:name="_Toc256"/>
      <w:bookmarkEnd w:id="647"/>
      <w:r>
        <w:rPr>
          <w:rtl w:val="true"/>
        </w:rPr>
        <w:t>ج</w:t>
      </w:r>
      <w:r>
        <w:rPr>
          <w:rtl w:val="true"/>
        </w:rPr>
        <w:t xml:space="preserve">: </w:t>
      </w:r>
      <w:r>
        <w:rPr>
          <w:rtl w:val="true"/>
        </w:rPr>
        <w:t>حریّة اللقیط‌</w:t>
      </w:r>
      <w:bookmarkEnd w:id="648"/>
    </w:p>
    <w:p>
      <w:pPr>
        <w:pStyle w:val="BookText"/>
        <w:rPr/>
      </w:pPr>
      <w:r>
        <w:rPr>
          <w:rFonts w:ascii="IRNazanin" w:hAnsi="IRNazanin" w:eastAsia="IRNazanin"/>
          <w:color w:val="111111"/>
          <w:sz w:val="28"/>
          <w:sz w:val="28"/>
          <w:szCs w:val="28"/>
          <w:rtl w:val="true"/>
          <w:lang w:bidi="fa-IR"/>
        </w:rPr>
        <w:t>کذا لا خلاف بین مذاهب أهل السنّة بأنّه إذا وجد لقیط مجهول الحال حکم بحرّیته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اللقیط حرّ فی قول عامّة أهل العلم إلاّ النخعی، قال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عوام أهل العلم علی أنّ اللقیط حرٌّ</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المهذّب</w:t>
      </w:r>
      <w:r>
        <w:rPr>
          <w:rStyle w:val="FootnoteAnchor"/>
          <w:rtl w:val="true"/>
        </w:rPr>
        <w:footnoteReference w:id="1206"/>
      </w:r>
      <w:r>
        <w:rPr>
          <w:rFonts w:ascii="IRNazanin" w:hAnsi="IRNazanin" w:eastAsia="IRNazanin"/>
          <w:color w:val="111111"/>
          <w:sz w:val="28"/>
          <w:sz w:val="28"/>
          <w:szCs w:val="28"/>
          <w:rtl w:val="true"/>
          <w:lang w:bidi="fa-IR"/>
        </w:rPr>
        <w:t>، و البیان</w:t>
      </w:r>
      <w:r>
        <w:rPr>
          <w:rStyle w:val="FootnoteAnchor"/>
          <w:rtl w:val="true"/>
        </w:rPr>
        <w:footnoteReference w:id="1207"/>
      </w:r>
      <w:r>
        <w:rPr>
          <w:rFonts w:ascii="IRNazanin" w:hAnsi="IRNazanin" w:eastAsia="IRNazanin"/>
          <w:color w:val="111111"/>
          <w:sz w:val="28"/>
          <w:sz w:val="28"/>
          <w:szCs w:val="28"/>
          <w:rtl w:val="true"/>
          <w:lang w:bidi="fa-IR"/>
        </w:rPr>
        <w:t>، و تبیین المسالک</w:t>
      </w:r>
      <w:r>
        <w:rPr>
          <w:rStyle w:val="FootnoteAnchor"/>
          <w:rtl w:val="true"/>
        </w:rPr>
        <w:footnoteReference w:id="1208"/>
      </w:r>
      <w:r>
        <w:rPr>
          <w:rFonts w:ascii="IRNazanin" w:hAnsi="IRNazanin" w:eastAsia="IRNazanin"/>
          <w:color w:val="111111"/>
          <w:sz w:val="28"/>
          <w:sz w:val="28"/>
          <w:szCs w:val="28"/>
          <w:rtl w:val="true"/>
          <w:lang w:bidi="fa-IR"/>
        </w:rPr>
        <w:t>، و البدائع</w:t>
      </w:r>
      <w:r>
        <w:rPr>
          <w:rStyle w:val="FootnoteAnchor"/>
          <w:rtl w:val="true"/>
        </w:rPr>
        <w:footnoteReference w:id="1209"/>
      </w:r>
      <w:r>
        <w:rPr>
          <w:rFonts w:ascii="IRNazanin" w:hAnsi="IRNazanin" w:eastAsia="IRNazanin"/>
          <w:color w:val="111111"/>
          <w:sz w:val="28"/>
          <w:sz w:val="28"/>
          <w:szCs w:val="28"/>
          <w:rtl w:val="true"/>
          <w:lang w:bidi="fa-IR"/>
        </w:rPr>
        <w:t>، و غیرها من المصادر المتقدّمة فی هذا الفصل</w:t>
      </w:r>
      <w:r>
        <w:rPr>
          <w:rFonts w:eastAsia="IRNazanin" w:cs="IRNazanin"/>
          <w:color w:val="111111"/>
          <w:sz w:val="28"/>
          <w:szCs w:val="28"/>
          <w:rtl w:val="true"/>
          <w:lang w:bidi="fa-IR"/>
        </w:rPr>
        <w:t>.</w:t>
      </w:r>
    </w:p>
    <w:p>
      <w:pPr>
        <w:pStyle w:val="Heading6"/>
        <w:numPr>
          <w:ilvl w:val="5"/>
          <w:numId w:val="1"/>
        </w:numPr>
        <w:rPr/>
      </w:pPr>
      <w:bookmarkStart w:id="649" w:name="__RefHeading___Toc9530909_73709187"/>
      <w:bookmarkStart w:id="650" w:name="_Toc257"/>
      <w:bookmarkEnd w:id="649"/>
      <w:r>
        <w:rPr>
          <w:rtl w:val="true"/>
        </w:rPr>
        <w:t>د</w:t>
      </w:r>
      <w:r>
        <w:rPr>
          <w:rtl w:val="true"/>
        </w:rPr>
        <w:t xml:space="preserve">: </w:t>
      </w:r>
      <w:r>
        <w:rPr>
          <w:rtl w:val="true"/>
        </w:rPr>
        <w:t>نفقة اللقیط‌</w:t>
      </w:r>
      <w:bookmarkEnd w:id="6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بین علماء المذاهب الأربعة فی أنّ نفقة اللقیط لم تجب علی الملتقط، لانتفاء أسباب وجوب النفقة فی مورد اللقیط من القرابة و الزوجیّة و الملک، فإن کان للّقیط مال ینفق من ماله، و إن لم یکن ففی بیت المال، فإن تعذّر الإنفاق من بیت المال؛ لعدم وجود مال فیه، أو لعدم وجود حاکم، فقال المالکیّة بوجوب</w:t>
      </w:r>
      <w:bookmarkStart w:id="651" w:name="pg11754_113024"/>
    </w:p>
    <w:p>
      <w:pPr>
        <w:pStyle w:val="BookText"/>
        <w:rPr/>
      </w:pPr>
      <w:bookmarkEnd w:id="651"/>
      <w:r>
        <w:rPr>
          <w:rFonts w:ascii="IRNazanin" w:hAnsi="IRNazanin" w:eastAsia="IRNazanin"/>
          <w:color w:val="111111"/>
          <w:sz w:val="28"/>
          <w:sz w:val="28"/>
          <w:szCs w:val="28"/>
          <w:rtl w:val="true"/>
          <w:lang w:bidi="fa-IR"/>
        </w:rPr>
        <w:t>الإنفاق علی الملتقط حینئذٍ، و لیس له الرجوع بعد بلوغ اللقیط‌</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الحنابلة</w:t>
      </w:r>
      <w:r>
        <w:rPr>
          <w:rStyle w:val="FootnoteAnchor"/>
          <w:rtl w:val="true"/>
        </w:rPr>
        <w:footnoteReference w:id="1211"/>
      </w:r>
      <w:r>
        <w:rPr>
          <w:rFonts w:ascii="Amiri" w:hAnsi="Amiri" w:eastAsia="Amiri" w:cs="Amiri"/>
          <w:color w:val="111111"/>
          <w:sz w:val="28"/>
          <w:sz w:val="28"/>
          <w:szCs w:val="28"/>
          <w:rtl w:val="true"/>
          <w:lang w:bidi="ar-SA"/>
        </w:rPr>
        <w:t>و الشافعیّة</w:t>
      </w:r>
      <w:r>
        <w:rPr>
          <w:rStyle w:val="FootnoteAnchor"/>
          <w:rtl w:val="true"/>
        </w:rPr>
        <w:footnoteReference w:id="1212"/>
      </w:r>
      <w:r>
        <w:rPr>
          <w:rFonts w:ascii="IRNazanin" w:hAnsi="IRNazanin" w:eastAsia="IRNazanin"/>
          <w:color w:val="111111"/>
          <w:sz w:val="28"/>
          <w:sz w:val="28"/>
          <w:szCs w:val="28"/>
          <w:rtl w:val="true"/>
          <w:lang w:bidi="fa-IR"/>
        </w:rPr>
        <w:t>بوجوب الإنفاق علی المسلمین کفایة، و اختلفوا فی وجوب الإذن من الحاکم و عدمه لو کان للّقیط مال و أنفق منه، فصرّح الشافعیّة بوجوب الإذن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أنفق علیه من غیر إذنه ضمنه؛ لأنّه لا ولایة له علیه إلاّ فی الکفالة، فلم یملک الإنفاق بنفسه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الحنفیّة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الحنابلة، فقد صرّحوا بعدم لزوم الإذن، و مستندهم أنّ الملتقط له ولایة علی اللقیط و علی ماله، فله ولایة أخذه و حفظه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9530911_73709187"/>
      <w:bookmarkStart w:id="653" w:name="_Toc258"/>
      <w:bookmarkEnd w:id="652"/>
      <w:r>
        <w:rPr>
          <w:rtl w:val="true"/>
        </w:rPr>
        <w:t>ه</w:t>
      </w:r>
      <w:r>
        <w:rPr>
          <w:rtl w:val="true"/>
        </w:rPr>
        <w:t xml:space="preserve">: </w:t>
      </w:r>
      <w:r>
        <w:rPr>
          <w:rtl w:val="true"/>
        </w:rPr>
        <w:t>وارث اللقیط‌</w:t>
      </w:r>
      <w:bookmarkEnd w:id="653"/>
    </w:p>
    <w:p>
      <w:pPr>
        <w:pStyle w:val="BookText"/>
        <w:rPr/>
      </w:pPr>
      <w:r>
        <w:rPr>
          <w:rFonts w:ascii="IRNazanin" w:hAnsi="IRNazanin" w:eastAsia="IRNazanin"/>
          <w:color w:val="111111"/>
          <w:sz w:val="28"/>
          <w:sz w:val="28"/>
          <w:szCs w:val="28"/>
          <w:rtl w:val="true"/>
          <w:lang w:bidi="fa-IR"/>
        </w:rPr>
        <w:t>ذهب جمهور أهل السنّة إلی أنّ میراث اللقیط لبیت المال، فإذا مات اللقیط و لا وارث له من النسب و السبب یوضع ماله فی بیت المال، فیرثه المسلمون و ینفق فی ما یحتاج إلیه عامّة المسلمین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ثبت أنّه لا میراث للملتقط منه کان میراثه لبیت المال؛ لأنّه مسلم لیس له وارث معیّن، فیرثه جماعة المسلمین یوضع ماله فی بیت المال</w:t>
      </w:r>
      <w:r>
        <w:rPr>
          <w:rFonts w:eastAsia="IRNazanin" w:cs="IRNazanin"/>
          <w:color w:val="111111"/>
          <w:sz w:val="28"/>
          <w:szCs w:val="28"/>
          <w:rtl w:val="true"/>
          <w:lang w:bidi="fa-IR"/>
        </w:rPr>
        <w:t>»</w:t>
      </w:r>
      <w:r>
        <w:rPr>
          <w:rStyle w:val="FootnoteAnchor"/>
          <w:rtl w:val="true"/>
        </w:rPr>
        <w:footnoteReference w:id="1216"/>
      </w:r>
      <w:bookmarkStart w:id="654" w:name="pg11754_113025"/>
    </w:p>
    <w:p>
      <w:pPr>
        <w:pStyle w:val="BookText"/>
        <w:rPr/>
      </w:pPr>
      <w:bookmarkEnd w:id="654"/>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اللقیط حرّ الأصل و لا ولاء علیه، و إنّما یرثه المسلمون لأنّهم خوّلوا کلّ مال لا مالک له، و لأنّهم یرثون مال من لا وارث له غیر اللقیط، فکذلک اللقیط</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البدائع</w:t>
      </w:r>
      <w:r>
        <w:rPr>
          <w:rStyle w:val="FootnoteAnchor"/>
          <w:rtl w:val="true"/>
        </w:rPr>
        <w:footnoteReference w:id="1218"/>
      </w:r>
      <w:r>
        <w:rPr>
          <w:rFonts w:ascii="IRNazanin" w:hAnsi="IRNazanin" w:eastAsia="IRNazanin"/>
          <w:color w:val="111111"/>
          <w:sz w:val="28"/>
          <w:sz w:val="28"/>
          <w:szCs w:val="28"/>
          <w:rtl w:val="true"/>
          <w:lang w:bidi="fa-IR"/>
        </w:rPr>
        <w:t>، و کشّاف القناع</w:t>
      </w:r>
      <w:r>
        <w:rPr>
          <w:rStyle w:val="FootnoteAnchor"/>
          <w:rtl w:val="true"/>
        </w:rPr>
        <w:footnoteReference w:id="1219"/>
      </w:r>
      <w:r>
        <w:rPr>
          <w:rFonts w:ascii="IRNazanin" w:hAnsi="IRNazanin" w:eastAsia="IRNazanin"/>
          <w:color w:val="111111"/>
          <w:sz w:val="28"/>
          <w:sz w:val="28"/>
          <w:szCs w:val="28"/>
          <w:rtl w:val="true"/>
          <w:lang w:bidi="fa-IR"/>
        </w:rPr>
        <w:t>، و الإنصاف</w:t>
      </w:r>
      <w:r>
        <w:rPr>
          <w:rStyle w:val="FootnoteAnchor"/>
          <w:rtl w:val="true"/>
        </w:rPr>
        <w:footnoteReference w:id="1220"/>
      </w:r>
      <w:r>
        <w:rPr>
          <w:rFonts w:ascii="IRNazanin" w:hAnsi="IRNazanin" w:eastAsia="IRNazanin"/>
          <w:color w:val="111111"/>
          <w:sz w:val="28"/>
          <w:sz w:val="28"/>
          <w:szCs w:val="28"/>
          <w:rtl w:val="true"/>
          <w:lang w:bidi="fa-IR"/>
        </w:rPr>
        <w:t>و روضة المتّقین</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9530913_73709187"/>
      <w:bookmarkStart w:id="656" w:name="_Toc259"/>
      <w:bookmarkEnd w:id="655"/>
      <w:r>
        <w:rPr>
          <w:rtl w:val="true"/>
        </w:rPr>
        <w:t>إیضاح</w:t>
      </w:r>
      <w:bookmarkEnd w:id="6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الفقهاء فی الکتب الفقهیّة المفصّلة أحکاماً اخری التی ترتبط باللقیط کالجنایة علیه؛ سواء کان علی النفس، أو علی الطرف، عمداً أو خطأً، و هکذا جنایة اللقیط علی الغیر عمداً أو خطأً، و قذف اللقیط و مسألة التشاحّ و اختلاف شخصین، أو أشخاص فی حضانة اللقیط مع صور المتصوّرة فیها؛ لأنّهما قد یکونا مسلمین أو کافرین، أو أحدهما مسلماً و الآخر کافراً، و یتصوّر أیضاً أن یکون أحدهما مسلماً حرّاً و الآخر عبداً کافراً، و کذا اختلاف اللقیط و الملتقط فی نفقته بعد بلوغه، و حیث نحقّق حول المسائل المرتبطة بجنایة الأطفال و الجنایة علیهم فی قصاص الصبیّ، فلیراجع هناک</w:t>
      </w:r>
      <w:r>
        <w:rPr>
          <w:rFonts w:eastAsia="IRNazanin" w:cs="IRNazanin"/>
          <w:color w:val="111111"/>
          <w:sz w:val="28"/>
          <w:szCs w:val="28"/>
          <w:rtl w:val="true"/>
          <w:lang w:bidi="fa-IR"/>
        </w:rPr>
        <w:t>.</w:t>
      </w:r>
      <w:bookmarkStart w:id="657" w:name="pg11754_113026"/>
    </w:p>
    <w:p>
      <w:pPr>
        <w:pStyle w:val="Heading3"/>
        <w:numPr>
          <w:ilvl w:val="2"/>
          <w:numId w:val="1"/>
        </w:numPr>
        <w:rPr/>
      </w:pPr>
      <w:bookmarkStart w:id="658" w:name="__RefHeading___Toc9530915_73709187"/>
      <w:bookmarkStart w:id="659" w:name="_Toc260"/>
      <w:bookmarkEnd w:id="657"/>
      <w:bookmarkEnd w:id="658"/>
      <w:r>
        <w:rPr>
          <w:rtl w:val="true"/>
        </w:rPr>
        <w:t>الفصل الرابع</w:t>
      </w:r>
      <w:r>
        <w:rPr>
          <w:rtl w:val="true"/>
        </w:rPr>
        <w:t xml:space="preserve">: </w:t>
      </w:r>
      <w:r>
        <w:rPr>
          <w:rtl w:val="true"/>
        </w:rPr>
        <w:t>حکم التبنّی</w:t>
      </w:r>
      <w:bookmarkEnd w:id="659"/>
    </w:p>
    <w:p>
      <w:pPr>
        <w:pStyle w:val="Heading4"/>
        <w:numPr>
          <w:ilvl w:val="3"/>
          <w:numId w:val="1"/>
        </w:numPr>
        <w:rPr/>
      </w:pPr>
      <w:bookmarkStart w:id="660" w:name="__RefHeading___Toc9530917_73709187"/>
      <w:bookmarkStart w:id="661" w:name="_Toc261"/>
      <w:bookmarkEnd w:id="660"/>
      <w:r>
        <w:rPr>
          <w:rtl w:val="true"/>
        </w:rPr>
        <w:t>اشارة</w:t>
      </w:r>
      <w:bookmarkEnd w:id="661"/>
    </w:p>
    <w:p>
      <w:pPr>
        <w:pStyle w:val="Heading4"/>
        <w:numPr>
          <w:ilvl w:val="3"/>
          <w:numId w:val="1"/>
        </w:numPr>
        <w:rPr/>
      </w:pPr>
      <w:bookmarkStart w:id="662" w:name="__RefHeading___Toc9530919_73709187"/>
      <w:bookmarkStart w:id="663" w:name="_Toc262"/>
      <w:bookmarkEnd w:id="662"/>
      <w:r>
        <w:rPr>
          <w:rtl w:val="true"/>
        </w:rPr>
        <w:t>تمهید</w:t>
      </w:r>
      <w:r>
        <w:rPr>
          <w:rtl w:val="true"/>
        </w:rPr>
        <w:t>:</w:t>
      </w:r>
      <w:bookmarkEnd w:id="663"/>
    </w:p>
    <w:p>
      <w:pPr>
        <w:pStyle w:val="BookText"/>
        <w:rPr/>
      </w:pPr>
      <w:r>
        <w:rPr>
          <w:rFonts w:ascii="IRNazanin" w:hAnsi="IRNazanin" w:eastAsia="IRNazanin"/>
          <w:color w:val="111111"/>
          <w:sz w:val="28"/>
          <w:sz w:val="28"/>
          <w:szCs w:val="28"/>
          <w:rtl w:val="true"/>
          <w:lang w:bidi="fa-IR"/>
        </w:rPr>
        <w:t>من المسائل التی ترتبط بالأطفال من ثبوت نسبهم و غیره، هو ما یفعله بعض الناس، الیوم من تبنّی اللقیط و الأطفال مجهولی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اسّس فی مختلف بلدان المسلمین مراکز مختصّة و بیوت رسمیّة مجهّزة لإیواء اللقطاء و الأیتام و تربیتهم، و قد اشترک فی تأسیسها و إدارتها الأشخاص الخیّرون الذین همّهم طلب الأجر و الثواب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الأحیان أمر بتأسیسها الحاکم الإسلامی، و علی أیّ تقدیر یأخذ بعض الأشخاص من تلک المؤسّسات الطفل اللقیط أو الیتیم بداعی الرحمة بهم و العطف علیهم و تربیتهم، بل یتّخذونه ولداً أحیاناً، کما یمکن أن تکون المرأة عاقراً أو الرجل عقیماً، فترید أو یریدا معاً أن یتّخذاه ولداً، إشباعاً لغریزة الاُبوّة و الاُمومة، فهنا أسئلة،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حکم التبنّی؟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للمؤسّسات المعدّة لحفظ اللقطاء إعطاؤهم إلی أشخاص أم لا؟</w:t>
      </w:r>
      <w:bookmarkStart w:id="664" w:name="pg11754_113027"/>
    </w:p>
    <w:p>
      <w:pPr>
        <w:pStyle w:val="BookText"/>
        <w:rPr/>
      </w:pPr>
      <w:bookmarkEnd w:id="66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الأوّل، هل یتوقّف جوازه علی إذن الحاکم أم لا؟ و هکذا هل یلزم وجود شرائط فی من طلبه أم 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سبب المحرمیّة و التوارث بین اللقیط و من أخذه؟</w:t>
      </w:r>
    </w:p>
    <w:p>
      <w:pPr>
        <w:pStyle w:val="BookText"/>
        <w:rPr/>
      </w:pPr>
      <w:r>
        <w:rPr>
          <w:rFonts w:ascii="IRNazanin" w:hAnsi="IRNazanin" w:eastAsia="IRNazanin"/>
          <w:color w:val="111111"/>
          <w:sz w:val="28"/>
          <w:sz w:val="28"/>
          <w:szCs w:val="28"/>
          <w:rtl w:val="true"/>
          <w:lang w:bidi="fa-IR"/>
        </w:rPr>
        <w:t>للتحقیق حول هذه الأسئلة عقدنا هذا الفصل، و فیه ثلاثة مباحث</w:t>
      </w:r>
      <w:r>
        <w:rPr>
          <w:rFonts w:eastAsia="IRNazanin" w:cs="IRNazanin"/>
          <w:color w:val="111111"/>
          <w:sz w:val="28"/>
          <w:szCs w:val="28"/>
          <w:rtl w:val="true"/>
          <w:lang w:bidi="fa-IR"/>
        </w:rPr>
        <w:t>:</w:t>
      </w:r>
    </w:p>
    <w:p>
      <w:pPr>
        <w:pStyle w:val="Heading4"/>
        <w:numPr>
          <w:ilvl w:val="3"/>
          <w:numId w:val="1"/>
        </w:numPr>
        <w:rPr/>
      </w:pPr>
      <w:bookmarkStart w:id="665" w:name="__RefHeading___Toc9530921_73709187"/>
      <w:bookmarkStart w:id="666" w:name="_Toc263"/>
      <w:bookmarkEnd w:id="665"/>
      <w:r>
        <w:rPr>
          <w:rtl w:val="true"/>
        </w:rPr>
        <w:t>المبحث الأوّل</w:t>
      </w:r>
      <w:r>
        <w:rPr>
          <w:rtl w:val="true"/>
        </w:rPr>
        <w:t xml:space="preserve">: </w:t>
      </w:r>
      <w:r>
        <w:rPr>
          <w:rtl w:val="true"/>
        </w:rPr>
        <w:t>عدم ثبوت النسب بالتبنّی</w:t>
      </w:r>
      <w:bookmarkEnd w:id="666"/>
    </w:p>
    <w:p>
      <w:pPr>
        <w:pStyle w:val="Heading5"/>
        <w:numPr>
          <w:ilvl w:val="4"/>
          <w:numId w:val="1"/>
        </w:numPr>
        <w:rPr/>
      </w:pPr>
      <w:bookmarkStart w:id="667" w:name="__RefHeading___Toc9530923_73709187"/>
      <w:bookmarkStart w:id="668" w:name="_Toc264"/>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التبنّی لغةً بمعنی اتّخاذ ولد الغیر ولداً،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تبنّی فلاناً أی اتّخذه ولداً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هو المقصود منه فی الفقه؛ أی اتّخاذ الشخص ولد غیره ولداً، و یجعله کولده الصلبی الحقیقی ادّعاءً و بلا دلیل؛ سواء کان هذا الولد مجهول النسب کاللقیط أو معلوم النسب کالیتیم، و کان الرجل فی الجاهلیّة یتبنّی الرجل فیجعله کالابن المولود له، و یدعوه إلیه الناس، و یرثه میراث الأولاد، فأبطله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حرمة التبنّی و عدم ثبوت النسب به، یستفاد هذا من إطلاق أو مفهوم کلمات الفقهاء فی الأبواب المختلفة؛ فإنّهم ذکروا فی جواز إلحاق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یمکن أن یلحق به کالزوج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کما فی الشرائع</w:t>
      </w:r>
      <w:r>
        <w:rPr>
          <w:rStyle w:val="FootnoteAnchor"/>
          <w:rtl w:val="true"/>
        </w:rPr>
        <w:footnoteReference w:id="1224"/>
      </w:r>
      <w:r>
        <w:rPr>
          <w:rFonts w:ascii="IRNazanin" w:hAnsi="IRNazanin" w:eastAsia="IRNazanin"/>
          <w:color w:val="111111"/>
          <w:sz w:val="28"/>
          <w:sz w:val="28"/>
          <w:szCs w:val="28"/>
          <w:rtl w:val="true"/>
          <w:lang w:bidi="fa-IR"/>
        </w:rPr>
        <w:t>، و المسالک</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 غیرهما</w:t>
      </w:r>
      <w:r>
        <w:rPr>
          <w:rStyle w:val="FootnoteAnchor"/>
          <w:rtl w:val="true"/>
        </w:rPr>
        <w:footnoteReference w:id="1226"/>
      </w:r>
      <w:r>
        <w:rPr>
          <w:rFonts w:ascii="Amiri" w:hAnsi="Amiri" w:eastAsia="Amiri" w:cs="Amiri"/>
          <w:color w:val="111111"/>
          <w:sz w:val="28"/>
          <w:sz w:val="28"/>
          <w:szCs w:val="28"/>
          <w:rtl w:val="true"/>
          <w:lang w:bidi="ar-SA"/>
        </w:rPr>
        <w:t>و تقدّم ذکرها مفصّلاً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باب الإقرار بالنسب، کعدم تکذیب الحسّ و الشرع و عدم المنازع، فلو أقرّ ببنوّة مشهور النسب بغیره، أو بمن نازعه غیره لم یلحق</w:t>
      </w:r>
    </w:p>
    <w:p>
      <w:pPr>
        <w:pStyle w:val="BookText"/>
        <w:rPr/>
      </w:pPr>
      <w:r>
        <w:rPr>
          <w:rFonts w:ascii="IRNazanin" w:hAnsi="IRNazanin" w:eastAsia="IRNazanin"/>
          <w:color w:val="111111"/>
          <w:sz w:val="28"/>
          <w:sz w:val="28"/>
          <w:szCs w:val="28"/>
          <w:rtl w:val="true"/>
          <w:lang w:bidi="fa-IR"/>
        </w:rPr>
        <w:t>بأحدهما إلاّ بالبیّنة، کما فی القواعد</w:t>
      </w:r>
      <w:r>
        <w:rPr>
          <w:rStyle w:val="FootnoteAnchor"/>
          <w:rtl w:val="true"/>
        </w:rPr>
        <w:footnoteReference w:id="1228"/>
      </w:r>
      <w:r>
        <w:rPr>
          <w:rFonts w:ascii="IRNazanin" w:hAnsi="IRNazanin" w:eastAsia="IRNazanin"/>
          <w:color w:val="111111"/>
          <w:sz w:val="28"/>
          <w:sz w:val="28"/>
          <w:szCs w:val="28"/>
          <w:rtl w:val="true"/>
          <w:lang w:bidi="fa-IR"/>
        </w:rPr>
        <w:t>و جامع المقاصد</w:t>
      </w:r>
      <w:r>
        <w:rPr>
          <w:rStyle w:val="FootnoteAnchor"/>
          <w:rtl w:val="true"/>
        </w:rPr>
        <w:footnoteReference w:id="1229"/>
      </w:r>
      <w:r>
        <w:rPr>
          <w:rFonts w:ascii="IRNazanin" w:hAnsi="IRNazanin" w:eastAsia="IRNazanin"/>
          <w:color w:val="111111"/>
          <w:sz w:val="28"/>
          <w:sz w:val="28"/>
          <w:szCs w:val="28"/>
          <w:rtl w:val="true"/>
          <w:lang w:bidi="fa-IR"/>
        </w:rPr>
        <w:t>و غیرهما</w:t>
      </w:r>
      <w:r>
        <w:rPr>
          <w:rStyle w:val="FootnoteAnchor"/>
          <w:rtl w:val="true"/>
        </w:rPr>
        <w:footnoteReference w:id="1230"/>
      </w:r>
      <w:r>
        <w:rPr>
          <w:rFonts w:ascii="Amiri" w:hAnsi="Amiri" w:eastAsia="Amiri" w:cs="Amiri"/>
          <w:color w:val="111111"/>
          <w:sz w:val="28"/>
          <w:sz w:val="28"/>
          <w:szCs w:val="28"/>
          <w:rtl w:val="true"/>
          <w:lang w:bidi="ar-SA"/>
        </w:rPr>
        <w:t>و تقدّم البحث عنها أیضاً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نصّ الفقهاء بأنّ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یمکن أن یلحق بملتقطه مع وجود شرائط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کافل له، فالضائع المعروف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له أب أو جدّ، أو من یجب علیه حضانته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یلحقه حکم الالتقاط، کما فی الدروس</w:t>
      </w:r>
      <w:r>
        <w:rPr>
          <w:rStyle w:val="FootnoteAnchor"/>
          <w:rtl w:val="true"/>
        </w:rPr>
        <w:footnoteReference w:id="1232"/>
      </w:r>
      <w:r>
        <w:rPr>
          <w:rFonts w:ascii="IRNazanin" w:hAnsi="IRNazanin" w:eastAsia="IRNazanin"/>
          <w:color w:val="111111"/>
          <w:sz w:val="28"/>
          <w:sz w:val="28"/>
          <w:szCs w:val="28"/>
          <w:rtl w:val="true"/>
          <w:lang w:bidi="fa-IR"/>
        </w:rPr>
        <w:t>، و المسالک</w:t>
      </w:r>
      <w:r>
        <w:rPr>
          <w:rStyle w:val="FootnoteAnchor"/>
          <w:rtl w:val="true"/>
        </w:rPr>
        <w:footnoteReference w:id="1233"/>
      </w:r>
      <w:r>
        <w:rPr>
          <w:rFonts w:ascii="IRNazanin" w:hAnsi="IRNazanin" w:eastAsia="IRNazanin"/>
          <w:color w:val="111111"/>
          <w:sz w:val="28"/>
          <w:sz w:val="28"/>
          <w:szCs w:val="28"/>
          <w:rtl w:val="true"/>
          <w:lang w:bidi="fa-IR"/>
        </w:rPr>
        <w:t>، و الریاض</w:t>
      </w:r>
      <w:r>
        <w:rPr>
          <w:rStyle w:val="FootnoteAnchor"/>
          <w:rtl w:val="true"/>
        </w:rPr>
        <w:footnoteReference w:id="1234"/>
      </w:r>
      <w:r>
        <w:rPr>
          <w:rFonts w:ascii="IRNazanin" w:hAnsi="IRNazanin" w:eastAsia="IRNazanin"/>
          <w:color w:val="111111"/>
          <w:sz w:val="28"/>
          <w:sz w:val="28"/>
          <w:szCs w:val="28"/>
          <w:rtl w:val="true"/>
          <w:lang w:bidi="fa-IR"/>
        </w:rPr>
        <w:t>، و غیرها</w:t>
      </w:r>
      <w:r>
        <w:rPr>
          <w:rStyle w:val="FootnoteAnchor"/>
          <w:rtl w:val="true"/>
        </w:rPr>
        <w:footnoteReference w:id="1235"/>
      </w:r>
      <w:r>
        <w:rPr>
          <w:rFonts w:ascii="IRNazanin" w:hAnsi="IRNazanin" w:eastAsia="IRNazanin"/>
          <w:color w:val="111111"/>
          <w:sz w:val="28"/>
          <w:sz w:val="28"/>
          <w:szCs w:val="28"/>
          <w:rtl w:val="true"/>
          <w:lang w:bidi="fa-IR"/>
        </w:rPr>
        <w:t>، و قد تقدّم البحث عنها أیضاً فی هذا الفصل</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فی التبنّی شرائط الإلحاق و لا شرائط الإقرار</w:t>
      </w:r>
      <w:r>
        <w:rPr>
          <w:rStyle w:val="FootnoteAnchor"/>
          <w:rtl w:val="true"/>
        </w:rPr>
        <w:footnoteReference w:id="1237"/>
      </w:r>
      <w:r>
        <w:rPr>
          <w:rFonts w:ascii="IRNazanin" w:hAnsi="IRNazanin" w:eastAsia="IRNazanin"/>
          <w:color w:val="111111"/>
          <w:sz w:val="28"/>
          <w:sz w:val="28"/>
          <w:szCs w:val="28"/>
          <w:rtl w:val="true"/>
          <w:lang w:bidi="fa-IR"/>
        </w:rPr>
        <w:t>، و حیث إنّه لم یرد فی الشرع لثبوت النسب بالتبنّی طریق غیرهما، فلا یثبت النسب بالتبنّی، و لو فعله أحد لم یترتّب علیه أحکام البنوّة و الأبوّة و الاُمومة، و یحرم أیضاً؛ لأنّه یوجب اختلاط الأنساب و مفاسد اخری، کما صرّح به بعض من تعرّض لحکمه من الفقهاء المعاصرین</w:t>
      </w:r>
      <w:r>
        <w:rPr>
          <w:rFonts w:eastAsia="IRNazanin" w:cs="IRNazanin"/>
          <w:color w:val="111111"/>
          <w:sz w:val="28"/>
          <w:szCs w:val="28"/>
          <w:rtl w:val="true"/>
          <w:lang w:bidi="fa-IR"/>
        </w:rPr>
        <w:t>.</w:t>
      </w:r>
      <w:bookmarkStart w:id="669" w:name="pg11754_113029"/>
    </w:p>
    <w:p>
      <w:pPr>
        <w:pStyle w:val="BookText"/>
        <w:rPr/>
      </w:pPr>
      <w:bookmarkEnd w:id="669"/>
      <w:r>
        <w:rPr>
          <w:rFonts w:ascii="IRNazanin" w:hAnsi="IRNazanin" w:eastAsia="IRNazanin"/>
          <w:color w:val="111111"/>
          <w:sz w:val="28"/>
          <w:sz w:val="28"/>
          <w:szCs w:val="28"/>
          <w:rtl w:val="true"/>
          <w:lang w:bidi="fa-IR"/>
        </w:rPr>
        <w:t>ففی مجمع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للشخص التبنّی و إلحاق ولد الغیر بنفسه</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جامع الأحکام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للشخص استلحاق ولد الغیر؛ بأن یجعله ولداً لنفسه، و أخذ التسجیل له باسمه مثل أولاده الصلبی الحقیقی، بل إنّ أخذها یوجب الاشتباه فی مسائل النکاح و غیرها فی المستقبل یجب إبطالها</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للملتقط أن یتبنّی اللقیط و یلحقه بنفسه، و لو فعل لم یترتّب علیه شیء من أحکام البنوّة و الاُبوّة و الاُمومة</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صراط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التبنّی و ما یستلزمه أو یقتضیه</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9530925_73709187"/>
      <w:bookmarkStart w:id="671" w:name="_Toc265"/>
      <w:bookmarkEnd w:id="670"/>
      <w:r>
        <w:rPr>
          <w:rtl w:val="true"/>
        </w:rPr>
        <w:t>أدلّة عدم جواز التبنّی</w:t>
      </w:r>
      <w:bookmarkEnd w:id="671"/>
    </w:p>
    <w:p>
      <w:pPr>
        <w:pStyle w:val="Heading6"/>
        <w:numPr>
          <w:ilvl w:val="5"/>
          <w:numId w:val="1"/>
        </w:numPr>
        <w:rPr/>
      </w:pPr>
      <w:bookmarkStart w:id="672" w:name="__RefHeading___Toc9530927_73709187"/>
      <w:bookmarkStart w:id="673" w:name="_Toc266"/>
      <w:bookmarkEnd w:id="672"/>
      <w:r>
        <w:rPr>
          <w:rtl w:val="true"/>
        </w:rPr>
        <w:t>اشارة</w:t>
      </w:r>
      <w:bookmarkEnd w:id="673"/>
    </w:p>
    <w:p>
      <w:pPr>
        <w:pStyle w:val="BookText"/>
        <w:rPr/>
      </w:pPr>
      <w:r>
        <w:rPr>
          <w:rFonts w:ascii="IRNazanin" w:hAnsi="IRNazanin" w:eastAsia="IRNazanin"/>
          <w:color w:val="111111"/>
          <w:sz w:val="28"/>
          <w:sz w:val="28"/>
          <w:szCs w:val="28"/>
          <w:rtl w:val="true"/>
          <w:lang w:bidi="fa-IR"/>
        </w:rPr>
        <w:t>یدلّ علی تحریم التبنّی و عدم ثبوت النسب به امور</w:t>
      </w:r>
      <w:r>
        <w:rPr>
          <w:rFonts w:eastAsia="IRNazanin" w:cs="IRNazanin"/>
          <w:color w:val="111111"/>
          <w:sz w:val="28"/>
          <w:szCs w:val="28"/>
          <w:rtl w:val="true"/>
          <w:lang w:bidi="fa-IR"/>
        </w:rPr>
        <w:t>:</w:t>
      </w:r>
    </w:p>
    <w:p>
      <w:pPr>
        <w:pStyle w:val="Heading6"/>
        <w:numPr>
          <w:ilvl w:val="5"/>
          <w:numId w:val="1"/>
        </w:numPr>
        <w:rPr/>
      </w:pPr>
      <w:bookmarkStart w:id="674" w:name="__RefHeading___Toc9530929_73709187"/>
      <w:bookmarkStart w:id="675" w:name="_Toc267"/>
      <w:bookmarkEnd w:id="674"/>
      <w:r>
        <w:rPr>
          <w:rtl w:val="true"/>
        </w:rPr>
        <w:t>الأوّل الکتاب</w:t>
      </w:r>
      <w:r>
        <w:rPr>
          <w:rtl w:val="true"/>
        </w:rPr>
        <w:t>:</w:t>
      </w:r>
      <w:bookmarkEnd w:id="67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الأدعیاء جمع الدعیّ؛ و هو الذی یتبنّاه الإنسان، و بیّن سبحانه أنّه لیس بابن علی الحقیقة، کما فی التبیان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الدعاء و التبنّی دائراً بینهم فی الجاهلیّة، و کذا بین الاُمم</w:t>
      </w:r>
    </w:p>
    <w:p>
      <w:pPr>
        <w:pStyle w:val="BookText"/>
        <w:rPr/>
      </w:pPr>
      <w:r>
        <w:rPr>
          <w:rFonts w:ascii="IRNazanin" w:hAnsi="IRNazanin" w:eastAsia="IRNazanin"/>
          <w:color w:val="111111"/>
          <w:sz w:val="28"/>
          <w:sz w:val="28"/>
          <w:szCs w:val="28"/>
          <w:rtl w:val="true"/>
          <w:lang w:bidi="fa-IR"/>
        </w:rPr>
        <w:t xml:space="preserve">الراقیة یومئذٍ کالروم و فارس، و کانوا یرتّبون علی الدعیّ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الولد الصلبی من التوارث و حرمة الازدواج و غیرهما، و قد ألغاه الإسلام</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فمعنی الآیة بتوضیح منّا یکون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یجعل أدعیاءکم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أبناءکم بالتبنّی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أبناءکم حقیقة؛ لأنّ البنوّة لا تکون بتبنّیکم أبناء غیرکم، فهذا ادّعاء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قَوْلُکُمْ بِأَفْواهِکُمْ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تثبت به البنوّة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زید بن حارثة بن شراحیل الکلبی من بنی عبد ود، تبنّاه النبیّ صلی الله علیه و آله قبل الوحی، و کان قد وقع علیه السبی فاشتراه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نبئ رسول اللّه صلی الله علیه و آله دعاه إلی الإسلام فأسلم، فقدم أبو حارثة مکّة و أتی أبا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أخیک فإمّا أن یبیعه و إمّا أن 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ذلک أبو طالب لرسول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فلیذهب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زید أن یفارق رسول اللّه صلی الله علیه و آله، فقال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اشهدوا أنّه لیس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أنّه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یدعی زید بن محمّد صلی الله علیه و آله، فلمّا تزوّج النبیّ صلی الله علیه و آله زینب بنت جحش التی کانت تحت زید بن حارثة قالت الیهود و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محمّد صلی الله علیه و آله امرأة ابنه و هو ینهی الناس عنها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تدعونه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ثابت النسب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تقولونه بألسنتکم لا حقیقة له عند اللّه تعالی</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و کذا فی غیره</w:t>
      </w:r>
      <w:r>
        <w:rPr>
          <w:rStyle w:val="FootnoteAnchor"/>
          <w:rtl w:val="true"/>
        </w:rPr>
        <w:footnoteReference w:id="1246"/>
      </w:r>
      <w:bookmarkStart w:id="676" w:name="pg11754_113031"/>
    </w:p>
    <w:p>
      <w:pPr>
        <w:pStyle w:val="BookText"/>
        <w:rPr/>
      </w:pPr>
      <w:bookmarkEnd w:id="676"/>
      <w:r>
        <w:rPr>
          <w:rFonts w:ascii="IRNazanin" w:hAnsi="IRNazanin" w:eastAsia="IRNazanin"/>
          <w:color w:val="111111"/>
          <w:sz w:val="28"/>
          <w:sz w:val="28"/>
          <w:szCs w:val="28"/>
          <w:rtl w:val="true"/>
          <w:lang w:bidi="fa-IR"/>
        </w:rPr>
        <w:t>و الحاصل</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نسخ الإسلام نظام التبنّی و أبطل النسب عن طریقه، فلا یمکن إثبات نسب أحد بالتبنّی، و کذا أبطل آثاره،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زواج المتبنّی مع زوجة من تبنّاه إذا فارقها بموت أو طلاق، و لأجل تثبیت هذا الأثر للتبنّی قضی اللّه جلّ جلاله أن یتزوّج رسول اللّه صلی الله علیه و آله زوجة زید بن حارثة، و هی زینب بنت جحش بعد أن طلّقها زید الذی قد تبنّاه رسول اللّه صلی الله علیه و آله،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من زواج النبیّ صلی الله علیه و آله بزینب تثبیت نسخ التبنّی و إبطال آثاره، و رفع الحجر عن المسلمین فی نکاح أزواج أدعیائهم الذین لم یدعوا أبناءهم بالتبنّی، کما أنّهم لیسوا بأبنائهم فی الحقیقة و الواقع، و کان هذا الإبطال بعمل الرسول و بالإخبار عنه فی القرآن العظیم مع بیان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کلّه ما أشار إلیه المفسّرون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7" w:name="__RefHeading___Toc9530931_73709187"/>
      <w:bookmarkStart w:id="678" w:name="_Toc268"/>
      <w:bookmarkEnd w:id="677"/>
      <w:r>
        <w:rPr>
          <w:rtl w:val="true"/>
        </w:rPr>
        <w:t>الثانی</w:t>
      </w:r>
      <w:r>
        <w:rPr>
          <w:rtl w:val="true"/>
        </w:rPr>
        <w:t xml:space="preserve">: </w:t>
      </w:r>
      <w:r>
        <w:rPr>
          <w:rtl w:val="true"/>
        </w:rPr>
        <w:t>النصوص، و هی علی طوائف</w:t>
      </w:r>
      <w:bookmarkEnd w:id="678"/>
    </w:p>
    <w:p>
      <w:pPr>
        <w:pStyle w:val="Heading6"/>
        <w:numPr>
          <w:ilvl w:val="5"/>
          <w:numId w:val="1"/>
        </w:numPr>
        <w:rPr/>
      </w:pPr>
      <w:bookmarkStart w:id="679" w:name="__RefHeading___Toc9530933_73709187"/>
      <w:bookmarkStart w:id="680" w:name="_Toc269"/>
      <w:bookmarkEnd w:id="679"/>
      <w:r>
        <w:rPr>
          <w:rtl w:val="true"/>
        </w:rPr>
        <w:t>الطائفة الاُولی</w:t>
      </w:r>
      <w:r>
        <w:rPr>
          <w:rtl w:val="true"/>
        </w:rPr>
        <w:t xml:space="preserve">: </w:t>
      </w:r>
      <w:r>
        <w:rPr>
          <w:rtl w:val="true"/>
        </w:rPr>
        <w:t>ما تدلّ علی حرمة التبرّی من النسب</w:t>
      </w:r>
      <w:bookmarkEnd w:id="680"/>
    </w:p>
    <w:p>
      <w:pPr>
        <w:pStyle w:val="BookText"/>
        <w:rPr/>
      </w:pPr>
      <w:r>
        <w:rPr>
          <w:rFonts w:ascii="IRNazanin" w:hAnsi="IRNazanin" w:eastAsia="IRNazanin"/>
          <w:color w:val="111111"/>
          <w:sz w:val="28"/>
          <w:sz w:val="28"/>
          <w:szCs w:val="28"/>
          <w:rtl w:val="true"/>
          <w:lang w:bidi="fa-IR"/>
        </w:rPr>
        <w:t>، کصحیحة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بصیر،</w:t>
      </w:r>
      <w:bookmarkStart w:id="681" w:name="pg11754_113032"/>
    </w:p>
    <w:p>
      <w:pPr>
        <w:pStyle w:val="BookText"/>
        <w:rPr/>
      </w:pPr>
      <w:bookmarkEnd w:id="681"/>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باللّه من تبرّأ من نسب و إن دقّ‌</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w:t>
      </w:r>
    </w:p>
    <w:p>
      <w:pPr>
        <w:pStyle w:val="BookText"/>
        <w:rPr/>
      </w:pPr>
      <w:r>
        <w:rPr>
          <w:rFonts w:ascii="IRNazanin" w:hAnsi="IRNazanin" w:eastAsia="IRNazanin"/>
          <w:color w:val="111111"/>
          <w:sz w:val="28"/>
          <w:sz w:val="28"/>
          <w:szCs w:val="28"/>
          <w:rtl w:val="true"/>
          <w:lang w:bidi="fa-IR"/>
        </w:rPr>
        <w:t>ما رواه ابن فضّال،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باللّه العظیم من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حسب و إن دقّ</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w:t>
      </w:r>
      <w:r>
        <w:rPr>
          <w:rStyle w:val="FootnoteAnchor"/>
          <w:rtl w:val="true"/>
        </w:rPr>
        <w:footnoteReference w:id="1252"/>
      </w:r>
      <w:r>
        <w:rPr>
          <w:rFonts w:ascii="IRNazanin" w:hAnsi="IRNazanin" w:eastAsia="IRNazanin"/>
          <w:color w:val="111111"/>
          <w:sz w:val="28"/>
          <w:sz w:val="28"/>
          <w:szCs w:val="28"/>
          <w:rtl w:val="true"/>
          <w:lang w:bidi="fa-IR"/>
        </w:rPr>
        <w:t>تدلّ علی أنّه لا یجوز التبرّی من النسب و انتفاؤه، و إطلاقها یشمل المقام؛ فإنّ من یتبنّی بولد غیره ینتفی نسبه عمّن هو ملحق به شرعاً، و هو لا یجوز، فلا یثبت النسب بالتبنّی بمقتضی هذه الطائفة</w:t>
      </w:r>
      <w:r>
        <w:rPr>
          <w:rFonts w:eastAsia="IRNazanin" w:cs="IRNazanin"/>
          <w:color w:val="111111"/>
          <w:sz w:val="28"/>
          <w:szCs w:val="28"/>
          <w:rtl w:val="true"/>
          <w:lang w:bidi="fa-IR"/>
        </w:rPr>
        <w:t>.</w:t>
      </w:r>
    </w:p>
    <w:p>
      <w:pPr>
        <w:pStyle w:val="Heading6"/>
        <w:numPr>
          <w:ilvl w:val="5"/>
          <w:numId w:val="1"/>
        </w:numPr>
        <w:rPr/>
      </w:pPr>
      <w:bookmarkStart w:id="682" w:name="__RefHeading___Toc9530935_73709187"/>
      <w:bookmarkStart w:id="683" w:name="_Toc270"/>
      <w:bookmarkEnd w:id="682"/>
      <w:r>
        <w:rPr>
          <w:rtl w:val="true"/>
        </w:rPr>
        <w:t>الطائفة الثانیة</w:t>
      </w:r>
      <w:r>
        <w:rPr>
          <w:rtl w:val="true"/>
        </w:rPr>
        <w:t xml:space="preserve">: </w:t>
      </w:r>
      <w:r>
        <w:rPr>
          <w:rtl w:val="true"/>
        </w:rPr>
        <w:t>ما وردت فی مقدار أقلّ الحمل و أکثره</w:t>
      </w:r>
      <w:bookmarkEnd w:id="683"/>
    </w:p>
    <w:p>
      <w:pPr>
        <w:pStyle w:val="BookText"/>
        <w:rPr/>
      </w:pP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تدلّ علی أنّ ملاک الانتساب و الإلحاق أن یکون الولد من نطفة الرجل بشرط أن یمضی بعد الوط‌ء ستّة أشهر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للرجل منکم الجاریة یطؤها فیعتقها فاعتدّت و نکحت، فإن وضعت لخمسة أشهر فإنّه لمولاها الذی أعتقها، و إن وضعت بعد ما تزوّجت لستّة أشهر فإنّه لزوجها الأخیر</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و غیرها</w:t>
      </w:r>
      <w:r>
        <w:rPr>
          <w:rStyle w:val="FootnoteAnchor"/>
          <w:rtl w:val="true"/>
        </w:rPr>
        <w:footnoteReference w:id="1255"/>
      </w:r>
      <w:r>
        <w:rPr>
          <w:rFonts w:ascii="IRNazanin" w:hAnsi="IRNazanin" w:eastAsia="IRNazanin"/>
          <w:color w:val="111111"/>
          <w:sz w:val="28"/>
          <w:sz w:val="28"/>
          <w:szCs w:val="28"/>
          <w:rtl w:val="true"/>
          <w:lang w:bidi="fa-IR"/>
        </w:rPr>
        <w:t>التی هی کثیرة ذکرنا بعضها فی البحث عن شرائط إلحاق الولد</w:t>
      </w:r>
      <w:bookmarkStart w:id="684" w:name="pg11754_113033"/>
    </w:p>
    <w:p>
      <w:pPr>
        <w:pStyle w:val="BookText"/>
        <w:rPr/>
      </w:pPr>
      <w:bookmarkEnd w:id="684"/>
      <w:r>
        <w:rPr>
          <w:rFonts w:ascii="IRNazanin" w:hAnsi="IRNazanin" w:eastAsia="IRNazanin"/>
          <w:color w:val="111111"/>
          <w:sz w:val="28"/>
          <w:sz w:val="28"/>
          <w:szCs w:val="28"/>
          <w:rtl w:val="true"/>
          <w:lang w:bidi="fa-IR"/>
        </w:rPr>
        <w:t>بالزوج، فراجع</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منها أنّه إذا کان الولد من نطفة غیر ما یدّعیه کما فی فرض التبنّی لا تقبل قوله فی الإلحاق، فلا یثبت النسب بالادّعاء و التبنّی، و هو المطلوب</w:t>
      </w:r>
      <w:r>
        <w:rPr>
          <w:rFonts w:eastAsia="IRNazanin" w:cs="IRNazanin"/>
          <w:color w:val="111111"/>
          <w:sz w:val="28"/>
          <w:szCs w:val="28"/>
          <w:rtl w:val="true"/>
          <w:lang w:bidi="fa-IR"/>
        </w:rPr>
        <w:t>.</w:t>
      </w:r>
    </w:p>
    <w:p>
      <w:pPr>
        <w:pStyle w:val="Heading6"/>
        <w:numPr>
          <w:ilvl w:val="5"/>
          <w:numId w:val="1"/>
        </w:numPr>
        <w:rPr/>
      </w:pPr>
      <w:bookmarkStart w:id="685" w:name="__RefHeading___Toc9530937_73709187"/>
      <w:bookmarkStart w:id="686" w:name="_Toc271"/>
      <w:bookmarkEnd w:id="685"/>
      <w:r>
        <w:rPr>
          <w:rtl w:val="true"/>
        </w:rPr>
        <w:t>الطائفة الثالثة</w:t>
      </w:r>
      <w:r>
        <w:rPr>
          <w:rtl w:val="true"/>
        </w:rPr>
        <w:t xml:space="preserve">: </w:t>
      </w:r>
      <w:r>
        <w:rPr>
          <w:rtl w:val="true"/>
        </w:rPr>
        <w:t>ما تدلّ علی أنّه لا یلحق الولد إلاّ بالدخول و الإنزال</w:t>
      </w:r>
      <w:bookmarkEnd w:id="686"/>
    </w:p>
    <w:p>
      <w:pPr>
        <w:pStyle w:val="BookText"/>
        <w:rPr/>
      </w:pPr>
      <w:r>
        <w:rPr>
          <w:rFonts w:ascii="IRNazanin" w:hAnsi="IRNazanin" w:eastAsia="IRNazanin"/>
          <w:color w:val="111111"/>
          <w:sz w:val="28"/>
          <w:sz w:val="28"/>
          <w:szCs w:val="28"/>
          <w:rtl w:val="true"/>
          <w:lang w:bidi="fa-IR"/>
        </w:rPr>
        <w:t>، کروایة أبی البختری</w:t>
      </w:r>
      <w:r>
        <w:rPr>
          <w:rStyle w:val="FootnoteAnchor"/>
          <w:rtl w:val="true"/>
        </w:rPr>
        <w:footnoteReference w:id="1257"/>
      </w:r>
      <w:r>
        <w:rPr>
          <w:rFonts w:ascii="IRNazanin" w:hAnsi="IRNazanin" w:eastAsia="IRNazanin"/>
          <w:color w:val="111111"/>
          <w:sz w:val="28"/>
          <w:sz w:val="28"/>
          <w:szCs w:val="28"/>
          <w:rtl w:val="true"/>
          <w:lang w:bidi="fa-IR"/>
        </w:rPr>
        <w:t>، و ما رواه المفید رحمه الله</w:t>
      </w:r>
      <w:r>
        <w:rPr>
          <w:rStyle w:val="FootnoteAnchor"/>
          <w:rtl w:val="true"/>
        </w:rPr>
        <w:footnoteReference w:id="1258"/>
      </w:r>
      <w:r>
        <w:rPr>
          <w:rFonts w:ascii="IRNazanin" w:hAnsi="IRNazanin" w:eastAsia="IRNazanin"/>
          <w:color w:val="111111"/>
          <w:sz w:val="28"/>
          <w:sz w:val="28"/>
          <w:szCs w:val="28"/>
          <w:rtl w:val="true"/>
          <w:lang w:bidi="fa-IR"/>
        </w:rPr>
        <w:t>فی الإرشاد المتقدّمتین فی البحث عن 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هذه الطائفة ما تدلّ علی أنّ الغائب إذا حملت زوجته لم یلحق به الولد إذا کانت غیبته معروفة</w:t>
      </w:r>
      <w:r>
        <w:rPr>
          <w:rStyle w:val="FootnoteAnchor"/>
          <w:rtl w:val="true"/>
        </w:rPr>
        <w:footnoteReference w:id="1259"/>
      </w:r>
      <w:r>
        <w:rPr>
          <w:rFonts w:ascii="Amiri" w:hAnsi="Amiri" w:eastAsia="Amiri" w:cs="Amiri"/>
          <w:color w:val="111111"/>
          <w:sz w:val="28"/>
          <w:sz w:val="28"/>
          <w:szCs w:val="28"/>
          <w:rtl w:val="true"/>
          <w:lang w:bidi="ar-SA"/>
        </w:rPr>
        <w:t>، و کذا ما تدلّ علی أنّ</w:t>
      </w:r>
    </w:p>
    <w:p>
      <w:pPr>
        <w:pStyle w:val="BookText"/>
        <w:rPr/>
      </w:pPr>
      <w:r>
        <w:rPr>
          <w:rFonts w:ascii="IRNazanin" w:hAnsi="IRNazanin" w:eastAsia="IRNazanin"/>
          <w:color w:val="111111"/>
          <w:sz w:val="28"/>
          <w:sz w:val="28"/>
          <w:szCs w:val="28"/>
          <w:rtl w:val="true"/>
          <w:lang w:bidi="fa-IR"/>
        </w:rPr>
        <w:t>الولد للفراش</w:t>
      </w:r>
      <w:r>
        <w:rPr>
          <w:rStyle w:val="FootnoteAnchor"/>
          <w:rtl w:val="true"/>
        </w:rPr>
        <w:footnoteReference w:id="1260"/>
      </w:r>
      <w:r>
        <w:rPr>
          <w:rFonts w:ascii="IRNazanin" w:hAnsi="IRNazanin" w:eastAsia="IRNazanin"/>
          <w:color w:val="111111"/>
          <w:sz w:val="28"/>
          <w:sz w:val="28"/>
          <w:szCs w:val="28"/>
          <w:rtl w:val="true"/>
          <w:lang w:bidi="fa-IR"/>
        </w:rPr>
        <w:t>فیستفاد منها أنّ الإلحاق و ثبوت النسب ینحصر بالوط‌ء أو الإنزال أو الفراش، فالتبنّی الذی لم یکن منها لا یثبت به النسب، و هو ظاهر</w:t>
      </w:r>
      <w:r>
        <w:rPr>
          <w:rFonts w:eastAsia="IRNazanin" w:cs="IRNazanin"/>
          <w:color w:val="111111"/>
          <w:sz w:val="28"/>
          <w:szCs w:val="28"/>
          <w:rtl w:val="true"/>
          <w:lang w:bidi="fa-IR"/>
        </w:rPr>
        <w:t>.</w:t>
      </w:r>
    </w:p>
    <w:p>
      <w:pPr>
        <w:pStyle w:val="Heading6"/>
        <w:numPr>
          <w:ilvl w:val="5"/>
          <w:numId w:val="1"/>
        </w:numPr>
        <w:rPr/>
      </w:pPr>
      <w:bookmarkStart w:id="687" w:name="__RefHeading___Toc9530939_73709187"/>
      <w:bookmarkStart w:id="688" w:name="_Toc272"/>
      <w:bookmarkEnd w:id="687"/>
      <w:r>
        <w:rPr>
          <w:rtl w:val="true"/>
        </w:rPr>
        <w:t>الطائفة الرابعة</w:t>
      </w:r>
      <w:r>
        <w:rPr>
          <w:rtl w:val="true"/>
        </w:rPr>
        <w:t xml:space="preserve">: </w:t>
      </w:r>
      <w:r>
        <w:rPr>
          <w:rtl w:val="true"/>
        </w:rPr>
        <w:t>التی وردت باللعن علی من ادّعی نسباً غیر معروف</w:t>
      </w:r>
      <w:bookmarkEnd w:id="688"/>
    </w:p>
    <w:p>
      <w:pPr>
        <w:pStyle w:val="BookText"/>
        <w:rPr/>
      </w:pPr>
      <w:r>
        <w:rPr>
          <w:rFonts w:ascii="IRNazanin" w:hAnsi="IRNazanin" w:eastAsia="IRNazanin"/>
          <w:color w:val="111111"/>
          <w:sz w:val="28"/>
          <w:sz w:val="28"/>
          <w:szCs w:val="28"/>
          <w:rtl w:val="true"/>
          <w:lang w:bidi="fa-IR"/>
        </w:rPr>
        <w:t>، کما</w:t>
      </w:r>
    </w:p>
    <w:p>
      <w:p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ادّعی نسباً لا یعرف</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9530941_73709187"/>
      <w:bookmarkStart w:id="690" w:name="_Toc273"/>
      <w:bookmarkEnd w:id="689"/>
      <w:r>
        <w:rPr>
          <w:rtl w:val="true"/>
        </w:rPr>
        <w:t>الثالث</w:t>
      </w:r>
      <w:r>
        <w:rPr>
          <w:rtl w:val="true"/>
        </w:rPr>
        <w:t xml:space="preserve">: </w:t>
      </w:r>
      <w:r>
        <w:rPr>
          <w:rtl w:val="true"/>
        </w:rPr>
        <w:t>ما ذکره الفقهاء من أنّه إذا علم الشخص بعدم تکوّن الولد منه، وجب أن ینفیه</w:t>
      </w:r>
      <w:bookmarkEnd w:id="690"/>
    </w:p>
    <w:p>
      <w:pPr>
        <w:pStyle w:val="BookText"/>
        <w:rPr/>
      </w:pPr>
      <w:r>
        <w:rPr>
          <w:rFonts w:ascii="IRNazanin" w:hAnsi="IRNazanin" w:eastAsia="IRNazanin"/>
          <w:color w:val="111111"/>
          <w:sz w:val="28"/>
          <w:sz w:val="28"/>
          <w:szCs w:val="28"/>
          <w:rtl w:val="true"/>
          <w:lang w:bidi="fa-IR"/>
        </w:rPr>
        <w:t>کما فی السرائر</w:t>
      </w:r>
      <w:r>
        <w:rPr>
          <w:rStyle w:val="FootnoteAnchor"/>
          <w:rtl w:val="true"/>
        </w:rPr>
        <w:footnoteReference w:id="1262"/>
      </w:r>
      <w:r>
        <w:rPr>
          <w:rFonts w:ascii="IRNazanin" w:hAnsi="IRNazanin" w:eastAsia="IRNazanin"/>
          <w:color w:val="111111"/>
          <w:sz w:val="28"/>
          <w:sz w:val="28"/>
          <w:szCs w:val="28"/>
          <w:rtl w:val="true"/>
          <w:lang w:bidi="fa-IR"/>
        </w:rPr>
        <w:t>، و ادّعی علیه الإجماع فی المختلف، حیث 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فسکوته عن نفیه یوجب لحاقه به و اعترافه بنسبه، و هو حرام إجماعاً</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و کذا</w:t>
      </w:r>
      <w:bookmarkStart w:id="691" w:name="pg11754_113034"/>
    </w:p>
    <w:p>
      <w:pPr>
        <w:pStyle w:val="BookText"/>
        <w:rPr/>
      </w:pPr>
      <w:bookmarkEnd w:id="691"/>
      <w:r>
        <w:rPr>
          <w:rFonts w:ascii="Amiri" w:hAnsi="Amiri" w:eastAsia="Amiri" w:cs="Amiri"/>
          <w:color w:val="111111"/>
          <w:sz w:val="28"/>
          <w:sz w:val="28"/>
          <w:szCs w:val="28"/>
          <w:rtl w:val="true"/>
          <w:lang w:bidi="ar-SA"/>
        </w:rPr>
        <w:t>فی المهذّب</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9530943_73709187"/>
      <w:bookmarkStart w:id="693" w:name="_Toc274"/>
      <w:bookmarkEnd w:id="692"/>
      <w:r>
        <w:rPr>
          <w:rtl w:val="true"/>
        </w:rPr>
        <w:t>الرابع</w:t>
      </w:r>
      <w:r>
        <w:rPr>
          <w:rtl w:val="true"/>
        </w:rPr>
        <w:t xml:space="preserve">: </w:t>
      </w:r>
      <w:r>
        <w:rPr>
          <w:rtl w:val="true"/>
        </w:rPr>
        <w:t>السیرة المتشرّعة</w:t>
      </w:r>
      <w:bookmarkEnd w:id="693"/>
    </w:p>
    <w:p>
      <w:pPr>
        <w:pStyle w:val="BookText"/>
        <w:rPr/>
      </w:pPr>
      <w:r>
        <w:rPr>
          <w:rFonts w:ascii="IRNazanin" w:hAnsi="IRNazanin" w:eastAsia="IRNazanin"/>
          <w:color w:val="111111"/>
          <w:sz w:val="28"/>
          <w:sz w:val="28"/>
          <w:szCs w:val="28"/>
          <w:rtl w:val="true"/>
          <w:lang w:bidi="fa-IR"/>
        </w:rPr>
        <w:t>قائمة علی أنّ من ادّعی بنوّة طفل مجهول النسب أو یتیم لا یثبت نسبه به إذا لم یکن لدعواه قرائن تدلّ علی صدق مقالته، و المفروض أنّه لم یکن للمتبنّی دلیل فی دعواه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یفعله بعض الناس الیوم من تبنّی بعض اللقطاء أو الأطفال المجهولی النسب و یلحقه بعائلته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حجّة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بل هو حرام، و لا یترتّب علی الولد بالتبنّی أیّ آثار و أحکام للبنوّة الحقیقیّة، و یبقی أجنبیّاً، إلاّ أن یسلک الطرق الشرعیّة المحرمیّة التی سنذکرها قریباً</w:t>
      </w:r>
      <w:r>
        <w:rPr>
          <w:rFonts w:eastAsia="IRNazanin" w:cs="IRNazanin"/>
          <w:color w:val="111111"/>
          <w:sz w:val="28"/>
          <w:szCs w:val="28"/>
          <w:rtl w:val="true"/>
          <w:lang w:bidi="fa-IR"/>
        </w:rPr>
        <w:t>.</w:t>
      </w:r>
      <w:bookmarkStart w:id="694" w:name="pg11754_113035"/>
    </w:p>
    <w:p>
      <w:pPr>
        <w:pStyle w:val="Heading4"/>
        <w:numPr>
          <w:ilvl w:val="3"/>
          <w:numId w:val="1"/>
        </w:numPr>
        <w:rPr/>
      </w:pPr>
      <w:bookmarkStart w:id="695" w:name="__RefHeading___Toc9530945_73709187"/>
      <w:bookmarkStart w:id="696" w:name="_Toc275"/>
      <w:bookmarkEnd w:id="694"/>
      <w:bookmarkEnd w:id="695"/>
      <w:r>
        <w:rPr>
          <w:rtl w:val="true"/>
        </w:rPr>
        <w:t>المبحث الثانی</w:t>
      </w:r>
      <w:r>
        <w:rPr>
          <w:rtl w:val="true"/>
        </w:rPr>
        <w:t xml:space="preserve">: </w:t>
      </w:r>
      <w:r>
        <w:rPr>
          <w:rtl w:val="true"/>
        </w:rPr>
        <w:t>حکم انتقال اللقطاء من المؤسّسات</w:t>
      </w:r>
      <w:bookmarkEnd w:id="696"/>
    </w:p>
    <w:p>
      <w:pPr>
        <w:pStyle w:val="Heading5"/>
        <w:numPr>
          <w:ilvl w:val="4"/>
          <w:numId w:val="1"/>
        </w:numPr>
        <w:rPr/>
      </w:pPr>
      <w:bookmarkStart w:id="697" w:name="__RefHeading___Toc9530947_73709187"/>
      <w:bookmarkStart w:id="698" w:name="_Toc276"/>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إنّ الشارع قد حرّم التبنّی و أغلق بابه، و لکن فتح باب الإحسان و رغّب فیه خاصّة إلی الأیتام، فیستحبّ‌</w:t>
      </w:r>
      <w:r>
        <w:rPr>
          <w:rStyle w:val="FootnoteAnchor"/>
          <w:rtl w:val="true"/>
        </w:rPr>
        <w:footnoteReference w:id="1265"/>
      </w:r>
      <w:r>
        <w:rPr>
          <w:rFonts w:ascii="IRNazanin" w:hAnsi="IRNazanin" w:eastAsia="IRNazanin"/>
          <w:color w:val="111111"/>
          <w:sz w:val="28"/>
          <w:sz w:val="28"/>
          <w:szCs w:val="28"/>
          <w:rtl w:val="true"/>
          <w:lang w:bidi="fa-IR"/>
        </w:rPr>
        <w:t>للرجل العقیم و المرأة العاقر و غیرهما أن یأخذوا أطفال اللقطاء و الأیتام من المؤسّسات التی اعدّت لإیوائهم، فیساعدوهم بالإحسان و ینفقوا علیهم و یربّوهم بأیدیهم الرحیمة، و یکونوا لهم کالآباء و الاُمّهات اللاّتی أشفقن علی أولادهنّ حتّی یرتفع عنهم البؤس و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علیه ما قلنا فی حکم اللقیط فلا نعیدها خوفاً من الإطالة، و أیضاً یجوز للمؤسّسات المعدّة لتربیة اللقطاء دفعهم إلی من طلبهم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الدلیل علی هذا نذکر مقدّمة؛ و هی أنّه یمکن أن نصوّر المراکز المعدّة لتربیة اللقطاء علی قسمین</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الملتقط نفس المراکز؛ بمعنی أنّ العاملین و الاُجراء فیها هم الذین وجدوا الأطفال المنبوذة فی الطرق و نقلوهم إلی المراکز، و اخری یکون الملتقط الشخص أو الأشخاص غیر المرتبطین بهذه المراکز، ثمّ دفعوا اللقیط إلی المراکز لأجل عدم قدرتهم علی نفقته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اللقیط من المراکز المعدّة یصیر وکیلاً لها فی تربیته، و فی الحقیقة المراکز فوّضت أمر تربیة اللقیط إلی من طلبه و أذنت ذلک؛ سواء أمرت الحکومة بتأسیسها، أو أسّسها الأشخاص الخیّرون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الملتقط فی الحقیقة هو الواجد، فیلزم الإذن منه، فإن لم یتمکّن أخذ الإذن منه فمن الحاکم، و یکون الآخذ وکیلاً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انتقال أطفال اللقطاء و المجهولی النسب من المراکز المعدّة إلی مؤسّسة اخری، أو أشخاص آخرین بعنوان التوکیل فی الحفظ؛ لأنّه کما تقدّم یجب أو یستحبّ علی الملتقط حضانة اللقیط و تربیته لتعلّق الحکم به بأخذه، فیجوز أن یوکّل أو یستنیب 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الشارع للملتقط نوع ولایة علی تربیة اللقیط و حضانته، و الولایة علی خلاف الأصل، فلا بدّ فیها من الاقتصار علی المقدار المعلوم</w:t>
      </w:r>
      <w:r>
        <w:rPr>
          <w:rStyle w:val="FootnoteAnchor"/>
          <w:rtl w:val="true"/>
        </w:rPr>
        <w:footnoteReference w:id="1267"/>
      </w:r>
      <w:r>
        <w:rPr>
          <w:rFonts w:ascii="IRNazanin" w:hAnsi="IRNazanin" w:eastAsia="IRNazanin"/>
          <w:color w:val="111111"/>
          <w:sz w:val="28"/>
          <w:sz w:val="28"/>
          <w:szCs w:val="28"/>
          <w:rtl w:val="true"/>
          <w:lang w:bidi="fa-IR"/>
        </w:rPr>
        <w:t>، و فی المقام قد ثبتت الولایة للملتقط فقط، و لا دلیل فقهیّاً علی ثبوتها لمن أخذ اللقیط منه، فجواز تصرّف غیر الملتقط ینحصر بالتوکیل و الاستنابة، کما أنّه یجوز لولیّ الطفل أن یوکّل غیره علی حضانة أولاده و تربیتهم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المباشرة فی حضانة اللقیط و سائر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یصحّ دفعه إلی ما أعدّ لذلک</w:t>
      </w:r>
      <w:r>
        <w:rPr>
          <w:rFonts w:eastAsia="IRNazanin" w:cs="IRNazanin"/>
          <w:color w:val="111111"/>
          <w:sz w:val="28"/>
          <w:szCs w:val="28"/>
          <w:rtl w:val="true"/>
          <w:lang w:bidi="fa-IR"/>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جواز التوکیل فی الحفظ و التربیة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بمعنی أنّ الأصل جواز الوکالة فی کلّ شیء إلاّ أن یدلّ الدلیل علی عدم جوازها، کالعبادات التی اشترط المباشرة فیها</w:t>
      </w:r>
      <w:r>
        <w:rPr>
          <w:rFonts w:eastAsia="IRNazanin" w:cs="IRNazanin"/>
          <w:color w:val="111111"/>
          <w:sz w:val="28"/>
          <w:szCs w:val="28"/>
          <w:rtl w:val="true"/>
          <w:lang w:bidi="fa-IR"/>
        </w:rPr>
        <w:t>.</w:t>
      </w:r>
      <w:bookmarkStart w:id="699" w:name="pg11754_113037"/>
    </w:p>
    <w:p>
      <w:pPr>
        <w:pStyle w:val="BookText"/>
        <w:rPr/>
      </w:pPr>
      <w:bookmarkEnd w:id="699"/>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یستفاد من التأمّل فی کلام الأصحاب أنّ الأصل</w:t>
      </w:r>
      <w:r>
        <w:rPr>
          <w:rStyle w:val="FootnoteAnchor"/>
          <w:rtl w:val="true"/>
        </w:rPr>
        <w:footnoteReference w:id="1269"/>
      </w:r>
      <w:r>
        <w:rPr>
          <w:rFonts w:ascii="IRNazanin" w:hAnsi="IRNazanin" w:eastAsia="IRNazanin"/>
          <w:color w:val="111111"/>
          <w:sz w:val="28"/>
          <w:sz w:val="28"/>
          <w:szCs w:val="28"/>
          <w:rtl w:val="true"/>
          <w:lang w:bidi="fa-IR"/>
        </w:rPr>
        <w:t>جواز الوکالة فی کلّ شیء، کما یومئ إلی ذلک ذکر الدلیل فیما لا تصحّ فیه من النصّ علی اعتبار المباشرة و نحوها ممّا یمنع من الوکالة دون ما صحّت فیه، و لعلّ مرجع ذلک إلی دعوی اشتراط المباشرة و نحوها ممّا یمنع الوکالة، و الأصل عدمها</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أدلّة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w:t>
      </w:r>
    </w:p>
    <w:p>
      <w:pPr>
        <w:pStyle w:val="BookText"/>
        <w:rPr/>
      </w:pPr>
      <w:r>
        <w:rPr>
          <w:rFonts w:ascii="IRNazanin" w:hAnsi="IRNazanin" w:eastAsia="IRNazanin"/>
          <w:color w:val="111111"/>
          <w:sz w:val="28"/>
          <w:sz w:val="28"/>
          <w:szCs w:val="28"/>
          <w:rtl w:val="true"/>
          <w:lang w:bidi="fa-IR"/>
        </w:rPr>
        <w:t>جابر بن یزید،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عمومها یشمل المقام؛ لأنّ الوکالة فی حضانة اللقیط أمر من الاُمور، و یشترط فی من أخذ اللقیط من المراکز المعدّة لتربیة اللقطاء ما اشترط فی الملتقط، و تقدّم البحث عنها، و کذا حکم نفقته ما تقدّم فی نفقة اللقیط، فراجع</w:t>
      </w:r>
      <w:r>
        <w:rPr>
          <w:rFonts w:eastAsia="IRNazanin" w:cs="IRNazanin"/>
          <w:color w:val="111111"/>
          <w:sz w:val="28"/>
          <w:szCs w:val="28"/>
          <w:rtl w:val="true"/>
          <w:lang w:bidi="fa-IR"/>
        </w:rPr>
        <w:t>.</w:t>
      </w:r>
    </w:p>
    <w:p>
      <w:pPr>
        <w:pStyle w:val="Heading5"/>
        <w:numPr>
          <w:ilvl w:val="4"/>
          <w:numId w:val="1"/>
        </w:numPr>
        <w:rPr/>
      </w:pPr>
      <w:bookmarkStart w:id="700" w:name="__RefHeading___Toc9530949_73709187"/>
      <w:bookmarkStart w:id="701" w:name="_Toc277"/>
      <w:bookmarkEnd w:id="700"/>
      <w:r>
        <w:rPr>
          <w:rtl w:val="true"/>
        </w:rPr>
        <w:t>الإعراض عن حضانة اللقیط، أو إعطائه للغیر</w:t>
      </w:r>
      <w:bookmarkEnd w:id="70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 أخذ الطفل من المؤسّسات المعدّة لتربیة اللقطاء، یکون بعنوان الوکالة فی الحضانة، و الوکالة عقد جائز، فیجوز لکلّ من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أخذ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الموکّل أی المؤسّسة، فسخها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یجوز للمؤسّسة أخذ الطفل ممّن أخذه منها، سواء عمل الآخذ بشرائط الحضانة أم لا، کما یجوز للآخذ الإعراض عن حضانة اللقیط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وقعت الوکالة فی ضمن عقد لازم بحیث وجب علی الوکیل رعایة الشرط لا یجوز الإعراض عنها حسب ما اشترط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عجز عن الحضانة أو أعرض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 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المؤسّسة حفظ اللقیط و تربیته؛ لأنّها هی الملتقط، و من أخذه یکون وکیلاً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جواز إعطاء اللقیط للغیر و عدمه فتابع للوکالة، فإن صرّحت المؤسّسة فی عقد الوکالة بأنّه لا یجوز للآخذ إعطاء الطفل بغیره، أو یفهم هذا من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ذلک الغیر جامعاً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إعطاؤه للغیر؛ لأنّه یوجب التصرّف فیما 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الوکالة مطلقاً، أو یکون مأذوناً فی الإعطاء بشرط أن یکون ذلک الغیر جامعاً للشرائط مثلاً، فیجوز إعطاؤه للغیر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المسألة خالیة عن النصّ، فلا بدّ من الاحتیاط بالإذن من الحاکم فی الصّور المختلفة</w:t>
      </w:r>
      <w:r>
        <w:rPr>
          <w:rFonts w:eastAsia="IRNazanin" w:cs="IRNazanin"/>
          <w:color w:val="111111"/>
          <w:sz w:val="28"/>
          <w:szCs w:val="28"/>
          <w:rtl w:val="true"/>
          <w:lang w:bidi="fa-IR"/>
        </w:rPr>
        <w:t>.</w:t>
      </w:r>
      <w:bookmarkStart w:id="702" w:name="pg11754_113039"/>
    </w:p>
    <w:p>
      <w:pPr>
        <w:pStyle w:val="Heading4"/>
        <w:numPr>
          <w:ilvl w:val="3"/>
          <w:numId w:val="1"/>
        </w:numPr>
        <w:rPr/>
      </w:pPr>
      <w:bookmarkStart w:id="703" w:name="__RefHeading___Toc9530951_73709187"/>
      <w:bookmarkStart w:id="704" w:name="_Toc278"/>
      <w:bookmarkEnd w:id="702"/>
      <w:bookmarkEnd w:id="703"/>
      <w:r>
        <w:rPr>
          <w:rtl w:val="true"/>
        </w:rPr>
        <w:t>المبحث الثالث</w:t>
      </w:r>
      <w:r>
        <w:rPr>
          <w:rtl w:val="true"/>
        </w:rPr>
        <w:t xml:space="preserve">: </w:t>
      </w:r>
      <w:r>
        <w:rPr>
          <w:rtl w:val="true"/>
        </w:rPr>
        <w:t>ما یحصل به المحرمیة</w:t>
      </w:r>
      <w:bookmarkEnd w:id="704"/>
    </w:p>
    <w:p>
      <w:pPr>
        <w:pStyle w:val="Heading5"/>
        <w:numPr>
          <w:ilvl w:val="4"/>
          <w:numId w:val="1"/>
        </w:numPr>
        <w:rPr/>
      </w:pPr>
      <w:bookmarkStart w:id="705" w:name="__RefHeading___Toc9530953_73709187"/>
      <w:bookmarkStart w:id="706" w:name="_Toc279"/>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ظهر ممّا ذکرنا أنّه لا یترتّب علی الطفل الذی أخذ الفرد من المؤسّسات العامّة أیّ حُکم من أحکام الأولاد، و أیّ أثر من الآثار، فإن کانت صبیّة بعد أن بلغت ستّ سنین لا یجوز للرجل الذی ربّاها تقبیلها و وضعها فی حجره، و إن کان صبیّاً لا یجوز للمرأة بعد أن صار ممیّزاً تقبیله و النظر إلیه مع تلذّذ و شهوة، و لکن إن أراد الرجل أن تصیر الصبیّة محرماً له حتی یحلّ له النظر إلیها بعد بلوغها، و هکذا فی طرف المرأة، فهناک سببین یمکن أن یحصل بهما المحرمیّة</w:t>
      </w:r>
      <w:r>
        <w:rPr>
          <w:rFonts w:eastAsia="IRNazanin" w:cs="IRNazanin"/>
          <w:color w:val="111111"/>
          <w:sz w:val="28"/>
          <w:szCs w:val="28"/>
          <w:rtl w:val="true"/>
          <w:lang w:bidi="fa-IR"/>
        </w:rPr>
        <w:t>.</w:t>
      </w:r>
    </w:p>
    <w:p>
      <w:pPr>
        <w:pStyle w:val="Heading5"/>
        <w:numPr>
          <w:ilvl w:val="4"/>
          <w:numId w:val="1"/>
        </w:numPr>
        <w:rPr/>
      </w:pPr>
      <w:bookmarkStart w:id="707" w:name="__RefHeading___Toc9530955_73709187"/>
      <w:bookmarkStart w:id="708" w:name="_Toc280"/>
      <w:bookmarkEnd w:id="707"/>
      <w:r>
        <w:rPr>
          <w:rtl w:val="true"/>
        </w:rPr>
        <w:t>السبب الأوّل</w:t>
      </w:r>
      <w:r>
        <w:rPr>
          <w:rtl w:val="true"/>
        </w:rPr>
        <w:t xml:space="preserve">: </w:t>
      </w:r>
      <w:r>
        <w:rPr>
          <w:rtl w:val="true"/>
        </w:rPr>
        <w:t>الرضاع</w:t>
      </w:r>
      <w:bookmarkEnd w:id="708"/>
    </w:p>
    <w:p>
      <w:pPr>
        <w:pStyle w:val="BookText"/>
        <w:rPr/>
      </w:pPr>
      <w:r>
        <w:rPr>
          <w:rFonts w:ascii="IRNazanin" w:hAnsi="IRNazanin" w:eastAsia="IRNazanin"/>
          <w:color w:val="111111"/>
          <w:sz w:val="28"/>
          <w:sz w:val="28"/>
          <w:szCs w:val="28"/>
          <w:rtl w:val="true"/>
          <w:lang w:bidi="fa-IR"/>
        </w:rPr>
        <w:t>فإن کان الطفل الذی أخذه الرجل صبیّة یمکن حصول المحرمیّة بینها و بین الرجل بسبب الرضاع بطرق، و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ارتضاعها من لبن زوجة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الشرائط المعتبرة فی الرضاع، و قد تقدّم فی 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الصبیّة بنتاً رضاعیّاً للرجل، و تکون المرضعة امّاً رضاعیّاً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ارتضاعها من لبن امّ الرجل، حتّی تصیر اختاً رضاعیّاً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ارتضاع الصبیّة من لبن اخت الرجل حتّی تصیر بنتاً رضاعیّاً لاُخته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ارتضاعها من لبن بنت اخت الرجل، حتّی تصیر بنتاً رضاعیّاً لبنت اخت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ارتضاعها من لبن زوجة أخ الرجل حتّی تصیر بنتاً لأخیه بالرضاع، أو ترتضع من لبن بنت أخیه، حتّی تصیر بنتاً رضاعیّاً لبنت أخیه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ارتضاع الصغیرة من لبن امرأةٍ، ثمّ بعد الطلاق و انقضاء العدّة، أو موت</w:t>
      </w:r>
      <w:bookmarkStart w:id="709" w:name="pg11754_113040"/>
    </w:p>
    <w:p>
      <w:pPr>
        <w:pStyle w:val="BookText"/>
        <w:rPr/>
      </w:pPr>
      <w:bookmarkEnd w:id="709"/>
      <w:r>
        <w:rPr>
          <w:rFonts w:ascii="IRNazanin" w:hAnsi="IRNazanin" w:eastAsia="IRNazanin"/>
          <w:color w:val="111111"/>
          <w:sz w:val="28"/>
          <w:sz w:val="28"/>
          <w:szCs w:val="28"/>
          <w:rtl w:val="true"/>
          <w:lang w:bidi="fa-IR"/>
        </w:rPr>
        <w:t>زوجها ینکحها الرجل الذی یتّخذ الصغیرة بنتاً له، ثمّ یدخل بالمرأة المرضعة، و بذلک تصیر الصغیرة ربیبةً و محرماً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إن کان الطفل صبیّاً لأنّه یمکن أن تحصل المحرمیّة بینه، و بین المرأة التی 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هی زوجة للرجل الذی أخذ الطفل من المؤسّسة أو غیرها بطرق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من لبن المرأة حتّی یصیر ولداً رضاعیّاً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لبن امّ المرأة کی یصیر أخاً رضاعیّاً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من لبن اخت المرأة حتّی یکون ابناً رضاعیّاً لاُختها، أو ارتضع من لبن بنت اخت المرأة حتّی یصیر ابناً رضاعیّاً لبنت اخت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یرتضع من لبن زوجة أخ المرأة حتّی یصیر ابناً رضاعیّاً لأخیها، أو یرتضع من لبن بنت أخ المرأة حتّی یصیر ولداً لبنت أخیها بالرضاع</w:t>
      </w:r>
      <w:r>
        <w:rPr>
          <w:rFonts w:eastAsia="IRNazanin" w:cs="IRNazanin"/>
          <w:color w:val="111111"/>
          <w:sz w:val="28"/>
          <w:szCs w:val="28"/>
          <w:rtl w:val="true"/>
          <w:lang w:bidi="fa-IR"/>
        </w:rPr>
        <w:t>.</w:t>
      </w:r>
    </w:p>
    <w:p>
      <w:pPr>
        <w:pStyle w:val="Heading5"/>
        <w:numPr>
          <w:ilvl w:val="4"/>
          <w:numId w:val="1"/>
        </w:numPr>
        <w:rPr/>
      </w:pPr>
      <w:bookmarkStart w:id="710" w:name="__RefHeading___Toc9530957_73709187"/>
      <w:bookmarkStart w:id="711" w:name="_Toc281"/>
      <w:bookmarkEnd w:id="710"/>
      <w:r>
        <w:rPr>
          <w:rtl w:val="true"/>
        </w:rPr>
        <w:t>السبب الثانی</w:t>
      </w:r>
      <w:r>
        <w:rPr>
          <w:rtl w:val="true"/>
        </w:rPr>
        <w:t xml:space="preserve">: </w:t>
      </w:r>
      <w:r>
        <w:rPr>
          <w:rtl w:val="true"/>
        </w:rPr>
        <w:t>النکاح</w:t>
      </w:r>
      <w:bookmarkEnd w:id="711"/>
    </w:p>
    <w:p>
      <w:pPr>
        <w:pStyle w:val="BookText"/>
        <w:rPr/>
      </w:pPr>
      <w:r>
        <w:rPr>
          <w:rFonts w:ascii="IRNazanin" w:hAnsi="IRNazanin" w:eastAsia="IRNazanin"/>
          <w:color w:val="111111"/>
          <w:sz w:val="28"/>
          <w:sz w:val="28"/>
          <w:szCs w:val="28"/>
          <w:rtl w:val="true"/>
          <w:lang w:bidi="fa-IR"/>
        </w:rPr>
        <w:t>إن لم یکن الصبیّ أو الصبیّة رضیعاً، أو لم یکن من یرتضعهما موجوداً، فیمکن حصول المحرمیّة بالنکاح المنقطع، یتصوّر فی هذا السبب أیضاً فروض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کان الطفل صبیّة فیمکن أن ینکحها أب الرجل أو جدّه حتّی تصیر زوجة أب الرجل أو زوجة جدّه، کما یمکن أن ینکحها ابن الرجل حتّی یصیر زوجة ابنه، و هکذا ان کانت للصغیرة امّاً لا زوج لها، و یمکن نکاحها دواماً أو انقطاعاً، فحینئذٍ یجوز للرجل الّذی ربّاه أن یُنکح امّ الصغیرة و یدخل بها ثمّ تصیر الصغیرة ربیبةً و محرماً 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أن نذکر أنّه یشترط فی نکاح الصغیر أو الصغیرة إذن ولیّهما، و أن یقع النکاح لمصلحتهما، کما تقدّم تحقیق ذلک مفصّلاً</w:t>
      </w:r>
      <w:r>
        <w:rPr>
          <w:rStyle w:val="FootnoteAnchor"/>
          <w:rtl w:val="true"/>
        </w:rPr>
        <w:footnoteReference w:id="127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فی مفروض البحث یمکن أن یقع النکاح بین الصبیّ أو الصبیّة قبل بلوغهما، فیلزم أن یقع النکاح بإذن الولیّ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أو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 إن لم یکن لهما ولیّ فمن الحاکم الفقیه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یلزم أن یکون النکاح لمصلحتهما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الطرق المحرمیّة و وجوب الإذن من الولیّ فی جامع المسائل</w:t>
      </w:r>
      <w:r>
        <w:rPr>
          <w:rStyle w:val="FootnoteAnchor"/>
          <w:rtl w:val="true"/>
        </w:rPr>
        <w:footnoteReference w:id="1273"/>
      </w:r>
      <w:bookmarkStart w:id="712" w:name="pg11754_113042"/>
    </w:p>
    <w:p>
      <w:pPr>
        <w:pStyle w:val="Heading4"/>
        <w:numPr>
          <w:ilvl w:val="3"/>
          <w:numId w:val="1"/>
        </w:numPr>
        <w:rPr/>
      </w:pPr>
      <w:bookmarkStart w:id="713" w:name="__RefHeading___Toc9530959_73709187"/>
      <w:bookmarkStart w:id="714" w:name="_Toc282"/>
      <w:bookmarkEnd w:id="712"/>
      <w:bookmarkEnd w:id="713"/>
      <w:r>
        <w:rPr>
          <w:rtl w:val="true"/>
        </w:rPr>
        <w:t>المبحث الرابع</w:t>
      </w:r>
      <w:r>
        <w:rPr>
          <w:rtl w:val="true"/>
        </w:rPr>
        <w:t xml:space="preserve">: </w:t>
      </w:r>
      <w:r>
        <w:rPr>
          <w:rtl w:val="true"/>
        </w:rPr>
        <w:t>حرمة التبنّی عند أهل السنّة</w:t>
      </w:r>
      <w:bookmarkEnd w:id="714"/>
    </w:p>
    <w:p>
      <w:pPr>
        <w:pStyle w:val="BookText"/>
        <w:rPr/>
      </w:pPr>
      <w:r>
        <w:rPr>
          <w:rFonts w:ascii="IRNazanin" w:hAnsi="IRNazanin" w:eastAsia="IRNazanin"/>
          <w:color w:val="111111"/>
          <w:sz w:val="28"/>
          <w:sz w:val="28"/>
          <w:szCs w:val="28"/>
          <w:rtl w:val="true"/>
          <w:lang w:bidi="fa-IR"/>
        </w:rPr>
        <w:t>الظاهر أنّهم متّفقون فی أنّ الإسلام أبطل النسب عن طریق التبنّی و أبطل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القرطبی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أَدْعِیاءَکُمْ أَبْناءَکُمْ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حکم التبنّی و منع من إطلاق</w:t>
      </w:r>
      <w:r>
        <w:rPr>
          <w:rStyle w:val="FootnoteAnchor"/>
          <w:rtl w:val="true"/>
        </w:rPr>
        <w:footnoteReference w:id="1274"/>
      </w:r>
      <w:r>
        <w:rPr>
          <w:rFonts w:ascii="IRNazanin" w:hAnsi="IRNazanin" w:eastAsia="IRNazanin"/>
          <w:color w:val="111111"/>
          <w:sz w:val="28"/>
          <w:sz w:val="28"/>
          <w:szCs w:val="28"/>
          <w:rtl w:val="true"/>
          <w:lang w:bidi="fa-IR"/>
        </w:rPr>
        <w:t>لفظه، و أرشد بقوله إلی أنّ الأولی و الأعدل أن ینسب الرجل إلی أبیه نسباً،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فی الجاهلیّة إذا أعجبه من الرجل جلده و ظرفه ضمّه إلی نفسه، و جعل له نصیب الذکر من أولاده من میراثه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القرآن أن یدعوا من دعوا إلی أبیه المعروف، فإن لم یکن له أب معروف نسبوه إلی ولائه، فإن لم یکن له ولاء معروف قال له یا أخی؛ یعنی فی الدِّین،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و به قال الجصّاص</w:t>
      </w:r>
      <w:r>
        <w:rPr>
          <w:rStyle w:val="FootnoteAnchor"/>
          <w:rtl w:val="true"/>
        </w:rPr>
        <w:footnoteReference w:id="1276"/>
      </w:r>
      <w:r>
        <w:rPr>
          <w:rFonts w:ascii="IRNazanin" w:hAnsi="IRNazanin" w:eastAsia="IRNazanin"/>
          <w:color w:val="111111"/>
          <w:sz w:val="28"/>
          <w:sz w:val="28"/>
          <w:szCs w:val="28"/>
          <w:rtl w:val="true"/>
          <w:lang w:bidi="fa-IR"/>
        </w:rPr>
        <w:t>، و نحو ذلک فی التفسیر الکبیر</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أحکام الاُسرة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الإسلام أبطله و بیّن أنّه مجرّد دعوی لا أساس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أنّ هذا التبنّی کذب و افتراء علی اللّه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القرآن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w:t>
      </w:r>
    </w:p>
    <w:p>
      <w:pPr>
        <w:pStyle w:val="BookText"/>
        <w:rPr/>
      </w:pPr>
      <w:r>
        <w:rPr>
          <w:rFonts w:ascii="IRNazanin" w:hAnsi="IRNazanin" w:eastAsia="IRNazanin"/>
          <w:color w:val="111111"/>
          <w:sz w:val="28"/>
          <w:sz w:val="28"/>
          <w:szCs w:val="28"/>
          <w:rtl w:val="true"/>
          <w:lang w:bidi="fa-IR"/>
        </w:rPr>
        <w:t>مفاسد کثیرة</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 و کذا فی أحکام المرأة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حرّمت الشریعة نظام التبنّی و أبطلته بعد أن کان فی الجاهلیّة و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فالعدل یقضی و الحقّ یوجب نسبة الابن إلی أبیه الحقیقی، لا لأبیه المزوّر، و الإسلام دین الحقّ و العدل، و العنصر الغریب عن الاُسرة ذکراً أو انثی لا ینسجم معها قطعاً فی خلق و لا دین، و قد تقع مفاسد و منکرات علیه أو منه؛ لإحساسه بأنّه 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لم یمنع الإسلام تربیة ولد لقیط و تعلیمه؛ ثمّ حجبه عن الاُسرة بعد البلوغ أو قبله بقلیل، و إنّما فتح باب الإحسان إلیه علی أوسع نطاق، و عدّ ذلک إنقاذاً للنفس من الهلاک، و إحیاءً لنفس بشریّة</w:t>
      </w:r>
      <w:r>
        <w:rPr>
          <w:rFonts w:eastAsia="IRNazanin" w:cs="IRNazanin"/>
          <w:color w:val="111111"/>
          <w:sz w:val="28"/>
          <w:szCs w:val="28"/>
          <w:rtl w:val="true"/>
          <w:lang w:bidi="fa-IR"/>
        </w:rPr>
        <w:t>»</w:t>
      </w:r>
      <w:r>
        <w:rPr>
          <w:rStyle w:val="FootnoteAnchor"/>
          <w:rtl w:val="true"/>
        </w:rPr>
        <w:footnoteReference w:id="1280"/>
      </w:r>
      <w:bookmarkStart w:id="715" w:name="pg11754_113044"/>
    </w:p>
    <w:p>
      <w:pPr>
        <w:pStyle w:val="Heading2"/>
        <w:numPr>
          <w:ilvl w:val="1"/>
          <w:numId w:val="1"/>
        </w:numPr>
        <w:rPr/>
      </w:pPr>
      <w:bookmarkStart w:id="716" w:name="__RefHeading___Toc9530961_73709187"/>
      <w:bookmarkStart w:id="717" w:name="_Toc283"/>
      <w:bookmarkEnd w:id="715"/>
      <w:bookmarkEnd w:id="716"/>
      <w:r>
        <w:rPr>
          <w:rtl w:val="true"/>
        </w:rPr>
        <w:t>الباب السابع</w:t>
      </w:r>
      <w:r>
        <w:rPr>
          <w:rtl w:val="true"/>
        </w:rPr>
        <w:t xml:space="preserve">: </w:t>
      </w:r>
      <w:r>
        <w:rPr>
          <w:rtl w:val="true"/>
        </w:rPr>
        <w:t>التربیة و تعلیم الأطفال، و بیان المصادیق و المناهج المؤثّر فیها</w:t>
      </w:r>
      <w:bookmarkEnd w:id="71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8" w:name="__RefHeading___Toc9530963_73709187"/>
      <w:bookmarkStart w:id="719" w:name="_Toc284"/>
      <w:bookmarkEnd w:id="718"/>
      <w:r>
        <w:rPr>
          <w:rtl w:val="true"/>
        </w:rPr>
        <w:t>اشارة</w:t>
      </w:r>
      <w:bookmarkStart w:id="720" w:name="pg11754_113046"/>
      <w:bookmarkEnd w:id="719"/>
    </w:p>
    <w:p>
      <w:pPr>
        <w:pStyle w:val="Heading3"/>
        <w:numPr>
          <w:ilvl w:val="2"/>
          <w:numId w:val="1"/>
        </w:numPr>
        <w:rPr/>
      </w:pPr>
      <w:bookmarkStart w:id="721" w:name="__RefHeading___Toc9530965_73709187"/>
      <w:bookmarkStart w:id="722" w:name="_Toc285"/>
      <w:bookmarkEnd w:id="720"/>
      <w:bookmarkEnd w:id="721"/>
      <w:r>
        <w:rPr>
          <w:rtl w:val="true"/>
        </w:rPr>
        <w:t>تمهید</w:t>
      </w:r>
      <w:r>
        <w:rPr>
          <w:rtl w:val="true"/>
        </w:rPr>
        <w:t>:</w:t>
      </w:r>
      <w:bookmarkEnd w:id="722"/>
    </w:p>
    <w:p>
      <w:pPr>
        <w:pStyle w:val="BookText"/>
        <w:rPr/>
      </w:pPr>
      <w:r>
        <w:rPr>
          <w:rFonts w:ascii="IRNazanin" w:hAnsi="IRNazanin" w:eastAsia="IRNazanin"/>
          <w:color w:val="111111"/>
          <w:sz w:val="28"/>
          <w:sz w:val="28"/>
          <w:szCs w:val="28"/>
          <w:rtl w:val="true"/>
          <w:lang w:bidi="fa-IR"/>
        </w:rPr>
        <w:t>لا شکّ فی أنّ کلّ العاملین فی حقل التربیة و التوجیه و الإصلاح، بل کلّ مسلم بصیر و ذو فکر سلیم یجنّدون قواهم، و یشحذون عزائمهم لإقامة المجتمع الفاضل، و إیجاد الاُمّة القویّة فی إیمانها، و القویّة فی أخلاقها الطیّبة لنیل الفلاح و السعادة فی الدُّنیا و الآخرة، و کذا القویّة فی علومها لتستطیع أن تصل إلی النصر المؤزّر، و الوحدة الشاملة و المجد الضخم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لسائل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ملاک هذا کلّه؟ و ما وسائل تطبیقه، و مراحل تنفیذه؟</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فی کلمةٍ واحدة؛ و هی کلمة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لهذه الکلمة مدلولات کثیرة، و مجالات واسعة، و مفهومات شاملة، فمن مدلولاتها و مفهوماتها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الفرد، و تربیة الاُسرة، و تربیة المجتمع، و تربیة الإنسانیّة کلّها، و تحت کلّ صنف من هذه الأصناف تتفرّع أنواع، و تندرج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کانت للتربیة طرق و أسالیب مختلفة، و کلّها تهدف إلی إقامة المجتمع الفاضل و إیجاد الاُمّة المثلی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تربیة الأولاد إلاّ فرع من تربیة الفرد الذی یسعی الإسلام إلی إعداده</w:t>
      </w:r>
    </w:p>
    <w:p>
      <w:pPr>
        <w:pStyle w:val="BookText"/>
        <w:rPr/>
      </w:pPr>
      <w:r>
        <w:rPr>
          <w:rFonts w:ascii="IRNazanin" w:hAnsi="IRNazanin" w:eastAsia="IRNazanin"/>
          <w:color w:val="111111"/>
          <w:sz w:val="28"/>
          <w:sz w:val="28"/>
          <w:szCs w:val="28"/>
          <w:rtl w:val="true"/>
          <w:lang w:bidi="fa-IR"/>
        </w:rPr>
        <w:t>و تکوینه لیصبح عضواً نافعاً فی المجتمع، و إنساناً صالحاً فی حیاته الدنیویّة و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تربیة الطفل إن احسنت و وجّهت لیست هی فی الحقیقة إلاّ أساسٌ متین فی إعداد الفرد الصالح، و تهیئته للقیام بأعباء المسئولیّة و تکالیف الحیاة السعیدة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 ذلک أنّ مرحلة الطفولیّة من أهمّ مراحل الحیاة عند الإنسان، و أکثرها خطورة، و تتمیّز عن غیرها بصفات و خصائص و استعدادات؛ و هی أساس لمراحل التالیة، ففیها تنمو مدارکه، و تظهر مشاعره، و تتبیّن إحساساته، و تقوی استعداداته و تتجاوب قابلیّاته مع الحیاة، سلباً أو إیجاباً، و تتحدّد میوله و اتجاهاته نحو الخیر أو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الطفولیة أرض صالحة للاستنبات، لکلّ ما یغرس فیها من مکارم الأخلاق و محاسن الصفات، و کلّ ما یبذر فیها من بذور الشرّ و الفساد أو الغیّ و الضلال، یؤتی اکله فی مستقبل حیاة الطفل، و لذلک فهو یکتسب من بیئته العادات السارّة و الضارّة، و یأخذ السبل المستقیمة أو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تتمیّز طفولة الإنسان بأنّها أطول من طفولة الحیوان، و بأنّ رعایة هذه الطفولة لا تقتصر علی مجرّد الغذاء و الوقایة، کما هی الحال فی الحیوان، بل إنّها تحتاج إلی رعایة عقلیّة و نفسیّة و اجتماعیّة تتلاءم مع طبیعة الإنسان بوصفه أکرم مخلوقات اللّه عزّ و جلّ‌</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أنّ الإسلام هو دین الحیاة و دین الإنسانیّة و دین الإصلاح، و قد اهتمّ بأمر التربیة بأنواعها المختلفة و صنوفها المتمایزة أشدّ الاهتمام و خاصّةً فی مسائل تربیة الأطفال، و ورد فی الکتاب و السنّة الآیات و الروایات الکثیرة التی</w:t>
      </w:r>
    </w:p>
    <w:p>
      <w:pPr>
        <w:pStyle w:val="BookText"/>
        <w:rPr/>
      </w:pPr>
      <w:r>
        <w:rPr>
          <w:rFonts w:ascii="Amiri" w:hAnsi="Amiri" w:eastAsia="Amiri" w:cs="Amiri"/>
          <w:color w:val="111111"/>
          <w:sz w:val="28"/>
          <w:sz w:val="28"/>
          <w:szCs w:val="28"/>
          <w:rtl w:val="true"/>
          <w:lang w:bidi="ar-SA"/>
        </w:rPr>
        <w:t>تدلّ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الأسف لم نجد کتاباً فقهیّاً جامعاً بحث فیه عن أحکام تربیة الأطفال و مسئولیّة الأولیاء فیها علی النحو الاستدلالی الحوزویّ الرائج، کما بحث الفقهاء فی موضوعات فقهیّة اخری، مثل الصلاة و الصوم و الزکاة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بحثوا رحمهم الله فی خلال أبحاثهم الفقهیّة عن بعض مصادیق التربیة العبادیّة للأطفال کالبحث عن صلاتهم و صومهم و حجّهم، و هکذا اشیر فی کلماتهم إلی بعض أحکامها، مثل حکم وجوب تعلیمهم الآداب الحسنة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نهدف فی تدوین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فی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نطرح مواضیع تربیة الأطفال علی النحو الفقهی الاستدلالی الرائج کغیرها من الأبحاث الفقهیّة التی ترتبط بالأطفال، و بحثنا عنها فی الأبواب المتقدّمة و سنحقّق فیها فی الأبواب القادمة، و نبیّن حکمها استناداً إلی الأدلّة من الآیات و الروایات و القواعد الفقهیّة العامّة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التربیة، و ما معناها فی المصطلح الفقهی، و ما هی حکمها؟ و من هو المتولّی فیها، و هل جعل الولایة فیها للأب و الجدّ فقط، أو غیرهما أیضاً مسئول عن تربیة الأطفال، و علی الثانی من هو المسئول فیها؟ الاُمّ، أو الوصیّ، أو الحاکم أو جمیعاً، و هل ولایتهم فیها مترتّبة، و لبعضهم تقدّم علی الآخر، أو جمیعهم فیها سیّان؟</w:t>
      </w:r>
    </w:p>
    <w:p>
      <w:pPr>
        <w:pStyle w:val="BookText"/>
        <w:rPr/>
      </w:pPr>
      <w:r>
        <w:rPr>
          <w:rFonts w:ascii="IRNazanin" w:hAnsi="IRNazanin" w:eastAsia="IRNazanin"/>
          <w:color w:val="111111"/>
          <w:sz w:val="28"/>
          <w:sz w:val="28"/>
          <w:szCs w:val="28"/>
          <w:rtl w:val="true"/>
          <w:lang w:bidi="fa-IR"/>
        </w:rPr>
        <w:t>و ما هی وسائل تطبیقها و الطرق المؤثّرة فیها، و ما هی شرائطها و آدابها؟</w:t>
      </w:r>
    </w:p>
    <w:p>
      <w:pPr>
        <w:pStyle w:val="BookText"/>
        <w:rPr/>
      </w:pPr>
      <w:r>
        <w:rPr>
          <w:rFonts w:ascii="IRNazanin" w:hAnsi="IRNazanin" w:eastAsia="IRNazanin"/>
          <w:color w:val="111111"/>
          <w:sz w:val="28"/>
          <w:sz w:val="28"/>
          <w:szCs w:val="28"/>
          <w:rtl w:val="true"/>
          <w:lang w:bidi="fa-IR"/>
        </w:rPr>
        <w:t>للبحث عن هذه الاُمور و غیرها التی ترتبط بمسائل التربیة عقدنا هذا الباب، 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التربیة و المتولّی فیها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 المؤثّرة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مصادیق التی أمر الأولیاء لتربیة أطفالهم بها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آثار التربیة الدینیّة و الاُمور التی تؤثّر فی أخلاق الأطفال سلباً</w:t>
      </w:r>
      <w:r>
        <w:rPr>
          <w:rFonts w:eastAsia="IRNazanin" w:cs="IRNazanin"/>
          <w:color w:val="111111"/>
          <w:sz w:val="28"/>
          <w:szCs w:val="28"/>
          <w:rtl w:val="true"/>
          <w:lang w:bidi="fa-IR"/>
        </w:rPr>
        <w:t>.</w:t>
      </w:r>
      <w:bookmarkStart w:id="723" w:name="pg11754_113050"/>
    </w:p>
    <w:p>
      <w:pPr>
        <w:pStyle w:val="Heading3"/>
        <w:numPr>
          <w:ilvl w:val="2"/>
          <w:numId w:val="1"/>
        </w:numPr>
        <w:rPr/>
      </w:pPr>
      <w:bookmarkStart w:id="724" w:name="__RefHeading___Toc9530967_73709187"/>
      <w:bookmarkStart w:id="725" w:name="_Toc286"/>
      <w:bookmarkEnd w:id="723"/>
      <w:bookmarkEnd w:id="724"/>
      <w:r>
        <w:rPr>
          <w:rtl w:val="true"/>
        </w:rPr>
        <w:t>الفصل الأوّل</w:t>
      </w:r>
      <w:r>
        <w:rPr>
          <w:rtl w:val="true"/>
        </w:rPr>
        <w:t xml:space="preserve">: </w:t>
      </w:r>
      <w:r>
        <w:rPr>
          <w:rtl w:val="true"/>
        </w:rPr>
        <w:t>معنی التربیة و التعلیم و المتولّی فیهما و اهتمام الإسلام بهما</w:t>
      </w:r>
      <w:bookmarkEnd w:id="725"/>
    </w:p>
    <w:p>
      <w:pPr>
        <w:pStyle w:val="Heading4"/>
        <w:numPr>
          <w:ilvl w:val="3"/>
          <w:numId w:val="1"/>
        </w:numPr>
        <w:rPr/>
      </w:pPr>
      <w:bookmarkStart w:id="726" w:name="__RefHeading___Toc9530969_73709187"/>
      <w:bookmarkStart w:id="727" w:name="_Toc287"/>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728" w:name="__RefHeading___Toc9530971_73709187"/>
      <w:bookmarkStart w:id="729" w:name="_Toc288"/>
      <w:bookmarkEnd w:id="728"/>
      <w:r>
        <w:rPr>
          <w:rtl w:val="true"/>
        </w:rPr>
        <w:t>المبحث الأوّل</w:t>
      </w:r>
      <w:r>
        <w:rPr>
          <w:rtl w:val="true"/>
        </w:rPr>
        <w:t xml:space="preserve">: </w:t>
      </w:r>
      <w:r>
        <w:rPr>
          <w:rtl w:val="true"/>
        </w:rPr>
        <w:t>معنی التربیة و التعلیم</w:t>
      </w:r>
      <w:bookmarkEnd w:id="729"/>
    </w:p>
    <w:p>
      <w:pPr>
        <w:pStyle w:val="Heading5"/>
        <w:numPr>
          <w:ilvl w:val="4"/>
          <w:numId w:val="1"/>
        </w:numPr>
        <w:rPr/>
      </w:pPr>
      <w:bookmarkStart w:id="730" w:name="__RefHeading___Toc9530973_73709187"/>
      <w:bookmarkStart w:id="731" w:name="_Toc289"/>
      <w:bookmarkEnd w:id="730"/>
      <w:r>
        <w:rPr>
          <w:rtl w:val="true"/>
        </w:rPr>
        <w:t>أ</w:t>
      </w:r>
      <w:r>
        <w:rPr>
          <w:rtl w:val="true"/>
        </w:rPr>
        <w:t xml:space="preserve">: </w:t>
      </w:r>
      <w:r>
        <w:rPr>
          <w:rtl w:val="true"/>
        </w:rPr>
        <w:t>التربیة لغةً‌</w:t>
      </w:r>
      <w:bookmarkEnd w:id="731"/>
    </w:p>
    <w:p>
      <w:pPr>
        <w:pStyle w:val="BookText"/>
        <w:rPr/>
      </w:pPr>
      <w:r>
        <w:rPr>
          <w:rFonts w:ascii="IRNazanin" w:hAnsi="IRNazanin" w:eastAsia="IRNazanin"/>
          <w:color w:val="111111"/>
          <w:sz w:val="28"/>
          <w:sz w:val="28"/>
          <w:szCs w:val="28"/>
          <w:rtl w:val="true"/>
          <w:lang w:bidi="fa-IR"/>
        </w:rPr>
        <w:t xml:space="preserve">التربیة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الشیء یربو ربواً و 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ربّیت فلاناً اربّیه تربیةً و تربیتُهُ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الجوهری أنّ ربّیته تربیةً و تربّیتهُ أی غذوته، و أضاف بأنّ هذا لکلّ ما ینمی، کالولد و الزرع و نحوه</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مجمع البحرین</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الفضل 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یتعدّی بالتضعیف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ربّیته فتربّی</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المفردات</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تشتقّ التربیة من الربّ الذی یطلق علی المالک و السیّد و المدبّر و المربّی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المعنی القیام بأمر الطفل علی وجهٍ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ولده و الصبیّ یربّه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تربّبه و ربّاه تربیةً علی تحویل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القیام علیه و ولیه حتّی یفارق الطفولیّة، کان ابنه أو لم یکن</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کلمات اللغویّین فی مفهوم التربیة،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القیام بشئون الأطفال بحیث ینمو جسمهم و علمهم و عقلهم، و القیام بتدبیر امورهم علی نحو یزید فی کلّ ما کان صلاحاً لهم من امور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بهذا المعنی فی الکتاب،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ارْحَمْهُما کَما رَبَّیانِی صَغِیراً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لهما بالمغفرة و الرحمة فی حیاتهما جزاءً لتربیتهما إیّاک فی صباک</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لکلّ الخیرات فی الدین و الدنیا، ثمّ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ربّیانی صغیراً؛ یعین رَبِّ افعل بهما هذا النوع من الإحسان کما أحسنا إلیّ فی تربیتهما إیّای، و التربیة هی التنمیة، و هی من قولهم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الشیء إذا انتفع</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کذا فی الجامع لأحکام القرآن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نُرَبِّکَ فِینا وَلِیداً وَ لَبِثْتَ فِینا مِنْ عُمُرِکَ 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التربیة تنشیة الشیء حالاً بعد حالٍ،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فینا صبیّاً صغیراً فربّیناک</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التربیة لغةً یشمل معنی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فلاناً أدباً، راضه علی محاسن الأخلاق و العادات، و دعاه إلی المحامد</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یقع علی کلّ ریاضة محمودةٍ یتخرّج بها الإنسان فی فضیلةٍ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فالأدب اسم لذلک،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الطریحی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أدّبته أدباً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ریاضة النفس و محاسن الأخلاق</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هو المقصود من الأدب فی بعض الروایات أیضاً،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الولد علی الوالد أن یحسّن اسمه و یحسّن أدبه و یعلّمه القرآن</w:t>
      </w:r>
      <w:r>
        <w:rPr>
          <w:rFonts w:eastAsia="IRNazanin" w:cs="IRNazanin"/>
          <w:color w:val="111111"/>
          <w:sz w:val="28"/>
          <w:szCs w:val="28"/>
          <w:rtl w:val="true"/>
          <w:lang w:bidi="fa-IR"/>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رسالة الحقوق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مسئول عمّا ولّیته من حسن الأدب</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bookmarkStart w:id="732" w:name="pg11754_113053"/>
    </w:p>
    <w:p>
      <w:pPr>
        <w:pStyle w:val="BookText"/>
        <w:rPr/>
      </w:pPr>
      <w:bookmarkEnd w:id="732"/>
      <w:r>
        <w:rPr>
          <w:rFonts w:ascii="IRNazanin" w:hAnsi="IRNazanin" w:eastAsia="IRNazanin"/>
          <w:color w:val="111111"/>
          <w:sz w:val="28"/>
          <w:sz w:val="28"/>
          <w:szCs w:val="28"/>
          <w:rtl w:val="true"/>
          <w:lang w:bidi="fa-IR"/>
        </w:rPr>
        <w:t>و ما ورد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ما ورّث الآباء لأبنائهم الأدب لا المال؛ فإنّ المال یذهب و الأدب یبقی</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یقصد فی الروایات معنیً خاصّاً للأدب و التربیة غیر ما قصد منهما فی اللغة، و حیث إنّ مفهومهما قریب و أحدهما مرتبط بالآخر،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التربیة و الأدب فی اللغة و الروایات یشمل القیام بالاُمور التی ترتبط بأجسام الأطفال و عقولهم و نفوسهم، و کذا تعلیمهم الآداب الاجتماعیّة و محاسن الأخلاق و العلوم الاُخری و غیرها</w:t>
      </w:r>
      <w:r>
        <w:rPr>
          <w:rFonts w:eastAsia="IRNazanin" w:cs="IRNazanin"/>
          <w:color w:val="111111"/>
          <w:sz w:val="28"/>
          <w:szCs w:val="28"/>
          <w:rtl w:val="true"/>
          <w:lang w:bidi="fa-IR"/>
        </w:rPr>
        <w:t>.</w:t>
      </w:r>
    </w:p>
    <w:p>
      <w:pPr>
        <w:pStyle w:val="Heading5"/>
        <w:numPr>
          <w:ilvl w:val="4"/>
          <w:numId w:val="1"/>
        </w:numPr>
        <w:rPr/>
      </w:pPr>
      <w:bookmarkStart w:id="733" w:name="__RefHeading___Toc9530975_73709187"/>
      <w:bookmarkStart w:id="734" w:name="_Toc290"/>
      <w:bookmarkEnd w:id="733"/>
      <w:r>
        <w:rPr>
          <w:rtl w:val="true"/>
        </w:rPr>
        <w:t>ب</w:t>
      </w:r>
      <w:r>
        <w:rPr>
          <w:rtl w:val="true"/>
        </w:rPr>
        <w:t xml:space="preserve">: </w:t>
      </w:r>
      <w:r>
        <w:rPr>
          <w:rtl w:val="true"/>
        </w:rPr>
        <w:t>التربیة عند الفقهاء</w:t>
      </w:r>
      <w:bookmarkEnd w:id="734"/>
    </w:p>
    <w:p>
      <w:pPr>
        <w:pStyle w:val="BookText"/>
        <w:rPr/>
      </w:pPr>
      <w:r>
        <w:rPr>
          <w:rFonts w:ascii="IRNazanin" w:hAnsi="IRNazanin" w:eastAsia="IRNazanin"/>
          <w:color w:val="111111"/>
          <w:sz w:val="28"/>
          <w:sz w:val="28"/>
          <w:szCs w:val="28"/>
          <w:rtl w:val="true"/>
          <w:lang w:bidi="fa-IR"/>
        </w:rPr>
        <w:t>إنّا لم نجد فی کلمات الفقهاء اصطلاحاً خاصّاً فی معنی التربیة، علی ما تتبّعنا فی کلماتهم، و الظاهر أنّ ما هو المقصود منها فی اللغة هو المقصود عندهم، و لا یخرج المعنی الاصطلاحی عن المعنی اللغوی، و الشاهد علی ذلک تعبیرهم عن المرأة التی تقوم بشئون الطفل من إرضاعه و نظافته، و دفع ما یضرّه، و إیجاد ما هو محتاج له و غیر ذلک، بالمربّیة، و بتعبیر آخر عبّروا بمن قام بما هو المقصود من التربیة فی اللغة بالمربّیة أو المربّی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المربّیة للصبیّ إذا لم یکن لها إلاّ ثوب واحد أجزأها غسله فی الیوم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مشارکة المربّی للصبیّ للمربّیة؛ إذ لا مدخل للاُنوثة هنا</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و کذا فی الشرائع</w:t>
      </w:r>
      <w:r>
        <w:rPr>
          <w:rStyle w:val="FootnoteAnchor"/>
          <w:rtl w:val="true"/>
        </w:rPr>
        <w:footnoteReference w:id="1299"/>
      </w:r>
      <w:r>
        <w:rPr>
          <w:rFonts w:ascii="IRNazanin" w:hAnsi="IRNazanin" w:eastAsia="IRNazanin"/>
          <w:color w:val="111111"/>
          <w:sz w:val="28"/>
          <w:sz w:val="28"/>
          <w:szCs w:val="28"/>
          <w:rtl w:val="true"/>
          <w:lang w:bidi="fa-IR"/>
        </w:rPr>
        <w:t>، و الجواهر</w:t>
      </w:r>
      <w:r>
        <w:rPr>
          <w:rStyle w:val="FootnoteAnchor"/>
          <w:rtl w:val="true"/>
        </w:rPr>
        <w:footnoteReference w:id="1300"/>
      </w:r>
      <w:r>
        <w:rPr>
          <w:rFonts w:ascii="IRNazanin" w:hAnsi="IRNazanin" w:eastAsia="IRNazanin"/>
          <w:color w:val="111111"/>
          <w:sz w:val="28"/>
          <w:sz w:val="28"/>
          <w:szCs w:val="28"/>
          <w:rtl w:val="true"/>
          <w:lang w:bidi="fa-IR"/>
        </w:rPr>
        <w:t>، و جامع المدارک</w:t>
      </w:r>
      <w:r>
        <w:rPr>
          <w:rStyle w:val="FootnoteAnchor"/>
          <w:rtl w:val="true"/>
        </w:rPr>
        <w:footnoteReference w:id="1301"/>
      </w:r>
      <w:r>
        <w:rPr>
          <w:rFonts w:ascii="IRNazanin" w:hAnsi="IRNazanin" w:eastAsia="IRNazanin"/>
          <w:color w:val="111111"/>
          <w:sz w:val="28"/>
          <w:sz w:val="28"/>
          <w:szCs w:val="28"/>
          <w:rtl w:val="true"/>
          <w:lang w:bidi="fa-IR"/>
        </w:rPr>
        <w:t>، و تحریر الوسیلة</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یدلّ علی ذلک کلماتهم فی تعریف الحضانة بأنّها تربیةٌ للطفل، مع أنّ الحضانة فی الحقیقة مرحلة من مراحل تربیة الطفل، و المعنی اللغوی للتربیة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الحضانة ولایة و سلطنة علی تربیة الطفل</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فی المسالک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ولایة علی الطفل و المجنون؛ لفائدة تربیته و ما یتعلّق بها من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حفظه، و جعله فی سریره و رفعه، و کحله، و دهنه، و تنظیفه</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و کذا فی غیرها</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الباحثین فی فقه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بتربیة الأولاد فی الاصطلاح الفقهی یقوم علی معناها اللغوی؛ و هو القیام علی الأولاد بما یؤدّبهم و یصلحهم و یتحقّق ذلک بتعلیمهم ما یلزمهم من امور الدین و الدنیا، و تأدیبهم بآداب و أخلاق الإسلام، و تکوین شخصیّتهم الإسلامیّة، و هذه المعانی الثلاثة فی الواقع</w:t>
      </w:r>
      <w:bookmarkStart w:id="735" w:name="pg11754_113055"/>
    </w:p>
    <w:p>
      <w:pPr>
        <w:pStyle w:val="BookText"/>
        <w:rPr/>
      </w:pPr>
      <w:bookmarkEnd w:id="735"/>
      <w:r>
        <w:rPr>
          <w:rFonts w:ascii="IRNazanin" w:hAnsi="IRNazanin" w:eastAsia="IRNazanin"/>
          <w:color w:val="111111"/>
          <w:sz w:val="28"/>
          <w:sz w:val="28"/>
          <w:szCs w:val="28"/>
          <w:rtl w:val="true"/>
          <w:lang w:bidi="fa-IR"/>
        </w:rPr>
        <w:t>تقوم علی المعنی اللغوی للتربیة؛ إذ بهذه المعانی و تحصیلها یتحقّق القیام الحسن باُمور الأولاد، و یحصل المقصود من تربیتهم</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9530977_73709187"/>
      <w:bookmarkStart w:id="737" w:name="_Toc291"/>
      <w:bookmarkEnd w:id="736"/>
      <w:r>
        <w:rPr>
          <w:rtl w:val="true"/>
        </w:rPr>
        <w:t>ج</w:t>
      </w:r>
      <w:r>
        <w:rPr>
          <w:rtl w:val="true"/>
        </w:rPr>
        <w:t xml:space="preserve">: </w:t>
      </w:r>
      <w:r>
        <w:rPr>
          <w:rtl w:val="true"/>
        </w:rPr>
        <w:t>التعلیم لغةً‌</w:t>
      </w:r>
      <w:bookmarkEnd w:id="737"/>
    </w:p>
    <w:p>
      <w:pPr>
        <w:pStyle w:val="BookText"/>
        <w:rPr/>
      </w:pPr>
      <w:r>
        <w:rPr>
          <w:rFonts w:ascii="IRNazanin" w:hAnsi="IRNazanin" w:eastAsia="IRNazanin"/>
          <w:color w:val="111111"/>
          <w:sz w:val="28"/>
          <w:sz w:val="28"/>
          <w:szCs w:val="28"/>
          <w:rtl w:val="true"/>
          <w:lang w:bidi="fa-IR"/>
        </w:rPr>
        <w:t>التعلیم مشتقّ من العلم و هو ضدّ الجهل، و جاء بمعنی المعرفة أیضاً، کما فی المصباح المنیر</w:t>
      </w:r>
      <w:r>
        <w:rPr>
          <w:rStyle w:val="FootnoteAnchor"/>
          <w:rtl w:val="true"/>
        </w:rPr>
        <w:footnoteReference w:id="1309"/>
      </w:r>
      <w:r>
        <w:rPr>
          <w:rFonts w:ascii="IRNazanin" w:hAnsi="IRNazanin" w:eastAsia="IRNazanin"/>
          <w:color w:val="111111"/>
          <w:sz w:val="28"/>
          <w:sz w:val="28"/>
          <w:szCs w:val="28"/>
          <w:rtl w:val="true"/>
          <w:lang w:bidi="fa-IR"/>
        </w:rPr>
        <w:t>، و مجمع البحرین</w:t>
      </w:r>
      <w:r>
        <w:rPr>
          <w:rStyle w:val="FootnoteAnchor"/>
          <w:rtl w:val="true"/>
        </w:rPr>
        <w:footnoteReference w:id="1310"/>
      </w:r>
      <w:r>
        <w:rPr>
          <w:rFonts w:ascii="IRNazanin" w:hAnsi="IRNazanin" w:eastAsia="IRNazanin"/>
          <w:color w:val="111111"/>
          <w:sz w:val="28"/>
          <w:sz w:val="28"/>
          <w:szCs w:val="28"/>
          <w:rtl w:val="true"/>
          <w:lang w:bidi="fa-IR"/>
        </w:rPr>
        <w:t>، و لسان العرب</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التعلیم و الإعلام شیء واحد</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المعجم الوسیط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 أمارةً یعرفها، فالفاعل معلِّم بالکسر، و المفعول معلَّم بالفتح، و علّم فلاناً الشیء تعلیماً جعله یتعلّمه</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أعلمته و علّمته فی الأصل واحد، إلاّ أنّ الإعلام اختصّ بما یکون بإخبار سریع، و التعلیم اختصّ بما یکون بتکریر و تکثیر حتّی یحصل منه أثر فی نفس المتعلّم، و نقل عن بعض أنّ التعلیم تنبیه النفس لتصوّر المعانی، و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تنبّه النفس لتصوّر ذلک</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التعلیم لغةً هو إعلام المعلّم ما علمه و عرفه بتکریر و تکثیر للمتعلّم حتّی یحصل منه أثر فی نفسه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تنبّه المتعلّم و أخذ ما هو معلوم للمعلّم عنه</w:t>
      </w:r>
      <w:r>
        <w:rPr>
          <w:rFonts w:eastAsia="IRNazanin" w:cs="IRNazanin"/>
          <w:color w:val="111111"/>
          <w:sz w:val="28"/>
          <w:szCs w:val="28"/>
          <w:rtl w:val="true"/>
          <w:lang w:bidi="fa-IR"/>
        </w:rPr>
        <w:t>.</w:t>
      </w:r>
      <w:bookmarkStart w:id="738" w:name="pg11754_113056"/>
    </w:p>
    <w:p>
      <w:pPr>
        <w:pStyle w:val="BookText"/>
        <w:rPr/>
      </w:pPr>
      <w:bookmarkEnd w:id="738"/>
      <w:r>
        <w:rPr>
          <w:rFonts w:ascii="Amiri" w:hAnsi="Amiri" w:eastAsia="Amiri" w:cs="Amiri"/>
          <w:color w:val="111111"/>
          <w:sz w:val="28"/>
          <w:sz w:val="28"/>
          <w:szCs w:val="28"/>
          <w:rtl w:val="true"/>
          <w:lang w:bidi="ar-SA"/>
        </w:rPr>
        <w:t>و جاء هذا المعنی فی کتاب اللّه العزیز؛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کذا فی الروایات، کما</w:t>
      </w:r>
    </w:p>
    <w:p>
      <w:pPr>
        <w:pStyle w:val="BookText"/>
        <w:rPr/>
      </w:pPr>
      <w:r>
        <w:rPr>
          <w:rFonts w:ascii="IRNazanin" w:hAnsi="IRNazanin" w:eastAsia="IRNazanin"/>
          <w:color w:val="111111"/>
          <w:sz w:val="28"/>
          <w:sz w:val="28"/>
          <w:szCs w:val="28"/>
          <w:rtl w:val="true"/>
          <w:lang w:bidi="fa-IR"/>
        </w:rPr>
        <w:t>روی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شخصاً مسألة فقد ملک رقبته</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الجهّال أن یتعلّموا حتّی أخذ علی العلماء أن یعلِّموا</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اخری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شیئاً من السحر قلیلاً أو کثیراً فقد کفر، و کان آخر عهده بربّه، و حدّه أن یُقتل إلاّ أن یتوب</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خیراً فله مثل أجر من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علّمه الناس کلّهم جری له</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9530979_73709187"/>
      <w:bookmarkStart w:id="740" w:name="_Toc292"/>
      <w:bookmarkEnd w:id="739"/>
      <w:r>
        <w:rPr>
          <w:rtl w:val="true"/>
        </w:rPr>
        <w:t>د</w:t>
      </w:r>
      <w:r>
        <w:rPr>
          <w:rtl w:val="true"/>
        </w:rPr>
        <w:t xml:space="preserve">: </w:t>
      </w:r>
      <w:r>
        <w:rPr>
          <w:rtl w:val="true"/>
        </w:rPr>
        <w:t>التعلیم عند الفقهاء</w:t>
      </w:r>
      <w:bookmarkEnd w:id="740"/>
    </w:p>
    <w:p>
      <w:pPr>
        <w:pStyle w:val="BookText"/>
        <w:rPr/>
      </w:pPr>
      <w:r>
        <w:rPr>
          <w:rFonts w:ascii="IRNazanin" w:hAnsi="IRNazanin" w:eastAsia="IRNazanin"/>
          <w:color w:val="111111"/>
          <w:sz w:val="28"/>
          <w:sz w:val="28"/>
          <w:szCs w:val="28"/>
          <w:rtl w:val="true"/>
          <w:lang w:bidi="fa-IR"/>
        </w:rPr>
        <w:t>لم یکن للفقهاء فی معنی التعلیم أیضاً اصطلاح خاصّ، بل معناه اللغوی هو المقصود عندهم، و کفاک فی ذلک التدبّر فی کلماتهم، فنتلو علیک انموذجاً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یعلّمه الصوم و الصلاة</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الطفل سبع سنین، کان علی أبیه أن یعلّمه الطهارة</w:t>
      </w:r>
      <w:bookmarkStart w:id="741" w:name="pg11754_113057"/>
    </w:p>
    <w:p>
      <w:pPr>
        <w:pStyle w:val="BookText"/>
        <w:rPr/>
      </w:pPr>
      <w:bookmarkEnd w:id="741"/>
      <w:r>
        <w:rPr>
          <w:rFonts w:ascii="IRNazanin" w:hAnsi="IRNazanin" w:eastAsia="IRNazanin"/>
          <w:color w:val="111111"/>
          <w:sz w:val="28"/>
          <w:sz w:val="28"/>
          <w:szCs w:val="28"/>
          <w:rtl w:val="true"/>
          <w:lang w:bidi="fa-IR"/>
        </w:rPr>
        <w:t>و الصلاة، و یعلّمه الجماعة و حضورها</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اجرة تعلیم القرآن و تعشیر المصحف بالذهب</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الغناء و تعلیمه و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السحر و تعلیمه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القیافة و السحر و تعلّمه و تعلیمه و نسخ الضلال</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الشرائع</w:t>
      </w:r>
      <w:r>
        <w:rPr>
          <w:rStyle w:val="FootnoteAnchor"/>
          <w:rtl w:val="true"/>
        </w:rPr>
        <w:footnoteReference w:id="1323"/>
      </w:r>
      <w:r>
        <w:rPr>
          <w:rFonts w:ascii="IRNazanin" w:hAnsi="IRNazanin" w:eastAsia="IRNazanin"/>
          <w:color w:val="111111"/>
          <w:sz w:val="28"/>
          <w:sz w:val="28"/>
          <w:szCs w:val="28"/>
          <w:rtl w:val="true"/>
          <w:lang w:bidi="fa-IR"/>
        </w:rPr>
        <w:t>، و المسالک</w:t>
      </w:r>
      <w:r>
        <w:rPr>
          <w:rStyle w:val="FootnoteAnchor"/>
          <w:rtl w:val="true"/>
        </w:rPr>
        <w:footnoteReference w:id="1324"/>
      </w:r>
      <w:r>
        <w:rPr>
          <w:rFonts w:ascii="IRNazanin" w:hAnsi="IRNazanin" w:eastAsia="IRNazanin"/>
          <w:color w:val="111111"/>
          <w:sz w:val="28"/>
          <w:sz w:val="28"/>
          <w:szCs w:val="28"/>
          <w:rtl w:val="true"/>
          <w:lang w:bidi="fa-IR"/>
        </w:rPr>
        <w:t>، و جامع المقاصد</w:t>
      </w:r>
      <w:r>
        <w:rPr>
          <w:rStyle w:val="FootnoteAnchor"/>
          <w:rtl w:val="true"/>
        </w:rPr>
        <w:footnoteReference w:id="1325"/>
      </w:r>
      <w:r>
        <w:rPr>
          <w:rFonts w:ascii="IRNazanin" w:hAnsi="IRNazanin" w:eastAsia="IRNazanin"/>
          <w:color w:val="111111"/>
          <w:sz w:val="28"/>
          <w:sz w:val="28"/>
          <w:szCs w:val="28"/>
          <w:rtl w:val="true"/>
          <w:lang w:bidi="fa-IR"/>
        </w:rPr>
        <w:t>، و المستند</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الفقهاء قصدوا من التعلیم و التعلّم فی کلماتهم معناه اللغوی</w:t>
      </w:r>
      <w:r>
        <w:rPr>
          <w:rFonts w:eastAsia="IRNazanin" w:cs="IRNazanin"/>
          <w:color w:val="111111"/>
          <w:sz w:val="28"/>
          <w:szCs w:val="28"/>
          <w:rtl w:val="true"/>
          <w:lang w:bidi="fa-IR"/>
        </w:rPr>
        <w:t>.</w:t>
      </w:r>
    </w:p>
    <w:p>
      <w:pPr>
        <w:pStyle w:val="Heading5"/>
        <w:numPr>
          <w:ilvl w:val="4"/>
          <w:numId w:val="1"/>
        </w:numPr>
        <w:rPr/>
      </w:pPr>
      <w:bookmarkStart w:id="742" w:name="__RefHeading___Toc9530981_73709187"/>
      <w:bookmarkStart w:id="743" w:name="_Toc293"/>
      <w:bookmarkEnd w:id="742"/>
      <w:r>
        <w:rPr>
          <w:rtl w:val="true"/>
        </w:rPr>
        <w:t>ه</w:t>
      </w:r>
      <w:r>
        <w:rPr>
          <w:rtl w:val="true"/>
        </w:rPr>
        <w:t xml:space="preserve">: </w:t>
      </w:r>
      <w:r>
        <w:rPr>
          <w:rtl w:val="true"/>
        </w:rPr>
        <w:t>أقسام التربیة و الفرق بینها و بین التعلیم</w:t>
      </w:r>
      <w:bookmarkEnd w:id="743"/>
    </w:p>
    <w:p>
      <w:pPr>
        <w:pStyle w:val="BookText"/>
        <w:rPr/>
      </w:pPr>
      <w:r>
        <w:rPr>
          <w:rFonts w:ascii="IRNazanin" w:hAnsi="IRNazanin" w:eastAsia="IRNazanin"/>
          <w:color w:val="111111"/>
          <w:sz w:val="28"/>
          <w:sz w:val="28"/>
          <w:szCs w:val="28"/>
          <w:rtl w:val="true"/>
          <w:lang w:bidi="fa-IR"/>
        </w:rPr>
        <w:t>مع الإمعان و التدبّر فی ما ذکرنا من معنی التربیة و التعلیم، یظهر 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التربیة تنقسم إلی أقسام، و هی ما یلی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منها هی العنایة من المربّی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 الاُمّهات و الأجداد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یؤثّر فی جسم الطفل، بحیث إنّ عدم رعایتها یوجب مرض البدن، کالنظافة و التغذیة، و حفظه عمّا یضرّه لینشأ الأولاد علی خیر ما ینشئون علیه من قوّة الجسم، و سلامة البدن، و مظاهر الصحّة و الحیویة و النشاط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منها ربط الولد منذ تعقّله بأُصول الإیمان، کالإیمان باللّه سبحانه و ملائکته و رسله و الأئمّة المعصومین علیهم السلام، و تعویده منذ تفهّمه العبادات البدنیّة و المالیّة، کالصلاة و الصوم و الزکاة، و تأدیبه علی حبّ رسول اللّه صلی الله علیه و آله و حبّ آل بیته و تلاوة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 بکلّ ما یتّصل بالمنهج الربّانی، و تعالیم الإسلام من عقیدة و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منها مجموعة المبادئ الخُلقیّة، و الفضائل السلوکیّة و الوجدانیّة، التی ینبغی أن یتلقّنها الطفل و یکتسبها و یعتاد علیها منذ تمییزه و تعقّله إلی أن یصبح شابّاً و مکلّفاً، و إلی أن یخوض خضم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 تربیة الولد منذ أن یعقل علی الجرأة و الصراحة، و الشجاعة و الشعور، و حبّ الخیر للآخرین، و الانضباط عند الغضب، و التحلّی بکلّ الفضائل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منها تکوین شخصیّة الولد و تکاملها و اتّزانها حتّی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سنّ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بالواجبات المکلّف بها علی أحسن وجهٍ، و أنبل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أنّ للتربیة الخُلقیة و التربیة النفسیّة مرحلتین من المراحل العلیا من التربیة الإیمانیّة، حیث إنّ کلاًّ من الفضائل الخُلقیّة و السلوکیّة و الوجدانیّة هی ثمرات من ثمرات الإیمان الراسخ و التنشئة الدینیّة الصحیحة؛ لأنّ الطفل حین ینشأ علی الإیمان باللّه، و یتربّی علی الخشیة منه، و الاعتماد علیه، و الاستعانة به، و التسلیم لجنابه فیما ینوب و یروع، و تصبح عنده الملکة الفطریّة و الاستجابة الوجدانیّة لتقبّل کلّ فضیلةٍ و مکرمةٍ و الاعتیاد علی کلّ خلق فاضل کریم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منها تکوین فکر الولد بکلّ ما هو نافع</w:t>
      </w:r>
    </w:p>
    <w:p>
      <w:pPr>
        <w:pStyle w:val="BookText"/>
        <w:rPr/>
      </w:pPr>
      <w:r>
        <w:rPr>
          <w:rFonts w:ascii="Amiri" w:hAnsi="Amiri" w:eastAsia="Amiri" w:cs="Amiri"/>
          <w:color w:val="111111"/>
          <w:sz w:val="28"/>
          <w:sz w:val="28"/>
          <w:szCs w:val="28"/>
          <w:rtl w:val="true"/>
          <w:lang w:bidi="ar-SA"/>
        </w:rPr>
        <w:t>من العلوم الشرعیّة، و الثقافة العلمیّة و العصریّة، و التوعیة الفکریّة، و الحضاریة حتّی ینضج الولد فکریّاً و یتکوّن علمیّاً و ثقافیّاً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التربیة عامّ بخلاف التعلیم؛ لأنّ التربیة تشمل کلّ ما یحتاج إلیه الطفل فی نموّه و رشده؛ سواء کان من لوازم الجسم أو العقل أو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التعلیم، فیختصّ بما یخرجه من الجهل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فالتعلیم وسیلة من وسائل التربیة، و کلّ منهما مرتبط بالآخر، 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تعلیم هو مصداق للتربیة و 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خصّصناها بالذکر من بین الأقسام الاُخر للتربیة؛ لأنّ أمر تعلیم الأولاد بالغ الأهمّیة و الخطورة فی نظر الإسلام</w:t>
      </w:r>
      <w:r>
        <w:rPr>
          <w:rStyle w:val="FootnoteAnchor"/>
          <w:rtl w:val="true"/>
        </w:rPr>
        <w:footnoteReference w:id="1328"/>
      </w:r>
      <w:r>
        <w:rPr>
          <w:rFonts w:ascii="IRNazanin" w:hAnsi="IRNazanin" w:eastAsia="IRNazanin"/>
          <w:color w:val="111111"/>
          <w:sz w:val="28"/>
          <w:sz w:val="28"/>
          <w:szCs w:val="28"/>
          <w:rtl w:val="true"/>
          <w:lang w:bidi="fa-IR"/>
        </w:rPr>
        <w:t>، لأنّ الإسلام حمّل الآباء و المربّین مسئولیّة کبری فی تعلیم أولادهم و تنشئتهم علی الاغتراف من معین الثقافة و العلم، و ترکیز أذهانهم علی الفهم المستوعب، و المعرفة المجرّدة، و الإدراک الناضج الصحیح؛ لأنّه بالعلم تتفتّح المواهب، و یبرز النبوغ، و تنضج العقول، و تظهر العبقریّة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منافع کثیرة لیس هنا موضع ذکرها</w:t>
      </w:r>
      <w:r>
        <w:rPr>
          <w:rStyle w:val="FootnoteAnchor"/>
          <w:rtl w:val="true"/>
        </w:rPr>
        <w:footnoteReference w:id="1329"/>
      </w:r>
      <w:bookmarkStart w:id="744" w:name="pg11754_113060"/>
    </w:p>
    <w:p>
      <w:pPr>
        <w:pStyle w:val="Heading4"/>
        <w:numPr>
          <w:ilvl w:val="3"/>
          <w:numId w:val="1"/>
        </w:numPr>
        <w:rPr/>
      </w:pPr>
      <w:bookmarkStart w:id="745" w:name="__RefHeading___Toc9530983_73709187"/>
      <w:bookmarkStart w:id="746" w:name="_Toc294"/>
      <w:bookmarkEnd w:id="744"/>
      <w:bookmarkEnd w:id="745"/>
      <w:r>
        <w:rPr>
          <w:rtl w:val="true"/>
        </w:rPr>
        <w:t>المبحث الثانی</w:t>
      </w:r>
      <w:r>
        <w:rPr>
          <w:rtl w:val="true"/>
        </w:rPr>
        <w:t xml:space="preserve">: </w:t>
      </w:r>
      <w:r>
        <w:rPr>
          <w:rtl w:val="true"/>
        </w:rPr>
        <w:t>اهتمام الإسلام بتربیة الأطفال و تعلیمهم</w:t>
      </w:r>
      <w:bookmarkEnd w:id="746"/>
    </w:p>
    <w:p>
      <w:pPr>
        <w:pStyle w:val="Heading5"/>
        <w:numPr>
          <w:ilvl w:val="4"/>
          <w:numId w:val="1"/>
        </w:numPr>
        <w:rPr/>
      </w:pPr>
      <w:bookmarkStart w:id="747" w:name="__RefHeading___Toc9530985_73709187"/>
      <w:bookmarkStart w:id="748" w:name="_Toc295"/>
      <w:bookmarkEnd w:id="747"/>
      <w:r>
        <w:rPr>
          <w:rtl w:val="true"/>
        </w:rPr>
        <w:t>اشارة</w:t>
      </w:r>
      <w:bookmarkEnd w:id="748"/>
    </w:p>
    <w:p>
      <w:pPr>
        <w:pStyle w:val="BookText"/>
        <w:rPr/>
      </w:pPr>
      <w:r>
        <w:rPr>
          <w:rStyle w:val="FootnoteAnchor"/>
          <w:rtl w:val="true"/>
        </w:rPr>
        <w:footnoteReference w:id="1330"/>
      </w:r>
    </w:p>
    <w:p>
      <w:pPr>
        <w:pStyle w:val="Heading5"/>
        <w:numPr>
          <w:ilvl w:val="4"/>
          <w:numId w:val="1"/>
        </w:numPr>
        <w:rPr/>
      </w:pPr>
      <w:bookmarkStart w:id="749" w:name="__RefHeading___Toc9530987_73709187"/>
      <w:bookmarkStart w:id="750" w:name="_Toc296"/>
      <w:bookmarkEnd w:id="749"/>
      <w:r>
        <w:rPr>
          <w:rtl w:val="true"/>
        </w:rPr>
        <w:t>منهج البحث</w:t>
      </w:r>
      <w:bookmarkEnd w:id="750"/>
    </w:p>
    <w:p>
      <w:pPr>
        <w:pStyle w:val="BookText"/>
        <w:rPr/>
      </w:pPr>
      <w:r>
        <w:rPr>
          <w:rFonts w:ascii="IRNazanin" w:hAnsi="IRNazanin" w:eastAsia="IRNazanin"/>
          <w:color w:val="111111"/>
          <w:sz w:val="28"/>
          <w:sz w:val="28"/>
          <w:szCs w:val="28"/>
          <w:rtl w:val="true"/>
          <w:lang w:bidi="fa-IR"/>
        </w:rPr>
        <w:t xml:space="preserve">لا شکّ فی أنّ تربیة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بمفهومها العامّ و أقسامها المختلفة التی ذکرناها فی 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تعلیمهم مهمّ جدّاً، و قد حقّقنا عن القسم 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التربیة الجسمیّة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الثانی و الثالث من هذا الکتاب تحت عنوانین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حضانة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الأطفال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مقصودنا فی هذا البحث، و کذا فی المباحث الاُخر فی هذا الباب، التحقیق فی التربیة الإیمانیّة، و الخلقیّة، و النفسیّة، و العقلیّة</w:t>
      </w:r>
      <w:r>
        <w:rPr>
          <w:rFonts w:eastAsia="IRNazanin" w:cs="IRNazanin"/>
          <w:color w:val="111111"/>
          <w:sz w:val="28"/>
          <w:szCs w:val="28"/>
          <w:rtl w:val="true"/>
          <w:lang w:bidi="fa-IR"/>
        </w:rPr>
        <w:t>.</w:t>
      </w:r>
      <w:bookmarkStart w:id="751" w:name="pg11754_113061"/>
    </w:p>
    <w:p>
      <w:pPr>
        <w:pStyle w:val="BookText"/>
        <w:rPr/>
      </w:pPr>
      <w:bookmarkEnd w:id="751"/>
      <w:r>
        <w:rPr>
          <w:rFonts w:ascii="IRNazanin" w:hAnsi="IRNazanin" w:eastAsia="IRNazanin"/>
          <w:color w:val="111111"/>
          <w:sz w:val="28"/>
          <w:sz w:val="28"/>
          <w:szCs w:val="28"/>
          <w:rtl w:val="true"/>
          <w:lang w:bidi="fa-IR"/>
        </w:rPr>
        <w:t>فنذکر أوّلاً انموذجاً یدلّ علی اهتمام الإسلام بأمر التربیة و التعلیم عموماً، و نتلوها بما یدلّ علی لزوم کون التربیة فی فترة الصبا، و أنّها فرصة ثانیاً، و ما دلّ علی مسئولیّة الوالدین فی تربیة أولادهم ثالثاً فی ضمن مطالب</w:t>
      </w:r>
      <w:r>
        <w:rPr>
          <w:rFonts w:eastAsia="IRNazanin" w:cs="IRNazanin"/>
          <w:color w:val="111111"/>
          <w:sz w:val="28"/>
          <w:szCs w:val="28"/>
          <w:rtl w:val="true"/>
          <w:lang w:bidi="fa-IR"/>
        </w:rPr>
        <w:t>.</w:t>
      </w:r>
    </w:p>
    <w:p>
      <w:pPr>
        <w:pStyle w:val="Heading5"/>
        <w:numPr>
          <w:ilvl w:val="4"/>
          <w:numId w:val="1"/>
        </w:numPr>
        <w:rPr/>
      </w:pPr>
      <w:bookmarkStart w:id="752" w:name="__RefHeading___Toc9530989_73709187"/>
      <w:bookmarkStart w:id="753" w:name="_Toc297"/>
      <w:bookmarkEnd w:id="752"/>
      <w:r>
        <w:rPr>
          <w:rtl w:val="true"/>
        </w:rPr>
        <w:t>المطلب الأوّل فی اهتمام الإسلام بأمر التربیة عموماً</w:t>
      </w:r>
      <w:bookmarkEnd w:id="753"/>
    </w:p>
    <w:p>
      <w:pPr>
        <w:pStyle w:val="Heading6"/>
        <w:numPr>
          <w:ilvl w:val="5"/>
          <w:numId w:val="1"/>
        </w:numPr>
        <w:rPr/>
      </w:pPr>
      <w:bookmarkStart w:id="754" w:name="__RefHeading___Toc9530991_73709187"/>
      <w:bookmarkStart w:id="755" w:name="_Toc298"/>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لا شکّ فی أنّ الإسلام قد بالغ و اهتمّ فی أمر التربیة و التعلیم بأشدّ الاهتمام، یدلّ علی ذلک الآیات الکثیرة و الأحادیث المتظافرة</w:t>
      </w:r>
      <w:r>
        <w:rPr>
          <w:rFonts w:eastAsia="IRNazanin" w:cs="IRNazanin"/>
          <w:color w:val="111111"/>
          <w:sz w:val="28"/>
          <w:szCs w:val="28"/>
          <w:rtl w:val="true"/>
          <w:lang w:bidi="fa-IR"/>
        </w:rPr>
        <w:t>:</w:t>
      </w:r>
    </w:p>
    <w:p>
      <w:pPr>
        <w:pStyle w:val="Heading6"/>
        <w:numPr>
          <w:ilvl w:val="5"/>
          <w:numId w:val="1"/>
        </w:numPr>
        <w:rPr/>
      </w:pPr>
      <w:bookmarkStart w:id="756" w:name="__RefHeading___Toc9530993_73709187"/>
      <w:bookmarkStart w:id="757" w:name="_Toc299"/>
      <w:bookmarkEnd w:id="756"/>
      <w:r>
        <w:rPr>
          <w:rtl w:val="true"/>
        </w:rPr>
        <w:t>الأوّل</w:t>
      </w:r>
      <w:r>
        <w:rPr>
          <w:rtl w:val="true"/>
        </w:rPr>
        <w:t xml:space="preserve">: </w:t>
      </w:r>
      <w:r>
        <w:rPr>
          <w:rtl w:val="true"/>
        </w:rPr>
        <w:t>الآیات</w:t>
      </w:r>
      <w:r>
        <w:rPr>
          <w:rtl w:val="true"/>
        </w:rPr>
        <w:t>:</w:t>
      </w:r>
      <w:bookmarkEnd w:id="75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کرّر هذا المضمون فی أربعة مواضع من کتاب اللّه العزیز</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اللّه سبحانه و تعالی الغایة القصوی و الأهداف العُلیا فی بعث النبیّ صلی الله علیه و آله و إنزال الکتاب تزکیة المؤمنین، و تعلیمهم الکتاب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التزکیة من الزکاة، و معناها النموّ و الصلاح و التطهیر من الأقذار و الدنس، کما فی المصباح المنیر</w:t>
      </w:r>
      <w:r>
        <w:rPr>
          <w:rStyle w:val="FootnoteAnchor"/>
          <w:rtl w:val="true"/>
        </w:rPr>
        <w:footnoteReference w:id="1332"/>
      </w:r>
      <w:r>
        <w:rPr>
          <w:rFonts w:ascii="IRNazanin" w:hAnsi="IRNazanin" w:eastAsia="IRNazanin"/>
          <w:color w:val="111111"/>
          <w:sz w:val="28"/>
          <w:sz w:val="28"/>
          <w:szCs w:val="28"/>
          <w:rtl w:val="true"/>
          <w:lang w:bidi="fa-IR"/>
        </w:rPr>
        <w:t>، و مجمع البحرین</w:t>
      </w:r>
      <w:r>
        <w:rPr>
          <w:rStyle w:val="FootnoteAnchor"/>
          <w:rtl w:val="true"/>
        </w:rPr>
        <w:footnoteReference w:id="1333"/>
      </w:r>
      <w:r>
        <w:rPr>
          <w:rFonts w:ascii="IRNazanin" w:hAnsi="IRNazanin" w:eastAsia="IRNazanin"/>
          <w:color w:val="111111"/>
          <w:sz w:val="28"/>
          <w:sz w:val="28"/>
          <w:szCs w:val="28"/>
          <w:rtl w:val="true"/>
          <w:lang w:bidi="fa-IR"/>
        </w:rPr>
        <w:t>، و لسان العرب</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النفس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تنمیتها بالخیرات و البرکات، أو لهما جمیعاً</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و 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 إلی ما یکونون به زاکین سالکین المهتدین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تزکیة النبیّ صلی الله علیه و آله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یفعله من الوعد و الإیعاد و الوعظ و التذکیر و تکریر ذلک علیهم، و من التشبّث بأُمور الدنیا إلی أن یؤمنوا و یصلحوا</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 أی یطهّرهم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یصلحهم؛ یعنی یدعوهم إلی اتّباع ما یصیرون به أزکیاء أتقیاء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التزکیة إنماء الشیء و إعطاء الرشد له بلحوق الخیرات و ظهور البرکات، کالشجرة بقطع الزوائد من فروعها، فتزید فی حسن نموّها و جودة ثمرتها</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التزکیة یقصد فی التربیة أیضاً، فیصحّ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التزکیة مرتبة أعلی من التربیة و الغایة القصوی منها؛ فإنّ من أهداف العالی للمربّی الذی اشتغل بالتربیة الإیمانیّة و الخُلقیّة أن یطهّر المرَبّی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وقعت علیه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الأخلاق الذمیمة الناشئة من شره البطن و الکلام الباطل و الغضب و الحسد و البخل و حبّ الجاه و حبّ الدنیا و الکبر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المقصود من التزکیة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صرّحت بأنّ فلاح الإنسان فی تزکیة نفسه و تربیته؛ بأن یبذر فیها بذر</w:t>
      </w:r>
    </w:p>
    <w:p>
      <w:pPr>
        <w:pStyle w:val="BookText"/>
        <w:rPr/>
      </w:pPr>
      <w:r>
        <w:rPr>
          <w:rFonts w:ascii="IRNazanin" w:hAnsi="IRNazanin" w:eastAsia="IRNazanin"/>
          <w:color w:val="111111"/>
          <w:sz w:val="28"/>
          <w:sz w:val="28"/>
          <w:szCs w:val="28"/>
          <w:rtl w:val="true"/>
          <w:lang w:bidi="fa-IR"/>
        </w:rPr>
        <w:t>التقوی، و یطهّرها من الفجور، و یعوّدها علی المکارم و الأعمال الصالحة، و لا ریب أنّ إقسام اللّه لأمرٍ یدلّ علی عظمة ما أقسم لأجله، سیّما إذا کان التحلیف بالاُمور الکثیرة، و فی المورد أقسم اللّه بأحد عشر قسماً بأنّ المفلح من زکّی نفسه، و أنّ الخاسر من حرم من الکمال و السعادة؛ بأن أفسد نفسه بالمعصیة و کسب الأخلاق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القرآن مورد حلف اللّه فیه إحدی عشر حلفاً إلاّ فی هذا المورد، و هذا یدلّ باهتمام الشارع بتربیة النفس و تزکیتها کمال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هذه الآیة و إن کان مفهومها ظاهراً فی قتل النفس و أهمّیته فی الشریعة، لکن وردت روایات مستفیضة بتفسیر المعصومین علیهم السلام قتل النفس بإضلال الفرد و إغوائه، و إحیاء النفس بهدایته، و إرشاده إلی الصلاح، و إلیک نصّ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فی الکافی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رواه عن فضیل بن یسار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إلی 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تأویلها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رواه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bookmarkStart w:id="758" w:name="pg11754_113064"/>
    </w:p>
    <w:p>
      <w:pPr>
        <w:pStyle w:val="BookText"/>
        <w:rPr/>
      </w:pPr>
      <w:bookmarkEnd w:id="7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حرق أو غرق،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الأعظم أن دعاها فاستجابت له</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کثیراً ما عبّر عن الموت و الحیاة بالموت و الحیاة المعنویّین، و 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الکفر بالموت، و عن الإیمان بالحیاة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فالمستفاد من الآیة أنّ تربیة الفرد علی الصلاح و الفلاح و تعویده علی الأخلاق الفاضلة، له من الأجر و الثواب بمنزلة إحیاء جمیع الناس</w:t>
      </w:r>
      <w:r>
        <w:rPr>
          <w:rFonts w:eastAsia="IRNazanin" w:cs="IRNazanin"/>
          <w:color w:val="111111"/>
          <w:sz w:val="28"/>
          <w:szCs w:val="28"/>
          <w:rtl w:val="true"/>
          <w:lang w:bidi="fa-IR"/>
        </w:rPr>
        <w:t>.</w:t>
      </w:r>
    </w:p>
    <w:p>
      <w:pPr>
        <w:pStyle w:val="Heading6"/>
        <w:numPr>
          <w:ilvl w:val="5"/>
          <w:numId w:val="1"/>
        </w:numPr>
        <w:rPr/>
      </w:pPr>
      <w:bookmarkStart w:id="759" w:name="__RefHeading___Toc9530995_73709187"/>
      <w:bookmarkStart w:id="760" w:name="_Toc300"/>
      <w:bookmarkEnd w:id="759"/>
      <w:r>
        <w:rPr>
          <w:rtl w:val="true"/>
        </w:rPr>
        <w:t>الثانی</w:t>
      </w:r>
      <w:r>
        <w:rPr>
          <w:rtl w:val="true"/>
        </w:rPr>
        <w:t xml:space="preserve">: </w:t>
      </w:r>
      <w:r>
        <w:rPr>
          <w:rtl w:val="true"/>
        </w:rPr>
        <w:t>الروایات</w:t>
      </w:r>
      <w:bookmarkEnd w:id="760"/>
    </w:p>
    <w:p>
      <w:pPr>
        <w:pStyle w:val="BookText"/>
        <w:rPr/>
      </w:pPr>
      <w:r>
        <w:rPr>
          <w:rFonts w:ascii="IRNazanin" w:hAnsi="IRNazanin" w:eastAsia="IRNazanin"/>
          <w:color w:val="111111"/>
          <w:sz w:val="28"/>
          <w:sz w:val="28"/>
          <w:szCs w:val="28"/>
          <w:rtl w:val="true"/>
          <w:lang w:bidi="fa-IR"/>
        </w:rPr>
        <w:t>النصوص الواردة کثیرة جدّاً نذکر شطراً منها و نخرجها فی طوائف؛ فإنّ بعضها و إن لم یکن معتبراً سنداً، إلاّ أنّ مجموعها مستفیض، و یکفی لإثبات المدّعی، و هی ما یلی</w:t>
      </w:r>
      <w:r>
        <w:rPr>
          <w:rFonts w:eastAsia="IRNazanin" w:cs="IRNazanin"/>
          <w:color w:val="111111"/>
          <w:sz w:val="28"/>
          <w:szCs w:val="28"/>
          <w:rtl w:val="true"/>
          <w:lang w:bidi="fa-IR"/>
        </w:rPr>
        <w:t>:</w:t>
      </w:r>
    </w:p>
    <w:p>
      <w:pPr>
        <w:pStyle w:val="Heading6"/>
        <w:numPr>
          <w:ilvl w:val="5"/>
          <w:numId w:val="1"/>
        </w:numPr>
        <w:rPr/>
      </w:pPr>
      <w:bookmarkStart w:id="761" w:name="__RefHeading___Toc9530997_73709187"/>
      <w:bookmarkStart w:id="762" w:name="_Toc301"/>
      <w:bookmarkEnd w:id="761"/>
      <w:r>
        <w:rPr>
          <w:rtl w:val="true"/>
        </w:rPr>
        <w:t>الطائفة الاُولی</w:t>
      </w:r>
      <w:r>
        <w:rPr>
          <w:rtl w:val="true"/>
        </w:rPr>
        <w:t xml:space="preserve">: </w:t>
      </w:r>
      <w:r>
        <w:rPr>
          <w:rtl w:val="true"/>
        </w:rPr>
        <w:t>الروایات الواردة فی حکمة بعثة النبیّ الأکرم صلی الله علیه و آله</w:t>
      </w:r>
      <w:bookmarkEnd w:id="762"/>
    </w:p>
    <w:p>
      <w:pPr>
        <w:pStyle w:val="BookText"/>
        <w:rPr/>
      </w:pPr>
      <w:r>
        <w:rPr>
          <w:rFonts w:ascii="IRNazanin" w:hAnsi="IRNazanin" w:eastAsia="IRNazanin"/>
          <w:color w:val="111111"/>
          <w:sz w:val="28"/>
          <w:sz w:val="28"/>
          <w:szCs w:val="28"/>
          <w:rtl w:val="true"/>
          <w:lang w:bidi="fa-IR"/>
        </w:rPr>
        <w:t>کقوله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مکارم الأخلاق</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حصر النبیّ صلی الله علیه و آله الهدف من بعثته فی تربیة نفوس الناس، و تتمیم مکارم الأخلاق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الحدیث أنّ التربیة و تعلیم مکارم الأخلاق من أهداف جمیع الأنبیاء، حیث قال صلی الله علیه و آله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لاُتمّم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التتمیم</w:t>
      </w:r>
      <w:r>
        <w:rPr>
          <w:rStyle w:val="FootnoteAnchor"/>
          <w:rtl w:val="true"/>
        </w:rPr>
        <w:footnoteReference w:id="1342"/>
      </w:r>
      <w:r>
        <w:rPr>
          <w:rFonts w:ascii="IRNazanin" w:hAnsi="IRNazanin" w:eastAsia="IRNazanin"/>
          <w:color w:val="111111"/>
          <w:sz w:val="28"/>
          <w:sz w:val="28"/>
          <w:szCs w:val="28"/>
          <w:rtl w:val="true"/>
          <w:lang w:bidi="fa-IR"/>
        </w:rPr>
        <w:t>یستعمل فی مورد</w:t>
      </w:r>
      <w:bookmarkStart w:id="763" w:name="pg11754_113065"/>
    </w:p>
    <w:p>
      <w:pPr>
        <w:pStyle w:val="BookText"/>
        <w:rPr/>
      </w:pPr>
      <w:bookmarkEnd w:id="763"/>
      <w:r>
        <w:rPr>
          <w:rFonts w:ascii="IRNazanin" w:hAnsi="IRNazanin" w:eastAsia="IRNazanin"/>
          <w:color w:val="111111"/>
          <w:sz w:val="28"/>
          <w:sz w:val="28"/>
          <w:szCs w:val="28"/>
          <w:rtl w:val="true"/>
          <w:lang w:bidi="fa-IR"/>
        </w:rPr>
        <w:t>لم یکمل فیه العمل فیأتی شخص آخر فیتمّه و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الأعظم صلی الله علیه و آله حیث إنّ شریعته أکمل الشرائع و خاتمتها، بُعِثَ لإتمام مکارم الأخلاق، التی اهتمّ بها سائر الأنبیاء و الرسل علیهم السلام أیضاً، فالأنبیاء الذین بعثوا قبل نبیّنا الأعظم صلی الله علیه و آله کانت أهدافهم تربیة نفوس الناس و تعلیمهم مکارم الأخلاق و محاسنها، لکنّ اللّه بعث محمّداً صلی الله علیه و آله لإتمام مکارم الأخلاق و إکماله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 یعلّم البشر سنن التقوی و سنن التکامل، و یعلّمهم أعمالاً و أخلاقاً کریمة تتزکّی بها نفوسهم، و تخرج فیها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منها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لتربیة النفس و إصلاحها، و تهذیب الروح و تکمیلها؛ لأنّ الإنسان إنسان بنفسه و روحه، و أمراض الروح أعقد من أمراض البدن، و معالجتها أصعب، و مثله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 فإنّ اللّه بعثنی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9530999_73709187"/>
      <w:bookmarkStart w:id="765" w:name="_Toc302"/>
      <w:bookmarkEnd w:id="764"/>
      <w:r>
        <w:rPr>
          <w:rtl w:val="true"/>
        </w:rPr>
        <w:t>الطائفة الثانیة</w:t>
      </w:r>
      <w:r>
        <w:rPr>
          <w:rtl w:val="true"/>
        </w:rPr>
        <w:t xml:space="preserve">: </w:t>
      </w:r>
      <w:r>
        <w:rPr>
          <w:rtl w:val="true"/>
        </w:rPr>
        <w:t>الروایات التی وردت فی بیان أجر الهدایة و التربیة</w:t>
      </w:r>
      <w:bookmarkEnd w:id="76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لئن یهدی اللّه بک رجلاً خیرٌ من أن یکون لک حمر النعم</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 من الدُّنیا و ما فیها</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 صلی الله علیه و آله أیضاً أنّه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أهدی مسلم لأخیه هدیّةً أفضل</w:t>
      </w:r>
      <w:bookmarkStart w:id="766" w:name="pg11754_113066"/>
    </w:p>
    <w:p>
      <w:pPr>
        <w:pStyle w:val="BookText"/>
        <w:rPr/>
      </w:pPr>
      <w:bookmarkEnd w:id="766"/>
      <w:r>
        <w:rPr>
          <w:rFonts w:ascii="Amiri" w:hAnsi="Amiri" w:eastAsia="Amiri" w:cs="Amiri"/>
          <w:color w:val="111111"/>
          <w:sz w:val="28"/>
          <w:sz w:val="28"/>
          <w:szCs w:val="28"/>
          <w:rtl w:val="true"/>
          <w:lang w:bidi="ar-SA"/>
        </w:rPr>
        <w:t xml:space="preserve">من کلمة حکمةٍ یزیده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هُدًی، أو یردّه بها عن ردَی</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أنّ علیّ بن الحسین علیهما السلام قال لولیّ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أراد قود القاتل أو المصالحة معه علی الدیة، مع تلقین المرء بتوحید اللّه و نبوّة محمّد صلی الله علیه و آله بحیث صار سبب تربیته و هدایته بدین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اللّه هذا یفی بدماء أهل الأرض کلّهم من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7" w:name="__RefHeading___Toc9531001_73709187"/>
      <w:bookmarkStart w:id="768" w:name="_Toc303"/>
      <w:bookmarkEnd w:id="767"/>
      <w:r>
        <w:rPr>
          <w:rtl w:val="true"/>
        </w:rPr>
        <w:t>الطائفة الثالثة</w:t>
      </w:r>
      <w:r>
        <w:rPr>
          <w:rtl w:val="true"/>
        </w:rPr>
        <w:t xml:space="preserve">: </w:t>
      </w:r>
      <w:r>
        <w:rPr>
          <w:rtl w:val="true"/>
        </w:rPr>
        <w:t>ما وردت فی منزلة الفقیه الذی یربّی نفوس الناس</w:t>
      </w:r>
      <w:bookmarkEnd w:id="76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التفسیر المنسوب إلی أبی محمّد الحسن العسکری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کنت همّتک ذات نفسک، و کفیت الناس مئونتک، فادخل الجنّة، ألاّ إنّ الفقیه من أفاض علی الناس خیره، و أنقذهم من أعدائهم، و وفّر علیهم نعم جنان اللّه، و حصّل لهم رضوان اللّه تعالی، و 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الکافل لأیتام آل محمّد، الهادی لضعفاء محبّیهم و موالیهم قف حتّی تشفع لکلّ من أخذ عنک، أو تعلّم منک، فیقف فیدخل الجنّة معه فئاماً</w:t>
      </w:r>
      <w:r>
        <w:rPr>
          <w:rStyle w:val="FootnoteAnchor"/>
          <w:rtl w:val="true"/>
        </w:rPr>
        <w:footnoteReference w:id="1348"/>
      </w:r>
      <w:r>
        <w:rPr>
          <w:rFonts w:ascii="IRNazanin" w:hAnsi="IRNazanin" w:eastAsia="IRNazanin"/>
          <w:color w:val="111111"/>
          <w:sz w:val="28"/>
          <w:sz w:val="28"/>
          <w:szCs w:val="28"/>
          <w:rtl w:val="true"/>
          <w:lang w:bidi="fa-IR"/>
        </w:rPr>
        <w:t>و فئاماً و فئاماً حتّی قال عشراً، و هم الذین أخذوا عنه علومه، و أخذوا عمّن أخذ عنه، و عمّن أخذ عمّن أخذ عنه إلی یوم القیامة فانظروا کم فرق بین المنزلتین</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ورد عن موسی بن جعفر علیهما السلام</w:t>
      </w:r>
      <w:r>
        <w:rPr>
          <w:rStyle w:val="FootnoteAnchor"/>
          <w:rtl w:val="true"/>
        </w:rPr>
        <w:footnoteReference w:id="1350"/>
      </w:r>
      <w:bookmarkStart w:id="769" w:name="pg11754_113067"/>
    </w:p>
    <w:p>
      <w:pPr>
        <w:pStyle w:val="Heading6"/>
        <w:numPr>
          <w:ilvl w:val="5"/>
          <w:numId w:val="1"/>
        </w:numPr>
        <w:rPr/>
      </w:pPr>
      <w:bookmarkStart w:id="770" w:name="__RefHeading___Toc9531003_73709187"/>
      <w:bookmarkStart w:id="771" w:name="_Toc304"/>
      <w:bookmarkEnd w:id="769"/>
      <w:bookmarkEnd w:id="770"/>
      <w:r>
        <w:rPr>
          <w:rtl w:val="true"/>
        </w:rPr>
        <w:t>الطائفة الرابعة</w:t>
      </w:r>
      <w:r>
        <w:rPr>
          <w:rtl w:val="true"/>
        </w:rPr>
        <w:t xml:space="preserve">: </w:t>
      </w:r>
      <w:r>
        <w:rPr>
          <w:rtl w:val="true"/>
        </w:rPr>
        <w:t>ما وردت فی أجر التعلیم و حثّ الناس به</w:t>
      </w:r>
      <w:bookmarkEnd w:id="77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العابد کفَضلی علی أدناکم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و أهل السماوات و الأرضین حتّی النملة فی جُحرها و حتّی الحوت لیصلّون علی معلّم الناس الخیر</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بالإسناد الصحیح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فاطلبوا العلم فی مظانّه، و اقتبسوه من أهله؛ فإنّ تعلّمه للّه حسنةٌ، و طلبه عبادةٌ، و المذاکرة فیه تسبیح، و العمل به جهاد، و تعلیمه من لا یعلمه صدقة، و بذله لأهله قربة إلی اللّه تعالی؛ لأنّه معالم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محمّد بن مسلم،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یعلّم العلم منکم له أجر مثل أجر المتعلِّم، و له الفضل علیه، فتعلّموا العلم من حملة العلم و علّموه إخوانکم کما علّمکموه العلماء</w:t>
      </w:r>
      <w:r>
        <w:rPr>
          <w:rFonts w:eastAsia="IRNazanin" w:cs="IRNazanin"/>
          <w:color w:val="111111"/>
          <w:sz w:val="28"/>
          <w:szCs w:val="28"/>
          <w:rtl w:val="true"/>
          <w:lang w:bidi="fa-IR"/>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أیضاً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خیراً فله مثل أجر من عمل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 غیره یجری ذلک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علّمه الناس کلّهم جری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هدی کان له أجر من عمل به، و لا ینقص أولئک من أُجورهم، و من علّم باب ضلال کان له وزر من</w:t>
      </w:r>
      <w:bookmarkStart w:id="772" w:name="pg11754_113068"/>
    </w:p>
    <w:p>
      <w:pPr>
        <w:pStyle w:val="BookText"/>
        <w:rPr/>
      </w:pPr>
      <w:bookmarkEnd w:id="772"/>
      <w:r>
        <w:rPr>
          <w:rFonts w:ascii="IRNazanin" w:hAnsi="IRNazanin" w:eastAsia="IRNazanin"/>
          <w:color w:val="111111"/>
          <w:sz w:val="28"/>
          <w:sz w:val="28"/>
          <w:szCs w:val="28"/>
          <w:rtl w:val="true"/>
          <w:lang w:bidi="fa-IR"/>
        </w:rPr>
        <w:t>عمل به، و لا ینقص أولئک من أوزارهم</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روی عن أبی عبد اللّه علیه السلام أیضاً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معلّم الخیر یستغفر له دوابّ الأرض و حیتان البحر، و کلّ ذی روح فی الهواء، و جمیع أهل السماء و الأرض، و إنّ العالم و المتعلّم فی الأجر سواء، یأتیان یوم القیامة کفرسی رهان یزدحمان</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ما رواه عن أبی عبد اللّه علیه السلام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حمّاد الحارثی،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الرجل یوم القیامة و له من الحسنات کالسحاب الرکام، أو کالجبال الرواسی،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أنّی لی هذا و لم أعملها؟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علمک الذی علّمته الناس یعمل به من بعدک</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9531005_73709187"/>
      <w:bookmarkStart w:id="774" w:name="_Toc305"/>
      <w:bookmarkEnd w:id="773"/>
      <w:r>
        <w:rPr>
          <w:rtl w:val="true"/>
        </w:rPr>
        <w:t>المطلب الثانی فی ذکر ما دلّ علی ضرورة کون التربیة فی مرحلة الصبا</w:t>
      </w:r>
      <w:bookmarkEnd w:id="7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اهتمام الإسلام بالطفولة اهتماماً واسعاً، و لذا لم یسعد الأطفال فی العالم کما سعدوا فی ظلّ الحضارة الإسلامیّة؛ فإنّ عنایة الإسلام بالنشأة الاُولی تفوق کلّ عنایةٍ باعتبارها حجر الزاویة فی بناء المجتمع الإسلامی، و فی تاریخنا الإسلامی ارتبطت وضعیّة الطفل المسلم بمدی التطبیق العملی لتعالیم الإسلام، فکلّما ساد العدل الاجتماعی و اطمأنّ المسلمون إلی أنفسهم، کان أطفالهم بمنجاة من عوامل الضیاع و أسباب الفساد</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الصبا هی مرحلة التعلیم و التربیة، و یرسخ فی قلب الصبی کلّ ما یعلّمه الوالدین أو المعلّم و غیرهما، و قد حثّ أولیاء الدین بتعلیمهم الصغار و تربیتهم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w:t>
      </w:r>
    </w:p>
    <w:p>
      <w:pPr>
        <w:pStyle w:val="BookText"/>
        <w:rPr/>
      </w:pPr>
      <w:r>
        <w:rPr>
          <w:rFonts w:ascii="IRNazanin" w:hAnsi="IRNazanin" w:eastAsia="IRNazanin"/>
          <w:color w:val="111111"/>
          <w:sz w:val="28"/>
          <w:sz w:val="28"/>
          <w:szCs w:val="28"/>
          <w:rtl w:val="true"/>
          <w:lang w:bidi="fa-IR"/>
        </w:rPr>
        <w:t>عن أمیر المؤمنین علیه السلام أنّه قال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کالأرض الخالیة ما القی فیها من شیء قبلته، فبادرتک بالأدب قبل أن یقسُوَ قلبک و یشتغل لبّک</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من الصغر کالنقش فی الحجر</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نوادر الراوندی بإسناده 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فی شبابه کان بمنزلة الرسم فی الحجر، و من تعلّم و هو کبیر کان بمنزلة الکتاب علی وجه الماء</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صغاراً تسُودوا به کباراً</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یتعلّم فی الصغر لم یتقدّم فی الکبر</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الدیوان المنسوب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حرّض بنیک علی الآداب فی الصغر کیما تقرّ بهم عیناک فی الکبر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مثل الآداب تجمعها فی عنفوان الصبا کالنقش فی الحجر</w:t>
      </w:r>
    </w:p>
    <w:p>
      <w:pPr>
        <w:pStyle w:val="BookText"/>
        <w:rPr/>
      </w:pPr>
      <w:r>
        <w:rPr>
          <w:rFonts w:ascii="IRNazanin" w:hAnsi="IRNazanin" w:eastAsia="IRNazanin"/>
          <w:color w:val="111111"/>
          <w:sz w:val="28"/>
          <w:sz w:val="28"/>
          <w:szCs w:val="28"/>
          <w:rtl w:val="true"/>
          <w:lang w:bidi="fa-IR"/>
        </w:rPr>
        <w:t>هی الکنوز التی تنمو ذخائرها و لا یخاف علیها حادث الغیر</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و فی الکافی بإسناده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لأبی جعفر الأحول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مسارعة الناس فی هذا الأمر و دخولهم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قبول أمر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إنّهم لقلیل و لقد فعلوا، و إنّ ذلک لقلیل،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إلی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تأدّبت صغیراً انتفعت به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عنه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أولادکم بالحدیث قبل أن یسبقکم إلیهم المرجئة</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الوالدین أن یجتهدوا کمال الاجتهاد فی تربیة أولادهم و تعلیمهم فی هذه المرحلة و یستفیدوا من الفرصة التی وجدت فی الأطفال، فیجب اغتنامها؛ لأنّها إن فاتت لم تحصل فی المراحل الاُخری قط</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bookmarkStart w:id="775" w:name="pg11754_113071"/>
    </w:p>
    <w:p>
      <w:pPr>
        <w:pStyle w:val="BookText"/>
        <w:rPr/>
      </w:pPr>
      <w:bookmarkEnd w:id="775"/>
      <w:r>
        <w:rPr>
          <w:rFonts w:ascii="IRNazanin" w:hAnsi="IRNazanin" w:eastAsia="IRNazanin"/>
          <w:color w:val="111111"/>
          <w:sz w:val="28"/>
          <w:sz w:val="28"/>
          <w:szCs w:val="28"/>
          <w:rtl w:val="true"/>
          <w:lang w:bidi="fa-IR"/>
        </w:rPr>
        <w:t>و عنه صلی الله علیه و آله أیضاً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له باب خیر فلینتهزه؛ فإنّه لا یدری متی یغلق عنه</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تمرّ مرّ السحاب، فانتهزوا فرص الخیر</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9531007_73709187"/>
      <w:bookmarkStart w:id="777" w:name="_Toc306"/>
      <w:bookmarkEnd w:id="776"/>
      <w:r>
        <w:rPr>
          <w:rtl w:val="true"/>
        </w:rPr>
        <w:t>المطلب الثالث فی بیان ما دلّ علی عظم مسئولیّة الوالدین</w:t>
      </w:r>
      <w:bookmarkEnd w:id="777"/>
    </w:p>
    <w:p>
      <w:pPr>
        <w:pStyle w:val="BookText"/>
        <w:rPr/>
      </w:pPr>
      <w:r>
        <w:rPr>
          <w:rFonts w:ascii="IRNazanin" w:hAnsi="IRNazanin" w:eastAsia="IRNazanin"/>
          <w:color w:val="111111"/>
          <w:sz w:val="28"/>
          <w:sz w:val="28"/>
          <w:szCs w:val="28"/>
          <w:rtl w:val="true"/>
          <w:lang w:bidi="fa-IR"/>
        </w:rPr>
        <w:t>إنّ الأولاد فی الواقع أمانة من اللّه عند الآباء و الاُمّهات، فینبغی مراقبتهم کمال المراقبة و المحافظة علیهم، و تعلیمهم أحکام الإسلام، و تربیتهم بالمکارم و المحاسن، و نیلهم بالسعادة و فوز الدُّنیا و الآخرة، و أن یحفظاهم ممّا یؤدّی إلی الانحراف و الضلال؛ فإنّ مسئولیّتهم فی قبال تربیة الأولاد عظیمة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النصوص الکثیرة نذکر بعضها فی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کلّ مولود یولد علی فطرة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الفقیه بإسناده عن فضل بن عثمان الأعور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یولد إلاّ علی الفطرة</w:t>
      </w:r>
      <w:r>
        <w:rPr>
          <w:rStyle w:val="FootnoteAnchor"/>
          <w:rtl w:val="true"/>
        </w:rPr>
        <w:footnoteReference w:id="1373"/>
      </w:r>
      <w:r>
        <w:rPr>
          <w:rFonts w:ascii="Amiri" w:hAnsi="Amiri" w:eastAsia="Amiri" w:cs="Amiri"/>
          <w:color w:val="111111"/>
          <w:sz w:val="28"/>
          <w:sz w:val="28"/>
          <w:szCs w:val="28"/>
          <w:rtl w:val="true"/>
          <w:lang w:bidi="ar-SA"/>
        </w:rPr>
        <w:t>فأبواه اللّذان یهوّدانه و ینصّرانه</w:t>
      </w:r>
    </w:p>
    <w:p>
      <w:pPr>
        <w:pStyle w:val="BookText"/>
        <w:rPr/>
      </w:pPr>
      <w:r>
        <w:rPr>
          <w:rFonts w:ascii="IRNazanin" w:hAnsi="IRNazanin" w:eastAsia="IRNazanin"/>
          <w:color w:val="111111"/>
          <w:sz w:val="28"/>
          <w:sz w:val="28"/>
          <w:szCs w:val="28"/>
          <w:rtl w:val="true"/>
          <w:lang w:bidi="fa-IR"/>
        </w:rPr>
        <w:t>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الکلینی فی 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الحنیفیّة من الفطرة التی فطر اللّه الناس علیها، لا تبدیل لخلق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من ظهر آدم ذرّیته إلی یوم القیامة، فخرجوا کالذرّ، فعرّفهم و أراهم نفسه، و لو لا ذلک لم یعرف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یعنی المعرفة بأنّ اللّه عزّ و جلّ خالقه</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بهذا المضمون عن طریق أهل السنّة أیضاً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هذه النصوص أنّ الوالدین قادران علی أن یحوّلا فطرة الولد التی خلقها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التوحید و المعرفة، فإن بادروا بالتعلیم و التربیة الصحیحة</w:t>
      </w:r>
    </w:p>
    <w:p>
      <w:pPr>
        <w:pStyle w:val="BookText"/>
        <w:rPr/>
      </w:pPr>
      <w:r>
        <w:rPr>
          <w:rFonts w:ascii="IRNazanin" w:hAnsi="IRNazanin" w:eastAsia="IRNazanin"/>
          <w:color w:val="111111"/>
          <w:sz w:val="28"/>
          <w:sz w:val="28"/>
          <w:szCs w:val="28"/>
          <w:rtl w:val="true"/>
          <w:lang w:bidi="fa-IR"/>
        </w:rPr>
        <w:t>من أوّل سنین عمر الولد یصیر سعیداً، و إن بادروا بالتعلیم و التربیة الفاسدة یصیر الولد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تحثّ الوالدین علی تربیة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ما ورّث الآباء لأبنائهم الأدب لا المال؛ فإنّ المال یذهب و الأدب یبقی</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المستدرک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نحل والد ولداً نحلاً أفضل من أدب حسن</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المستدرک أیضاً عن دعائم الإسلام،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یورث أهل بیته العلم و الأدب الصالح حتّی یُدخلهم الجنّة جمیعاً، حتّی لا یفقد فیها منهم صغیراً و لا کبیراً، و لا خادماً و لا جاراً، و لا یزال العبد العاصی یورث أهل بیته الأدب السیئ حتّی یدخلهم النار جمیعاً، حتّی لا یفقد فیها منهم صغیراً و لا کبیراً، و لا خادماً و لا جاراً</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طریق أهل السنّة</w:t>
      </w:r>
    </w:p>
    <w:p>
      <w:pPr>
        <w:pStyle w:val="BookText"/>
        <w:rPr/>
      </w:pP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ابنة فأدّبها و أحسن أدبها، و علّمها فأحسن تعلیمها، فأوسع علیها من نعم اللّه التی أسبغ علیه، کانت له منعةً و ستراً من النار</w:t>
      </w:r>
      <w:r>
        <w:rPr>
          <w:rFonts w:eastAsia="IRNazanin" w:cs="IRNazanin"/>
          <w:color w:val="111111"/>
          <w:sz w:val="28"/>
          <w:szCs w:val="28"/>
          <w:rtl w:val="true"/>
          <w:lang w:bidi="fa-IR"/>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المدّعی ظاهرة؛ فإنّها تدلّ علی عنایة خاصّة بتربیة الولد و تعویده علی الأخلاق الفاضلة و الصفات الحمیدة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أنّ الرجل کالراعی علی أهل بیته و مسئول عنهم</w:t>
      </w:r>
      <w:r>
        <w:rPr>
          <w:rFonts w:eastAsia="IRNazanin" w:cs="IRNazanin"/>
          <w:color w:val="111111"/>
          <w:sz w:val="28"/>
          <w:szCs w:val="28"/>
          <w:rtl w:val="true"/>
          <w:lang w:bidi="fa-IR"/>
        </w:rPr>
        <w:t>:</w:t>
      </w:r>
      <w:bookmarkStart w:id="778" w:name="pg11754_113074"/>
    </w:p>
    <w:p>
      <w:pPr>
        <w:pStyle w:val="BookText"/>
        <w:rPr/>
      </w:pPr>
      <w:bookmarkEnd w:id="7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رُوی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مسئول عن رعیّته، فالأمیر علی الناس راعٍ و هو مسئول عن رعیته، و الرجل راعٍ علی أهل بیته و هو مسئول عنهم، فالمرأة راعیة علی أهل بیت بعلها و ولده، و هی مسئولة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فکلّکم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راعی الماشیة یرعیها؛ أی یحوطها و یحفظها، فعلی الرجل أن یحوط أهل بیته و أطفاله و یحفظهما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علیّ بن الحسین علیه السلام فی رسالة الحقوق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مسئول عمّا ولّیته من حسن الأدب و الدلالة علی ربّه</w:t>
      </w:r>
      <w:r>
        <w:rPr>
          <w:rFonts w:eastAsia="IRNazanin" w:cs="IRNazanin"/>
          <w:color w:val="111111"/>
          <w:sz w:val="28"/>
          <w:szCs w:val="28"/>
          <w:rtl w:val="true"/>
          <w:lang w:bidi="fa-IR"/>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أنّ جعفر بن محمّد الصادق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البنات حسنات، و البنون نِعم و الحسنات یثاب علیها، و النِّعم مسئول عنها</w:t>
      </w:r>
      <w:r>
        <w:rPr>
          <w:rFonts w:eastAsia="IRNazanin" w:cs="IRNazanin"/>
          <w:color w:val="111111"/>
          <w:sz w:val="28"/>
          <w:szCs w:val="28"/>
          <w:rtl w:val="true"/>
          <w:lang w:bidi="fa-IR"/>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9531009_73709187"/>
      <w:bookmarkStart w:id="780" w:name="_Toc307"/>
      <w:bookmarkEnd w:id="779"/>
      <w:r>
        <w:rPr>
          <w:rtl w:val="true"/>
        </w:rPr>
        <w:t>المطلب الرابع فی ثمرة تربیة الأطفال و تعلیمهم</w:t>
      </w:r>
      <w:bookmarkEnd w:id="7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الفوائد الهامّة و الثمرات العظیمة لتربیة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صلاح أنفسهم، و تقویة إیمانهم التی توجب أن یسلکوا صراط المستقیم، و لا یعصون اللّه، و یفلحوا فی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آبائهم و امّهاتهم من صالحات أعمالهم فی حیاتهم و بعد وفاتهم، من أجل أنّ کلّ عمل صالح یفعله الأولاد فی طوال عمرهم؛ فإنّ اللّه بفضله و کرمه یعطی الثواب لآبائهم و امّهاتهم الذین ربّوهم علی فعلها بمثل ما یعطی للأولاد أنفسهم؛ إذ تربیة الأولاد بمنزلة بذر الأعمال الصالحة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البذر ینتج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الأب 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ینتج لغیره، و هذا المعنی یساعده العقل، و غیر خفیّ علی ذی فکر و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 القرآن العظیم، حیث وصف المؤمنین القانتین بأنّهم عباد الرحمن یبتهلون إلی اللّه عزّ و جلّ، 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فیطلبون الذرّیة الطیّبة لتکون هذه الذرّیة قرّة عین لهم، و تنفعهم فی الحیاة و بعد الممات، و هکذا یکون نافعاً للعباد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ورد عن الأئمّة المعصومین علیهم السلام فی تأکید هذا المعنی و فضل الولد الصالح روایات کثیرة کادت أن تکون معناها متواترة، فنذکر نماذج منها علی نحو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بإسناده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ریحانة من اللّه قسّمها بین عباده، و إنّ ریحانتیّ من الدنیا الحسن و الحسین علیهما السلام، سمّیتهما باسم سبطین من بنی إسرائیل شبّراً و شبیراً</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الولد الصالح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أیضاً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عیسی بن مریم علیه السلام بقبر یعذّب صاحبه، ثمّ مرّ به من قابل فإذاً هو لا یعذَّب،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مررتُ بهذا القبر عام أوّل و هو یُعذّب، و مررت به العام فإذا هو لیس یُعذَّب؟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 له ولد صالح فأصلح طریقاً، و آوی یتیماً، فلهذا غفرت له بما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اللّه عزّ و جلّ من عبده المؤمن ولد یعبده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أبو عبد اللّه علیه السلام آیة</w:t>
      </w:r>
    </w:p>
    <w:p>
      <w:pPr>
        <w:pStyle w:val="BookText"/>
        <w:rPr/>
      </w:pPr>
      <w:r>
        <w:rPr>
          <w:rFonts w:ascii="Amiri" w:hAnsi="Amiri" w:eastAsia="Amiri" w:cs="Amiri"/>
          <w:color w:val="111111"/>
          <w:sz w:val="28"/>
          <w:sz w:val="28"/>
          <w:szCs w:val="28"/>
          <w:rtl w:val="true"/>
          <w:lang w:bidi="ar-SA"/>
        </w:rPr>
        <w:t xml:space="preserve">زکریا 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اللّه من عبده المؤمن الولد الصالح یستغفر له</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رواه فی العوالی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کبد المؤمن، إن مات قبله صار شفیعاً له، و إن مات بعده یستغفر له فیغفر اللّه له</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یلحق الرجل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الولد الصالح یدعو لوالدیه بعد موتهما، و یحجّ و یتصدّق عنهما، و یعتق و یصوم و یصلّی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اشرکهما فی حجّی؟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الدعائم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 أحداً من الناس بعد الموت شیء إلاّ صدقة جاریة أو دعاء ولد</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بإسناده عن هشام بن سالم، عن أبی عبد اللّه علیه السلام 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 سنّة هدی سَنَّها فهی یعمل بها بعد موته، أو ولد صالح یدعو له</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أیضاً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سنّها یعمل بها بعد موته فیکون له مثل أجر من عمل بها من غیر أن ینقص من أُجورهم شیء، و الصدقة الجاریة تجری من بعده، و الولد الصالح یدعو لوالدیه بعد موتهما، و یحجّ و یتصدّق عنهما، و یعتق و یصوم و یصلّی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اشرکهما فی حجّی؟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هذا المعنی عن طریق أهل السنّة عن النبیّ صلی الله علیه و آله أیضاً</w:t>
      </w:r>
      <w:r>
        <w:rPr>
          <w:rStyle w:val="FootnoteAnchor"/>
          <w:rtl w:val="true"/>
        </w:rPr>
        <w:footnoteReference w:id="1392"/>
      </w:r>
      <w:bookmarkStart w:id="781" w:name="pg11754_113078"/>
    </w:p>
    <w:p>
      <w:pPr>
        <w:pStyle w:val="Heading4"/>
        <w:numPr>
          <w:ilvl w:val="3"/>
          <w:numId w:val="1"/>
        </w:numPr>
        <w:rPr/>
      </w:pPr>
      <w:bookmarkStart w:id="782" w:name="__RefHeading___Toc9531011_73709187"/>
      <w:bookmarkStart w:id="783" w:name="_Toc308"/>
      <w:bookmarkEnd w:id="781"/>
      <w:bookmarkEnd w:id="782"/>
      <w:r>
        <w:rPr>
          <w:rtl w:val="true"/>
        </w:rPr>
        <w:t>المبحث الثالث</w:t>
      </w:r>
      <w:r>
        <w:rPr>
          <w:rtl w:val="true"/>
        </w:rPr>
        <w:t xml:space="preserve">: </w:t>
      </w:r>
      <w:r>
        <w:rPr>
          <w:rtl w:val="true"/>
        </w:rPr>
        <w:t>حکم التربیة و التعلیم و الولایة علیهما</w:t>
      </w:r>
      <w:bookmarkEnd w:id="783"/>
    </w:p>
    <w:p>
      <w:pPr>
        <w:pStyle w:val="Heading5"/>
        <w:numPr>
          <w:ilvl w:val="4"/>
          <w:numId w:val="1"/>
        </w:numPr>
        <w:rPr/>
      </w:pPr>
      <w:bookmarkStart w:id="784" w:name="__RefHeading___Toc9531013_73709187"/>
      <w:bookmarkStart w:id="785" w:name="_Toc309"/>
      <w:bookmarkEnd w:id="784"/>
      <w:r>
        <w:rPr>
          <w:rtl w:val="true"/>
        </w:rPr>
        <w:t>تمهید</w:t>
      </w:r>
      <w:r>
        <w:rPr>
          <w:rtl w:val="true"/>
        </w:rPr>
        <w:t>:</w:t>
      </w:r>
      <w:bookmarkEnd w:id="785"/>
    </w:p>
    <w:p>
      <w:pPr>
        <w:pStyle w:val="BookText"/>
        <w:rPr/>
      </w:pPr>
      <w:r>
        <w:rPr>
          <w:rFonts w:ascii="IRNazanin" w:hAnsi="IRNazanin" w:eastAsia="IRNazanin"/>
          <w:color w:val="111111"/>
          <w:sz w:val="28"/>
          <w:sz w:val="28"/>
          <w:szCs w:val="28"/>
          <w:rtl w:val="true"/>
          <w:lang w:bidi="fa-IR"/>
        </w:rPr>
        <w:t xml:space="preserve">لا شکّ فی أنّ تربیة الأطفال بأقسامها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التربیة الإیمانیّة و الخُلقیّة و النفسیّة و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الموارد واجب إجمالاً، و فی بعضها الآخر مستحبّ، نظیر الأمر بالمعروف و النهی عن المنکر، اللّذین ینقسمان إلی واجب و مندوب، و یکون المتولّی لإجراء هذا الحکم أولیاء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الوصیّ منهما و الاُمّ و الحاکم و عدول المؤمنین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ولایة الأولیاء علی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الإشراف علی شئون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الحضانة، و الولایة علی التزویج، و قد سبق الکلام فیهما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تربیة الأولاد و تأدیبهم و تعلیمهم، و هی المقصودة فی المقام، فیجب علیهم تربیتهم باُمور ضروریّة من الوجهة الدِّینیة التی اهتمّ بها الشارع کمال الاهتمام، کربط الأب ولده منذ تعقّله بالإیمان باللّه و بالنبیّ الأعظم صلی الله علیه و آله، و تعلیمه العقائد الحقّة الاثنی عشریّة، و کذا تعلیمه الواجبات التی یجب لدی البلوغ بکلّ مکلّف، کالطهارة و الصلاة و الصوم، و تربیته بالاجتناب عن المحرّمات و الرذائل التی لم یرض الشارع فعلها من أیّ فاعل حتّی من غیر المکلّفین، کالسرقة و الزنا و غیرها، و بالإجمال تربیته و تعلیمه الاُمور التی فیها مصلحة ملزمة للطفل</w:t>
      </w:r>
      <w:r>
        <w:rPr>
          <w:rFonts w:eastAsia="IRNazanin" w:cs="IRNazanin"/>
          <w:color w:val="111111"/>
          <w:sz w:val="28"/>
          <w:szCs w:val="28"/>
          <w:rtl w:val="true"/>
          <w:lang w:bidi="fa-IR"/>
        </w:rPr>
        <w:t>.</w:t>
      </w:r>
      <w:bookmarkStart w:id="786" w:name="pg11754_113079"/>
    </w:p>
    <w:p>
      <w:pPr>
        <w:pStyle w:val="BookText"/>
        <w:rPr/>
      </w:pPr>
      <w:bookmarkEnd w:id="786"/>
      <w:r>
        <w:rPr>
          <w:rFonts w:ascii="IRNazanin" w:hAnsi="IRNazanin" w:eastAsia="IRNazanin"/>
          <w:color w:val="111111"/>
          <w:sz w:val="28"/>
          <w:sz w:val="28"/>
          <w:szCs w:val="28"/>
          <w:rtl w:val="true"/>
          <w:lang w:bidi="fa-IR"/>
        </w:rPr>
        <w:t>و یستحبّ لهم تربیة الأطفال و تمرینهم بفعل الطهارة و إتیان الصلوات الیومیّة فی زمان صغرهم و النوافل، و تعلیمهم تلاوة القرآن و الأدعیة المأثورة، و الحضور فی الجمعة و الجماعات، و کذا تعلیمهم الصناعات و الحرف و العلوم التی کانت لدی البلوغ نافعة لهم، و غیر ذلک من مصالحهم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مسئولیّة الأولیاء و المربّین بالنسبة إلی أولادهم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تربیتهم و ربطهم بالاُمور التی اهتمّ بها الشارع کمال الاهتمام، فهی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بالاُمور التی لم تکن بهذه الأهمّیة، و فیها مصلحة غیر ملزمة؛ و هی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فنتعرّض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یمکن أن یستفاد منه فی آراء الفقهاء فی وجوب التربیة و تعلیم الأطفال،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یکون دلیلاً علی وجوبها فی موارد،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تدلّ علی استحبابها فی موارد اخری علی الترتیب التالی</w:t>
      </w:r>
      <w:r>
        <w:rPr>
          <w:rFonts w:eastAsia="IRNazanin" w:cs="IRNazanin"/>
          <w:color w:val="111111"/>
          <w:sz w:val="28"/>
          <w:szCs w:val="28"/>
          <w:rtl w:val="true"/>
          <w:lang w:bidi="fa-IR"/>
        </w:rPr>
        <w:t>:</w:t>
      </w:r>
    </w:p>
    <w:p>
      <w:pPr>
        <w:pStyle w:val="Heading5"/>
        <w:numPr>
          <w:ilvl w:val="4"/>
          <w:numId w:val="1"/>
        </w:numPr>
        <w:rPr/>
      </w:pPr>
      <w:bookmarkStart w:id="787" w:name="__RefHeading___Toc9531015_73709187"/>
      <w:bookmarkStart w:id="788" w:name="_Toc310"/>
      <w:bookmarkEnd w:id="787"/>
      <w:r>
        <w:rPr>
          <w:rtl w:val="true"/>
        </w:rPr>
        <w:t>آراء الفقهاء فی وجوب التربیة و تعلیم الأطفال</w:t>
      </w:r>
      <w:bookmarkEnd w:id="788"/>
    </w:p>
    <w:p>
      <w:pPr>
        <w:pStyle w:val="BookText"/>
        <w:rPr/>
      </w:pPr>
      <w:r>
        <w:rPr>
          <w:rFonts w:ascii="IRNazanin" w:hAnsi="IRNazanin" w:eastAsia="IRNazanin"/>
          <w:color w:val="111111"/>
          <w:sz w:val="28"/>
          <w:sz w:val="28"/>
          <w:szCs w:val="28"/>
          <w:rtl w:val="true"/>
          <w:lang w:bidi="fa-IR"/>
        </w:rPr>
        <w:t>قد أشرنا فی تمهید هذا الباب إلی أنّه لم یتعرّض الفقهاء لمسائل التعلیم و التربیة علی نحو مستوعب و فی باب واحد، کالمسائل الاُخری مثل الصلاة و الصوم، و الظاهر أنّ مقصودهم من الحضانة معنی عامّ یشمل التربیة أیضاً و إن لم یبحثوا عن کلّ مسائلها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یمکن أن یستفاد من کلماتهم فی باب الحضانة و فی أبواب مختلفة اخری، أنّه یجب علی الأولیاء تربیة أولادهم و تعلیمهم فی بعض الموارد، و یستحبّ لهم ذلک فی بعض الموارد الاُخری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فنذکر بعض کلماتهم فی باب الحضانة التی یستفاد منها وجوب التربیة</w:t>
      </w:r>
      <w:bookmarkStart w:id="789" w:name="pg11754_113080"/>
    </w:p>
    <w:p>
      <w:pPr>
        <w:pStyle w:val="BookText"/>
        <w:rPr/>
      </w:pPr>
      <w:bookmarkEnd w:id="789"/>
      <w:r>
        <w:rPr>
          <w:rFonts w:ascii="IRNazanin" w:hAnsi="IRNazanin" w:eastAsia="IRNazanin"/>
          <w:color w:val="111111"/>
          <w:sz w:val="28"/>
          <w:sz w:val="28"/>
          <w:szCs w:val="28"/>
          <w:rtl w:val="true"/>
          <w:lang w:bidi="fa-IR"/>
        </w:rPr>
        <w:t>و التعلیم، أو یستفاد منها أنّه یجب علی الأولیاء منع أطفالهم عمّا یضرّهم، و هکذا نشیر إلی ما یستفاد منها وجوب التربیة و التعلیم فی أبواب خاصّة</w:t>
      </w:r>
      <w:r>
        <w:rPr>
          <w:rFonts w:eastAsia="IRNazanin" w:cs="IRNazanin"/>
          <w:color w:val="111111"/>
          <w:sz w:val="28"/>
          <w:szCs w:val="28"/>
          <w:rtl w:val="true"/>
          <w:lang w:bidi="fa-IR"/>
        </w:rPr>
        <w:t>.</w:t>
      </w:r>
    </w:p>
    <w:p>
      <w:pPr>
        <w:pStyle w:val="Heading5"/>
        <w:numPr>
          <w:ilvl w:val="4"/>
          <w:numId w:val="1"/>
        </w:numPr>
        <w:rPr/>
      </w:pPr>
      <w:bookmarkStart w:id="790" w:name="__RefHeading___Toc9531017_73709187"/>
      <w:bookmarkStart w:id="791" w:name="_Toc311"/>
      <w:bookmarkEnd w:id="790"/>
      <w:r>
        <w:rPr>
          <w:rtl w:val="true"/>
        </w:rPr>
        <w:t>استفادة وجوب التربیة و التعلیم من کلمات الأصحاب</w:t>
      </w:r>
      <w:bookmarkEnd w:id="791"/>
    </w:p>
    <w:p>
      <w:pPr>
        <w:pStyle w:val="Heading6"/>
        <w:numPr>
          <w:ilvl w:val="5"/>
          <w:numId w:val="1"/>
        </w:numPr>
        <w:rPr/>
      </w:pPr>
      <w:bookmarkStart w:id="792" w:name="__RefHeading___Toc9531019_73709187"/>
      <w:bookmarkStart w:id="793" w:name="_Toc312"/>
      <w:bookmarkEnd w:id="792"/>
      <w:r>
        <w:rPr>
          <w:rtl w:val="true"/>
        </w:rPr>
        <w:t>أ</w:t>
      </w:r>
      <w:r>
        <w:rPr>
          <w:rtl w:val="true"/>
        </w:rPr>
        <w:t xml:space="preserve">: </w:t>
      </w:r>
      <w:r>
        <w:rPr>
          <w:rtl w:val="true"/>
        </w:rPr>
        <w:t>کلماتهم فی باب الحضانة</w:t>
      </w:r>
      <w:bookmarkEnd w:id="793"/>
    </w:p>
    <w:p>
      <w:pPr>
        <w:pStyle w:val="BookText"/>
        <w:rPr/>
      </w:pPr>
      <w:r>
        <w:rPr>
          <w:rFonts w:ascii="IRNazanin" w:hAnsi="IRNazanin" w:eastAsia="IRNazanin"/>
          <w:color w:val="111111"/>
          <w:sz w:val="28"/>
          <w:sz w:val="28"/>
          <w:szCs w:val="28"/>
          <w:rtl w:val="true"/>
          <w:lang w:bidi="fa-IR"/>
        </w:rPr>
        <w:t>یستفاد من بعض کلماتهم فی باب الحضانة وجوب التربیة و التعلیم بالمعنی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بعضهم فی تعریف الحضانة</w:t>
      </w:r>
      <w:r>
        <w:rPr>
          <w:rStyle w:val="FootnoteAnchor"/>
          <w:rtl w:val="true"/>
        </w:rPr>
        <w:footnoteReference w:id="1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ولایة علی الطفل و المجنون لفائدة تربیته و ما یتعلّق بها من مصلحته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مختلف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الحاجة ماسّة إلی تربیته و حضانته</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 فی باب اللقیط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الملتقط حفظه و تربیته دون نفقته و حضانته</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حضانته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 و هو القیام بتعهّده علی وجه المصلحة</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الملتقط الحضانة بالمعروف و هو القیام بتعهّده</w:t>
      </w:r>
      <w:bookmarkStart w:id="794" w:name="pg11754_113081"/>
    </w:p>
    <w:p>
      <w:pPr>
        <w:pStyle w:val="BookText"/>
        <w:rPr/>
      </w:pPr>
      <w:bookmarkEnd w:id="794"/>
      <w:r>
        <w:rPr>
          <w:rFonts w:ascii="IRNazanin" w:hAnsi="IRNazanin" w:eastAsia="IRNazanin"/>
          <w:color w:val="111111"/>
          <w:sz w:val="28"/>
          <w:sz w:val="28"/>
          <w:szCs w:val="28"/>
          <w:rtl w:val="true"/>
          <w:lang w:bidi="fa-IR"/>
        </w:rPr>
        <w:t>علی وجه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یجب علیه لولده مثلاً</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منها و ما یشبه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کثیر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الحضانة تقتضی أن یربّی الطفل فیما هو لمصلحته، و إذا کانت المصلحة لزومیّة یجب علی الولی جلبها؛ لأنّ جعل الحضانة لم تکن إلاّ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أنّ الحضانة مطلقة و لا یختصّ بحفظ الطفل من الآفات فقط ما ذکر فی الجواهر فی شرح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فصل الولد و انقضت مدّة الرضاعة، فالوالد أحقّ بالذکر، و الاُمّ أحقّ بالاُنثی حتّی تبلغ سبع سنین من حین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الوالد أنسب بتربیة الذکر و تأدیبه، کما أنّ الوالدة أنسب بتربیة الاُنثی و تأدیبها</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9531021_73709187"/>
      <w:bookmarkStart w:id="796" w:name="_Toc313"/>
      <w:bookmarkEnd w:id="795"/>
      <w:r>
        <w:rPr>
          <w:rtl w:val="true"/>
        </w:rPr>
        <w:t>ب</w:t>
      </w:r>
      <w:r>
        <w:rPr>
          <w:rtl w:val="true"/>
        </w:rPr>
        <w:t xml:space="preserve">: </w:t>
      </w:r>
      <w:r>
        <w:rPr>
          <w:rtl w:val="true"/>
        </w:rPr>
        <w:t>کلماتهم فی أبواب اخری</w:t>
      </w:r>
      <w:bookmarkEnd w:id="796"/>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الأبوین أن یؤدّبا الولد إذا بلغ سبع سنین أو ثمانیا، و علی ولیّه أن یعلّمه الصوم و الصلاة، و إذا بلغ عشراً ضربه علی ذلک، یجب ذلک علی الولیّ دون الصبیّ</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الظاهر من کلام المفید فی المقنعة،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یؤخذ الصبیّ بالصیام إذا بلغ الحلم، أو قدر علی صیام ثلاثة أیّام متتابعات قبل أن یبلغ الحلم</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و قال العلاّمة فی نهایة الإحکام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فیجب علی الآباء و الاُمّهات تعلیمهم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الصلاة و الشرائع بعد السبع، و الضرب علی ترکها بعد العشر؛ لأنّه زمان احتمال البلوغ بالاحتلام فربما بلغ و لا یصدق و یؤمر بالصیام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اجرة تعلیم الفرائض فی مال الطفل، فإن لم یکن له مال فعلی الأب، فإن لم یکن له فعلی الإمام؛ لأنّه من المصالح</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الطفل سبع سنین کان علی أبیه أن یعلّمه الطهارة و الصلاة و یعلّمه الجماعة و حضورها لیعتادها؛ لأنّ هذا السنّ یحصل فیه التمیز من الصبیّ فی العبادة، و إذا بلغ عشر سنین ضرب علیها و إن کانت غیر واجبة؛ لاشتماله علی اللطف؛ و هو الاعتیاد و التمرّن</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نسبه فی مفتاح الکرامة إلی عدّة من الفقهاء</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التمیز یؤمر بالطهارة و الصلاة، و بالصوم فی بعض الأیّام من شهر رمضان، و یعلّم اصول العقائد و کلّ ما یحتاج إلیه من حدود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تأدّب الصبیّ بهذه الآداب فی صغره، صارت له بعد بلوغه ملکات راسخة، فیکون خیراً صالحاً، و إن نشأ علی خلاف ذلک حتّی ألف اللعب و 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 هو خبیث النفس، کثیف الجوهر، و کان وبالاً لوالدیه، و صدر منه ما یوجب الفضیحة و العار، فیجب علی کلّ والد أن لا یتسامح فی تأدیب ولده فی حالة الصبا؛ لأنّه أمانة اللّه عنده، و قلبه الطاهر جوهرة نفیسة ساذجة عن کلّ نقش و صورة، و قابل للخیر و الشرّ، و أبواه یمیلان به إلی أحدهما</w:t>
      </w:r>
      <w:r>
        <w:rPr>
          <w:rFonts w:eastAsia="IRNazanin" w:cs="IRNazanin"/>
          <w:color w:val="111111"/>
          <w:sz w:val="28"/>
          <w:szCs w:val="28"/>
          <w:rtl w:val="true"/>
          <w:lang w:bidi="fa-IR"/>
        </w:rPr>
        <w:t>»</w:t>
      </w:r>
      <w:r>
        <w:rPr>
          <w:rStyle w:val="FootnoteAnchor"/>
          <w:rtl w:val="true"/>
        </w:rPr>
        <w:footnoteReference w:id="1407"/>
      </w:r>
      <w:bookmarkStart w:id="797" w:name="pg11754_113083"/>
    </w:p>
    <w:p>
      <w:pPr>
        <w:pStyle w:val="BookText"/>
        <w:rPr/>
      </w:pPr>
      <w:bookmarkEnd w:id="797"/>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القرآن و تعلیمه کفایة، و استدلّ لإثبات هذا بالإجماع و النصوص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یتأکّد تعلّمه بالنسبة إلی الولدان</w:t>
      </w:r>
      <w:r>
        <w:rPr>
          <w:rFonts w:eastAsia="IRNazanin" w:cs="IRNazanin"/>
          <w:color w:val="111111"/>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منه وجوب تعلیم القرآن علی الأولیاء لأطفالهم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صراط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علی الأب تعلیم أولاده الأحکام الشرعیّة و الوظائف الدینیّة من الواجبات 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الفقیه جواد التبریزی فی ذیل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الوجوب إذا ترکوا الواجبات و فعلوا المحرّمات بسبب ترک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فی التعلیم بین المباشرة و التسبیب</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9531023_73709187"/>
      <w:bookmarkStart w:id="799" w:name="_Toc314"/>
      <w:bookmarkEnd w:id="798"/>
      <w:r>
        <w:rPr>
          <w:rtl w:val="true"/>
        </w:rPr>
        <w:t>وجوب حفظ الأطفال عمّا یضرّهم فی کلمات الأصحاب</w:t>
      </w:r>
      <w:bookmarkEnd w:id="799"/>
    </w:p>
    <w:p>
      <w:pPr>
        <w:pStyle w:val="Heading6"/>
        <w:numPr>
          <w:ilvl w:val="5"/>
          <w:numId w:val="1"/>
        </w:numPr>
        <w:rPr/>
      </w:pPr>
      <w:bookmarkStart w:id="800" w:name="__RefHeading___Toc9531025_73709187"/>
      <w:bookmarkStart w:id="801" w:name="_Toc315"/>
      <w:bookmarkEnd w:id="800"/>
      <w:r>
        <w:rPr>
          <w:rtl w:val="true"/>
        </w:rPr>
        <w:t>أ</w:t>
      </w:r>
      <w:r>
        <w:rPr>
          <w:rtl w:val="true"/>
        </w:rPr>
        <w:t xml:space="preserve">: </w:t>
      </w:r>
      <w:r>
        <w:rPr>
          <w:rtl w:val="true"/>
        </w:rPr>
        <w:t>کلماتهم فی باب الحضانة</w:t>
      </w:r>
      <w:bookmarkEnd w:id="801"/>
    </w:p>
    <w:p>
      <w:pPr>
        <w:pStyle w:val="BookText"/>
        <w:rPr/>
      </w:pPr>
      <w:r>
        <w:rPr>
          <w:rFonts w:ascii="IRNazanin" w:hAnsi="IRNazanin" w:eastAsia="IRNazanin"/>
          <w:color w:val="111111"/>
          <w:sz w:val="28"/>
          <w:sz w:val="28"/>
          <w:szCs w:val="28"/>
          <w:rtl w:val="true"/>
          <w:lang w:bidi="fa-IR"/>
        </w:rPr>
        <w:t>یستفاد وجوب حفظ الأطفال عمّا یضرّهم من کلماتهم فی شروط الحضانة، حیث إنّهم اشترطوا أن تکون الحاضنة مسلمة، فالکافرة لا حضانة لها علی الولد المسلم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علّله بعضهم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تفتنه عن دینه، و هو ینشأ علی ما یألفه منها</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ضلّ بصحبتها و تأدّب بآدابها</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أحقّ من الکافر الذی یخشی علی عقیدة الولد ببقائه</w:t>
      </w:r>
      <w:bookmarkStart w:id="802" w:name="pg11754_113084"/>
    </w:p>
    <w:p>
      <w:pPr>
        <w:pStyle w:val="BookText"/>
        <w:rPr/>
      </w:pPr>
      <w:bookmarkEnd w:id="802"/>
      <w:r>
        <w:rPr>
          <w:rFonts w:ascii="IRNazanin" w:hAnsi="IRNazanin" w:eastAsia="IRNazanin"/>
          <w:color w:val="111111"/>
          <w:sz w:val="28"/>
          <w:sz w:val="28"/>
          <w:szCs w:val="28"/>
          <w:rtl w:val="true"/>
          <w:lang w:bidi="fa-IR"/>
        </w:rPr>
        <w:t>عنده، و نموّه علی أخلاقه و ملکاته</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اشترط بعضهم بلزوم کونها أمینة</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أحدهما عدلاً و الآخر فاسقاً، فالعدل أحقّ به بکلّ حال؛ لأنّ الفاسق ربما فتنة عن دینه</w:t>
      </w:r>
      <w:r>
        <w:rPr>
          <w:rFonts w:eastAsia="IRNazanin" w:cs="IRNazanin"/>
          <w:color w:val="111111"/>
          <w:sz w:val="28"/>
          <w:szCs w:val="28"/>
          <w:rtl w:val="true"/>
          <w:lang w:bidi="fa-IR"/>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حضانة للفاسقة؛ لأنّ الفاسق لا یلی، و لأنّها لا تؤمن أن تخون فی حفظه، و لأنّه لا حظّ له فی حضانتها؛ لأنّه ینشأ علی طریقتها، فنفس الولد کالأرض الخالیة ما القی فیها من شیءٍ قبلته</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حضانة أخلاق الطفل و ملکاته الفطریّة، و حفظها عن الانحراف، و إذا کان فی معرض الخطر یسقط حقّ الحضانة، و یستفاد منها أنّه علی الولیّ أن یربّی الطفل علی الأخلاق، و یصونه من الانحرافات و الخطرات المحتملة دینیّة کانت أو أخلاقیّة</w:t>
      </w:r>
      <w:r>
        <w:rPr>
          <w:rFonts w:eastAsia="IRNazanin" w:cs="IRNazanin"/>
          <w:color w:val="111111"/>
          <w:sz w:val="28"/>
          <w:szCs w:val="28"/>
          <w:rtl w:val="true"/>
          <w:lang w:bidi="fa-IR"/>
        </w:rPr>
        <w:t>.</w:t>
      </w:r>
    </w:p>
    <w:p>
      <w:pPr>
        <w:pStyle w:val="Heading6"/>
        <w:numPr>
          <w:ilvl w:val="5"/>
          <w:numId w:val="1"/>
        </w:numPr>
        <w:rPr/>
      </w:pPr>
      <w:bookmarkStart w:id="803" w:name="__RefHeading___Toc9531027_73709187"/>
      <w:bookmarkStart w:id="804" w:name="_Toc316"/>
      <w:bookmarkEnd w:id="803"/>
      <w:r>
        <w:rPr>
          <w:rtl w:val="true"/>
        </w:rPr>
        <w:t>ب</w:t>
      </w:r>
      <w:r>
        <w:rPr>
          <w:rtl w:val="true"/>
        </w:rPr>
        <w:t xml:space="preserve">: </w:t>
      </w:r>
      <w:r>
        <w:rPr>
          <w:rtl w:val="true"/>
        </w:rPr>
        <w:t>کلماتهم فی أبواب اخری</w:t>
      </w:r>
      <w:bookmarkEnd w:id="8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الفقیه الیزدی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الولی منع الأطفال عن کلّ ما فیه ضرر علیهم أو علی غیرهم من الناس، و عن کلّ ما علم من الشرع إرادة عدم وجوده فی الخارج لما فیه من الفساد، کالزنا و اللواط و الغیبة، بل و الغناء علی الظاهر، و کذا عن أکل أعیان النجسة و شربها ممّا فیه ضرر علیهم</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 قال به بعض فقهاء العصر فی تعلیقاتهم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یصونه عمّا یفسد أخلاقه فضلاً عمّا یضرّ بعقائده</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علّله فی المهذّب بأنّ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دلیل ولایة الولی، و لا ریب فی أنّ هذا من فروع ولایته بل من أهمّها، و تقتضیه السیرة العقلائیّة</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 بأنّ هذا مقتضی ولایته علیهم</w:t>
      </w:r>
      <w:r>
        <w:rPr>
          <w:rStyle w:val="FootnoteAnchor"/>
          <w:rtl w:val="true"/>
        </w:rPr>
        <w:footnoteReference w:id="1421"/>
      </w:r>
      <w:r>
        <w:rPr>
          <w:rFonts w:ascii="IRNazanin" w:hAnsi="IRNazanin" w:eastAsia="IRNazanin"/>
          <w:color w:val="111111"/>
          <w:sz w:val="28"/>
          <w:sz w:val="28"/>
          <w:szCs w:val="28"/>
          <w:rtl w:val="true"/>
          <w:lang w:bidi="fa-IR"/>
        </w:rPr>
        <w:t>، و کذا فی غیرها</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 فی الاستدلال علی الحکم بعدم جواز سقی المسکرات و وجوب ردعهم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لحرمة الإضرار بالمؤمنین، و من فی حکمهم أعنی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الردع و الإعلام فأیضاً لا کلام فی وجوبهما علی الولیّ؛ لأنّه مأمور بالتحفّظ علی الصبی ممّا یرجع إلی نفسه و ماله، فیجب علیه ردع من یتولّی أمره عن شرب العین النجسة و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بالإضافة إلی غیر الولیّ، فإن کان الضرر المستند إلی شرب النجس أو أکله بالغاً إلی الموت و الهلاک، أو کان المورد ممّا اهتمّ الشارع بعدم تحقّقه فی الخارج، کما عرفته فی شرب المسکرات، فلا إشکال أیضاً فی وجوب الردع</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صرّحوا بأنّه یجب علی الولیّ منع الطفل الممیّز عن النظر إلی الأجنبیّة إذا کان فی نظره ثوران الشهوة و خوف الفتنة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الممیّز، فإن کان فیه ثوران الشهوة و تشوّق</w:t>
      </w:r>
    </w:p>
    <w:p>
      <w:pPr>
        <w:pStyle w:val="BookText"/>
        <w:rPr/>
      </w:pPr>
      <w:r>
        <w:rPr>
          <w:rFonts w:ascii="IRNazanin" w:hAnsi="IRNazanin" w:eastAsia="IRNazanin"/>
          <w:color w:val="111111"/>
          <w:sz w:val="28"/>
          <w:sz w:val="28"/>
          <w:szCs w:val="28"/>
          <w:rtl w:val="true"/>
          <w:lang w:bidi="fa-IR"/>
        </w:rPr>
        <w:t>فهو کالبالغ فی النظر، فیجب علی الولیّ منعه منه، و علی الأجنبیّة التستّر عنه</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جامع المقاصد</w:t>
      </w:r>
      <w:r>
        <w:rPr>
          <w:rStyle w:val="FootnoteAnchor"/>
          <w:rtl w:val="true"/>
        </w:rPr>
        <w:footnoteReference w:id="1425"/>
      </w:r>
      <w:r>
        <w:rPr>
          <w:rFonts w:ascii="IRNazanin" w:hAnsi="IRNazanin" w:eastAsia="IRNazanin"/>
          <w:color w:val="111111"/>
          <w:sz w:val="28"/>
          <w:sz w:val="28"/>
          <w:szCs w:val="28"/>
          <w:rtl w:val="true"/>
          <w:lang w:bidi="fa-IR"/>
        </w:rPr>
        <w:t>، و کشف اللثام</w:t>
      </w:r>
      <w:r>
        <w:rPr>
          <w:rStyle w:val="FootnoteAnchor"/>
          <w:rtl w:val="true"/>
        </w:rPr>
        <w:footnoteReference w:id="1426"/>
      </w:r>
      <w:r>
        <w:rPr>
          <w:rFonts w:ascii="IRNazanin" w:hAnsi="IRNazanin" w:eastAsia="IRNazanin"/>
          <w:color w:val="111111"/>
          <w:sz w:val="28"/>
          <w:sz w:val="28"/>
          <w:szCs w:val="28"/>
          <w:rtl w:val="true"/>
          <w:lang w:bidi="fa-IR"/>
        </w:rPr>
        <w:t>، و التذکرة</w:t>
      </w:r>
      <w:r>
        <w:rPr>
          <w:rStyle w:val="FootnoteAnchor"/>
          <w:rtl w:val="true"/>
        </w:rPr>
        <w:footnoteReference w:id="1427"/>
      </w:r>
      <w:r>
        <w:rPr>
          <w:rFonts w:ascii="IRNazanin" w:hAnsi="IRNazanin" w:eastAsia="IRNazanin"/>
          <w:color w:val="111111"/>
          <w:sz w:val="28"/>
          <w:sz w:val="28"/>
          <w:szCs w:val="28"/>
          <w:rtl w:val="true"/>
          <w:lang w:bidi="fa-IR"/>
        </w:rPr>
        <w:t>، و الحدائق</w:t>
      </w:r>
      <w:r>
        <w:rPr>
          <w:rStyle w:val="FootnoteAnchor"/>
          <w:rtl w:val="true"/>
        </w:rPr>
        <w:footnoteReference w:id="1428"/>
      </w:r>
      <w:r>
        <w:rPr>
          <w:rFonts w:ascii="IRNazanin" w:hAnsi="IRNazanin" w:eastAsia="IRNazanin"/>
          <w:color w:val="111111"/>
          <w:sz w:val="28"/>
          <w:sz w:val="28"/>
          <w:szCs w:val="28"/>
          <w:rtl w:val="true"/>
          <w:lang w:bidi="fa-IR"/>
        </w:rPr>
        <w:t>، و الجواهر</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یجب علی الولیّ منعه من النظر إلی عورة الغیر إجماعاً</w:t>
      </w:r>
      <w:r>
        <w:rPr>
          <w:rStyle w:val="FootnoteAnchor"/>
          <w:rtl w:val="true"/>
        </w:rPr>
        <w:footnoteReference w:id="1430"/>
      </w:r>
      <w:r>
        <w:rPr>
          <w:rFonts w:ascii="IRNazanin" w:hAnsi="IRNazanin" w:eastAsia="IRNazanin"/>
          <w:color w:val="111111"/>
          <w:sz w:val="28"/>
          <w:sz w:val="28"/>
          <w:szCs w:val="28"/>
          <w:rtl w:val="true"/>
          <w:lang w:bidi="fa-IR"/>
        </w:rPr>
        <w:t>؛ فإنّ ما علم مبغوضیّة وقوعه فی الخارج من الشارع المقدّس علی کلّ تقدیر بحیث لا یفرق الحال بین أن یکون مرتکبه بالغاً أو غیر بالغ، کالزنا، و شرب الخمر، و اللواط و نحوها، یجب علی المکلّفین المنع من تحقّقه، و سدّ الطریق إلیه، و قطع السبیل علی فاعله قولاً و فعلاً</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یستفاد ممّا ذکرنا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لا خلاف بینهم فی ذلک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الأولیاء تربیة الأطفال فی الاُمور التی أشرنا إلیها فی أوّل هذا المبحث؛ من الاُصول الاعتقادیّة الحقّة، و أحکام الواجبات، و کذا یجب علیهم ردعهم عمّا یضرّهم و عمّا اهتمّ الشارع بعدم تحقّقه فی الخارج</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الفقیه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الوالدین تأدیب أولادهم و تربیتهم علی الأخلاق الکریمة و الآداب الحسنة، و تمرینهم و تعویدهم علی کرائم العادات و فعل الحسنات، و منعهم عن کلّ عمل یضرّ بأنفسهم و بغیرهم، و علی ولیّ الأطفال</w:t>
      </w:r>
      <w:bookmarkStart w:id="805" w:name="pg11754_113087"/>
    </w:p>
    <w:p>
      <w:pPr>
        <w:pStyle w:val="BookText"/>
        <w:rPr/>
      </w:pPr>
      <w:bookmarkEnd w:id="805"/>
      <w:r>
        <w:rPr>
          <w:rFonts w:ascii="IRNazanin" w:hAnsi="IRNazanin" w:eastAsia="IRNazanin"/>
          <w:color w:val="111111"/>
          <w:sz w:val="28"/>
          <w:sz w:val="28"/>
          <w:szCs w:val="28"/>
          <w:rtl w:val="true"/>
          <w:lang w:bidi="fa-IR"/>
        </w:rPr>
        <w:t>تکمیل نفوسهم و سوقهم إلی ما فیه صلاحهم و سدادهم، و ضرب الأطفال لهذه المقاصد المهمّة و الأهداف العالیة لا یعدّ ظلماً، و إنّما هو إحسان إلیهم کی یسعدوا بها فی حیاتهم و یفوزوا بها بعد مماتهم</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آراء الفقهاء فی الموارد التی یستحبّ تربیة الطفل و تعلیمه بها، فکثیرة فی کلماتهم، کتمرینه لأداء الصلاة و الصوم و الأذان، و حضور الجمعة و الجماعة، و تسبیح الزهراء علیها السلام، و إحجاجه، و تعلیم القرآن، و الإنفاق بیده و غیرها، نذکرها فی الفصل الثالث من هذا الباب</w:t>
      </w:r>
      <w:r>
        <w:rPr>
          <w:rFonts w:eastAsia="IRNazanin" w:cs="IRNazanin"/>
          <w:color w:val="111111"/>
          <w:sz w:val="28"/>
          <w:szCs w:val="28"/>
          <w:rtl w:val="true"/>
          <w:lang w:bidi="fa-IR"/>
        </w:rPr>
        <w:t>.</w:t>
      </w:r>
    </w:p>
    <w:p>
      <w:pPr>
        <w:pStyle w:val="Heading5"/>
        <w:numPr>
          <w:ilvl w:val="4"/>
          <w:numId w:val="1"/>
        </w:numPr>
        <w:rPr/>
      </w:pPr>
      <w:bookmarkStart w:id="806" w:name="__RefHeading___Toc9531029_73709187"/>
      <w:bookmarkStart w:id="807" w:name="_Toc317"/>
      <w:bookmarkEnd w:id="806"/>
      <w:r>
        <w:rPr>
          <w:rtl w:val="true"/>
        </w:rPr>
        <w:t>أدلّة وجوب التربیة و تعلیم الأطفال و ولایة الأبوین علیهما</w:t>
      </w:r>
      <w:bookmarkEnd w:id="807"/>
    </w:p>
    <w:p>
      <w:pPr>
        <w:pStyle w:val="Heading6"/>
        <w:numPr>
          <w:ilvl w:val="5"/>
          <w:numId w:val="1"/>
        </w:numPr>
        <w:rPr/>
      </w:pPr>
      <w:bookmarkStart w:id="808" w:name="__RefHeading___Toc9531031_73709187"/>
      <w:bookmarkStart w:id="809" w:name="_Toc318"/>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یدلّ علی وجوب تربیة الأطفال و تعلیمهم إجمالاً، و ولایة الآباء و الاُمهات علیهما امور</w:t>
      </w:r>
      <w:r>
        <w:rPr>
          <w:rFonts w:eastAsia="IRNazanin" w:cs="IRNazanin"/>
          <w:color w:val="111111"/>
          <w:sz w:val="28"/>
          <w:szCs w:val="28"/>
          <w:rtl w:val="true"/>
          <w:lang w:bidi="fa-IR"/>
        </w:rPr>
        <w:t>:</w:t>
      </w:r>
    </w:p>
    <w:p>
      <w:pPr>
        <w:pStyle w:val="Heading6"/>
        <w:numPr>
          <w:ilvl w:val="5"/>
          <w:numId w:val="1"/>
        </w:numPr>
        <w:rPr/>
      </w:pPr>
      <w:bookmarkStart w:id="810" w:name="__RefHeading___Toc9531033_73709187"/>
      <w:bookmarkStart w:id="811" w:name="_Toc319"/>
      <w:bookmarkEnd w:id="810"/>
      <w:r>
        <w:rPr>
          <w:rtl w:val="true"/>
        </w:rPr>
        <w:t>الأوّل</w:t>
      </w:r>
      <w:r>
        <w:rPr>
          <w:rtl w:val="true"/>
        </w:rPr>
        <w:t xml:space="preserve">: </w:t>
      </w:r>
      <w:r>
        <w:rPr>
          <w:rtl w:val="true"/>
        </w:rPr>
        <w:t>الآیات</w:t>
      </w:r>
      <w:bookmarkEnd w:id="81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وقیت الشیء أقیه وقایة أی منعته و حفظته، کما فی النهایة</w:t>
      </w:r>
      <w:r>
        <w:rPr>
          <w:rStyle w:val="FootnoteAnchor"/>
          <w:rtl w:val="true"/>
        </w:rPr>
        <w:footnoteReference w:id="1433"/>
      </w:r>
      <w:r>
        <w:rPr>
          <w:rFonts w:ascii="IRNazanin" w:hAnsi="IRNazanin" w:eastAsia="IRNazanin"/>
          <w:color w:val="111111"/>
          <w:sz w:val="28"/>
          <w:sz w:val="28"/>
          <w:szCs w:val="28"/>
          <w:rtl w:val="true"/>
          <w:lang w:bidi="fa-IR"/>
        </w:rPr>
        <w:t>، و المصباح المنیر</w:t>
      </w:r>
      <w:r>
        <w:rPr>
          <w:rStyle w:val="FootnoteAnchor"/>
          <w:rtl w:val="true"/>
        </w:rPr>
        <w:footnoteReference w:id="1434"/>
      </w:r>
      <w:r>
        <w:rPr>
          <w:rFonts w:ascii="IRNazanin" w:hAnsi="IRNazanin" w:eastAsia="IRNazanin"/>
          <w:color w:val="111111"/>
          <w:sz w:val="28"/>
          <w:sz w:val="28"/>
          <w:szCs w:val="28"/>
          <w:rtl w:val="true"/>
          <w:lang w:bidi="fa-IR"/>
        </w:rPr>
        <w:t xml:space="preserve">، و 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وقیته أی منعته، و التوقّی التجنّب</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الأهل أهل البیت، و الأصل فیه القرابة</w:t>
      </w:r>
      <w:r>
        <w:rPr>
          <w:rStyle w:val="FootnoteAnchor"/>
          <w:rtl w:val="true"/>
        </w:rPr>
        <w:footnoteReference w:id="1436"/>
      </w:r>
      <w:r>
        <w:rPr>
          <w:rFonts w:ascii="IRNazanin" w:hAnsi="IRNazanin" w:eastAsia="IRNazanin"/>
          <w:color w:val="111111"/>
          <w:sz w:val="28"/>
          <w:sz w:val="28"/>
          <w:szCs w:val="28"/>
          <w:rtl w:val="true"/>
          <w:lang w:bidi="fa-IR"/>
        </w:rPr>
        <w:t>، ففی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أخصّ الناس به</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 فیدخل فیه</w:t>
      </w:r>
      <w:r>
        <w:rPr>
          <w:rStyle w:val="FootnoteAnchor"/>
          <w:rtl w:val="true"/>
        </w:rPr>
        <w:footnoteReference w:id="1438"/>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الإیعاد بالعذاب الشدید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یجب علی المؤمنین أن یقوا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أولادهم و یحفظونهم عن ارتکاب کلّ ما أوعد اللّه علیها النار، و کذا یجب علیهم أن یأمروهم بفعل الطاعات التی أوعد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ترکها العذاب، کما یجب علیهم بأن یقوا أنفسهم کذلک، و هذا لا یمکن إلاّ بتربیة الأطفال علی نحو یحصل لهم الاعتقاد و الأخلاق الصحیحة، و تعلیمهم ما یجب علیهم لدی التکلیف، و ما هو ضروریّ من الدین، و قد صرّح المفسِّرون و الفقهاء بهذا المضمون فی ذیل الآیة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بأن یقوا أنفسهم، أی یمنعونها و یمنعون أهلیهم ناراً، و إنّما یمنعون نفوسهم بأن یعملوا الطاعات، و یمنعون أهلیهم بأن یدعوهم إلیها، و یحثّوهم علی فعلها</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 قوا أنفسکم و أهلیکم النار بالصبر علی طاعة اللّه و عن معصیته، و عن اتّباع الشهوات، وقوا أهلیکم النار بدعائهم إلی الطاعة، و تعلیمهم الفرائض، و نهیهم عن القبائح، و حثّهم علی أفعال الخیر، و قال مقاتل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یؤدّب الرجل المسلم نفسه و أهله، و یعلّمهم الخیر، و ینهاهم عن الشرّ، فذلک حقّ علی المسلم أن یفعل بنفسه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تأدیبهم و تعلیمهم</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و مثل ذلک قال المحقّق الأردبیلی، 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بالطریق المذکور فی باب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علی وجوب أمر الأهل و نهیه لسائر العبادات و عن المعاصی، کما یدلّ علیه وجوب الأمر بالمعروف و النهی عن المنکر مطلقاً، فکأنّ بالنسبة إلی الأهل زیادة اعتناء، فدلّت علی وجوب تعلیمهم الواجب و المحرّم، و أمرهم بالفعل و نهیهم عن الترک</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القرطبی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دخل فیه الأولاد؛ لأنّ الولد بعض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فیعلّمه الحلال و الحرام، و یجنّبه المعاصی و الآثام إلی غیر ذلک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تعلیم أولادنا و أهلینا الدِّین و الخیر و ما لا یستغنی</w:t>
      </w:r>
      <w:r>
        <w:rPr>
          <w:rStyle w:val="FootnoteAnchor"/>
          <w:rtl w:val="true"/>
        </w:rPr>
        <w:footnoteReference w:id="1442"/>
      </w:r>
      <w:r>
        <w:rPr>
          <w:rFonts w:ascii="IRNazanin" w:hAnsi="IRNazanin" w:eastAsia="IRNazanin"/>
          <w:color w:val="111111"/>
          <w:sz w:val="28"/>
          <w:sz w:val="28"/>
          <w:szCs w:val="28"/>
          <w:rtl w:val="true"/>
          <w:lang w:bidi="fa-IR"/>
        </w:rPr>
        <w:t>عنه من الأدب</w:t>
      </w:r>
      <w:r>
        <w:rPr>
          <w:rFonts w:eastAsia="IRNazanin" w:cs="IRNazanin"/>
          <w:color w:val="111111"/>
          <w:sz w:val="28"/>
          <w:szCs w:val="28"/>
          <w:rtl w:val="true"/>
          <w:lang w:bidi="fa-IR"/>
        </w:rPr>
        <w:t>»</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التفسیر الکبیر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فی تفسیر الآلوسی، و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المراد بالأهل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یشمل الزوجة و الولد و العبد و الأمة، و استدلّ بهذه الآیة علی أنّه یجب علی الرجل تعلّم ما یجب من الفرائض و تعلیمه لهؤلاء، و أدخل بعضهم الأولاد فی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الولد بعض من أبیه</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الإطلاق فی معنی الوقایة و الأهل و الإیعاد بالعذاب مع ضمیمة الروایات الواردة</w:t>
      </w:r>
      <w:r>
        <w:rPr>
          <w:rStyle w:val="FootnoteAnchor"/>
          <w:rtl w:val="true"/>
        </w:rPr>
        <w:footnoteReference w:id="1446"/>
      </w:r>
      <w:r>
        <w:rPr>
          <w:rFonts w:ascii="IRNazanin" w:hAnsi="IRNazanin" w:eastAsia="IRNazanin"/>
          <w:color w:val="111111"/>
          <w:sz w:val="28"/>
          <w:sz w:val="28"/>
          <w:szCs w:val="28"/>
          <w:rtl w:val="true"/>
          <w:lang w:bidi="fa-IR"/>
        </w:rPr>
        <w:t>فی ذیلها</w:t>
      </w:r>
      <w:r>
        <w:rPr>
          <w:rStyle w:val="FootnoteAnchor"/>
          <w:rtl w:val="true"/>
        </w:rPr>
        <w:footnoteReference w:id="1447"/>
      </w:r>
      <w:r>
        <w:rPr>
          <w:rFonts w:ascii="IRNazanin" w:hAnsi="IRNazanin" w:eastAsia="IRNazanin"/>
          <w:color w:val="111111"/>
          <w:sz w:val="28"/>
          <w:sz w:val="28"/>
          <w:szCs w:val="28"/>
          <w:rtl w:val="true"/>
          <w:lang w:bidi="fa-IR"/>
        </w:rPr>
        <w:t>، أنّه یجب علی الأولیاء أن یمنعوا</w:t>
      </w:r>
    </w:p>
    <w:p>
      <w:pPr>
        <w:pStyle w:val="BookText"/>
        <w:rPr/>
      </w:pPr>
      <w:r>
        <w:rPr>
          <w:rFonts w:ascii="IRNazanin" w:hAnsi="IRNazanin" w:eastAsia="IRNazanin"/>
          <w:color w:val="111111"/>
          <w:sz w:val="28"/>
          <w:sz w:val="28"/>
          <w:szCs w:val="28"/>
          <w:rtl w:val="true"/>
          <w:lang w:bidi="fa-IR"/>
        </w:rPr>
        <w:t xml:space="preserve">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الممیّزین الذین تمکّنوا من تعقّل الاُمور و فهم المطالب و لم یبلغوا، و کذا البالغین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أوعد اللّه تعالی علیها النار؛ سواء کان أمراً اعتقادیّاً، مثل الشرک، فیجب علیهم أن یمنعوهم من الشرک، أو أفعالاً جوارحیّاً، کفعل الطاعات و الاجتناب عن المعاصی، و لا ریب فی أنّ هذا لا یمکن العمل به إلاّ أن یربّی الولی ولده فی مرحلة الطفولة و التمییز بالمعنی المقصود فی المقام؛ أی یربّیه بالتربیة الإیمانیّة و الأخلاقیّة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بمعنی المقصود فی حقّ الطفل الممیّز لیس إلاّ أن یحفظه و یمنعه الولیّ عمّا أوعد اللّه علیها النار، و یصیر موجباً لعذابه و شقاوته فی مستقبل عمره، و السرّ فی ذلک أنّ أساس سعادة الإنسان یبدأ من مرحلة الطفولة، و هذه المرحلة أحسن مراحل تعلیم الاُسلوب الصحیح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فقدرة الاقتباس و التقلید و حاسّة التقبّل عند الطفل شدیدة، فباستطاعته تلقّی جمیع حرکات المربّی و سکناته و أقواله و أفعاله بدقّةٍ عجیبة أشبه بعدسة تصویر، و لذا فی الوقت الذی یتکامل جسد الطفل و ینمو یجب أن تسلک روحه فی طریق التعالی و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الطفل تقتضی أن یتکامل فی مرحلة الطفولة عقله و روحه بالخیر أو الشرّ و لا یمکن تعطیل مشاعره، فإن لم یربّیه الولیّ بالتربیة الصحیحة، رسخ فی روحه و عقله الباطل و الشرّ، و ما یوجب العذاب و الشقاء بحیث لا یتمکّن من إزالته بعد بلوغه و هو منهیّ عنه، فالآیة تنادی بأعلی صوت بوجوب التربیة و التعلیم علی الأولیاء بالمعنی المقصود فی المقام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تدلّ علی ولایة</w:t>
      </w:r>
      <w:r>
        <w:rPr>
          <w:rStyle w:val="FootnoteAnchor"/>
          <w:rtl w:val="true"/>
        </w:rPr>
        <w:footnoteReference w:id="1448"/>
      </w:r>
      <w:r>
        <w:rPr>
          <w:rFonts w:ascii="IRNazanin" w:hAnsi="IRNazanin" w:eastAsia="IRNazanin"/>
          <w:color w:val="111111"/>
          <w:sz w:val="28"/>
          <w:sz w:val="28"/>
          <w:szCs w:val="28"/>
          <w:rtl w:val="true"/>
          <w:lang w:bidi="fa-IR"/>
        </w:rPr>
        <w:t>الأب و الجدّ فی ذلک؛ لأنّ مفهوم التربیة کما ذکرنا سابقاً ما هی إلاّ القیام بشئون الطفل، فتتلازم الولایة معها، مضافاً إلی أنّ وقایة</w:t>
      </w:r>
    </w:p>
    <w:p>
      <w:pPr>
        <w:pStyle w:val="BookText"/>
        <w:rPr/>
      </w:pPr>
      <w:r>
        <w:rPr>
          <w:rFonts w:ascii="IRNazanin" w:hAnsi="IRNazanin" w:eastAsia="IRNazanin"/>
          <w:color w:val="111111"/>
          <w:sz w:val="28"/>
          <w:sz w:val="28"/>
          <w:szCs w:val="28"/>
          <w:rtl w:val="true"/>
          <w:lang w:bidi="fa-IR"/>
        </w:rPr>
        <w:t xml:space="preserve">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منعها و حفظها عمّا یضرّه التی هی المقصود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تنفک عن ولایة الولی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أْتَمِرُوا بَیْنَکُمْ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الأمر، و یقال للتشاور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 لقبول بعضهم أمر بعض فیما أشار به</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و کذا فی المصباح المنیر</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ائتمروا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لیأمر بعضکم بعضاً بالمعروف</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 و کذا فی التبیان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ما قبلها و خطاب للأزواج، و الآیة فی مقام بیان حکم الطلاق و اجرة إرضاع الولد للزوجة، و یستفاد منها أنّه یجب علی الأزواج المشاورة بالمعروف فی أمر الولد حتّی لا تضرّه المفارقة، و بما أنّ الائتمار مطلق لا یختصّ بالمورد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الإرضاع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أمر تربیة الطفل بالمعنی المقصود أیضاً، فیجب المشاورة فیها لأن یعمل الزوجان بطریق حسن،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ائتمروا و تشاوروا أیّها الأزواج بما هو جمیل معروف فی شأن الولد بما یضمن أوضاعه الصحّیة و المعاشیّة و الأخلاقیّة و غیر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کون الخطاب فی الآیة للرجل و المرأة، و بیان معنی الائتمار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عندی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دبّروا بالمعروف بینکم فی أمر الولد و مراعاة امّه حتی لا یفوت الولد شفقتها و غیر ذلک</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و فی المیزان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خطاب للرجل و المرأة؛ أی تشاوروا فی أمر الولد، و توافقوا فی معروف من العادة حتّی لا یتضرّر الرجل بزیادة الأجر الذی ینفقه و لا المرأة بنقیصته، و لا الولد بنقص مدّة الرضاع إلی غیر ذلک</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 من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خطاب للأزواج و الزوجات؛ أی و لیقبل بعضکم من بعض ما أمره به من المعروف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 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الآیة الشریفة</w:t>
      </w:r>
      <w:r>
        <w:rPr>
          <w:rStyle w:val="FootnoteAnchor"/>
          <w:rtl w:val="true"/>
        </w:rPr>
        <w:footnoteReference w:id="1455"/>
      </w:r>
      <w:r>
        <w:rPr>
          <w:rFonts w:ascii="IRNazanin" w:hAnsi="IRNazanin" w:eastAsia="IRNazanin"/>
          <w:color w:val="111111"/>
          <w:sz w:val="28"/>
          <w:sz w:val="28"/>
          <w:szCs w:val="28"/>
          <w:rtl w:val="true"/>
          <w:lang w:bidi="fa-IR"/>
        </w:rPr>
        <w:t>و إن دلّ علی وجوب النفقة و اجرة الرضاع، و لکن ذیلها یأمر بوجوب الائتمار و المشورة فی أمر الصبیّ بالمعروف لدفع الضرر عنه، و یشمل الاُمور التی تتعلّق بجسم الطفل کحضانته و نفقته، أو تتعلّق بروحه و عقله کتربیته بالمعنی المقصود فی هذا البحث، و أداء هذه الاُمور مستلزم للولایة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بالائتمار ما لا یخفی من اللطف، حیث دلّ علی وجوب الاهتمام به و العزم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ائتمروا بینکم بمعروف؛ أی همّوا به و اعتزموا علیه</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أنّ علی الوالدة ألاّ تضارّ بولدها فیما یجب علیها من تعاهده و القیام بأمره و رضاعه و غذائه، و علی الوالد ألاّ یضارّ بولده فیما یجب علیه من النفقة علیه و علی امّه و فی حفظه و تعاهده</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تترک الوالدة إرضاع ولدها غیظاً علی أبیه فتضرّ بولده به؛ لأنّ الوالدة أشفق علیه من الأجنبیّة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یأخذ من امّه طلباً للإضرار بها فیضرّ بولده، فتکون المضارّة علی هذا بمعنی الإضرار؛ أی لا تضرّ الوالدة و لا الوالد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الضرر یرجع إلی الولد،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یضارّ کلّ واحد من الأب و الاُمّ بالصبیّ</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التفسیر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خبراً فی الظاهر، لکنّ المراد منه النهی، و هو یتناول إساءتها إلی الولد بترک الرضاع و ترک التعهّد و 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کلّ المضارّ، و ذلک بأن یمنع الوالدة أن ترضعه و هی به أرأف، و قد یکون بأن یضیّق علیها النفقة و الکسوة، أو بأن یسیء العِشرة فیحملها ذلک علی إضرارها بالولد، فکلّ ذلک داخل فی هذا النهی</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هذا فی تفسیر المنار،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فالعلّة فی الأحکام السابقة منع الضرار من الجانبین بإعطاء کلّ ذی حقٍّ حقّه بالمعروف، و هو یتناول تحریم کلّ ما یأتی من أحد الوالدین للإضرار بالآخر، کأن تقصّر هی فی تربیة الولد البدنیّة أو النفسیّة لتغیظ الرجل، و کأن یمنعه هو من امّه و لو بعد مدّة الرضاع أو الحضانة، فالعبارة نهی عامّ عن المضارّة</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المضارّة عامّ، فکما یشمل حرمة إضرار الزوج زوجته، و کذا إضرار الزوجة زوجها، یشمل إضرار کلّ منهما بالولد أیضاً، فعلی هذا یستفاد من هذه الآیة أنّه لا یجوز للزوجین الإضرار بولدهما؛ سواء کان من جهة ترک حضانته، أو عدم نفقته أو غیر ذلک، و معلوم أنّ عدم تربیته</w:t>
      </w:r>
      <w:r>
        <w:rPr>
          <w:rStyle w:val="FootnoteAnchor"/>
          <w:rtl w:val="true"/>
        </w:rPr>
        <w:footnoteReference w:id="1461"/>
      </w:r>
      <w:r>
        <w:rPr>
          <w:rFonts w:ascii="IRNazanin" w:hAnsi="IRNazanin" w:eastAsia="IRNazanin"/>
          <w:color w:val="111111"/>
          <w:sz w:val="28"/>
          <w:sz w:val="28"/>
          <w:szCs w:val="28"/>
          <w:rtl w:val="true"/>
          <w:lang w:bidi="fa-IR"/>
        </w:rPr>
        <w:t>و عدم تعلیمه بما هو لازم له و واجب علیه ضرر عظیم علی الصبی؛ سواء حصل من جانب الاُمّ أو الأب، و هو لا یجوز بمقتضی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أنّ تربیة الولد فی الاُمور التی یعدّ عدم القیام بها إضرار به، واجبة و المتولّی فیها الأبوان،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الاستدلال به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الخطاب و إن کان متوجّهاً إلی النبیّ صلی الله علیه و آله، سیّما بحسب انطباقها علی وقت نزول الآیة و أنّها مکّیة</w:t>
      </w:r>
      <w:r>
        <w:rPr>
          <w:rStyle w:val="FootnoteAnchor"/>
          <w:rtl w:val="true"/>
        </w:rPr>
        <w:footnoteReference w:id="1462"/>
      </w:r>
      <w:r>
        <w:rPr>
          <w:rFonts w:ascii="IRNazanin" w:hAnsi="IRNazanin" w:eastAsia="IRNazanin"/>
          <w:color w:val="111111"/>
          <w:sz w:val="28"/>
          <w:sz w:val="28"/>
          <w:szCs w:val="28"/>
          <w:rtl w:val="true"/>
          <w:lang w:bidi="fa-IR"/>
        </w:rPr>
        <w:t>، و لم یکن فی وقت نزولها فی مکّة غیر أهلها؛ أی خدیجة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عشیرته مسلمٌ، إلاّ أنّ المورد لا یخصّص الحکم، و لذا قال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أهل بیتک و أهل دینک، فدخلوا کلّهم فی الجملة</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الخطاب للنبیّ صلی الله علیه و آله و یدخل فی عمومه جمیع امّته و أهل بیته</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ذیل الآیة؛ أی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المستفاد منها</w:t>
      </w:r>
    </w:p>
    <w:p>
      <w:pPr>
        <w:pStyle w:val="BookText"/>
        <w:rPr/>
      </w:pPr>
      <w:r>
        <w:rPr>
          <w:rFonts w:ascii="IRNazanin" w:hAnsi="IRNazanin" w:eastAsia="IRNazanin"/>
          <w:color w:val="111111"/>
          <w:sz w:val="28"/>
          <w:sz w:val="28"/>
          <w:szCs w:val="28"/>
          <w:rtl w:val="true"/>
          <w:lang w:bidi="fa-IR"/>
        </w:rPr>
        <w:t>أنّ التقوی کانت نتیجة فعل الصلاة و الأمر بها، و هذا مطلوب من کلّ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مرهم بإقامتها لتجذب قلوبهم إلی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لترسخ بالصبر علیها ملکة الثبات علی العبادة و الخشوع و المراقبة التی ینتج عنها کلّ خیرٍ</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فظاهر الخطاب یدلّ علی أنّه یجب علینا أمر أهلنا بالصلاة، کما قال به بعض الفقهاء</w:t>
      </w:r>
      <w:r>
        <w:rPr>
          <w:rStyle w:val="FootnoteAnchor"/>
          <w:rtl w:val="true"/>
        </w:rPr>
        <w:footnoteReference w:id="1466"/>
      </w:r>
      <w:r>
        <w:rPr>
          <w:rFonts w:ascii="IRNazanin" w:hAnsi="IRNazanin" w:eastAsia="IRNazanin"/>
          <w:color w:val="111111"/>
          <w:sz w:val="28"/>
          <w:sz w:val="28"/>
          <w:szCs w:val="28"/>
          <w:rtl w:val="true"/>
          <w:lang w:bidi="fa-IR"/>
        </w:rPr>
        <w:t>، و الأهل یشمل الأقارب و الأولاد البالغین و الممیّزین غیر البالغین، الذین کنّا بصدد إثبات بیان أدلّة وجوب تربیتهم، فبمقتضی هذه الآیة یجب علی الأب و الاُمّ و کذا سائر الأولیاء أن یأمروهم بإقامة الصلاة، و لذا قال الشیخ 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 الصبیّ بالصلاة إذا بلغ ستّ سنین تأدیباً</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 و کذا یجب علیهم تعلیم أحکامها؛ لأنّ الأمر بها لا یختصّ بإقامتها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و اصبر علی فعلها و علی ما فی أداء هذا التکلیف علی نحو الإطلاق، و من الأذی و المشقّة؛ لأنّه إن فرض أنّ المکلّف امِرَ بإتیان الصلاة فقط، و لم یعلّم أحکامها و لم یؤدّ المأمور الصلاة، بدلیل عدم علمه بها، لم یصدق أنّ المکلّف صبر علی أداء الصلاة، و لذا قال بعض المفسّرین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حافظ علیها فعلاً؛ فإنّ الوعظ بلسان الفعل أتمّ منه بلسان القول</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و کان یبدأ أهله فی الأمر بالصلاح و العبادة لیجعلهم قدوة لمن ورائهم، و لأنّهم أولی من سائر الناس</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بالصلاة کان من الموارد التی یجب علی الأولیاء تربیة أطفالهم بها و یصحّ فعلها من الأطفال، علی ما سیجیء من أنّ عبادات الصبی صحیحة شرعیّة، إلاّ أنّ هذا الدلیل یختصّ بمورد الصلاة فقط و لم یثبت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متوجّهة إلی المؤمنین باللّه المقرّین برسوله یقول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عبیدکم و إماءکم أن یستأذنوا علیکم إذا أرادوا الدخول إلی مواضع خلواتکم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واجب علی کلّ بالغ فی کلّ حال، و یجب علی الأطفال فی هذه الأوقات الثلاثة بظاهر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دلالة علی أنّه یجوز أن یؤمر الصبیّ الذی یعقل؛ لأنّه أمره بالاستئذان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أمر للآباء أن یأخذوا الأولاد بذلک</w:t>
      </w:r>
      <w:r>
        <w:rPr>
          <w:rFonts w:eastAsia="IRNazanin" w:cs="IRNazanin"/>
          <w:color w:val="111111"/>
          <w:sz w:val="28"/>
          <w:szCs w:val="28"/>
          <w:rtl w:val="true"/>
          <w:lang w:bidi="fa-IR"/>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مجمع البیان</w:t>
      </w:r>
      <w:r>
        <w:rPr>
          <w:rStyle w:val="FootnoteAnchor"/>
          <w:rtl w:val="true"/>
        </w:rPr>
        <w:footnoteReference w:id="1471"/>
      </w:r>
      <w:r>
        <w:rPr>
          <w:rFonts w:ascii="IRNazanin" w:hAnsi="IRNazanin" w:eastAsia="IRNazanin"/>
          <w:color w:val="111111"/>
          <w:sz w:val="28"/>
          <w:sz w:val="28"/>
          <w:szCs w:val="28"/>
          <w:rtl w:val="true"/>
          <w:lang w:bidi="fa-IR"/>
        </w:rPr>
        <w:t>، وفقه القرآن للراوندی</w:t>
      </w:r>
      <w:r>
        <w:rPr>
          <w:rStyle w:val="FootnoteAnchor"/>
          <w:rtl w:val="true"/>
        </w:rPr>
        <w:footnoteReference w:id="1472"/>
      </w:r>
      <w:r>
        <w:rPr>
          <w:rFonts w:ascii="IRNazanin" w:hAnsi="IRNazanin" w:eastAsia="IRNazanin"/>
          <w:color w:val="111111"/>
          <w:sz w:val="28"/>
          <w:sz w:val="28"/>
          <w:szCs w:val="28"/>
          <w:rtl w:val="true"/>
          <w:lang w:bidi="fa-IR"/>
        </w:rPr>
        <w:t>، و نحوه فی المیزان</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و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هذا الوجوب مستثنی من عدم تکلیف غیر البالغ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للرجحان المطلق، أو یکون للإرشاد و تعلیم المعاشرة</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الأقوال المختلفة فی معنی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محکمة واجبة ثابتة علی الرجال و النساء، و هو قول أکثر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فی هذه الآیة بأن یکون العبید إذ لا بال لهم، و الأطفال الذین لم یبلغوا الحلم، إلاّ أنّهم عقلوا معانی الکشفة و نحوها، یستأذنون علی أهلیهم فی هذه الأوقات الثلاثة</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هذه الآیة علی أنّ من لم یبلغ، و قد عقل یؤمر بفعل الشرائع، و ینهی عن ارتکاب القبائح؛ فإنّ اللّه أمرهم بالاستئذان فی 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یؤمر ذلک علی وجه التعلیم، و لیعتاده و یتمرّن علیه، فیکون أسهل علیه بعد البلوغ و أقلّ نفوراً منه</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و کذا فی غیره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الآیة یدلّ علی أنّه یجب علی الأولیاء أن یأمروا أولادهم الممیّزین و عقلوا معانی الکشفة و العورة أن یستأذنوا عند دخولهم علی أبویهم فی مواضع الخلوات التی ذکرت فی الآیة، و هذا لا یکون إلاّ من أجل تربیتهم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جواز تعمیم هذا الحکم؛ لأنّ هذا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لزوم تربیة الطفل بما هو من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موارد اخری أیضاً، فیصحّ أن یدّعی أنّ الآیة دالّة علی أنّ الطفل الممیّز غیر البالغ یعوّد علی الأدب و النظام و الانضباط لیعتاد بفعل المعروف و ما هو متّجه عند الشرع، إلاّ أن یُقال باختصاص ذلک بمورد الآیة فقط؛</w:t>
      </w:r>
    </w:p>
    <w:p>
      <w:pPr>
        <w:pStyle w:val="BookText"/>
        <w:rPr/>
      </w:pPr>
      <w:r>
        <w:rPr>
          <w:rFonts w:ascii="IRNazanin" w:hAnsi="IRNazanin" w:eastAsia="IRNazanin"/>
          <w:color w:val="111111"/>
          <w:sz w:val="28"/>
          <w:sz w:val="28"/>
          <w:szCs w:val="28"/>
          <w:rtl w:val="true"/>
          <w:lang w:bidi="fa-IR"/>
        </w:rPr>
        <w:t>لعدم علمنا بملاکات الأحکام، و علی کلّ حال یستفاد منها وجوب تعلیم الاستئذان علی الآباء و الاُمّهات، و هو من مصادیق التربیة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العمل بهذا التکلیف، فهل یجب علی الأطفال الممیّزین مع أنّهم لیسوا بمکلّفین؟ قال بعض الفقهاء بوجوبه، و الآخرون بعدمه، و سیجیء فی بیان مصادیق التربیة فی الآیات و النصوص فی الفصل الثالث من هذا الباب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ارْکَبْ مَعَنا وَ لا تَکُنْ مَعَ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الاستدلال بها یتوقّف علی بیان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الخطاب فی هذه الآیات أنّها صدرت علی وجه الموعظة و تربیة الولد بمنعه عمّا یضرّه، حیث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لقمان و شکر سعیه لأجل إرشاده ابنه، ففی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یؤدّبه، و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حال ما یعظه</w:t>
      </w:r>
      <w:r>
        <w:rPr>
          <w:rFonts w:eastAsia="IRNazanin" w:cs="IRNazanin"/>
          <w:color w:val="111111"/>
          <w:sz w:val="28"/>
          <w:szCs w:val="28"/>
          <w:rtl w:val="true"/>
          <w:lang w:bidi="fa-IR"/>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خطاب نوح علیه السلام مع ابنه من أجل أنّ شفقة الأبوّة حملته علی ذلک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الواقع أدّبه و ربّاه بمنعه عن مصاحبة الکافرین، و أمره بأن یکون مع المؤمنین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توجّه الخطاب إلیه فی الآیتین و إن کان</w:t>
      </w:r>
      <w:bookmarkStart w:id="812" w:name="pg11754_113099"/>
    </w:p>
    <w:p>
      <w:pPr>
        <w:pStyle w:val="BookText"/>
        <w:rPr/>
      </w:pPr>
      <w:bookmarkEnd w:id="812"/>
      <w:r>
        <w:rPr>
          <w:rFonts w:ascii="IRNazanin" w:hAnsi="IRNazanin" w:eastAsia="IRNazanin"/>
          <w:color w:val="111111"/>
          <w:sz w:val="28"/>
          <w:sz w:val="28"/>
          <w:szCs w:val="28"/>
          <w:rtl w:val="true"/>
          <w:lang w:bidi="fa-IR"/>
        </w:rPr>
        <w:t>الظاهر منه أنّه حین الخطاب کان کبیراً، و لکنّ الملاک الذی صار سبباً لإلزام الأب علی إرشاده موجود فی الصبیّ الممیّز الذی یعقل الاُمور أیضاً، و لا تفاوت بینهما فی ذلک، بل المقتضی للإرشاد فی الصبی أکثر منه فی البالغین، فإرشاده أیضاً ألزم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الکلام یدلّ علی أنّ لقمان و نوح علیهما السلام یُلزِمان أنفسهما بإرشاد ولدیهما، و یوجبان علی أنفسهما ذلک، و یؤیّده تکرار موعظة لقمان فی مواضیع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کالمنع من الشرک و مصاحبة الأبوین فی الدنیا بالمعروف، و إقامة الصلاة، و الأمر بالمعروف و النهی عن المنکر، و الإقصار فی المشی، و الإغضاض فی الصوت، و غیرها التی ذکرت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دلیل علی اهتمامه بتربیة ولده و إصراره فیها، و کذلک نوح علیه السلام، بدلیل شفقته بولده کان مصرّاً فی إرشاده، و لذا أرشده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قال ابنه فی جوابه سآوی إلی جبلٍ یعصمنی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عاصم الیوم من أمر اللّه إلاّ من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حکایة القرآن الکریم ما أمر و نهی نوح و لقمان علیهما السلام لابنیهما یرشدنا إلی أنّ علینا أن نربّی أولادنا بهذه الوصایا و العمل بها، و نکون مثلهما فی أداء هذا التکلیف تأسّیاً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الاستدلال بهذا التقریب و إن یؤیّده العقل، و لکن حیث إنّا لا نعلم بملاکات الأحکام، فالمستفاد منها صرف مطلوبیّة تربیة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وجوبها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نقول بالوجوب، فالمستفاد منها وجوب تربیة الأطفال الممیّزین الذین هم فی سنّ السبع و ما فوقه، کما ورد فی الروایات بإقامة الصلاة، و لا تدلّ علی وجوب التربیة مطلقاً</w:t>
      </w:r>
      <w:r>
        <w:rPr>
          <w:rFonts w:eastAsia="IRNazanin" w:cs="IRNazanin"/>
          <w:color w:val="111111"/>
          <w:sz w:val="28"/>
          <w:szCs w:val="28"/>
          <w:rtl w:val="true"/>
          <w:lang w:bidi="fa-IR"/>
        </w:rPr>
        <w:t>.</w:t>
      </w:r>
    </w:p>
    <w:p>
      <w:pPr>
        <w:pStyle w:val="Heading6"/>
        <w:numPr>
          <w:ilvl w:val="5"/>
          <w:numId w:val="1"/>
        </w:numPr>
        <w:rPr/>
      </w:pPr>
      <w:bookmarkStart w:id="813" w:name="__RefHeading___Toc9531035_73709187"/>
      <w:bookmarkStart w:id="814" w:name="_Toc320"/>
      <w:bookmarkEnd w:id="813"/>
      <w:r>
        <w:rPr>
          <w:rtl w:val="true"/>
        </w:rPr>
        <w:t>الثانی</w:t>
      </w:r>
      <w:r>
        <w:rPr>
          <w:rtl w:val="true"/>
        </w:rPr>
        <w:t xml:space="preserve">: </w:t>
      </w:r>
      <w:r>
        <w:rPr>
          <w:rtl w:val="true"/>
        </w:rPr>
        <w:t>النصوص الکثیرة، و هی طوائف</w:t>
      </w:r>
      <w:r>
        <w:rPr>
          <w:rtl w:val="true"/>
        </w:rPr>
        <w:t>:</w:t>
      </w:r>
      <w:bookmarkEnd w:id="814"/>
    </w:p>
    <w:p>
      <w:pPr>
        <w:pStyle w:val="Heading6"/>
        <w:numPr>
          <w:ilvl w:val="5"/>
          <w:numId w:val="1"/>
        </w:numPr>
        <w:rPr/>
      </w:pPr>
      <w:bookmarkStart w:id="815" w:name="__RefHeading___Toc9531037_73709187"/>
      <w:bookmarkStart w:id="816" w:name="_Toc321"/>
      <w:bookmarkEnd w:id="815"/>
      <w:r>
        <w:rPr>
          <w:rtl w:val="true"/>
        </w:rPr>
        <w:t>الاُولی</w:t>
      </w:r>
      <w:r>
        <w:rPr>
          <w:rtl w:val="true"/>
        </w:rPr>
        <w:t xml:space="preserve">: </w:t>
      </w:r>
      <w:r>
        <w:rPr>
          <w:rtl w:val="true"/>
        </w:rPr>
        <w:t>ما تدلّ علی لزوم تربیة الأولاد و الولایة فیها علی نحو الإطلاق</w:t>
      </w:r>
      <w:bookmarkEnd w:id="8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7" w:name="pg11754_113100"/>
    </w:p>
    <w:p>
      <w:pPr>
        <w:pStyle w:val="BookText"/>
        <w:rPr/>
      </w:pPr>
      <w:bookmarkEnd w:id="817"/>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 و یؤدّب سبع سنین، و الزمه نفسک سبع، فإن أفلح و إلاّ فلا خیر فیه</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یربّی الصبیّ سبعاً، و یؤدّب سبعاً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مکارم الأخلاق نقلاً من کتاب المحاسن</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صبیّک حتّی یأتی علیه ستّ سنین، ثمّ أدّبه فی الکتاب ست سنین، ثمّ ضمّه إلیک سبع سنین فأدّبه بأدبک، فإن قبل و صلح و إلاّ فخلّ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رواه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 و الزمه نفسک سبع سنین، فإن أفلح و إلاّ فإنّه من لا خیر فیه</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المتقدّمة</w:t>
      </w:r>
      <w:r>
        <w:rPr>
          <w:rStyle w:val="FootnoteAnchor"/>
          <w:rtl w:val="true"/>
        </w:rPr>
        <w:footnoteReference w:id="1481"/>
      </w:r>
      <w:r>
        <w:rPr>
          <w:rFonts w:ascii="IRNazanin" w:hAnsi="IRNazanin" w:eastAsia="IRNazanin"/>
          <w:color w:val="111111"/>
          <w:sz w:val="28"/>
          <w:sz w:val="28"/>
          <w:szCs w:val="28"/>
          <w:rtl w:val="true"/>
          <w:lang w:bidi="fa-IR"/>
        </w:rPr>
        <w:t>التی تدلّ علی أنّ الرجل کالراعی علی أهل بیته و مسئول عنهم</w:t>
      </w:r>
      <w:r>
        <w:rPr>
          <w:rFonts w:eastAsia="IRNazanin" w:cs="IRNazanin"/>
          <w:color w:val="111111"/>
          <w:sz w:val="28"/>
          <w:szCs w:val="28"/>
          <w:rtl w:val="true"/>
          <w:lang w:bidi="fa-IR"/>
        </w:rPr>
        <w:t>.</w:t>
      </w:r>
    </w:p>
    <w:p>
      <w:pPr>
        <w:pStyle w:val="Heading6"/>
        <w:numPr>
          <w:ilvl w:val="5"/>
          <w:numId w:val="1"/>
        </w:numPr>
        <w:rPr/>
      </w:pPr>
      <w:bookmarkStart w:id="818" w:name="__RefHeading___Toc9531039_73709187"/>
      <w:bookmarkStart w:id="819" w:name="_Toc322"/>
      <w:bookmarkEnd w:id="818"/>
      <w:r>
        <w:rPr>
          <w:rtl w:val="true"/>
        </w:rPr>
        <w:t>الطائفة الثانیة</w:t>
      </w:r>
      <w:r>
        <w:rPr>
          <w:rtl w:val="true"/>
        </w:rPr>
        <w:t xml:space="preserve">: </w:t>
      </w:r>
      <w:r>
        <w:rPr>
          <w:rtl w:val="true"/>
        </w:rPr>
        <w:t>ما تدلّ علی أنّ تربیة الأولاد حقٌّ لهم</w:t>
      </w:r>
      <w:bookmarkEnd w:id="81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الکافی بسند معتبر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ابنی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 أدبه، وضعه موضعاً حسناً</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ما عن أبی عبد اللّه علیه السلام مع إضافة؛ و هو قوله 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یزوّجه إذا بلغ</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یعلّمه الکتابة إذا کبر، و أن یعفّ فرجه إذا أدرک</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نهج البلاغة أنّ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للولد علی الوالد حقّاً، و أنّ للوالد علی الولد حقّاً، فحقّ الوالد علی الولد أن یطیعه فی کلّ شیء إلاّ فی معصیة اللّه سبحانه، و حقّ الولد علی الوالد أن یحسّن اسمه و یحسّن أدبه و یعلّمه القرآن</w:t>
      </w:r>
      <w:r>
        <w:rPr>
          <w:rFonts w:eastAsia="IRNazanin" w:cs="IRNazanin"/>
          <w:color w:val="111111"/>
          <w:sz w:val="28"/>
          <w:szCs w:val="28"/>
          <w:rtl w:val="true"/>
          <w:lang w:bidi="fa-IR"/>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pStyle w:val="BookText"/>
        <w:rPr/>
      </w:pPr>
      <w:r>
        <w:rPr>
          <w:rFonts w:ascii="IRNazanin" w:hAnsi="IRNazanin" w:eastAsia="IRNazanin"/>
          <w:color w:val="111111"/>
          <w:sz w:val="28"/>
          <w:sz w:val="28"/>
          <w:szCs w:val="28"/>
          <w:rtl w:val="true"/>
          <w:lang w:bidi="fa-IR"/>
        </w:rPr>
        <w:t>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إذا کان ذکراً أن یستفرّه</w:t>
      </w:r>
      <w:r>
        <w:rPr>
          <w:rStyle w:val="FootnoteAnchor"/>
          <w:rtl w:val="true"/>
        </w:rPr>
        <w:footnoteReference w:id="1486"/>
      </w:r>
      <w:r>
        <w:rPr>
          <w:rFonts w:ascii="IRNazanin" w:hAnsi="IRNazanin" w:eastAsia="IRNazanin"/>
          <w:color w:val="111111"/>
          <w:sz w:val="28"/>
          <w:sz w:val="28"/>
          <w:szCs w:val="28"/>
          <w:rtl w:val="true"/>
          <w:lang w:bidi="fa-IR"/>
        </w:rPr>
        <w:t>امّه، و یستحسن اسمه و یعلّمه کتاب اللّه، و یطهّره، و یعلّمه السباحة</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علیهما السلام فی رسالته المعروفة برسالة الحقوق، و اعتمد علیها الأصحاب،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ولدک فتعلم أنّه منک و مضاف إلیک فی عاجل الدنیا بخیره و شرّه، و أنّک مسئول عمّا ولّیته من حسن الأدب و الدلالة علی ربّه عزّ و جلّ، و المعونة له علی طاعته فیک و فی نفسه فمثاب علی ذلک و معاقب، فاعمل فی أمره عمل المتزیّن بحسن أثره علیه فی عاجل الدنیا، المعذر إلی ربّه فیما بینک و بینه بحسن القیام علیه و الأخذ له منه</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تدلّ صریحاً علی وجوب تربیة الطفل فی کلّ مورد کان فیه مصلحته، و لزوم کون الأب عوناً للولد، بأن یکون عبداً مطیعاً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مستقبل عمره،</w:t>
      </w:r>
      <w:bookmarkStart w:id="820" w:name="pg11754_113102"/>
    </w:p>
    <w:p>
      <w:pPr>
        <w:pStyle w:val="BookText"/>
        <w:rPr/>
      </w:pPr>
      <w:bookmarkEnd w:id="820"/>
      <w:r>
        <w:rPr>
          <w:rFonts w:ascii="IRNazanin" w:hAnsi="IRNazanin" w:eastAsia="IRNazanin"/>
          <w:color w:val="111111"/>
          <w:sz w:val="28"/>
          <w:sz w:val="28"/>
          <w:szCs w:val="28"/>
          <w:rtl w:val="true"/>
          <w:lang w:bidi="fa-IR"/>
        </w:rPr>
        <w:t>و أنّه إن لم یقم بهذا التکلیف کان معاقباً، و لو عمل بما علیه فهو مثاب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ورد عن طریق أهل السنّة أیضاً، مثل ما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الوالد من الحقوق لولده ما یلزم الولد من الحقوق لوالده</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قال فی جواب سؤال أبی رافع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لهم علینا حقّ کمالنا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حقّ الولد علی الوالد أن یعلّمه کتاب اللّه و الرمی و السباحة، و أن یورثه طیباً</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یخفی أنّ متعلّق الحقّ‌</w:t>
      </w:r>
      <w:r>
        <w:rPr>
          <w:rStyle w:val="FootnoteAnchor"/>
          <w:rtl w:val="true"/>
        </w:rPr>
        <w:footnoteReference w:id="1491"/>
      </w:r>
      <w:r>
        <w:rPr>
          <w:rFonts w:ascii="IRNazanin" w:hAnsi="IRNazanin" w:eastAsia="IRNazanin"/>
          <w:color w:val="111111"/>
          <w:sz w:val="28"/>
          <w:sz w:val="28"/>
          <w:szCs w:val="28"/>
          <w:rtl w:val="true"/>
          <w:lang w:bidi="fa-IR"/>
        </w:rPr>
        <w:t>یمکن أن یکون واجباً أو مستحبّاً؛ بمعنی أنّ بعض ما هو حقّ یجب علی من علیه الحقّ إقامتها لذی الحقّ، و لا یجوز أن یترکها، و بعض آخر لا یجب، بل یستحبّ، فمن الأوّل وجوب قیام الولیّ باُمور یجب علی الولد لدی بلوغه، و اهتمّ بها الشارع أشدّ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 لهذا القسم من الحقوق فی کلام علیّ بن الحسین علیهما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فمثاب علی ذلک و معاقب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ترک المستحبّ لا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 ما لم یکن بهذه الأهمّیة، مثل تعلیم السباحة للأطفال، فهذه الطائفة من النصوص تکون فی الجملة دلیلاً علی ما هو واجب من التربیة، و ما هو مستحبّ</w:t>
      </w:r>
      <w:r>
        <w:rPr>
          <w:rFonts w:eastAsia="IRNazanin" w:cs="IRNazanin"/>
          <w:color w:val="111111"/>
          <w:sz w:val="28"/>
          <w:szCs w:val="28"/>
          <w:rtl w:val="true"/>
          <w:lang w:bidi="fa-IR"/>
        </w:rPr>
        <w:t>.</w:t>
      </w:r>
    </w:p>
    <w:p>
      <w:pPr>
        <w:pStyle w:val="Heading6"/>
        <w:numPr>
          <w:ilvl w:val="5"/>
          <w:numId w:val="1"/>
        </w:numPr>
        <w:rPr/>
      </w:pPr>
      <w:bookmarkStart w:id="821" w:name="__RefHeading___Toc9531041_73709187"/>
      <w:bookmarkStart w:id="822" w:name="_Toc323"/>
      <w:bookmarkEnd w:id="821"/>
      <w:r>
        <w:rPr>
          <w:rtl w:val="true"/>
        </w:rPr>
        <w:t>الطائفة الثالثة</w:t>
      </w:r>
      <w:r>
        <w:rPr>
          <w:rtl w:val="true"/>
        </w:rPr>
        <w:t xml:space="preserve">: </w:t>
      </w:r>
      <w:r>
        <w:rPr>
          <w:rtl w:val="true"/>
        </w:rPr>
        <w:t>ما ورد فی بیان المقصود من الآیة الکریمة</w:t>
      </w:r>
      <w:bookmarkEnd w:id="82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بصیر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 اللّه، و تنهاهم عمّا نهاهم</w:t>
      </w:r>
      <w:r>
        <w:rPr>
          <w:rStyle w:val="FootnoteAnchor"/>
          <w:rtl w:val="true"/>
        </w:rPr>
        <w:footnoteReference w:id="1492"/>
      </w:r>
      <w:r>
        <w:rPr>
          <w:rFonts w:ascii="IRNazanin" w:hAnsi="IRNazanin" w:eastAsia="IRNazanin"/>
          <w:color w:val="111111"/>
          <w:sz w:val="28"/>
          <w:sz w:val="28"/>
          <w:szCs w:val="28"/>
          <w:rtl w:val="true"/>
          <w:lang w:bidi="fa-IR"/>
        </w:rPr>
        <w:t>اللّه، فإن أطاعوک کنت قد وقیتهم، و إن عصوک کنت قد قضیت ما علیک</w:t>
      </w:r>
      <w:r>
        <w:rPr>
          <w:rFonts w:eastAsia="IRNazanin" w:cs="IRNazanin"/>
          <w:color w:val="111111"/>
          <w:sz w:val="28"/>
          <w:szCs w:val="28"/>
          <w:rtl w:val="true"/>
          <w:lang w:bidi="fa-IR"/>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بسند معتبر عن أبی عمیر</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أهل بیت و هم یسمعون منّی أ فأدعوهم إلی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یقول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 خبر</w:t>
      </w:r>
    </w:p>
    <w:p>
      <w:pPr>
        <w:pStyle w:val="BookText"/>
        <w:rPr/>
      </w:pPr>
      <w:r>
        <w:rPr>
          <w:rFonts w:ascii="IRNazanin" w:hAnsi="IRNazanin" w:eastAsia="IRNazanin"/>
          <w:color w:val="111111"/>
          <w:sz w:val="28"/>
          <w:sz w:val="28"/>
          <w:szCs w:val="28"/>
          <w:rtl w:val="true"/>
          <w:lang w:bidi="fa-IR"/>
        </w:rPr>
        <w:t>عبد الأعلی مولی آل سام عن أبی عبد اللّه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أن تأمرهم بما تأمر به نفسک، و تنهاهم عمّا تنهی عنه نفسک</w:t>
      </w:r>
      <w:r>
        <w:rPr>
          <w:rFonts w:eastAsia="IRNazanin" w:cs="IRNazanin"/>
          <w:color w:val="111111"/>
          <w:sz w:val="28"/>
          <w:szCs w:val="28"/>
          <w:rtl w:val="true"/>
          <w:lang w:bidi="fa-IR"/>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المستدرک عن دعائم الإسلام</w:t>
      </w:r>
      <w:r>
        <w:rPr>
          <w:rStyle w:val="FootnoteAnchor"/>
          <w:rtl w:val="true"/>
        </w:rPr>
        <w:footnoteReference w:id="1496"/>
      </w:r>
      <w:r>
        <w:rPr>
          <w:rFonts w:ascii="Amiri" w:hAnsi="Amiri" w:eastAsia="Amiri" w:cs="Amiri"/>
          <w:color w:val="111111"/>
          <w:sz w:val="28"/>
          <w:sz w:val="28"/>
          <w:szCs w:val="28"/>
          <w:rtl w:val="true"/>
          <w:lang w:bidi="ar-SA"/>
        </w:rPr>
        <w:t>، عن أبی عبد اللّه جعفر بن محمّد علیهما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کیف نقی أنفسنا و أهلینا؟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الخیر، و ذکّروا به أهلیکم، فأدّبوهم علی طاعة اللّه،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w:t>
      </w:r>
      <w:bookmarkStart w:id="823" w:name="pg11754_113104"/>
    </w:p>
    <w:p>
      <w:pPr>
        <w:pStyle w:val="BookText"/>
        <w:rPr/>
      </w:pPr>
      <w:bookmarkEnd w:id="823"/>
      <w:r>
        <w:rPr>
          <w:rFonts w:ascii="Amiri" w:hAnsi="Amiri" w:eastAsia="Amiri" w:cs="Amiri"/>
          <w:color w:val="111111"/>
          <w:sz w:val="28"/>
          <w:sz w:val="28"/>
          <w:szCs w:val="28"/>
          <w:rtl w:val="true"/>
          <w:lang w:bidi="ar-SA"/>
        </w:rPr>
        <w:t xml:space="preserve">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و فی معناها الحدیث الأوّل و الثانی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الثلاثة الأخیرة تؤیّد بالصراحة ما استفدناه من الآیة الرابعة من المستندات فی هذا المبحث؛ أی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حیث استشهد الإمام علیه السلام فی الحکم بوجوب تربیة الأولاد بهذه الآیة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ورد بهذا المضمون عن طریق أهل السنّة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کیف نقی أهلنا 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تأمرونهم بما یحبّه اللّه، و تنهونهم عمّا یکره اللّه</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w:t>
      </w:r>
    </w:p>
    <w:p>
      <w:pPr>
        <w:pStyle w:val="BookText"/>
        <w:rPr/>
      </w:pPr>
      <w:r>
        <w:rPr>
          <w:rFonts w:ascii="IRNazanin" w:hAnsi="IRNazanin" w:eastAsia="IRNazanin"/>
          <w:color w:val="111111"/>
          <w:sz w:val="28"/>
          <w:sz w:val="28"/>
          <w:szCs w:val="28"/>
          <w:rtl w:val="true"/>
          <w:lang w:bidi="fa-IR"/>
        </w:rPr>
        <w:t>عن أمیر المؤمنین علیه السلام فی معنی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أنفسکم و أهلیکم الخیر و أدّبوهم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824" w:name="__RefHeading___Toc9531043_73709187"/>
      <w:bookmarkStart w:id="825" w:name="_Toc324"/>
      <w:bookmarkEnd w:id="824"/>
      <w:r>
        <w:rPr>
          <w:rtl w:val="true"/>
        </w:rPr>
        <w:t>الطائفة الرابعة</w:t>
      </w:r>
      <w:r>
        <w:rPr>
          <w:rtl w:val="true"/>
        </w:rPr>
        <w:t xml:space="preserve">: </w:t>
      </w:r>
      <w:r>
        <w:rPr>
          <w:rtl w:val="true"/>
        </w:rPr>
        <w:t>ما دلّ علی لزوم الأمر بالصلاة و الصوم خاصّة</w:t>
      </w:r>
      <w:bookmarkEnd w:id="8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نذکرها فی وجوب تعوید الطفل علی الصلاة و الطهارة فی الفصل الثالث من هذا الباب</w:t>
      </w:r>
      <w:r>
        <w:rPr>
          <w:rFonts w:eastAsia="IRNazanin" w:cs="IRNazanin"/>
          <w:color w:val="111111"/>
          <w:sz w:val="28"/>
          <w:szCs w:val="28"/>
          <w:rtl w:val="true"/>
          <w:lang w:bidi="fa-IR"/>
        </w:rPr>
        <w:t>.</w:t>
      </w:r>
    </w:p>
    <w:p>
      <w:pPr>
        <w:pStyle w:val="Heading6"/>
        <w:numPr>
          <w:ilvl w:val="5"/>
          <w:numId w:val="1"/>
        </w:numPr>
        <w:rPr/>
      </w:pPr>
      <w:bookmarkStart w:id="826" w:name="__RefHeading___Toc9531045_73709187"/>
      <w:bookmarkStart w:id="827" w:name="_Toc325"/>
      <w:bookmarkEnd w:id="826"/>
      <w:r>
        <w:rPr>
          <w:rtl w:val="true"/>
        </w:rPr>
        <w:t>الطائفة الخامسة</w:t>
      </w:r>
      <w:r>
        <w:rPr>
          <w:rtl w:val="true"/>
        </w:rPr>
        <w:t xml:space="preserve">: </w:t>
      </w:r>
      <w:r>
        <w:rPr>
          <w:rtl w:val="true"/>
        </w:rPr>
        <w:t>ما تدلّ علی عقوق الوالدین لأولادهم</w:t>
      </w:r>
      <w:bookmarkEnd w:id="82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نصوص تدلّ علی أنّ الوالدین لأجل عدم قیامهم بالوظائف التی عیّنها الشارع بالنسبة إلی الأولاد، و ترک تربیتهم ربما یصیران عاقّین</w:t>
      </w:r>
      <w:r>
        <w:rPr>
          <w:rStyle w:val="FootnoteAnchor"/>
          <w:rtl w:val="true"/>
        </w:rPr>
        <w:footnoteReference w:id="1499"/>
      </w:r>
      <w:r>
        <w:rPr>
          <w:rFonts w:ascii="IRNazanin" w:hAnsi="IRNazanin" w:eastAsia="IRNazanin"/>
          <w:color w:val="111111"/>
          <w:sz w:val="28"/>
          <w:sz w:val="28"/>
          <w:szCs w:val="28"/>
          <w:rtl w:val="true"/>
          <w:lang w:bidi="fa-IR"/>
        </w:rPr>
        <w:t>للأولاد،</w:t>
      </w:r>
    </w:p>
    <w:p>
      <w:pPr>
        <w:pStyle w:val="BookText"/>
        <w:rPr/>
      </w:pPr>
      <w:r>
        <w:rPr>
          <w:rFonts w:ascii="IRNazanin" w:hAnsi="IRNazanin" w:eastAsia="IRNazanin"/>
          <w:color w:val="111111"/>
          <w:sz w:val="28"/>
          <w:sz w:val="28"/>
          <w:szCs w:val="28"/>
          <w:rtl w:val="true"/>
          <w:lang w:bidi="fa-IR"/>
        </w:rPr>
        <w:t>و هو من الکبائر الذی أوعد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زید بن علی، عن أبیه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لولدهما ما یلزم الولد لهما من عقوقهما</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فی الخصال عن السکونی، عن أبی عبد اللّه، عن آبائه علیهم السلام، عن النبیّ صلی الله علیه و آله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العقوق لولدهما إذا کان الولد صالحاً ما یلزم الولد 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یونس بن رباط،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من أعان ولده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یعینه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میسوره و یتجاوز عن معسوره، و لا یرهقه و لا یخرق به، فلیس بینه و بین أن یصیر فی حدّ من حدود الکفر إلاّ أن یدخل فی عقوق أو قطیعة رحم،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طیّبة طیّبها اللّه و طیّب ریحها، یوجد ریحها من مسیرة ألف عام، و لا یجد ریح الجنّة عاقّ، و لا قاطع رحم، و لا مرخی الإزار خیلاء</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bookmarkStart w:id="828" w:name="pg11754_113106"/>
    </w:p>
    <w:p>
      <w:pPr>
        <w:pStyle w:val="Heading6"/>
        <w:numPr>
          <w:ilvl w:val="5"/>
          <w:numId w:val="1"/>
        </w:numPr>
        <w:rPr/>
      </w:pPr>
      <w:bookmarkStart w:id="829" w:name="__RefHeading___Toc9531047_73709187"/>
      <w:bookmarkStart w:id="830" w:name="_Toc326"/>
      <w:bookmarkEnd w:id="828"/>
      <w:bookmarkEnd w:id="829"/>
      <w:r>
        <w:rPr>
          <w:rtl w:val="true"/>
        </w:rPr>
        <w:t>الطائفة السادسة</w:t>
      </w:r>
      <w:r>
        <w:rPr>
          <w:rtl w:val="true"/>
        </w:rPr>
        <w:t xml:space="preserve">: </w:t>
      </w:r>
      <w:r>
        <w:rPr>
          <w:rtl w:val="true"/>
        </w:rPr>
        <w:t>ما تدلّ علی وجوب تأدیب الأطفال</w:t>
      </w:r>
      <w:bookmarkEnd w:id="830"/>
    </w:p>
    <w:p>
      <w:pPr>
        <w:pStyle w:val="BookText"/>
        <w:rPr/>
      </w:pPr>
      <w:r>
        <w:rPr>
          <w:rFonts w:ascii="IRNazanin" w:hAnsi="IRNazanin" w:eastAsia="IRNazanin"/>
          <w:color w:val="111111"/>
          <w:sz w:val="28"/>
          <w:sz w:val="28"/>
          <w:szCs w:val="28"/>
          <w:rtl w:val="true"/>
          <w:lang w:bidi="fa-IR"/>
        </w:rPr>
        <w:t>ستجیء فی الباب الذی نبحث عن جنایات الأطفال و حکم تأدیبهم روایات کثیرة تدلّ علی وجوب تأدیب الأطفال علی ارتکاب القبائح، و یستفاد من تلک النصوص أیضاً وجوب تربیة الأطفال؛ لأنّ التربیة تلازم التأدیب؛ بمعنی أنّ تأدیب الطفل و منعه من ارتکاب السرقة أو لترک المکارم و المحاسن سیکون سبباً فی تربیته علی کسب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یستفید المربّی لتربیة الولد من وسائل عدیدة، فإن کان ینفع مع الولد الملاطفة بالوعظ فلا یجوز له أن یلجأ إلی الهجر، و إن کان ینفع الهجر أو الزجر فلا یجوز له أن یلجأ إلی الضرب، و إذا عجز عن جمیع الوسائل الإصلاحیّة ملاطفة و وعظاً، فلا بأس بعد هذا أن یلجأ إلی الضرب و التأدیب، فیکون التأدیب أحد الأسباب لتربیة الطفل بما یکون مصلحة له، و سوقه إلی تهذیب الأخلاق، و منعه عن کلّ ما کان فیه ضرراً علیه، أو یوجب إضراره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فی حقّ الصبیان لحکمة خاصّة، و هی تأدیبهم علی ارتکاب القبائح، و صیانتهم من إغواء المضلّین، و سوقهم إلی تهذیب الأخلاق، فإن تعوّد الأفعال الشنیعة داءٌ عضال</w:t>
      </w:r>
      <w:r>
        <w:rPr>
          <w:rFonts w:eastAsia="IRNazanin" w:cs="IRNazanin"/>
          <w:color w:val="111111"/>
          <w:sz w:val="28"/>
          <w:szCs w:val="28"/>
          <w:rtl w:val="true"/>
          <w:lang w:bidi="fa-IR"/>
        </w:rPr>
        <w:t>»</w:t>
      </w:r>
      <w:r>
        <w:rPr>
          <w:rStyle w:val="FootnoteAnchor"/>
          <w:rtl w:val="true"/>
        </w:rPr>
        <w:footnoteReference w:id="1502"/>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9531049_73709187"/>
      <w:bookmarkStart w:id="832" w:name="_Toc327"/>
      <w:bookmarkEnd w:id="831"/>
      <w:r>
        <w:rPr>
          <w:rtl w:val="true"/>
        </w:rPr>
        <w:t>الطائفة السابعة</w:t>
      </w:r>
      <w:r>
        <w:rPr>
          <w:rtl w:val="true"/>
        </w:rPr>
        <w:t xml:space="preserve">: </w:t>
      </w:r>
      <w:r>
        <w:rPr>
          <w:rtl w:val="true"/>
        </w:rPr>
        <w:t>ما تدلّ علی ذمّ بعض الآباء</w:t>
      </w:r>
      <w:bookmarkEnd w:id="832"/>
    </w:p>
    <w:p>
      <w:pPr>
        <w:pStyle w:val="BookText"/>
        <w:rPr/>
      </w:pPr>
      <w:r>
        <w:rPr>
          <w:rFonts w:ascii="IRNazanin" w:hAnsi="IRNazanin" w:eastAsia="IRNazanin"/>
          <w:color w:val="111111"/>
          <w:sz w:val="28"/>
          <w:sz w:val="28"/>
          <w:szCs w:val="28"/>
          <w:rtl w:val="true"/>
          <w:lang w:bidi="fa-IR"/>
        </w:rPr>
        <w:t>ورد فی بعض الأخبار أنّ النبیّ صلی الله علیه و آله ذمّ بعض الآباء الذین لم یعملوا بوظائفهم فی تعلیم أولادهم و تربیتهم، کما رواه فی مستدرک الوسائل،</w:t>
      </w:r>
    </w:p>
    <w:p>
      <w:pPr>
        <w:pStyle w:val="BookText"/>
        <w:rPr/>
      </w:pPr>
      <w:r>
        <w:rPr>
          <w:rFonts w:ascii="IRNazanin" w:hAnsi="IRNazanin" w:eastAsia="IRNazanin"/>
          <w:color w:val="111111"/>
          <w:sz w:val="28"/>
          <w:sz w:val="28"/>
          <w:szCs w:val="28"/>
          <w:rtl w:val="true"/>
          <w:lang w:bidi="fa-IR"/>
        </w:rPr>
        <w:t>عن النبیّ صلی الله علیه و آله أنّه نظر إلی بعض الأطفال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لأطفال آخر الزمان من آبائهم، فقیل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آبائهم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آبائهم المؤمنین، لا یعلّمونهم</w:t>
      </w:r>
      <w:bookmarkStart w:id="833" w:name="pg11754_113107"/>
    </w:p>
    <w:p>
      <w:pPr>
        <w:pStyle w:val="BookText"/>
        <w:rPr/>
      </w:pPr>
      <w:bookmarkEnd w:id="833"/>
      <w:r>
        <w:rPr>
          <w:rFonts w:ascii="IRNazanin" w:hAnsi="IRNazanin" w:eastAsia="IRNazanin"/>
          <w:color w:val="111111"/>
          <w:sz w:val="28"/>
          <w:sz w:val="28"/>
          <w:szCs w:val="28"/>
          <w:rtl w:val="true"/>
          <w:lang w:bidi="fa-IR"/>
        </w:rPr>
        <w:t>شیئاً من الفرائض، و إذا تعلّموا أولادهم منعوهم، و رضوا عنهم بعرض یسیر من الدنیا، فأنا منهم بریء، و هم منّی براء</w:t>
      </w:r>
      <w:r>
        <w:rPr>
          <w:rFonts w:eastAsia="IRNazanin" w:cs="IRNazanin"/>
          <w:color w:val="111111"/>
          <w:sz w:val="28"/>
          <w:szCs w:val="28"/>
          <w:rtl w:val="true"/>
          <w:lang w:bidi="fa-IR"/>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وجوب القیام بتربیة الأولاد حسب ما یبیّنه الشرع و حرمة ترکها صریحة؛ لأنّه یوجب براءة النبیّ صلی الله علیه و آله، الذی هو عذاب ألیم و شقاء دائم، فیجب أن یتجنّب منه</w:t>
      </w:r>
      <w:r>
        <w:rPr>
          <w:rFonts w:eastAsia="IRNazanin" w:cs="IRNazanin"/>
          <w:color w:val="111111"/>
          <w:sz w:val="28"/>
          <w:szCs w:val="28"/>
          <w:rtl w:val="true"/>
          <w:lang w:bidi="fa-IR"/>
        </w:rPr>
        <w:t>.</w:t>
      </w:r>
    </w:p>
    <w:p>
      <w:pPr>
        <w:pStyle w:val="Heading6"/>
        <w:numPr>
          <w:ilvl w:val="5"/>
          <w:numId w:val="1"/>
        </w:numPr>
        <w:rPr/>
      </w:pPr>
      <w:bookmarkStart w:id="834" w:name="__RefHeading___Toc9531051_73709187"/>
      <w:bookmarkStart w:id="835" w:name="_Toc328"/>
      <w:bookmarkEnd w:id="834"/>
      <w:r>
        <w:rPr>
          <w:rtl w:val="true"/>
        </w:rPr>
        <w:t>الثالث</w:t>
      </w:r>
      <w:r>
        <w:rPr>
          <w:rtl w:val="true"/>
        </w:rPr>
        <w:t xml:space="preserve">: </w:t>
      </w:r>
      <w:r>
        <w:rPr>
          <w:rtl w:val="true"/>
        </w:rPr>
        <w:t>السیرة المستمرّة</w:t>
      </w:r>
      <w:bookmarkEnd w:id="835"/>
    </w:p>
    <w:p>
      <w:pPr>
        <w:pStyle w:val="BookText"/>
        <w:rPr/>
      </w:pPr>
      <w:r>
        <w:rPr>
          <w:rFonts w:ascii="IRNazanin" w:hAnsi="IRNazanin" w:eastAsia="IRNazanin"/>
          <w:color w:val="111111"/>
          <w:sz w:val="28"/>
          <w:sz w:val="28"/>
          <w:szCs w:val="28"/>
          <w:rtl w:val="true"/>
          <w:lang w:bidi="fa-IR"/>
        </w:rPr>
        <w:t>السیرة المستمرّة من المتشرّعة قائمة علی أنّ الأولیاء یُلزِمُون أنفسهم علی القیام بتربیة أولادهم تربیة صحیحة، و صونهم عمّا یوجب فساد أخلاقهم و یضرّ بعقائدهم، و لم یثبت ردعها من الشرع، بل ثبت إمضاؤها بمقتضی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السبزواری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یصونه عمّا یفسد أخلاقه فضلاً عمّا یضرّ بعقائده؛ لأنّ ذلک من أهمّ جهات ولایته علیه، بل لم یشرع الولایة إلاّ لذلک، فیلزم القیام بها، و تقتضیه سیرة المتشرّعة خلفاً عن سلف</w:t>
      </w:r>
      <w:r>
        <w:rPr>
          <w:rFonts w:eastAsia="IRNazanin" w:cs="IRNazanin"/>
          <w:color w:val="111111"/>
          <w:sz w:val="28"/>
          <w:szCs w:val="28"/>
          <w:rtl w:val="true"/>
          <w:lang w:bidi="fa-IR"/>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ادّعی فی الجواهر أنّ السیرة قائمة علی تأدیبهم و تعزیرهم</w:t>
      </w:r>
      <w:r>
        <w:rPr>
          <w:rStyle w:val="FootnoteAnchor"/>
          <w:rtl w:val="true"/>
        </w:rPr>
        <w:footnoteReference w:id="1506"/>
      </w:r>
      <w:r>
        <w:rPr>
          <w:rFonts w:ascii="IRNazanin" w:hAnsi="IRNazanin" w:eastAsia="IRNazanin"/>
          <w:color w:val="111111"/>
          <w:sz w:val="28"/>
          <w:sz w:val="28"/>
          <w:szCs w:val="28"/>
          <w:rtl w:val="true"/>
          <w:lang w:bidi="fa-IR"/>
        </w:rPr>
        <w:t>، و کذا فی المکاسب</w:t>
      </w:r>
      <w:r>
        <w:rPr>
          <w:rStyle w:val="FootnoteAnchor"/>
          <w:rtl w:val="true"/>
        </w:rPr>
        <w:footnoteReference w:id="1507"/>
      </w:r>
      <w:r>
        <w:rPr>
          <w:rFonts w:ascii="IRNazanin" w:hAnsi="IRNazanin" w:eastAsia="IRNazanin"/>
          <w:color w:val="111111"/>
          <w:sz w:val="28"/>
          <w:sz w:val="28"/>
          <w:szCs w:val="28"/>
          <w:rtl w:val="true"/>
          <w:lang w:bidi="fa-IR"/>
        </w:rPr>
        <w:t xml:space="preserve">، و هو أقوی شاهد علی أنّ تربیة الطفل بتهذیب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ینفکّ عن حفظه عن المفاسد، بل هی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علی الولیّ و إن انجرّ إلی تأدیبه بالضرب، جاز له بل یجب فی بعض الأحیان</w:t>
      </w:r>
      <w:r>
        <w:rPr>
          <w:rFonts w:eastAsia="IRNazanin" w:cs="IRNazanin"/>
          <w:color w:val="111111"/>
          <w:sz w:val="28"/>
          <w:szCs w:val="28"/>
          <w:rtl w:val="true"/>
          <w:lang w:bidi="fa-IR"/>
        </w:rPr>
        <w:t>.</w:t>
      </w:r>
      <w:bookmarkStart w:id="836" w:name="pg11754_113108"/>
    </w:p>
    <w:p>
      <w:pPr>
        <w:pStyle w:val="Heading6"/>
        <w:numPr>
          <w:ilvl w:val="5"/>
          <w:numId w:val="1"/>
        </w:numPr>
        <w:rPr/>
      </w:pPr>
      <w:bookmarkStart w:id="837" w:name="__RefHeading___Toc9531053_73709187"/>
      <w:bookmarkStart w:id="838" w:name="_Toc329"/>
      <w:bookmarkEnd w:id="836"/>
      <w:bookmarkEnd w:id="837"/>
      <w:r>
        <w:rPr>
          <w:rtl w:val="true"/>
        </w:rPr>
        <w:t>الرابع</w:t>
      </w:r>
      <w:r>
        <w:rPr>
          <w:rtl w:val="true"/>
        </w:rPr>
        <w:t xml:space="preserve">: </w:t>
      </w:r>
      <w:r>
        <w:rPr>
          <w:rtl w:val="true"/>
        </w:rPr>
        <w:t>حکم العقل</w:t>
      </w:r>
      <w:bookmarkEnd w:id="838"/>
    </w:p>
    <w:p>
      <w:pPr>
        <w:pStyle w:val="BookText"/>
        <w:rPr/>
      </w:pPr>
      <w:r>
        <w:rPr>
          <w:rFonts w:ascii="IRNazanin" w:hAnsi="IRNazanin" w:eastAsia="IRNazanin"/>
          <w:color w:val="111111"/>
          <w:sz w:val="28"/>
          <w:sz w:val="28"/>
          <w:szCs w:val="28"/>
          <w:rtl w:val="true"/>
          <w:lang w:bidi="fa-IR"/>
        </w:rPr>
        <w:t>العقل</w:t>
      </w:r>
      <w:r>
        <w:rPr>
          <w:rStyle w:val="FootnoteAnchor"/>
          <w:rtl w:val="true"/>
        </w:rPr>
        <w:footnoteReference w:id="1508"/>
      </w:r>
      <w:r>
        <w:rPr>
          <w:rFonts w:ascii="IRNazanin" w:hAnsi="IRNazanin" w:eastAsia="IRNazanin"/>
          <w:color w:val="111111"/>
          <w:sz w:val="28"/>
          <w:sz w:val="28"/>
          <w:szCs w:val="28"/>
          <w:rtl w:val="true"/>
          <w:lang w:bidi="fa-IR"/>
        </w:rPr>
        <w:t>یحکم بأنّه یجب علی الولیّ تربیة الولد و تعلیمه بکلّ ما یؤدّی إلی سعادته، کتعلیمه العقائد الحقّة، و الاُصول الاعتقادیّة، و یجب علیه أن یمنعه عن الرذائل و المفاسد، و عن کلّ ما یوجب ضرراً علیه؛ سواء کان الضرر متوجّهاً إلی جسمه أو إلی روحه، و هذا الحکم معلوم بالبداهة، و لا یلزم إثباته إلی إقامة دلیل؛ لأنّه من ضروریّات العقل، بل طبیعة الإنسان تقتضی ذلک؛ لأنّ کلّ إنسان بطبیعته الأوّلیة و شعوره الباطنی یحسب أولاده جزءا منه، و لا یفرّق بین سعادة نفسه و سعادة أولاده، فکما یحبّ أن یفلح و یسعی نحو تحصیله، کذلک یحبّ فلاح أولاده و یجتهد فی ذلک، و لا ریب أنّ هذا لا یحصل إلاّ بتربیتهم تربیة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 الأبوین مفطور علی محبّة الولد و مفهم بالمشاعر النفسیّة و العواطف القلبیّة لحمایته، و الرحمة به، و الشفقة علیه، و الاهتمام بأمره؛ لأنّه لو لا ذلک لانقرض النوع الإنسانی، و لما صبر الأبوان علی رعایة أولادهما، و العقل السلیم یحکم بأن تجعل هذه الاُمور فی مسیر صحیح، و المسیر الصحیح لا یکون إلاّ بتربیة الطفل بکلّ ما یؤدّی إلی سعادته و منعه عن الرذائل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یقرّر هذا بنحو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النظام و قطع مادّة الفساد واجب علی الکلّ و بأی وجهٍ أمکن، و لا یمکن إلاّ بأن یهتمّ المسلمون بتربیة أولادهم؛ لأنّ الأطفال فی مرحلة الطفولة و قبل البلوغ یستعدّون للرشد و الکمال، و الإهمال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إن لم یقم أکثر الأولیاء بوظائفهم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ینجرّ إلی انحطاط النظام و انهیار المجتمع، و شیوع الفساد؛ لأنّ بقاء المجتمع الإسلامی الحیّ و تقدّمه یحتاج</w:t>
      </w:r>
      <w:bookmarkStart w:id="839" w:name="pg11754_113109"/>
    </w:p>
    <w:p>
      <w:pPr>
        <w:pStyle w:val="BookText"/>
        <w:rPr/>
      </w:pPr>
      <w:bookmarkEnd w:id="839"/>
      <w:r>
        <w:rPr>
          <w:rFonts w:ascii="IRNazanin" w:hAnsi="IRNazanin" w:eastAsia="IRNazanin"/>
          <w:color w:val="111111"/>
          <w:sz w:val="28"/>
          <w:sz w:val="28"/>
          <w:szCs w:val="28"/>
          <w:rtl w:val="true"/>
          <w:lang w:bidi="fa-IR"/>
        </w:rPr>
        <w:t>بأن یکون شبّان المسلمین معتقدین فی الاُصول، کاملین فی الأخلاق، خبراء فی العلوم المختلفة</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9531055_73709187"/>
      <w:bookmarkStart w:id="841" w:name="_Toc330"/>
      <w:bookmarkEnd w:id="840"/>
      <w:r>
        <w:rPr>
          <w:rtl w:val="true"/>
        </w:rPr>
        <w:t>الخامس</w:t>
      </w:r>
      <w:r>
        <w:rPr>
          <w:rtl w:val="true"/>
        </w:rPr>
        <w:t xml:space="preserve">: </w:t>
      </w:r>
      <w:r>
        <w:rPr>
          <w:rtl w:val="true"/>
        </w:rPr>
        <w:t>الأولویّة القطعیّة</w:t>
      </w:r>
      <w:bookmarkEnd w:id="841"/>
    </w:p>
    <w:p>
      <w:pPr>
        <w:pStyle w:val="BookText"/>
        <w:rPr/>
      </w:pPr>
      <w:r>
        <w:rPr>
          <w:rFonts w:ascii="IRNazanin" w:hAnsi="IRNazanin" w:eastAsia="IRNazanin"/>
          <w:color w:val="111111"/>
          <w:sz w:val="28"/>
          <w:sz w:val="28"/>
          <w:szCs w:val="28"/>
          <w:rtl w:val="true"/>
          <w:lang w:bidi="fa-IR"/>
        </w:rPr>
        <w:t>و تقریرها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حضانة الأطفال و کذا نفقتهم یقتضی وجوب تربیتهم فی الجملة بطریق أولی؛ لأنّ وجوب الحضانة و کذا النفقة</w:t>
      </w:r>
      <w:r>
        <w:rPr>
          <w:rStyle w:val="FootnoteAnchor"/>
          <w:rtl w:val="true"/>
        </w:rPr>
        <w:footnoteReference w:id="1510"/>
      </w:r>
      <w:r>
        <w:rPr>
          <w:rFonts w:ascii="IRNazanin" w:hAnsi="IRNazanin" w:eastAsia="IRNazanin"/>
          <w:color w:val="111111"/>
          <w:sz w:val="28"/>
          <w:sz w:val="28"/>
          <w:szCs w:val="28"/>
          <w:rtl w:val="true"/>
          <w:lang w:bidi="fa-IR"/>
        </w:rPr>
        <w:t>جُعِلَ لرفع ما یحتاج إلیه الأطفال فی امورهم الجسمانیّة، و أمّا تربیة الأطفال و قیام الوالدین بوظائفهما المقرّرة من الشرع و العقل، فتوجب نیلهم لفضائل الأخلاق و حیاتهم الخالدة، کما أنّ عدم تربیتهم سیوقعهم فی الهلکة الدائمة، و لا شکّ فی أنّ هذه أولی بأن یکون واجباً من الحضانة و النفقة، و الشاهد علی هذا تصریح الفقهاء بأنّ حضانة الاُمّ مشروطة بأن تکون مسلمة، فالکافرة لا حضانة لها علی الولد المسلم</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علّله بعضهم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تفتنه عن دینه</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 xml:space="preserve">، و بعض آخر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ربما ضلّ بصحبتها و تأدّب بآدابها</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ترشد إلیه النصوص التی تدلّ علی حرمة سقی الخمر للصبیّ، مثل</w:t>
      </w:r>
    </w:p>
    <w:p>
      <w:pPr>
        <w:pStyle w:val="BookText"/>
        <w:rPr/>
      </w:pPr>
      <w:r>
        <w:rPr>
          <w:rFonts w:ascii="IRNazanin" w:hAnsi="IRNazanin" w:eastAsia="IRNazanin"/>
          <w:color w:val="111111"/>
          <w:sz w:val="28"/>
          <w:sz w:val="28"/>
          <w:szCs w:val="28"/>
          <w:rtl w:val="true"/>
          <w:lang w:bidi="fa-IR"/>
        </w:rPr>
        <w:t>ما رواه فی الکافی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بعثنی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ربّی لا یشرب عبد لی خمراً فی الدنیا إلاّ سقیته مثل ما یشرب منها من الحمیم معذّباً أو مغفوراً له، و لا یسقیها عبد لی صبیّاً صغیراً أو مملوکاً إلاّ سقیته مثل ما سقاه من الحمیم یوم القیامة معذّباً بعد، أو مغفوراً له</w:t>
      </w:r>
      <w:r>
        <w:rPr>
          <w:rFonts w:eastAsia="IRNazanin" w:cs="IRNazanin"/>
          <w:color w:val="111111"/>
          <w:sz w:val="28"/>
          <w:szCs w:val="28"/>
          <w:rtl w:val="true"/>
          <w:lang w:bidi="fa-IR"/>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یولد فنسقیه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سقی مولوداً مسکراً، سقاه اللّه من الحمیم و إن غفر 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الفقیه الیزدی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سقی المسکرات للأطفال، و کذا سائر الأعیان النجسة إذا کانت مضرّة لهم، بل مطلقاً</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لحرمة الإضرار بالغیر مطلقاً إن کان ذلک من التسبیب، بل الظاهر وجوب الردع و لو لم تکن تسبیب فی البین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الولیّ؛ فلأنّ ذلک مقتضی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غیره؛ فللسیرة المستمرّة علی ردع الأطفال الذین لا یقدرون علی دفع الضرر عن أنفسهم</w:t>
      </w:r>
      <w:r>
        <w:rPr>
          <w:rFonts w:eastAsia="IRNazanin" w:cs="IRNazanin"/>
          <w:color w:val="111111"/>
          <w:sz w:val="28"/>
          <w:szCs w:val="28"/>
          <w:rtl w:val="true"/>
          <w:lang w:bidi="fa-IR"/>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حرم سقی الخمر بالصبیّ و لو مرّةً واحدة، و کذا الأشربة و الأطعمة المتنجّسة علی قول بعض الفقهاء، و وجب ردعه عنها حتّی علی غیر ولیّه؛ لئلاّ یتضرّر بشربها، و لا یقع فی المفسدة، فترک تربیة الطفل سنین عدیدة و عدم ردعه عمّا یضرّ بروحه و خلقه الذی أشدّ ضرراً علیه قطعاً، أولی بأن یکون حراماً، و الإقدام علی تربیته أولی بأن یکون واجباً بهذا المناط، و هو المطلوب</w:t>
      </w:r>
      <w:r>
        <w:rPr>
          <w:rFonts w:eastAsia="IRNazanin" w:cs="IRNazanin"/>
          <w:color w:val="111111"/>
          <w:sz w:val="28"/>
          <w:szCs w:val="28"/>
          <w:rtl w:val="true"/>
          <w:lang w:bidi="fa-IR"/>
        </w:rPr>
        <w:t>.</w:t>
      </w:r>
      <w:bookmarkStart w:id="842" w:name="pg11754_113111"/>
    </w:p>
    <w:p>
      <w:pPr>
        <w:pStyle w:val="Heading5"/>
        <w:numPr>
          <w:ilvl w:val="4"/>
          <w:numId w:val="1"/>
        </w:numPr>
        <w:rPr/>
      </w:pPr>
      <w:bookmarkStart w:id="843" w:name="__RefHeading___Toc9531057_73709187"/>
      <w:bookmarkStart w:id="844" w:name="_Toc331"/>
      <w:bookmarkEnd w:id="842"/>
      <w:bookmarkEnd w:id="843"/>
      <w:r>
        <w:rPr>
          <w:rtl w:val="true"/>
        </w:rPr>
        <w:t>اشتراک الأب و الاُمّ فی الولایة علی التربیة و التعلیم</w:t>
      </w:r>
      <w:bookmarkEnd w:id="844"/>
    </w:p>
    <w:p>
      <w:pPr>
        <w:pStyle w:val="BookText"/>
        <w:rPr/>
      </w:pP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من الأدلّة الدالّة علی ولایة الأب علی تربیة أولاده و تعلیمهم کذلک هی تدلّ علی ولایة الاُمّ أیضاً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أْتَمِرُوا بَیْنَکُمْ بِمَعْرُوفٍ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ظاهرتان فی ولایة کلّ من الأب و الاُمّ، و کذا الآیة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توسّعنا فی الخطاب و قلنا إنّها تشمل الاُمّهات، و ذیل الآیة دلیل علی شمولها لهنّ؛ لأنّه کما أنّ الزوجة أهل للزوج، کذلک الزوج أهلٌ للزوجة و الأولاد أهل لهما، مضافاً إلی أنّ خطابات القرآن بمنزلة القانون الکلّی و عامّة لجمیع المؤمنین إلاّ ما استثنی، و لم یدلّ دلیل علی اختصاص الحکم فی الآیات بالأب، و مثلها الآیة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کذا الطوائف المختلفة من النصوص؛ لعموم الخطاب فیها، و التعبیر بالرجل أو الوالد فی بعضها من باب</w:t>
      </w:r>
    </w:p>
    <w:p>
      <w:pPr>
        <w:pStyle w:val="BookText"/>
        <w:rPr/>
      </w:pPr>
      <w:r>
        <w:rPr>
          <w:rFonts w:ascii="IRNazanin" w:hAnsi="IRNazanin" w:eastAsia="IRNazanin"/>
          <w:color w:val="111111"/>
          <w:sz w:val="28"/>
          <w:sz w:val="28"/>
          <w:szCs w:val="28"/>
          <w:rtl w:val="true"/>
          <w:lang w:bidi="fa-IR"/>
        </w:rPr>
        <w:t>التغلیب أو الجواب عن سؤال السائل، و إلاّ لا تفاوت بین الأب و الاُمّ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من سیاق الأخبار أنّ کلّ واحد منهما مأمور بأداء التکلیف الذی تبیّنه هذه النصوص، و السرّ فی ذلک أنّ الأحکام التی ارتبطت بالأطفال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النفقة و الولایة علی التربیة و التعلیم و النکاح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w:t>
      </w:r>
      <w:r>
        <w:rPr>
          <w:rStyle w:val="FootnoteAnchor"/>
          <w:rtl w:val="true"/>
        </w:rPr>
        <w:footnoteReference w:id="1518"/>
      </w:r>
      <w:r>
        <w:rPr>
          <w:rFonts w:ascii="IRNazanin" w:hAnsi="IRNazanin" w:eastAsia="IRNazanin"/>
          <w:color w:val="111111"/>
          <w:sz w:val="28"/>
          <w:sz w:val="28"/>
          <w:szCs w:val="28"/>
          <w:rtl w:val="true"/>
          <w:lang w:bidi="fa-IR"/>
        </w:rPr>
        <w:t>لمصلحة الطفل و رفع ما یحتاج إلیه فی حیاته الجسمانیّة أو المعنویّة، فبعضها دلّ الدلیل علی اختصاصها بالأب فقط، کالولایة علی النکاح و المال، و بعضها الآخر تختصّ بالاُمّ، کالرضاع إذا کانت متبرّعة، أو رضیت بما یأخذ غیرها من الاُجرة، و الباقی مشترک بینهما، کالولایة علی الحضانة، و التربیة و التعلیم؛ لأنّه لو کانت مختصّة بالأب لبیّنتها النصوص، فعدم بیانها دلیل علی اشتراک الحکم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السؤال عنه فی روایات الباب یکشف عن کونه مفروغاً عنه عند الأصحاب، و إلاّ لسألوا الإمام علیه السلام عنه کما هو دأبهم فی سائر الأبواب، فوقوع السؤال عنهم فی باب النفقة و النکاح و عدمه فی المقام دلیل علی أنّ الولایة علی التعلیم و التربیة مشترک بینهما و لا یختصّ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السیرة المستمرّة خلفاً عن سلف قائمة علی أنّ الأبوین کلاهما یقومان بتربیة أولادهما، و لم یثبت ردعه من الشارع، و لم یسمع من المتشرّعین أن یقولوا باختصاص هذا الحکم بالأب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المعنی من کلمات الفقهاء فی باب الحضانة، مثل ما قال الشیخ فی وجه اشتراط کون الحاضن مقیماً فی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المنتقل هو الأب فالاُمّ أحقّ به، و إن کانت الاُمّ منتقلة، فإن انتقلت من قریة إلی بلد فهی أحقّ به، و إن انتقلت</w:t>
      </w:r>
    </w:p>
    <w:p>
      <w:pPr>
        <w:pStyle w:val="BookText"/>
        <w:rPr/>
      </w:pPr>
      <w:r>
        <w:rPr>
          <w:rFonts w:ascii="IRNazanin" w:hAnsi="IRNazanin" w:eastAsia="IRNazanin"/>
          <w:color w:val="111111"/>
          <w:sz w:val="28"/>
          <w:sz w:val="28"/>
          <w:szCs w:val="28"/>
          <w:rtl w:val="true"/>
          <w:lang w:bidi="fa-IR"/>
        </w:rPr>
        <w:t>من بلد إلی قریة فالأب أحقّ به، لأنّه فی السواد یسقط تعلیمه و تخریجه</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یستفاد منه أنّ ملاک الأحقّیة و عدمها فی الحضانة إمکان تربیة الطفل و تعلیمه، و هی مشترکة بین الاُمّ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و سلطنة علی تربیة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صغیراً، کانت الاُمّ الحرّة المسلمة العاقلة أحقّ به</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الاُمّ الرضاعة و علی الأب الاُجرة، فتربیته بینهما بالسویّة</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 أحقّ بحضانة الولد و تربیته و ما یتعلّق بها من مصلحة حفظه مدة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مدّة الرضاع فالأب أحقّ بالذکر و الاُمّ بالاُنثی حتّی تبلغ سبع سنین</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مهذّب الأحکام</w:t>
      </w:r>
      <w:r>
        <w:rPr>
          <w:rStyle w:val="FootnoteAnchor"/>
          <w:rtl w:val="true"/>
        </w:rPr>
        <w:footnoteReference w:id="1524"/>
      </w:r>
      <w:r>
        <w:rPr>
          <w:rFonts w:ascii="IRNazanin" w:hAnsi="IRNazanin" w:eastAsia="IRNazanin"/>
          <w:color w:val="111111"/>
          <w:sz w:val="28"/>
          <w:sz w:val="28"/>
          <w:szCs w:val="28"/>
          <w:rtl w:val="true"/>
          <w:lang w:bidi="fa-IR"/>
        </w:rPr>
        <w:t>، و تفصیل الشریعة</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حکم أحقّیة أحدهما بالنسبة إلی الآخر فی زمان خاصّ أو مطلقاً، فیعلم ممّا ذکرنا فی البحث عن أحقّیة الحضانة للاُمّ أو الأب</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النصوص التی تدلّ علی أحقّیة الاُمّ لحضانة</w:t>
      </w:r>
    </w:p>
    <w:p>
      <w:pPr>
        <w:pStyle w:val="BookText"/>
        <w:rPr/>
      </w:pPr>
      <w:r>
        <w:rPr>
          <w:rFonts w:ascii="IRNazanin" w:hAnsi="IRNazanin" w:eastAsia="IRNazanin"/>
          <w:color w:val="111111"/>
          <w:sz w:val="28"/>
          <w:sz w:val="28"/>
          <w:szCs w:val="28"/>
          <w:rtl w:val="true"/>
          <w:lang w:bidi="fa-IR"/>
        </w:rPr>
        <w:t xml:space="preserve">الصغیر مدّة رضاعه، و لحضانة الصغیرة إلی سبع سنین، أحقّیتها فی الولایة علی التربیة أیضاً؛ من حیث إنّ الحضانة بمعناها العامّ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التربیة أیضاً، و الشاهد علی هذا تصریح الفقهاء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فی وجه أحقّیة الاُمّ للحضانة فی مدّة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 أحقّ به من أبیه تربّیه و تحضنه</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 فی وجه أحقّیة الأب للحضانة بعد سبع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أنسب لحاله و تأدیبه و تعلیمه، و ما دلّ علی أولویّة الاُمّ علی الاُنثی لذلک</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الألیق بالذکر ولایة الأب علیه إذا بلغ سبعاً، و الاُنثی بخلافه؛ إذ بلوغ السبع وقت التأدیب و التربیة لهما، و تأدیبه ألیق بالأب، و تربیتها بالاُمّ</w:t>
      </w:r>
      <w:r>
        <w:rPr>
          <w:rFonts w:eastAsia="IRNazanin" w:cs="IRNazanin"/>
          <w:color w:val="111111"/>
          <w:sz w:val="28"/>
          <w:szCs w:val="28"/>
          <w:rtl w:val="true"/>
          <w:lang w:bidi="fa-IR"/>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فی الریاض</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منهما صراحةً ما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الوالد أنسب بتربیة الذکر و تأدیبه، کما أنّ الوالدة أنسب بتربیة الاُنثی و تأدیبها</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فإنّها صریحة فی أنّ ملاک الأحقّیة فی الحضانة أنسبیّة الأب أو الاُمّ لتربیة الأولاد و تعلیمهم، و هکذا تدلّ بالصراحة علی أنّ الولایة علیها مشترک بین الأب و الاُمّ کالحضانة، و هو المطلوب</w:t>
      </w:r>
      <w:r>
        <w:rPr>
          <w:rFonts w:eastAsia="IRNazanin" w:cs="IRNazanin"/>
          <w:color w:val="111111"/>
          <w:sz w:val="28"/>
          <w:szCs w:val="28"/>
          <w:rtl w:val="true"/>
          <w:lang w:bidi="fa-IR"/>
        </w:rPr>
        <w:t>.</w:t>
      </w:r>
      <w:bookmarkStart w:id="845" w:name="pg11754_113115"/>
    </w:p>
    <w:p>
      <w:pPr>
        <w:pStyle w:val="Heading5"/>
        <w:numPr>
          <w:ilvl w:val="4"/>
          <w:numId w:val="1"/>
        </w:numPr>
        <w:rPr/>
      </w:pPr>
      <w:bookmarkStart w:id="846" w:name="__RefHeading___Toc9531059_73709187"/>
      <w:bookmarkStart w:id="847" w:name="_Toc332"/>
      <w:bookmarkEnd w:id="845"/>
      <w:bookmarkEnd w:id="846"/>
      <w:r>
        <w:rPr>
          <w:rtl w:val="true"/>
        </w:rPr>
        <w:t>الدلیل علی استحباب التربیة و تعلیم الأطفال</w:t>
      </w:r>
      <w:bookmarkEnd w:id="847"/>
    </w:p>
    <w:p>
      <w:pPr>
        <w:pStyle w:val="Heading6"/>
        <w:numPr>
          <w:ilvl w:val="5"/>
          <w:numId w:val="1"/>
        </w:numPr>
        <w:rPr/>
      </w:pPr>
      <w:bookmarkStart w:id="848" w:name="__RefHeading___Toc9531061_73709187"/>
      <w:bookmarkStart w:id="849" w:name="_Toc333"/>
      <w:bookmarkEnd w:id="848"/>
      <w:r>
        <w:rPr>
          <w:rtl w:val="true"/>
        </w:rPr>
        <w:t>تمهید</w:t>
      </w:r>
      <w:r>
        <w:rPr>
          <w:rtl w:val="true"/>
        </w:rPr>
        <w:t>:</w:t>
      </w:r>
      <w:bookmarkEnd w:id="849"/>
    </w:p>
    <w:p>
      <w:pPr>
        <w:pStyle w:val="BookText"/>
        <w:rPr/>
      </w:pPr>
      <w:r>
        <w:rPr>
          <w:rFonts w:ascii="IRNazanin" w:hAnsi="IRNazanin" w:eastAsia="IRNazanin"/>
          <w:color w:val="111111"/>
          <w:sz w:val="28"/>
          <w:sz w:val="28"/>
          <w:szCs w:val="28"/>
          <w:rtl w:val="true"/>
          <w:lang w:bidi="fa-IR"/>
        </w:rPr>
        <w:t>إلی هنا قد أقمنا الدلیل علی أنّه یجب علی الوالدین تربیة أطفالهم و تعلیمهم فی موارد کانت فیها مصلحة ملزمة لهم، و اهتمّ بها الشارع کمال الاهتمام، بحیث عدم إقدامهما علی ذلک یوجب ضرراً علیهم فی العاجل و الآجل، کتربیتهم علی ترک القبائح الموبقة؛ فإنّ ما علم مبغوضیّة وقوعه فی الخارج من الشارع المقدّس علی کلّ تقدیر، کالزنا و شرب الخمر و اللواط و نحوها، یجب علی الوالدین المنع من تحقّقه من الأطفال، و سدّ الطریق إلیها، و هکذا یجب علیهما حفظهم عن إغواء المضلّین و تعلیمهم العقائد الحقّة، کربطهم بالإیمان باللّه و النبیّ الأعظم صلی الله علیه و آله و الأئمّة الاثنی عشر علیهم السلام و ما شابه ذلک، و نذکر الآن أنّه یستحبّ للوالدین تربیة الأطفال و تعلیمهم فی موارد کانت فیها مصلحة غیر ملزمة، کتربیتهم علی رعایة الآداب الحسنة عند العقلاء، و علی تمرین العبادة و تعلیمهم العلوم و الحرف و الصناعات المفیدة و غیر ذلک، و له نظائر فی الفقه، کالأمر بالمعروف و النهی عن المنکر اللّذین ینقسمان إلی واجب و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التی تدلّ علی استحباب التربیة و التعلیم إجمالاً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بعضها تربیة الأولاد بنحو الإطلاق، و تعمّ جمیع الموارد التی کانت فیها مصلحة غیر ملزمة، و یستفاد من بعضها الآخر استحباب التربیة و التعلیم فی موارد خاصّة، کالنصوص التی تدلّ علی استحباب تعلیم تلاوة القرآن للأطفال أو تمرین الصلاة بخصوصها و غیرها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الأخیر التی هی کثیرة، فنذکر مصادیقها فی الفصل الثالث من هذا الباب الذی عقدناه لهذا المقصود، و نذکر فی المقام بعض ما تدلّ علی القسم الأوّل منها، و هی امور</w:t>
      </w:r>
      <w:r>
        <w:rPr>
          <w:rFonts w:eastAsia="IRNazanin" w:cs="IRNazanin"/>
          <w:color w:val="111111"/>
          <w:sz w:val="28"/>
          <w:szCs w:val="28"/>
          <w:rtl w:val="true"/>
          <w:lang w:bidi="fa-IR"/>
        </w:rPr>
        <w:t>:</w:t>
      </w:r>
      <w:bookmarkStart w:id="850" w:name="pg11754_113116"/>
    </w:p>
    <w:p>
      <w:pPr>
        <w:pStyle w:val="Heading6"/>
        <w:numPr>
          <w:ilvl w:val="5"/>
          <w:numId w:val="1"/>
        </w:numPr>
        <w:rPr/>
      </w:pPr>
      <w:bookmarkStart w:id="851" w:name="__RefHeading___Toc9531063_73709187"/>
      <w:bookmarkStart w:id="852" w:name="_Toc334"/>
      <w:bookmarkEnd w:id="850"/>
      <w:bookmarkEnd w:id="851"/>
      <w:r>
        <w:rPr>
          <w:rtl w:val="true"/>
        </w:rPr>
        <w:t>الأوّل</w:t>
      </w:r>
      <w:r>
        <w:rPr>
          <w:rtl w:val="true"/>
        </w:rPr>
        <w:t xml:space="preserve">: </w:t>
      </w:r>
      <w:r>
        <w:rPr>
          <w:rtl w:val="true"/>
        </w:rPr>
        <w:t>الآیات</w:t>
      </w:r>
      <w:r>
        <w:rPr>
          <w:rtl w:val="true"/>
        </w:rPr>
        <w:t>:</w:t>
      </w:r>
      <w:bookmarkEnd w:id="85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العون المعاونة و المظافرة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التعاون التظاهر</w:t>
      </w:r>
      <w:r>
        <w:rPr>
          <w:rStyle w:val="FootnoteAnchor"/>
          <w:rtl w:val="true"/>
        </w:rPr>
        <w:footnoteReference w:id="1533"/>
      </w:r>
      <w:r>
        <w:rPr>
          <w:rFonts w:ascii="IRNazanin" w:hAnsi="IRNazanin" w:eastAsia="IRNazanin"/>
          <w:color w:val="111111"/>
          <w:sz w:val="28"/>
          <w:sz w:val="28"/>
          <w:szCs w:val="28"/>
          <w:rtl w:val="true"/>
          <w:lang w:bidi="fa-IR"/>
        </w:rPr>
        <w:t>، تعاون القوم عاون بعضهم</w:t>
      </w:r>
      <w:r>
        <w:rPr>
          <w:rStyle w:val="FootnoteAnchor"/>
          <w:rtl w:val="true"/>
        </w:rPr>
        <w:footnoteReference w:id="1534"/>
      </w:r>
      <w:r>
        <w:rPr>
          <w:rFonts w:ascii="Amiri" w:hAnsi="Amiri" w:eastAsia="Amiri" w:cs="Amiri"/>
          <w:color w:val="111111"/>
          <w:sz w:val="28"/>
          <w:sz w:val="28"/>
          <w:szCs w:val="28"/>
          <w:rtl w:val="true"/>
          <w:lang w:bidi="ar-SA"/>
        </w:rPr>
        <w:t>بعضاً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معنی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بأن یعین بعضهم بعضاً علی البرّ، و هو العمل بما أمرهم اللّه به و اتّقاء ما نهاهم عنه</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 و کذا فی مجمع البیان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أمر لجمیع الخلق بالتعاون علی البرّ و التقوی؛ أی لِیُعِنْ بعضکم بعضاً و تحاثّوا علی ما أمر اللّه تعالی و اعملوا به</w:t>
      </w:r>
      <w:r>
        <w:rPr>
          <w:rFonts w:eastAsia="IRNazanin" w:cs="IRNazanin"/>
          <w:color w:val="111111"/>
          <w:sz w:val="28"/>
          <w:szCs w:val="28"/>
          <w:rtl w:val="true"/>
          <w:lang w:bidi="fa-IR"/>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 اللّه سبحانه البرّ فی کلامه بالإیمان و الإحسان فی العبادات و المعاملات، کما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الْبِرَّ مَنْ آمَنَ بِاللّهِ وَ الْیَوْمِ الْآخِرِ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w:t>
      </w:r>
      <w:r>
        <w:rPr>
          <w:rStyle w:val="FootnoteAnchor"/>
          <w:rtl w:val="true"/>
        </w:rPr>
        <w:footnoteReference w:id="1539"/>
      </w:r>
      <w:r>
        <w:rPr>
          <w:rFonts w:ascii="IRNazanin" w:hAnsi="IRNazanin" w:eastAsia="IRNazanin"/>
          <w:color w:val="111111"/>
          <w:sz w:val="28"/>
          <w:sz w:val="28"/>
          <w:szCs w:val="28"/>
          <w:rtl w:val="true"/>
          <w:lang w:bidi="fa-IR"/>
        </w:rPr>
        <w:t>، و التقوی مراقبة أمر اللّه و نهیه، فیعود معنی التعاون علی البرّ و التقوی إلی الاجتماع علی الإیمان و العمل الصالح علی أساس تقوی اللّه؛ و هو الصلاح و التقوی الاجتماعیان</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و تقریب الاستدلال بها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الجملة و إن تدلّ علی وجوب التعاون علی البرّ و التقوی، لکن حیث نعلم فی الخارج عدم وجوب مطلق التعاون علی البرّ و التقوی، فلا بدّ من رفع الید عن ذلک الظهور و الحمل علی الاستحباب</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عمومها یشمل إعانة الأبوین أولادهما؛ بأن یربّیهما علی 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استحباب تربیة الأطفال بقول مطلق فی کلّ ما هو بمصلحة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هیئة باب التفاعل موضوعة لاشتراک الشخصین فی جهة صدور الفعل عنهما، فإذا أعان الوالد ولده علی البرّ لا یصدق التعاون؛ لأنّ الإعانة کانت من طرف الوالد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لفظ التعاون باعتبار مجموع القضایا لا باعتبار قضیّة واحدة و فعل واحد، فلو کان مثلاً زید عوناً لعمرو فی الفعل الفلانی، و کان عمرو عوناً لزید فی فعل آخر، یصدق أنّهما تعاونا؛ أی أعان کلّ واحد منهما الآخر و لو کان إعانة کلّ واحد منهما لصاحبه فی فعل یصدر من نفس ذلک الصاحب، فیکون المأمور به فی الآیة الشریفة إعانة کلّ مسلم لکلّ مسلم فی ما یصدر منه من فعل الخیر و البرّ، و التقوی؛ بمعنی مساعدته فی ذلک الفعل و لو کان بإیجاد بعض مقدّماته القریبة أو البعیدة</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الفقیه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تقوم هذه الصیغة فی المقام بالطرفین، فیکون هذا خطاباً لکلّ اثنین؛ بأن یعین کلّ فرد غیره فی البرّ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حکم الإعانة من طرف واحد أیضاً، فإن کانت علی البرّ و التقوی فهی محبوبة</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تدلّ علی وجوب 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اسم لکلّ فعل یُعرَفُ بِالعَقل أو الشرع حُسنُهُ‌</w:t>
      </w:r>
      <w:r>
        <w:rPr>
          <w:rStyle w:val="FootnoteAnchor"/>
          <w:rtl w:val="true"/>
        </w:rPr>
        <w:footnoteReference w:id="1545"/>
      </w:r>
      <w:r>
        <w:rPr>
          <w:rFonts w:ascii="IRNazanin" w:hAnsi="IRNazanin" w:eastAsia="IRNazanin"/>
          <w:color w:val="111111"/>
          <w:sz w:val="28"/>
          <w:sz w:val="28"/>
          <w:szCs w:val="28"/>
          <w:rtl w:val="true"/>
          <w:lang w:bidi="fa-IR"/>
        </w:rPr>
        <w:t>، فهو اسم جامع یشمل طاعة اللّه جلّ جلاله، و التقرّب إلیه و الإحسان إلی الناس، و المنکر هو ما أنکره العقل و الشرع، فیکون ضدّ المعروف</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بهذه الآیات فی المقام یتوقّف علی بیان مقدّمةٍ؛ و هی أنّه لا خلاف بین الفقهاء فی أنّ المعروف ینقسم باعتبار متعلّقه إلی واجب و ندب، فیجب بالنسبة إلی الواجب و یندب بالنسبة إلی المندوب</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فی تقریر الاستدلال لهذا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تسالم الکلّ علی انقسام المعروف إلی ما ذکر، و إطلاق الأمر بالمعروف و عمومه و الترغیب إلیه بألسنة شتّی یشمل الجمیع، فالأمر مستعمل فی أصل الوجوب و الاستحباب، و مطلق الرجحان بالنسبة إلی المندوب و ما هو حسن عقلاً یستفاد من القرائن الخارجیّة</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الأدلّة الأمر بالمعروف باعتبار تقسیمه إلی الواجب و المندوب أنّه یستحبّ للأبوین أن یربّیا أولادهما علی ما هو المعروف شرعاً أو عقلاً، و یدعوهم إلی الخیر؛ لأنّ الدعوة إلی الخیر هی من أهمّ الأسباب التی تکون دخیلة فی سعادة الفرد و المجتمع، فهی جامعة السعادة و مانعة الشقاوة، و یترتّب الأثر علیها من حیث البقاء و مداومة العمل بها، لا بمجرّد حدوثها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الممیّزون الذین یتمکّنون من تعقّل الاُمور و فهم المطالب و إن لم یکونوا مکلّفین حتّی یجب أمرهم بفعل الطاعات، و نهیهم عن ارتکاب المعاصی، إلاّ أنّ تعویدهم بما هو حسن شرعاً و عقلاً، و منعهم عمّا هو قبیح کذلک فهو خیر لهم، و کان بمصلحتهم، و معروف فی حقّهم، فیندب الأمر بها و المداومة علیها و لا یقصد من تربیتهم إلاّ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التی تأمر بمطلق الإحسان،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یستفاد منها محبوبیّة الإحسان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یقال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علی الغیر،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فلان،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فی فعله، و ذلک إذا علم علماً حسناً، أو عمل عملاً حسناً</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و 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هو الإفضال إلی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الإحسان هو إیصال النفع الحسن إلی الغیر</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الإحسان علی ما فیه من إصلاح حال من أذلّته المسکنة و الفاقة، أو اضطرّته النوازل، و ما فیه من نشر الرحمة و إیجاد المحبّة یعود محمود أثره إلی نفس المحسن بدوران الثروة فی المجتمع، و جلب الأمن و السلامة بالتحبیب</w:t>
      </w:r>
      <w:r>
        <w:rPr>
          <w:rFonts w:eastAsia="IRNazanin" w:cs="IRNazanin"/>
          <w:color w:val="111111"/>
          <w:sz w:val="28"/>
          <w:szCs w:val="28"/>
          <w:rtl w:val="true"/>
          <w:lang w:bidi="fa-IR"/>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الإحسان فی الجملة معلوم عند کلّ أحد، و فاعله محبوب عند اللّه تعالی، و الأمر به فی الکتاب العزیز هو السبب لتشریع أهمّ القواعد فی تهذیب النفوس، و أعظم أنحاء التعلیم الجامع للخیر، و یعدّ من اصول التربیة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بها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الأمر فی الآیات المذکورة و غیرها و إن یدلّ علی وجوب الإحسان، و لکن حیث نعلم بالضرورة من الفقه أنّ مطلق الإحسان إلی الغیر لا یکون واجباً، فلا بدّ من رفع الید عن ذلک الظهور و الحمل علی الاستحباب، و إطلاقها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تربیة الأطفال بقول مطلق و فی جمیع الموارد المشروعة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جسمانیّة کنفقتهم و حضانتهم، أو معنویّة کتعلیمهم و تهذیب نفوسهم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أعلی مراتب الإحسان إلیهم و إلی غیرهم قطعاً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 فی ذیل الآیة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الإحسان هو الطریق الوسط دون طرفیه من الإفراط و التفریط، و إطلاق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کلّ إحسان فی الاعتقاد و الأعمال، بل و یشمل حسن الظنّ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الذی أمرنا به، و الترک و الکفّ عمّا نهینا عنه</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فی أبواب مختلفة نصوص کثیرة تدلّ علی استحباب تربیة الأولاد و تعلیمهم خاصّة، أو تشمل إطلاقها ذلک نذکر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مکارم الأخلاق</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یؤدّب أحدکم ولده خیرٌ له من أن یتصدّق بنصف صاع کلّ یوم</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آدابهم یغفر لکم</w:t>
      </w:r>
      <w:r>
        <w:rPr>
          <w:rFonts w:eastAsia="IRNazanin" w:cs="IRNazanin"/>
          <w:color w:val="111111"/>
          <w:sz w:val="28"/>
          <w:szCs w:val="28"/>
          <w:rtl w:val="true"/>
          <w:lang w:bidi="fa-IR"/>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أعان ولده علی برّه بالإحسان إلیه، و التألّف له، و تعلیمه و تأدیبه</w:t>
      </w:r>
      <w:r>
        <w:rPr>
          <w:rFonts w:eastAsia="IRNazanin" w:cs="IRNazanin"/>
          <w:color w:val="111111"/>
          <w:sz w:val="28"/>
          <w:szCs w:val="28"/>
          <w:rtl w:val="true"/>
          <w:lang w:bidi="fa-IR"/>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المستدرک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نحل والد ولداً نحلاً أفضل من أدب حسن</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ورد عن طریق أهل السنّة عن رسول اللّه صلی الله علیه و آله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ورد عنه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المؤمن منزلته عند ربّه بأن یربّی ولداً له کافیاً قبل الموت</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ألفاظ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الکلام یشعر بأنّ کثیراً ما یقول صلی الله علیه و آله هکذا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عن أبی عبد اللّه،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853" w:name="pg11754_113122"/>
    </w:p>
    <w:p>
      <w:pPr>
        <w:pStyle w:val="BookText"/>
        <w:rPr/>
      </w:pPr>
      <w:bookmarkEnd w:id="853"/>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أو نهی عن منکر، أو دلّ علی خیر، أو أشار به فهو شریک</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البحار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 و الدالّ علی الخیر کفاعله، و اللّه یحبّ إغاثة اللهفان</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الأمالی 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فی حیاته، فهی تجری بعد موته، و سنّة هدی سنّها فهی یُعمل بها بعد موته، و ولد صالح یستغفر له</w:t>
      </w:r>
      <w:r>
        <w:rPr>
          <w:rFonts w:eastAsia="IRNazanin" w:cs="IRNazanin"/>
          <w:color w:val="111111"/>
          <w:sz w:val="28"/>
          <w:szCs w:val="28"/>
          <w:rtl w:val="true"/>
          <w:lang w:bidi="fa-IR"/>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معناها روایات کثیرة اخری</w:t>
      </w:r>
      <w:r>
        <w:rPr>
          <w:rStyle w:val="FootnoteAnchor"/>
          <w:rtl w:val="true"/>
        </w:rPr>
        <w:footnoteReference w:id="1563"/>
      </w:r>
      <w:r>
        <w:rPr>
          <w:rFonts w:ascii="IRNazanin" w:hAnsi="IRNazanin" w:eastAsia="IRNazanin"/>
          <w:color w:val="111111"/>
          <w:sz w:val="28"/>
          <w:sz w:val="28"/>
          <w:szCs w:val="28"/>
          <w:rtl w:val="true"/>
          <w:lang w:bidi="fa-IR"/>
        </w:rPr>
        <w:t>، و قد تقدّمت جملة منها فی المبحث الثانی من هذا الفصل</w:t>
      </w:r>
      <w:r>
        <w:rPr>
          <w:rFonts w:eastAsia="IRNazanin" w:cs="IRNazanin"/>
          <w:color w:val="111111"/>
          <w:sz w:val="28"/>
          <w:szCs w:val="28"/>
          <w:rtl w:val="true"/>
          <w:lang w:bidi="fa-IR"/>
        </w:rPr>
        <w:t>.</w:t>
      </w:r>
    </w:p>
    <w:p>
      <w:pPr>
        <w:pStyle w:val="Heading5"/>
        <w:numPr>
          <w:ilvl w:val="4"/>
          <w:numId w:val="1"/>
        </w:numPr>
        <w:rPr/>
      </w:pPr>
      <w:bookmarkStart w:id="854" w:name="__RefHeading___Toc9531065_73709187"/>
      <w:bookmarkStart w:id="855" w:name="_Toc335"/>
      <w:bookmarkEnd w:id="854"/>
      <w:r>
        <w:rPr>
          <w:rtl w:val="true"/>
        </w:rPr>
        <w:t>ولایة الوصیّ علی تربیة الصغار</w:t>
      </w:r>
      <w:bookmarkEnd w:id="855"/>
    </w:p>
    <w:p>
      <w:pPr>
        <w:pStyle w:val="BookText"/>
        <w:rPr/>
      </w:pPr>
      <w:r>
        <w:rPr>
          <w:rFonts w:ascii="IRNazanin" w:hAnsi="IRNazanin" w:eastAsia="IRNazanin"/>
          <w:color w:val="111111"/>
          <w:sz w:val="28"/>
          <w:sz w:val="28"/>
          <w:szCs w:val="28"/>
          <w:rtl w:val="true"/>
          <w:lang w:bidi="fa-IR"/>
        </w:rPr>
        <w:t xml:space="preserve">بعد ما ثبت أنّ للأب ولایة علی تربیة أولاده جاز له الوصیّة بها، فیکون الوصیّ بعده ولیّاً علی تربیة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بالولایة للتصرّف فی أموال الصغار</w:t>
      </w:r>
      <w:r>
        <w:rPr>
          <w:rStyle w:val="FootnoteAnchor"/>
          <w:rtl w:val="true"/>
        </w:rPr>
        <w:footnoteReference w:id="1564"/>
      </w:r>
      <w:r>
        <w:rPr>
          <w:rFonts w:ascii="IRNazanin" w:hAnsi="IRNazanin" w:eastAsia="IRNazanin"/>
          <w:color w:val="111111"/>
          <w:sz w:val="28"/>
          <w:sz w:val="28"/>
          <w:szCs w:val="28"/>
          <w:rtl w:val="true"/>
          <w:lang w:bidi="fa-IR"/>
        </w:rPr>
        <w:t>، و لا فرق بین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تصحّ للاُمّ أیضاً الوصیّة بالولایة علی تربیة أولادها، و لم نظفر</w:t>
      </w:r>
      <w:r>
        <w:rPr>
          <w:rStyle w:val="FootnoteAnchor"/>
          <w:rtl w:val="true"/>
        </w:rPr>
        <w:footnoteReference w:id="156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دلیل دلّ علی منعها من ذلک، فحکم وصیّتها فی المقام حکم الوصیّة بالولایة</w:t>
      </w:r>
      <w:bookmarkStart w:id="856" w:name="pg11754_113123"/>
    </w:p>
    <w:p>
      <w:pPr>
        <w:pStyle w:val="BookText"/>
        <w:rPr/>
      </w:pPr>
      <w:bookmarkEnd w:id="856"/>
      <w:r>
        <w:rPr>
          <w:rFonts w:ascii="IRNazanin" w:hAnsi="IRNazanin" w:eastAsia="IRNazanin"/>
          <w:color w:val="111111"/>
          <w:sz w:val="28"/>
          <w:sz w:val="28"/>
          <w:szCs w:val="28"/>
          <w:rtl w:val="true"/>
          <w:lang w:bidi="fa-IR"/>
        </w:rPr>
        <w:t>من الأب و الجدّ فی أموال الصغار،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التصرّف فی مال الطفل و النظر فی مصالحه و شئونه لأبیه و جدّه لأبیه، و مع فقدهما للقیّم من أحدهما، و هو الذی أوصی أحدهما بأن یکون ناظراً فی أمره</w:t>
      </w:r>
      <w:r>
        <w:rPr>
          <w:rFonts w:eastAsia="IRNazanin" w:cs="IRNazanin"/>
          <w:color w:val="111111"/>
          <w:sz w:val="28"/>
          <w:szCs w:val="28"/>
          <w:rtl w:val="true"/>
          <w:lang w:bidi="fa-IR"/>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9531067_73709187"/>
      <w:bookmarkStart w:id="858" w:name="_Toc336"/>
      <w:bookmarkEnd w:id="857"/>
      <w:r>
        <w:rPr>
          <w:rtl w:val="true"/>
        </w:rPr>
        <w:t>ولایة المعلّم علی تربیة الأطفال و تعلیمهم</w:t>
      </w:r>
      <w:bookmarkEnd w:id="858"/>
    </w:p>
    <w:p>
      <w:pPr>
        <w:pStyle w:val="BookText"/>
        <w:rPr/>
      </w:pPr>
      <w:r>
        <w:rPr>
          <w:rFonts w:ascii="Amiri" w:hAnsi="Amiri" w:eastAsia="Amiri" w:cs="Amiri"/>
          <w:color w:val="111111"/>
          <w:sz w:val="28"/>
          <w:sz w:val="28"/>
          <w:szCs w:val="28"/>
          <w:rtl w:val="true"/>
          <w:lang w:bidi="ar-SA"/>
        </w:rPr>
        <w:t>الظاهر أنّه للمعلّم</w:t>
      </w:r>
      <w:r>
        <w:rPr>
          <w:rStyle w:val="FootnoteAnchor"/>
          <w:rtl w:val="true"/>
        </w:rPr>
        <w:footnoteReference w:id="1567"/>
      </w:r>
      <w:r>
        <w:rPr>
          <w:rFonts w:ascii="IRNazanin" w:hAnsi="IRNazanin" w:eastAsia="IRNazanin"/>
          <w:color w:val="111111"/>
          <w:sz w:val="28"/>
          <w:sz w:val="28"/>
          <w:szCs w:val="28"/>
          <w:rtl w:val="true"/>
          <w:lang w:bidi="fa-IR"/>
        </w:rPr>
        <w:t>أیضاً الولایة علی تربیة الأطفال و تعلیمهم؛ لأنّه معدّ لهذا الأمرین، کما أنّ له الولایة فی تأدیبهم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ولایته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الأب و الجدّ، حیث أثبتنا ولایتهما علی التعلیم و التربیة، فیجوز لهما تسلیم الصبیّ إلی أمین یعلّمه الآداب، و یربّیه بما وجب علیه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المتشرّعة خلفاً عن سلف؛ فإنّها قائمة علی جواز تسلیم الآباء و الاُمّهات صبیانهم إلی المعلّمین للتعلیم و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طائفتان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جواز کسب المعلّم</w:t>
      </w:r>
      <w:r>
        <w:rPr>
          <w:rStyle w:val="FootnoteAnchor"/>
          <w:rtl w:val="true"/>
        </w:rPr>
        <w:footnoteReference w:id="1569"/>
      </w:r>
      <w:r>
        <w:rPr>
          <w:rFonts w:ascii="IRNazanin" w:hAnsi="IRNazanin" w:eastAsia="IRNazanin"/>
          <w:color w:val="111111"/>
          <w:sz w:val="28"/>
          <w:sz w:val="28"/>
          <w:szCs w:val="28"/>
          <w:rtl w:val="true"/>
          <w:lang w:bidi="fa-IR"/>
        </w:rPr>
        <w:t>، کما رواه المشایخ الثلاثة</w:t>
      </w:r>
      <w:bookmarkStart w:id="859" w:name="pg11754_113124"/>
    </w:p>
    <w:p>
      <w:pPr>
        <w:pStyle w:val="BookText"/>
        <w:rPr/>
      </w:pPr>
      <w:bookmarkEnd w:id="859"/>
      <w:r>
        <w:rPr>
          <w:rFonts w:ascii="IRNazanin" w:hAnsi="IRNazanin" w:eastAsia="IRNazanin"/>
          <w:color w:val="111111"/>
          <w:sz w:val="28"/>
          <w:sz w:val="28"/>
          <w:szCs w:val="28"/>
          <w:rtl w:val="true"/>
          <w:lang w:bidi="fa-IR"/>
        </w:rPr>
        <w:t>عن فضل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کسب المعلّم سحت،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اللّه، إنّما أرادوا أن لا یعلّموا أولادهم القرآن، لو أنّ المعلّم أعطاه رجل دیة ولده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للمعلّم مباحاً</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الشیخ بإسناده عن إسحاق بن عمّار،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یکتّب و قد سألنی أن أسألک عن عمله؟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إذا دُفع إلیه الغلام أن یقول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أُعلّمه الکتاب و الحساب، و اتّجر علیه بتعلیم القرآن حتّی یطیب له کسبه</w:t>
      </w:r>
      <w:r>
        <w:rPr>
          <w:rFonts w:eastAsia="IRNazanin" w:cs="IRNazanin"/>
          <w:color w:val="111111"/>
          <w:sz w:val="28"/>
          <w:szCs w:val="28"/>
          <w:rtl w:val="true"/>
          <w:lang w:bidi="fa-IR"/>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جواز تأدیب المعلّم الأطفال، کما</w:t>
      </w:r>
    </w:p>
    <w:p>
      <w:pPr>
        <w:pStyle w:val="BookText"/>
        <w:rPr/>
      </w:pPr>
      <w:r>
        <w:rPr>
          <w:rFonts w:ascii="IRNazanin" w:hAnsi="IRNazanin" w:eastAsia="IRNazanin"/>
          <w:color w:val="111111"/>
          <w:sz w:val="28"/>
          <w:sz w:val="28"/>
          <w:szCs w:val="28"/>
          <w:rtl w:val="true"/>
          <w:lang w:bidi="fa-IR"/>
        </w:rPr>
        <w:t>رواه الکلینی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ألقی الصبیان الکتّاب ألواحهم بین یدیه لیخیّر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حکومة، و الجور فیها کالجور فی الحکم، أبلغوا معلّمکم إن ضربکم فوق ثلاث ضربات فی الأدب اقتصّ منه</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تدلّ علی ولایة المعلّم علی التأدیب، و یستفاد منها ولایته علی التربیة و التعلیم بالأولویّة</w:t>
      </w:r>
      <w:r>
        <w:rPr>
          <w:rFonts w:eastAsia="IRNazanin" w:cs="IRNazanin"/>
          <w:color w:val="111111"/>
          <w:sz w:val="28"/>
          <w:szCs w:val="28"/>
          <w:rtl w:val="true"/>
          <w:lang w:bidi="fa-IR"/>
        </w:rPr>
        <w:t>.</w:t>
      </w:r>
    </w:p>
    <w:p>
      <w:pPr>
        <w:pStyle w:val="Heading5"/>
        <w:numPr>
          <w:ilvl w:val="4"/>
          <w:numId w:val="1"/>
        </w:numPr>
        <w:rPr/>
      </w:pPr>
      <w:bookmarkStart w:id="860" w:name="__RefHeading___Toc9531069_73709187"/>
      <w:bookmarkStart w:id="861" w:name="_Toc337"/>
      <w:bookmarkEnd w:id="860"/>
      <w:r>
        <w:rPr>
          <w:rtl w:val="true"/>
        </w:rPr>
        <w:t>ولایة غیر الأبوین من الأقارب</w:t>
      </w:r>
      <w:bookmarkEnd w:id="861"/>
    </w:p>
    <w:p>
      <w:pPr>
        <w:pStyle w:val="BookText"/>
        <w:rPr/>
      </w:pPr>
      <w:r>
        <w:rPr>
          <w:rFonts w:ascii="IRNazanin" w:hAnsi="IRNazanin" w:eastAsia="IRNazanin"/>
          <w:color w:val="111111"/>
          <w:sz w:val="28"/>
          <w:sz w:val="28"/>
          <w:szCs w:val="28"/>
          <w:rtl w:val="true"/>
          <w:lang w:bidi="fa-IR"/>
        </w:rPr>
        <w:t xml:space="preserve">هل لأقارب الأطفال غیر الأبوین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 و الجدّة للأب أو الاُمّ و إن علوا، و کذا للأخ و الاُخت و الخال و الخالة، و العمّ و العمّة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تربیة الأطفال أم 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یبحث عنها الفقهاء بعنوان الولایة علی التربیة، و لکن من أجل أنّ</w:t>
      </w:r>
    </w:p>
    <w:p>
      <w:pPr>
        <w:pStyle w:val="BookText"/>
        <w:rPr/>
      </w:pPr>
      <w:r>
        <w:rPr>
          <w:rFonts w:ascii="IRNazanin" w:hAnsi="IRNazanin" w:eastAsia="IRNazanin"/>
          <w:color w:val="111111"/>
          <w:sz w:val="28"/>
          <w:sz w:val="28"/>
          <w:szCs w:val="28"/>
          <w:rtl w:val="true"/>
          <w:lang w:bidi="fa-IR"/>
        </w:rPr>
        <w:t xml:space="preserve">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التربیة بمعنی المقصود فی المقام أیضاً، و قد ذکروا فی البحث عنها فی هذه المسألة أقوالاً مختلفة</w:t>
      </w:r>
      <w:r>
        <w:rPr>
          <w:rStyle w:val="FootnoteAnchor"/>
          <w:rtl w:val="true"/>
        </w:rPr>
        <w:footnoteReference w:id="1573"/>
      </w:r>
      <w:r>
        <w:rPr>
          <w:rFonts w:ascii="IRNazanin" w:hAnsi="IRNazanin" w:eastAsia="IRNazanin"/>
          <w:color w:val="111111"/>
          <w:sz w:val="28"/>
          <w:sz w:val="28"/>
          <w:szCs w:val="28"/>
          <w:rtl w:val="true"/>
          <w:lang w:bidi="fa-IR"/>
        </w:rPr>
        <w:t>یستفاد منها أنّ لهم فی المقام أیضاً أقوالاً، و مختارنا فی المقام ما اخترناه فی ذلک المبحث من أنّه بعد فقد الأبوین تکون الولایة للجدّ من قبل الأب، ثمّ للوصیّ المتأخّر موته عنهما، ثمّ للأرحام علی مراتبهم فی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الأولویّة تشمل الحضانة و التربیة، و القریب أولی من البعید، و أنّ الإرث و زیادته یدلّ علی الأقربیّة، کما نبّه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وَ أَبْناؤُکُمْ لا تَدْرُونَ أَیُّهُمْ أَقْرَبُ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قیل من أنّ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ورد 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طبقات الإرث، و ناسخة لثبوت الإرث بالمعاقدة، و من أنّ المستفاد منها أنّ بعض الأرحام أولی ببعض فی کتاب اللّه، و أمّا تعیین البعض الأولی فیحتاج إلی التفسیر</w:t>
      </w:r>
      <w:r>
        <w:rPr>
          <w:rFonts w:eastAsia="IRNazanin" w:cs="IRNazanin"/>
          <w:color w:val="111111"/>
          <w:sz w:val="28"/>
          <w:szCs w:val="28"/>
          <w:rtl w:val="true"/>
          <w:lang w:bidi="fa-IR"/>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لم یکن مخصّصاً، بل هو مطلق</w:t>
      </w:r>
      <w:r>
        <w:rPr>
          <w:rStyle w:val="FootnoteAnchor"/>
          <w:rtl w:val="true"/>
        </w:rPr>
        <w:footnoteReference w:id="1575"/>
      </w:r>
      <w:r>
        <w:rPr>
          <w:rFonts w:ascii="IRNazanin" w:hAnsi="IRNazanin" w:eastAsia="IRNazanin"/>
          <w:color w:val="111111"/>
          <w:sz w:val="28"/>
          <w:sz w:val="28"/>
          <w:szCs w:val="28"/>
          <w:rtl w:val="true"/>
          <w:lang w:bidi="fa-IR"/>
        </w:rPr>
        <w:t>یشمل الأحکام کلّها إلاّ ما خرج بالدلیل، و یمکن استفادة تعیین بعض من کان هو الأولی من أدلّة اخری و یتمّ الاستدلال بها،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الکریمة بضمیمة الأدلّة التی تبیّن مراتب الأولویّة فی الأرحام، تدلّ علی أولویّة بعض الأرحام فی تربیة أقاربهم</w:t>
      </w:r>
      <w:r>
        <w:rPr>
          <w:rFonts w:eastAsia="IRNazanin" w:cs="IRNazanin"/>
          <w:color w:val="111111"/>
          <w:sz w:val="28"/>
          <w:szCs w:val="28"/>
          <w:rtl w:val="true"/>
          <w:lang w:bidi="fa-IR"/>
        </w:rPr>
        <w:t>.</w:t>
      </w:r>
      <w:bookmarkStart w:id="862" w:name="pg11754_113126"/>
    </w:p>
    <w:p>
      <w:pPr>
        <w:pStyle w:val="BookText"/>
        <w:rPr/>
      </w:pPr>
      <w:bookmarkEnd w:id="86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الطفل یحتاج إلی الحضانة</w:t>
      </w:r>
      <w:r>
        <w:rPr>
          <w:rStyle w:val="FootnoteAnchor"/>
          <w:rtl w:val="true"/>
        </w:rPr>
        <w:footnoteReference w:id="1576"/>
      </w:r>
      <w:r>
        <w:rPr>
          <w:rFonts w:ascii="IRNazanin" w:hAnsi="IRNazanin" w:eastAsia="IRNazanin"/>
          <w:color w:val="111111"/>
          <w:sz w:val="28"/>
          <w:sz w:val="28"/>
          <w:szCs w:val="28"/>
          <w:rtl w:val="true"/>
          <w:lang w:bidi="fa-IR"/>
        </w:rPr>
        <w:t>و التربیة مع وجود الأبوین و فقدهما، فلا بدّ فی الحکمة من نصب قیّم قام بها إذا فقد الأبوان، و القریب أولی من البعید؛ لأنّه أشفق و أرأف منه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فمع فقد الأبوین ینظر فی الموجود من الأقارب و یقدّر لو کان وارثاً و یحکم له بحقّ الحضانة، ثمّ إن اتّحد اختصّ، و إن تعدّد اقرع بینهم، لما فی اشتراکها من الإضرار بالولد</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هذا الحکم أیضاً فی التعلیم و تربیة الأطفال، لوحدة الملاک</w:t>
      </w:r>
      <w:r>
        <w:rPr>
          <w:rFonts w:eastAsia="IRNazanin" w:cs="IRNazanin"/>
          <w:color w:val="111111"/>
          <w:sz w:val="28"/>
          <w:szCs w:val="28"/>
          <w:rtl w:val="true"/>
          <w:lang w:bidi="fa-IR"/>
        </w:rPr>
        <w:t>.</w:t>
      </w:r>
    </w:p>
    <w:p>
      <w:pPr>
        <w:pStyle w:val="Heading5"/>
        <w:numPr>
          <w:ilvl w:val="4"/>
          <w:numId w:val="1"/>
        </w:numPr>
        <w:rPr/>
      </w:pPr>
      <w:bookmarkStart w:id="863" w:name="__RefHeading___Toc9531071_73709187"/>
      <w:bookmarkStart w:id="864" w:name="_Toc338"/>
      <w:bookmarkEnd w:id="863"/>
      <w:r>
        <w:rPr>
          <w:rtl w:val="true"/>
        </w:rPr>
        <w:t>وجوب التعلیم و التربیة هل هو عینیّ أو کفائیّ‌</w:t>
      </w:r>
      <w:bookmarkEnd w:id="864"/>
    </w:p>
    <w:p>
      <w:pPr>
        <w:pStyle w:val="BookText"/>
        <w:rPr/>
      </w:pPr>
      <w:r>
        <w:rPr>
          <w:rFonts w:ascii="IRNazanin" w:hAnsi="IRNazanin" w:eastAsia="IRNazanin"/>
          <w:color w:val="111111"/>
          <w:sz w:val="28"/>
          <w:sz w:val="28"/>
          <w:szCs w:val="28"/>
          <w:rtl w:val="true"/>
          <w:lang w:bidi="fa-IR"/>
        </w:rPr>
        <w:t>ظهر ممّا ذکرنا أنّ وجوب التعلیم و التربیة فی الجملة ثابت و متّفق عند الفقهاء من المتقدّمین و المتأخّرین و المعاصرین، و لعلّ عدم ذکره فی کلمات بعضهم بخصوصه لبداهته، و لأنّه متسالم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الأدلّة أیضاً أنّ وجوبه کفائیّ؛ بمعنی أنّ الشارع لا یرضی أن یترک الطفل فی الأوقات التی یکون مستعدّاً فیها لقبول التربیة الصحیحة، و لها تأثیر فی بناء شخصیّته فی الآجل و العاجل؛ لأنّ ترکها یوجب ضرراً علیه، و سبباً لفساد عقیدته و عمله، و انحرافه عن الصراط المستقیم قطعاً، و هو مبغوض للشارع بالضرورة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وجوب الحضانة عن بعض الأصحاب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حسن، حیث یستلزم ترکها تضییع الولد، إلاّ أنّ حضانته حینئذٍ تجب کفایة کغیره من المضطرّین</w:t>
      </w:r>
      <w:r>
        <w:rPr>
          <w:rFonts w:eastAsia="IRNazanin" w:cs="IRNazanin"/>
          <w:color w:val="111111"/>
          <w:sz w:val="28"/>
          <w:szCs w:val="28"/>
          <w:rtl w:val="true"/>
          <w:lang w:bidi="fa-IR"/>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الأبوان موجودین، و کانا واجدین لشرائطها، فالوجوب فی حقّهما فعلیّ و إن کانت الاُمّ أحقّ بها، فإذا اختارتها سقطت عن الأب، لقوله علیه السلام فی صحیحة أیّوب بن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أحقّ بالولد إلی أن یبلغ سبع سنین</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Style w:val="FootnoteAnchor"/>
          <w:rtl w:val="true"/>
        </w:rPr>
        <w:footnoteReference w:id="1581"/>
      </w:r>
      <w:r>
        <w:rPr>
          <w:rFonts w:ascii="IRNazanin" w:hAnsi="IRNazanin" w:eastAsia="IRNazanin"/>
          <w:color w:val="111111"/>
          <w:sz w:val="28"/>
          <w:sz w:val="28"/>
          <w:szCs w:val="28"/>
          <w:rtl w:val="true"/>
          <w:lang w:bidi="fa-IR"/>
        </w:rPr>
        <w:t>، بناءً علی أنّ الحضانة تشمل التربیة فی معنی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فطم الولد، أو بلغ سبع سنین إن کان انثی، أو امتنعت الاُمّ من الحضانة، أو فقدت شرائطها فیختصّ الوجوب بالأب؛ لأنّ الولد منتسب إلیه و هو أصله، کما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أبیک، فإن تعلم أنّه أصلک و إنّک لولاه لم تکن، فمهما رأیت فی نفسک ما یعجبک فاعلم أنّ أباک أصل النعمة علیک فیه</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الموارد اختصّ الوجوب بالاُمّ، کما لو مات الأب أو ارتدّ أو لم یقدر علیها، ففی هذه الأحوال وجب علی الاُمّ حضانة الطفل و کفالته و تربیته عیناً، و لو امتنعت فعلی الحاکم إجبارها، حفظاً لرعایة مصالح الطفل، و دفعاً لتضییع حقوقه، کما أنّه کان للحاکم أیضاً إجبار الأب بحضانة ولده إذا لم تحضنه الاُمّ لمانع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فقد الأبوان یختصّ الوجوب بغیرهما کالجدّ و الجدّة للأب أو الاُمّ و العمّ و الخال و العمّة و الخالة علی ترتیب طبقات الإرث، فیجب علیهم القیام بتربیة الطفل علی ما هو وظیفة الأبوین فی حال حیاتهما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القواعد فی خصوص الحضانة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فقد الأبوان فالجدّ للأب أولی، فإن فقد فالأقارب علی مراتب الإرث، و الاُخت من الأبوین أو من الأب أولی من الاُخت من الاُمّ، إمّا لزیادة القرب أو لکثرة النصیب، و کذا امّ الأب أولی من امّ الاُمّ، و الجدّة أولی من الأخوات؛ لأنّها امّ و تتساوی العمّة و الخالة علی إشکال و لو تعدّد المتساوون أقرع</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المبسوط‌</w:t>
      </w:r>
      <w:r>
        <w:rPr>
          <w:rStyle w:val="FootnoteAnchor"/>
          <w:rtl w:val="true"/>
        </w:rPr>
        <w:footnoteReference w:id="1584"/>
      </w:r>
      <w:r>
        <w:rPr>
          <w:rFonts w:ascii="IRNazanin" w:hAnsi="IRNazanin" w:eastAsia="IRNazanin"/>
          <w:color w:val="111111"/>
          <w:sz w:val="28"/>
          <w:sz w:val="28"/>
          <w:szCs w:val="28"/>
          <w:rtl w:val="true"/>
          <w:lang w:bidi="fa-IR"/>
        </w:rPr>
        <w:t>، و الخلاف</w:t>
      </w:r>
      <w:r>
        <w:rPr>
          <w:rStyle w:val="FootnoteAnchor"/>
          <w:rtl w:val="true"/>
        </w:rPr>
        <w:footnoteReference w:id="1585"/>
      </w:r>
      <w:r>
        <w:rPr>
          <w:rFonts w:ascii="IRNazanin" w:hAnsi="IRNazanin" w:eastAsia="IRNazanin"/>
          <w:color w:val="111111"/>
          <w:sz w:val="28"/>
          <w:sz w:val="28"/>
          <w:szCs w:val="28"/>
          <w:rtl w:val="true"/>
          <w:lang w:bidi="fa-IR"/>
        </w:rPr>
        <w:t>، و المختلف</w:t>
      </w:r>
      <w:r>
        <w:rPr>
          <w:rStyle w:val="FootnoteAnchor"/>
          <w:rtl w:val="true"/>
        </w:rPr>
        <w:footnoteReference w:id="1586"/>
      </w:r>
      <w:r>
        <w:rPr>
          <w:rFonts w:ascii="Amiri" w:hAnsi="Amiri" w:eastAsia="Amiri" w:cs="Amiri"/>
          <w:color w:val="111111"/>
          <w:sz w:val="28"/>
          <w:sz w:val="28"/>
          <w:szCs w:val="28"/>
          <w:rtl w:val="true"/>
          <w:lang w:bidi="ar-SA"/>
        </w:rPr>
        <w:t>، و المهذّب</w:t>
      </w:r>
      <w:r>
        <w:rPr>
          <w:rStyle w:val="FootnoteAnchor"/>
          <w:rtl w:val="true"/>
        </w:rPr>
        <w:footnoteReference w:id="1587"/>
      </w:r>
      <w:r>
        <w:rPr>
          <w:rFonts w:ascii="IRNazanin" w:hAnsi="IRNazanin" w:eastAsia="IRNazanin"/>
          <w:color w:val="111111"/>
          <w:sz w:val="28"/>
          <w:sz w:val="28"/>
          <w:szCs w:val="28"/>
          <w:rtl w:val="true"/>
          <w:lang w:bidi="fa-IR"/>
        </w:rPr>
        <w:t>، و الوسیلة</w:t>
      </w:r>
      <w:r>
        <w:rPr>
          <w:rStyle w:val="FootnoteAnchor"/>
          <w:rtl w:val="true"/>
        </w:rPr>
        <w:footnoteReference w:id="1588"/>
      </w:r>
      <w:r>
        <w:rPr>
          <w:rFonts w:ascii="IRNazanin" w:hAnsi="IRNazanin" w:eastAsia="IRNazanin"/>
          <w:color w:val="111111"/>
          <w:sz w:val="28"/>
          <w:sz w:val="28"/>
          <w:szCs w:val="28"/>
          <w:rtl w:val="true"/>
          <w:lang w:bidi="fa-IR"/>
        </w:rPr>
        <w:t>و غیرها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یظهر من الأدلّة أنّ الولایة علی التربیة و التعلیم حکم؛ بمعنی أنّه یجب علی الآباء و الاُمّهات تربیة أولادهم علی التفصیل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التربیة ضرر علی الطفل، و هو منهیّ بحکم الآیات، و الروایات، و السیرة، و الإجماع، و العقل، و لذا لا یکون قابلاً للإسقاط من جانب الأبوین، بل لو امتنعا یُجبِرُهما الحاکم الشرعی، کما أنّه یجبرهما إن امتنعا عن الحضانة، أو امتنع الأب عن النفقة، کما تقدّم تحقیقها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فی باب الحضانة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امتنعت الاُمّ من الحضانة صار الأب أولی بها، و لو امتنعا معاً فالظاهر إجبار الأب</w:t>
      </w:r>
      <w:r>
        <w:rPr>
          <w:rFonts w:eastAsia="IRNazanin" w:cs="IRNazanin"/>
          <w:color w:val="111111"/>
          <w:sz w:val="28"/>
          <w:szCs w:val="28"/>
          <w:rtl w:val="true"/>
          <w:lang w:bidi="fa-IR"/>
        </w:rPr>
        <w:t>»</w:t>
      </w:r>
      <w:r>
        <w:rPr>
          <w:rStyle w:val="FootnoteAnchor"/>
          <w:rtl w:val="true"/>
        </w:rPr>
        <w:footnoteReference w:id="1591"/>
      </w:r>
      <w:bookmarkStart w:id="865" w:name="pg11754_113129"/>
    </w:p>
    <w:p>
      <w:pPr>
        <w:pStyle w:val="BookText"/>
        <w:rPr/>
      </w:pPr>
      <w:bookmarkEnd w:id="865"/>
      <w:r>
        <w:rPr>
          <w:rFonts w:ascii="IRNazanin" w:hAnsi="IRNazanin" w:eastAsia="IRNazanin"/>
          <w:color w:val="111111"/>
          <w:sz w:val="28"/>
          <w:sz w:val="28"/>
          <w:szCs w:val="28"/>
          <w:rtl w:val="true"/>
          <w:lang w:bidi="fa-IR"/>
        </w:rPr>
        <w:t>و کذا فی الروضة</w:t>
      </w:r>
      <w:r>
        <w:rPr>
          <w:rStyle w:val="FootnoteAnchor"/>
          <w:rtl w:val="true"/>
        </w:rPr>
        <w:footnoteReference w:id="1592"/>
      </w:r>
      <w:r>
        <w:rPr>
          <w:rFonts w:ascii="IRNazanin" w:hAnsi="IRNazanin" w:eastAsia="IRNazanin"/>
          <w:color w:val="111111"/>
          <w:sz w:val="28"/>
          <w:sz w:val="28"/>
          <w:szCs w:val="28"/>
          <w:rtl w:val="true"/>
          <w:lang w:bidi="fa-IR"/>
        </w:rPr>
        <w:t>، و مهذّب الأحکام</w:t>
      </w:r>
      <w:r>
        <w:rPr>
          <w:rStyle w:val="FootnoteAnchor"/>
          <w:rtl w:val="true"/>
        </w:rPr>
        <w:footnoteReference w:id="1593"/>
      </w:r>
      <w:r>
        <w:rPr>
          <w:rFonts w:ascii="IRNazanin" w:hAnsi="IRNazanin" w:eastAsia="IRNazanin"/>
          <w:color w:val="111111"/>
          <w:sz w:val="28"/>
          <w:sz w:val="28"/>
          <w:szCs w:val="28"/>
          <w:rtl w:val="true"/>
          <w:lang w:bidi="fa-IR"/>
        </w:rPr>
        <w:t>، و قد ذکرنا فی تحقیق المسألة زیادة توضیح فی باب الحضانة، فراجع</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9531073_73709187"/>
      <w:bookmarkStart w:id="867" w:name="_Toc339"/>
      <w:bookmarkEnd w:id="866"/>
      <w:r>
        <w:rPr>
          <w:rtl w:val="true"/>
        </w:rPr>
        <w:t>شرائط المربّین للأطفال</w:t>
      </w:r>
      <w:bookmarkEnd w:id="867"/>
    </w:p>
    <w:p>
      <w:pPr>
        <w:pStyle w:val="BookText"/>
        <w:rPr/>
      </w:pPr>
      <w:r>
        <w:rPr>
          <w:rFonts w:ascii="IRNazanin" w:hAnsi="IRNazanin" w:eastAsia="IRNazanin"/>
          <w:color w:val="111111"/>
          <w:sz w:val="28"/>
          <w:sz w:val="28"/>
          <w:szCs w:val="28"/>
          <w:rtl w:val="true"/>
          <w:lang w:bidi="fa-IR"/>
        </w:rPr>
        <w:t xml:space="preserve">الشرائط المعتبرة فیمن له حقّ الحضانة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کالبلوغ، و العقل، و الإسلام، و القدرة علیها، و عدم الجنون و السفه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فی الولایة علی التعلیم و التربیة أیضاً، فلا تثبت الولایة لمن لا یکون کاملاً بالبلوغ و الرشد</w:t>
      </w:r>
      <w:r>
        <w:rPr>
          <w:rStyle w:val="FootnoteAnchor"/>
          <w:rtl w:val="true"/>
        </w:rPr>
        <w:footnoteReference w:id="1595"/>
      </w:r>
      <w:r>
        <w:rPr>
          <w:rFonts w:ascii="IRNazanin" w:hAnsi="IRNazanin" w:eastAsia="IRNazanin"/>
          <w:color w:val="111111"/>
          <w:sz w:val="28"/>
          <w:sz w:val="28"/>
          <w:szCs w:val="28"/>
          <w:rtl w:val="true"/>
          <w:lang w:bidi="fa-IR"/>
        </w:rPr>
        <w:t>، و لا للکافر</w:t>
      </w:r>
      <w:r>
        <w:rPr>
          <w:rStyle w:val="FootnoteAnchor"/>
          <w:rtl w:val="true"/>
        </w:rPr>
        <w:footnoteReference w:id="1596"/>
      </w:r>
      <w:r>
        <w:rPr>
          <w:rFonts w:ascii="IRNazanin" w:hAnsi="IRNazanin" w:eastAsia="IRNazanin"/>
          <w:color w:val="111111"/>
          <w:sz w:val="28"/>
          <w:sz w:val="28"/>
          <w:szCs w:val="28"/>
          <w:rtl w:val="true"/>
          <w:lang w:bidi="fa-IR"/>
        </w:rPr>
        <w:t>، و لا للمجنون</w:t>
      </w:r>
      <w:r>
        <w:rPr>
          <w:rStyle w:val="FootnoteAnchor"/>
          <w:rtl w:val="true"/>
        </w:rPr>
        <w:footnoteReference w:id="1597"/>
      </w:r>
      <w:r>
        <w:rPr>
          <w:rFonts w:ascii="IRNazanin" w:hAnsi="IRNazanin" w:eastAsia="IRNazanin"/>
          <w:color w:val="111111"/>
          <w:sz w:val="28"/>
          <w:sz w:val="28"/>
          <w:szCs w:val="28"/>
          <w:rtl w:val="true"/>
          <w:lang w:bidi="fa-IR"/>
        </w:rPr>
        <w:t>، و لا لمن لا یقدر علی ذلک لمرض و لو بالاستنابة و توجب ضرراً علی الطفل</w:t>
      </w:r>
      <w:r>
        <w:rPr>
          <w:rStyle w:val="FootnoteAnchor"/>
          <w:rtl w:val="true"/>
        </w:rPr>
        <w:footnoteReference w:id="1598"/>
      </w:r>
      <w:r>
        <w:rPr>
          <w:rFonts w:ascii="IRNazanin" w:hAnsi="IRNazanin" w:eastAsia="IRNazanin"/>
          <w:color w:val="111111"/>
          <w:sz w:val="28"/>
          <w:sz w:val="28"/>
          <w:szCs w:val="28"/>
          <w:rtl w:val="true"/>
          <w:lang w:bidi="fa-IR"/>
        </w:rPr>
        <w:t>، و لا للفاسق علی قول بعضهم</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الاُمّ بخصوصها أن لا تکون مزوّجة</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فی باب الحضانة تلک الشروط و غیرها</w:t>
      </w:r>
      <w:r>
        <w:rPr>
          <w:rStyle w:val="FootnoteAnchor"/>
          <w:rtl w:val="true"/>
        </w:rPr>
        <w:footnoteReference w:id="1601"/>
      </w:r>
      <w:r>
        <w:rPr>
          <w:rFonts w:ascii="IRNazanin" w:hAnsi="IRNazanin" w:eastAsia="IRNazanin"/>
          <w:color w:val="111111"/>
          <w:sz w:val="28"/>
          <w:sz w:val="28"/>
          <w:szCs w:val="28"/>
          <w:rtl w:val="true"/>
          <w:lang w:bidi="fa-IR"/>
        </w:rPr>
        <w:t>، و ذکرناها مع أدلّتها فی باب الحضانة فراجع</w:t>
      </w:r>
      <w:r>
        <w:rPr>
          <w:rStyle w:val="FootnoteAnchor"/>
          <w:rtl w:val="true"/>
        </w:rPr>
        <w:footnoteReference w:id="1602"/>
      </w:r>
      <w:bookmarkStart w:id="868" w:name="pg11754_113130"/>
    </w:p>
    <w:p>
      <w:pPr>
        <w:pStyle w:val="Heading4"/>
        <w:numPr>
          <w:ilvl w:val="3"/>
          <w:numId w:val="1"/>
        </w:numPr>
        <w:rPr/>
      </w:pPr>
      <w:bookmarkStart w:id="869" w:name="__RefHeading___Toc9531075_73709187"/>
      <w:bookmarkStart w:id="870" w:name="_Toc340"/>
      <w:bookmarkEnd w:id="868"/>
      <w:bookmarkEnd w:id="869"/>
      <w:r>
        <w:rPr>
          <w:rtl w:val="true"/>
        </w:rPr>
        <w:t>المبحث الخامس</w:t>
      </w:r>
      <w:r>
        <w:rPr>
          <w:rtl w:val="true"/>
        </w:rPr>
        <w:t>:</w:t>
      </w:r>
      <w:bookmarkEnd w:id="870"/>
    </w:p>
    <w:p>
      <w:pPr>
        <w:pStyle w:val="Heading5"/>
        <w:numPr>
          <w:ilvl w:val="4"/>
          <w:numId w:val="1"/>
        </w:numPr>
        <w:rPr/>
      </w:pPr>
      <w:bookmarkStart w:id="871" w:name="__RefHeading___Toc9531077_73709187"/>
      <w:bookmarkStart w:id="872" w:name="_Toc341"/>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ولایة الحاکم علی تربیة الأیتام و تعلیمهم</w:t>
      </w:r>
    </w:p>
    <w:p>
      <w:pPr>
        <w:pStyle w:val="Heading5"/>
        <w:numPr>
          <w:ilvl w:val="4"/>
          <w:numId w:val="1"/>
        </w:numPr>
        <w:rPr/>
      </w:pPr>
      <w:bookmarkStart w:id="873" w:name="__RefHeading___Toc9531079_73709187"/>
      <w:bookmarkStart w:id="874" w:name="_Toc342"/>
      <w:bookmarkEnd w:id="873"/>
      <w:r>
        <w:rPr>
          <w:rtl w:val="true"/>
        </w:rPr>
        <w:t>آراء الفقهاء فی المسألة</w:t>
      </w:r>
      <w:bookmarkEnd w:id="874"/>
    </w:p>
    <w:p>
      <w:pPr>
        <w:pStyle w:val="BookText"/>
        <w:rPr/>
      </w:pPr>
      <w:r>
        <w:rPr>
          <w:rFonts w:ascii="IRNazanin" w:hAnsi="IRNazanin" w:eastAsia="IRNazanin"/>
          <w:color w:val="111111"/>
          <w:sz w:val="28"/>
          <w:sz w:val="28"/>
          <w:szCs w:val="28"/>
          <w:rtl w:val="true"/>
          <w:lang w:bidi="fa-IR"/>
        </w:rPr>
        <w:t xml:space="preserve">لا شکّ فی أنّ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الفقیه الجامع لشرائط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الأبوین و سائر الأرحام علی مراتبهم فی 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تربیة الأیتام و تعلیمهم، و یجب علیه القیام بذلک علی النحو الذی أثبتنا وجوبها علی الأبوین و سائر الأرحام مع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یدّعی أنّه لا خلاف فیه، بل إنّ الفقهاء متّفقون علی هذا، و لعلّ عدم ذکره فی کلماتهم بخصوصه لبداهته، أو أنّه متسالم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صرّحوا بأنّ الحاکم ولیّ من لا ولیّ له، و یذکرون لهذا الحکم مصادیق کثیرة و یطبّقوه فی الموارد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ذکروا أنّ کلّ فعل متعلّق بأُمور العباد فی دینهم أو دنیاهم، و لا بدّ من الإتیان به، نصب الشارع علیه والیاً و قیّماً، و لا شکّ فی أنّ تربیة الأیتام یکون کذلک، و حیث إنّ المفروض عدم وجود ولیّ لهم، فالقدر المتیقّن أن یکون الحاکم متولّیاً علیها، و کذلک ذکروا فی باب الوصیّة أنّه لو مات شخص و لم یوص إلی أحد؛ فإنّ النظر فی ترکته للحاکم الشرعی، و هو الذی یعیّن القیّم حتّی یحفظ أموال الأطفال و یفعل ما کان مصلحة لهم من البیع و الشراء و الإنفاق علیهم و غیرها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فنذکر فی المقام شطراً من کلماتهم التی یمکن أن یستفاد من إطلاقها أو عمومها إثبات ولایة الحاکم علی تربیة الأیتام عندهم، و هی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و الجدّ، و الإمام أو من</w:t>
      </w:r>
    </w:p>
    <w:p>
      <w:pPr>
        <w:pStyle w:val="BookText"/>
        <w:rPr/>
      </w:pPr>
      <w:r>
        <w:rPr>
          <w:rFonts w:ascii="IRNazanin" w:hAnsi="IRNazanin" w:eastAsia="IRNazanin"/>
          <w:color w:val="111111"/>
          <w:sz w:val="28"/>
          <w:sz w:val="28"/>
          <w:szCs w:val="28"/>
          <w:rtl w:val="true"/>
          <w:lang w:bidi="fa-IR"/>
        </w:rPr>
        <w:t>یأمره الإمام</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الحاکم و أمینه، فلا یلیان إلاّ علی المحجور علیه لصغر أو سفه</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القواعد</w:t>
      </w:r>
      <w:r>
        <w:rPr>
          <w:rStyle w:val="FootnoteAnchor"/>
          <w:rtl w:val="true"/>
        </w:rPr>
        <w:footnoteReference w:id="1605"/>
      </w:r>
      <w:r>
        <w:rPr>
          <w:rFonts w:ascii="IRNazanin" w:hAnsi="IRNazanin" w:eastAsia="IRNazanin"/>
          <w:color w:val="111111"/>
          <w:sz w:val="28"/>
          <w:sz w:val="28"/>
          <w:szCs w:val="28"/>
          <w:rtl w:val="true"/>
          <w:lang w:bidi="fa-IR"/>
        </w:rPr>
        <w:t>، و جامع المقاصد</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الاُمور المفتقرة إلی الولایة إمّا أن تکون أطفالاً أو وصایا و حقوقاً و دیوناً، فإن کان الأوّل فالولایة فیهم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الجمیع 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السلطان العادل أو نائبه الخاصّ</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الحاکم ولیّ عام لا یحتاج إلی دلیل</w:t>
      </w:r>
      <w:r>
        <w:rPr>
          <w:rFonts w:eastAsia="IRNazanin" w:cs="IRNazanin"/>
          <w:color w:val="111111"/>
          <w:sz w:val="28"/>
          <w:szCs w:val="28"/>
          <w:rtl w:val="true"/>
          <w:lang w:bidi="fa-IR"/>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الکرکی فی رسالة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 أصحابنا رضوان اللّه علیهم علی أنّ الفقیه العدل الإمامی الجامع للشرائط الفتوی المعبّر عنه بالمجتهد فی الأحکام الشرعیّة، نائب من قبل أئمّة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الغیبة فی جمیع ما للنیابة فیه مدخل</w:t>
      </w:r>
      <w:r>
        <w:rPr>
          <w:rFonts w:eastAsia="IRNazanin" w:cs="IRNazanin"/>
          <w:color w:val="111111"/>
          <w:sz w:val="28"/>
          <w:szCs w:val="28"/>
          <w:rtl w:val="true"/>
          <w:lang w:bidi="fa-IR"/>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فی العوائد</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مجمع الفائدة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نزاع فی جواز البیع و الشراء و سائر التصرّفات للأطفال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 و الجدّ للأب لا للاُمّ، و من وصیّ</w:t>
      </w:r>
    </w:p>
    <w:p>
      <w:pPr>
        <w:pStyle w:val="BookText"/>
        <w:rPr/>
      </w:pPr>
      <w:r>
        <w:rPr>
          <w:rFonts w:ascii="IRNazanin" w:hAnsi="IRNazanin" w:eastAsia="IRNazanin"/>
          <w:color w:val="111111"/>
          <w:sz w:val="28"/>
          <w:sz w:val="28"/>
          <w:szCs w:val="28"/>
          <w:rtl w:val="true"/>
          <w:lang w:bidi="fa-IR"/>
        </w:rPr>
        <w:t>أحدهما مع عدمهما ثمّ من الحاکم أو الذی یعیّنه لهم</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الجواهر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استقصاء أفراد ولایة الحاکم و أمینه؛ لأنّ التحقیق عمومها فی کلّ ما احتیج فیه إلی ولایة فی مال أو غیره</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مات إنسان من غیر وصیّة کان علی الناظر فی أمر المسلمین أن یقیم له ناظراً ینظر فی مصلحة الورثة</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الروضة فی مسألة عدم جواز وصیّة الوصیّ إلاّ بإذن من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یصرّح له بالإذن فی الإیصاء یکون النظر بعده فی وصیّة الأوّل إلی الحاکم؛ لأنّه وصیّ من لا وصیّ له، و کذا حکم کلّ من مات و لا وصیّ له</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1615"/>
      </w:r>
      <w:r>
        <w:rPr>
          <w:rFonts w:ascii="IRNazanin" w:hAnsi="IRNazanin" w:eastAsia="IRNazanin"/>
          <w:color w:val="111111"/>
          <w:sz w:val="28"/>
          <w:sz w:val="28"/>
          <w:szCs w:val="28"/>
          <w:rtl w:val="true"/>
          <w:lang w:bidi="fa-IR"/>
        </w:rPr>
        <w:t>، و کتاب الوصایا للشیخ الأنصاری</w:t>
      </w:r>
      <w:r>
        <w:rPr>
          <w:rStyle w:val="FootnoteAnchor"/>
          <w:rtl w:val="true"/>
        </w:rPr>
        <w:footnoteReference w:id="1616"/>
      </w:r>
      <w:r>
        <w:rPr>
          <w:rFonts w:ascii="IRNazanin" w:hAnsi="IRNazanin" w:eastAsia="IRNazanin"/>
          <w:color w:val="111111"/>
          <w:sz w:val="28"/>
          <w:sz w:val="28"/>
          <w:szCs w:val="28"/>
          <w:rtl w:val="true"/>
          <w:lang w:bidi="fa-IR"/>
        </w:rPr>
        <w:t>و غیرها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مهذّب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عقیدة الإمامیّة أنّ الفقیه الجامع للشرائط یقوم مقام الإمام فی کلّ ما له من المناصب و الجهات إلاّ مختصّات الإمامة، کالعصمة و نحوها</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الخمینی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الولایة للفقهاء من قبل المعصومین علیهم السلام فی جمیع ما ثبت لهم الولایة فیه، من جهة کونهم سلطاناً علی الاُمّة، و لا بدّ فی الإخراج عن هذه الکلّیة فی مورد من دلالة دلیل علی اختصاصه بالإمام المعصوم علیه السلام</w:t>
      </w:r>
      <w:r>
        <w:rPr>
          <w:rFonts w:eastAsia="IRNazanin" w:cs="IRNazanin"/>
          <w:color w:val="111111"/>
          <w:sz w:val="28"/>
          <w:szCs w:val="28"/>
          <w:rtl w:val="true"/>
          <w:lang w:bidi="fa-IR"/>
        </w:rPr>
        <w:t>»</w:t>
      </w:r>
      <w:r>
        <w:rPr>
          <w:rStyle w:val="FootnoteAnchor"/>
          <w:rtl w:val="true"/>
        </w:rPr>
        <w:footnoteReference w:id="1619"/>
      </w:r>
      <w:bookmarkStart w:id="875" w:name="pg11754_113133"/>
    </w:p>
    <w:p>
      <w:pPr>
        <w:pStyle w:val="BookText"/>
        <w:rPr/>
      </w:pPr>
      <w:bookmarkEnd w:id="875"/>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تتبّع کلمات الفقهاء فی أبواب مختلفة، جزم بأنّهم متّفقون علی ثبوت ولایة الفقیه الجامع للشرائط فی الجملة و إن اختلفوا فی توسعتها و تضیّقها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المتیقّنة عندهم ولایته علی القصّر و الغیّب، و المراد منه ولایته علی الأیتام عند فقد الأب و الجدّ، و من جملتها الولایة علی تربیتهم و تعلیمهم فیما کان مصلحة لهم و ترکها یوجب ضرراً علیهم</w:t>
      </w:r>
      <w:r>
        <w:rPr>
          <w:rFonts w:eastAsia="IRNazanin" w:cs="IRNazanin"/>
          <w:color w:val="111111"/>
          <w:sz w:val="28"/>
          <w:szCs w:val="28"/>
          <w:rtl w:val="true"/>
          <w:lang w:bidi="fa-IR"/>
        </w:rPr>
        <w:t>.</w:t>
      </w:r>
    </w:p>
    <w:p>
      <w:pPr>
        <w:pStyle w:val="Heading5"/>
        <w:numPr>
          <w:ilvl w:val="4"/>
          <w:numId w:val="1"/>
        </w:numPr>
        <w:rPr/>
      </w:pPr>
      <w:bookmarkStart w:id="876" w:name="__RefHeading___Toc9531081_73709187"/>
      <w:bookmarkStart w:id="877" w:name="_Toc343"/>
      <w:bookmarkEnd w:id="876"/>
      <w:r>
        <w:rPr>
          <w:rtl w:val="true"/>
        </w:rPr>
        <w:t>أدلّة ولایة الحاکم علی تربیة الأیتام و تعلیمهم</w:t>
      </w:r>
      <w:bookmarkEnd w:id="877"/>
    </w:p>
    <w:p>
      <w:pPr>
        <w:pStyle w:val="Heading6"/>
        <w:numPr>
          <w:ilvl w:val="5"/>
          <w:numId w:val="1"/>
        </w:numPr>
        <w:rPr/>
      </w:pPr>
      <w:bookmarkStart w:id="878" w:name="__RefHeading___Toc9531083_73709187"/>
      <w:bookmarkStart w:id="879" w:name="_Toc344"/>
      <w:bookmarkEnd w:id="878"/>
      <w:r>
        <w:rPr>
          <w:rtl w:val="true"/>
        </w:rPr>
        <w:t>اشارة</w:t>
      </w:r>
      <w:bookmarkEnd w:id="879"/>
    </w:p>
    <w:p>
      <w:pPr>
        <w:pStyle w:val="BookText"/>
        <w:rPr/>
      </w:pPr>
      <w:r>
        <w:rPr>
          <w:rFonts w:ascii="IRNazanin" w:hAnsi="IRNazanin" w:eastAsia="IRNazanin"/>
          <w:color w:val="111111"/>
          <w:sz w:val="28"/>
          <w:sz w:val="28"/>
          <w:szCs w:val="28"/>
          <w:rtl w:val="true"/>
          <w:lang w:bidi="fa-IR"/>
        </w:rPr>
        <w:t>و یمکن أن یستدلّ لإثبات هذا الحکم باُمور</w:t>
      </w:r>
      <w:r>
        <w:rPr>
          <w:rFonts w:eastAsia="IRNazanin" w:cs="IRNazanin"/>
          <w:color w:val="111111"/>
          <w:sz w:val="28"/>
          <w:szCs w:val="28"/>
          <w:rtl w:val="true"/>
          <w:lang w:bidi="fa-IR"/>
        </w:rPr>
        <w:t>:</w:t>
      </w:r>
    </w:p>
    <w:p>
      <w:pPr>
        <w:pStyle w:val="Heading6"/>
        <w:numPr>
          <w:ilvl w:val="5"/>
          <w:numId w:val="1"/>
        </w:numPr>
        <w:rPr/>
      </w:pPr>
      <w:bookmarkStart w:id="880" w:name="__RefHeading___Toc9531085_73709187"/>
      <w:bookmarkStart w:id="881" w:name="_Toc345"/>
      <w:bookmarkEnd w:id="880"/>
      <w:r>
        <w:rPr>
          <w:rtl w:val="true"/>
        </w:rPr>
        <w:t>الأوّل</w:t>
      </w:r>
      <w:r>
        <w:rPr>
          <w:rtl w:val="true"/>
        </w:rPr>
        <w:t xml:space="preserve">: </w:t>
      </w:r>
      <w:r>
        <w:rPr>
          <w:rtl w:val="true"/>
        </w:rPr>
        <w:t>ولایته العامّة</w:t>
      </w:r>
      <w:bookmarkEnd w:id="881"/>
    </w:p>
    <w:p>
      <w:pPr>
        <w:pStyle w:val="BookText"/>
        <w:rPr/>
      </w:pPr>
      <w:r>
        <w:rPr>
          <w:rFonts w:ascii="IRNazanin" w:hAnsi="IRNazanin" w:eastAsia="IRNazanin"/>
          <w:color w:val="111111"/>
          <w:sz w:val="28"/>
          <w:sz w:val="28"/>
          <w:szCs w:val="28"/>
          <w:rtl w:val="true"/>
          <w:lang w:bidi="fa-IR"/>
        </w:rPr>
        <w:t xml:space="preserve">إنّ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المجتهد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ولایة عامّة فی کلّ فعل متعلّق باُمور العباد فی دینهم أو دنیاهم، و لا بدّ من الإتیان به و لا مفرّ منه، إمّا عقلاً أو عادةً من جهة توقّف امور المعاد أو المعاش لواحد أو جماعة علیه و إناطة انتظام امور الدین أو الدنیا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کلّ أمر کان کذلک لا بدّ و أن ینصب الشارع الرءوف الحکیم والیاً و قیّماً و متولّیاً، و لا ریب فی أنّ تربیة الأیتام من الاُمور التی لا بدّ من الإتیان بها و لا یرضی الشارع بترکها؛ لأنّه موجب للضرر علیهم، و تضییع حقوقهم، و فساد عقیدتهم، بل فساد غیرهم، و المفروض عدم وجود ولیّ للأیتام حتّی قام بتربیتهم أو کان و لکن لم یکن فیه شرائطها، أو امتنع من ذلک و لم یمکن إجباره، و لم یثبت دلیل علی نصب معیّن غیر الفقیه، أو واحد لا بعینه، أو جماعة غیر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الفقیه، فقد ورد فی حقّه من الأوصاف الجمیلة و المزایا الجلیلة، و هی کافیة فی دلالتها علی کونه منصوباً منه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ولایة الحاکم علی تربیة الأطفال الذین لا ولیّ لهم و تعلیمهم، ثابت</w:t>
      </w:r>
      <w:bookmarkStart w:id="882" w:name="pg11754_113134"/>
    </w:p>
    <w:p>
      <w:pPr>
        <w:pStyle w:val="BookText"/>
        <w:rPr/>
      </w:pPr>
      <w:bookmarkEnd w:id="882"/>
      <w:r>
        <w:rPr>
          <w:rFonts w:ascii="IRNazanin" w:hAnsi="IRNazanin" w:eastAsia="IRNazanin"/>
          <w:color w:val="111111"/>
          <w:sz w:val="28"/>
          <w:sz w:val="28"/>
          <w:szCs w:val="28"/>
          <w:rtl w:val="true"/>
          <w:lang w:bidi="fa-IR"/>
        </w:rPr>
        <w:t>قطعاً لا ریب فیه و لا إشکال، کما أشار إلیها فی العوائد</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ذلک أیضاً من إطلاق کلام المحقّق الأردبیلی</w:t>
      </w:r>
      <w:r>
        <w:rPr>
          <w:rStyle w:val="FootnoteAnchor"/>
          <w:rtl w:val="true"/>
        </w:rPr>
        <w:footnoteReference w:id="1621"/>
      </w:r>
      <w:r>
        <w:rPr>
          <w:rFonts w:ascii="IRNazanin" w:hAnsi="IRNazanin" w:eastAsia="IRNazanin"/>
          <w:color w:val="111111"/>
          <w:sz w:val="28"/>
          <w:sz w:val="28"/>
          <w:szCs w:val="28"/>
          <w:rtl w:val="true"/>
          <w:lang w:bidi="fa-IR"/>
        </w:rPr>
        <w:t>، و الجواهر</w:t>
      </w:r>
      <w:r>
        <w:rPr>
          <w:rStyle w:val="FootnoteAnchor"/>
          <w:rtl w:val="true"/>
        </w:rPr>
        <w:footnoteReference w:id="1622"/>
      </w:r>
      <w:r>
        <w:rPr>
          <w:rFonts w:ascii="IRNazanin" w:hAnsi="IRNazanin" w:eastAsia="IRNazanin"/>
          <w:color w:val="111111"/>
          <w:sz w:val="28"/>
          <w:sz w:val="28"/>
          <w:szCs w:val="28"/>
          <w:rtl w:val="true"/>
          <w:lang w:bidi="fa-IR"/>
        </w:rPr>
        <w:t>، و مهذّب الأحکام</w:t>
      </w:r>
      <w:r>
        <w:rPr>
          <w:rStyle w:val="FootnoteAnchor"/>
          <w:rtl w:val="true"/>
        </w:rPr>
        <w:footnoteReference w:id="1623"/>
      </w:r>
      <w:r>
        <w:rPr>
          <w:rFonts w:ascii="IRNazanin" w:hAnsi="IRNazanin" w:eastAsia="IRNazanin"/>
          <w:color w:val="111111"/>
          <w:sz w:val="28"/>
          <w:sz w:val="28"/>
          <w:szCs w:val="28"/>
          <w:rtl w:val="true"/>
          <w:lang w:bidi="fa-IR"/>
        </w:rPr>
        <w:t>، و الإمام الخمینی قدس سره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ولایة الحاکم علی تربیة الأیتام و تعلیمهم من المصادیق الواضحة لکبری الکلّیة من ولایته؛ أی وجوب تصدّیه لکلّ معروف لا یمکن تعطیله، و لذا تتصدّی له الحکومات العرفیّة أیضاً بحسب قوانینهم</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الحاکم ولیّ عامّ لا یحتاج إلی دلیل</w:t>
      </w:r>
      <w:r>
        <w:rPr>
          <w:rFonts w:eastAsia="IRNazanin" w:cs="IRNazanin"/>
          <w:color w:val="111111"/>
          <w:sz w:val="28"/>
          <w:szCs w:val="28"/>
          <w:rtl w:val="true"/>
          <w:lang w:bidi="fa-IR"/>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لولایة الحاکم الإجماع المنقول، و عموم النیابة التی تستفاد من مثل المقبولة و غیرها</w:t>
      </w:r>
      <w:r>
        <w:rPr>
          <w:rFonts w:eastAsia="IRNazanin" w:cs="IRNazanin"/>
          <w:color w:val="111111"/>
          <w:sz w:val="28"/>
          <w:szCs w:val="28"/>
          <w:rtl w:val="true"/>
          <w:lang w:bidi="fa-IR"/>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3" w:name="__RefHeading___Toc9531087_73709187"/>
      <w:bookmarkStart w:id="884" w:name="_Toc346"/>
      <w:bookmarkEnd w:id="883"/>
      <w:r>
        <w:rPr>
          <w:rtl w:val="true"/>
        </w:rPr>
        <w:t>الثانی</w:t>
      </w:r>
      <w:r>
        <w:rPr>
          <w:rtl w:val="true"/>
        </w:rPr>
        <w:t xml:space="preserve">: </w:t>
      </w:r>
      <w:r>
        <w:rPr>
          <w:rtl w:val="true"/>
        </w:rPr>
        <w:t>وجوب حفظ النظام</w:t>
      </w:r>
      <w:bookmarkEnd w:id="88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حفظ النظام واجب</w:t>
      </w:r>
      <w:r>
        <w:rPr>
          <w:rStyle w:val="FootnoteAnchor"/>
          <w:rtl w:val="true"/>
        </w:rPr>
        <w:footnoteReference w:id="1628"/>
      </w:r>
      <w:r>
        <w:rPr>
          <w:rFonts w:ascii="IRNazanin" w:hAnsi="IRNazanin" w:eastAsia="IRNazanin"/>
          <w:color w:val="111111"/>
          <w:sz w:val="28"/>
          <w:sz w:val="28"/>
          <w:szCs w:val="28"/>
          <w:rtl w:val="true"/>
          <w:lang w:bidi="fa-IR"/>
        </w:rPr>
        <w:t>و القدر المتیقّن للقیام به هو الحاکم، و لا ریب فی أنّ إهمال الأطفال الذین لا ولیّ لهم یؤدّی إلی انحرافهم و اختلال النظام تدریجاً؛ لأنّهم سوف ینشأ نشأة منحرفة، و ذلک لسوء تربیتهم، و حیث إنّ فساد المجتمع بفساد أفراده، ممّا یؤثّر سلباً فی انحلال المجتمع و شیوع الفساد فیه؛ لوجود</w:t>
      </w:r>
      <w:bookmarkStart w:id="885" w:name="pg11754_113135"/>
    </w:p>
    <w:p>
      <w:pPr>
        <w:pStyle w:val="BookText"/>
        <w:rPr/>
      </w:pPr>
      <w:bookmarkEnd w:id="885"/>
      <w:r>
        <w:rPr>
          <w:rFonts w:ascii="IRNazanin" w:hAnsi="IRNazanin" w:eastAsia="IRNazanin"/>
          <w:color w:val="111111"/>
          <w:sz w:val="28"/>
          <w:sz w:val="28"/>
          <w:szCs w:val="28"/>
          <w:rtl w:val="true"/>
          <w:lang w:bidi="fa-IR"/>
        </w:rPr>
        <w:t>هؤلاء الأفراد الّذین لا قیّم علیهم و لا ولیّ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الحاکم الإسلامی تربیة الأیتام و تعلیمهم، صوناً للمجتمع من الانحراف و الفساد</w:t>
      </w:r>
      <w:r>
        <w:rPr>
          <w:rFonts w:eastAsia="IRNazanin" w:cs="IRNazanin"/>
          <w:color w:val="111111"/>
          <w:sz w:val="28"/>
          <w:szCs w:val="28"/>
          <w:rtl w:val="true"/>
          <w:lang w:bidi="fa-IR"/>
        </w:rPr>
        <w:t>.</w:t>
      </w:r>
    </w:p>
    <w:p>
      <w:pPr>
        <w:pStyle w:val="Heading6"/>
        <w:numPr>
          <w:ilvl w:val="5"/>
          <w:numId w:val="1"/>
        </w:numPr>
        <w:rPr/>
      </w:pPr>
      <w:bookmarkStart w:id="886" w:name="__RefHeading___Toc9531089_73709187"/>
      <w:bookmarkStart w:id="887" w:name="_Toc347"/>
      <w:bookmarkEnd w:id="886"/>
      <w:r>
        <w:rPr>
          <w:rtl w:val="true"/>
        </w:rPr>
        <w:t>الثالث</w:t>
      </w:r>
      <w:r>
        <w:rPr>
          <w:rtl w:val="true"/>
        </w:rPr>
        <w:t xml:space="preserve">: </w:t>
      </w:r>
      <w:r>
        <w:rPr>
          <w:rtl w:val="true"/>
        </w:rPr>
        <w:t>الأولویّة القطعیّة</w:t>
      </w:r>
      <w:bookmarkEnd w:id="887"/>
    </w:p>
    <w:p>
      <w:pPr>
        <w:pStyle w:val="BookText"/>
        <w:rPr/>
      </w:pPr>
      <w:r>
        <w:rPr>
          <w:rFonts w:ascii="IRNazanin" w:hAnsi="IRNazanin" w:eastAsia="IRNazanin"/>
          <w:color w:val="111111"/>
          <w:sz w:val="28"/>
          <w:sz w:val="28"/>
          <w:szCs w:val="28"/>
          <w:rtl w:val="true"/>
          <w:lang w:bidi="fa-IR"/>
        </w:rPr>
        <w:t>و تقریرها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دلّت آیات من الکتاب و روایات علی ولایة الحاکم علی أموال الأیتام و تزویجهم، کما تقدّم التحقیق فیها مفصّلاً</w:t>
      </w:r>
      <w:r>
        <w:rPr>
          <w:rStyle w:val="FootnoteAnchor"/>
          <w:rtl w:val="true"/>
        </w:rPr>
        <w:footnoteReference w:id="1629"/>
      </w:r>
      <w:r>
        <w:rPr>
          <w:rFonts w:ascii="IRNazanin" w:hAnsi="IRNazanin" w:eastAsia="IRNazanin"/>
          <w:color w:val="111111"/>
          <w:sz w:val="28"/>
          <w:sz w:val="28"/>
          <w:szCs w:val="28"/>
          <w:rtl w:val="true"/>
          <w:lang w:bidi="fa-IR"/>
        </w:rPr>
        <w:t>،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فیها إجماعیّ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الأدلّة تدلّ علی أنّ للحاکم الولایة علی تربیة الأیتام و تعلیمهم بطریق أولی، فعلی نحو المثال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بالتقریب المتقدّم</w:t>
      </w:r>
      <w:r>
        <w:rPr>
          <w:rStyle w:val="FootnoteAnchor"/>
          <w:rtl w:val="true"/>
        </w:rPr>
        <w:footnoteReference w:id="1630"/>
      </w:r>
      <w:r>
        <w:rPr>
          <w:rFonts w:ascii="IRNazanin" w:hAnsi="IRNazanin" w:eastAsia="IRNazanin"/>
          <w:color w:val="111111"/>
          <w:sz w:val="28"/>
          <w:sz w:val="28"/>
          <w:szCs w:val="28"/>
          <w:rtl w:val="true"/>
          <w:lang w:bidi="fa-IR"/>
        </w:rPr>
        <w:t>تدلّ علی ولایة الحاکم علی أموال الأیتام و جواز تصرّفه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للحاکم التصرّف فی أموال الأیتام بحکم هذه الآیة، جاز له أن یلی امور تربیتهم و تعلیمهم بطریق أولی؛ لأنّ تربیتهم أشدّ تأثیراً فی إصلاح دینهم و دنیاهم من حفظ أموالهم، و ترکها یوجب ضرراً علیهم أکثر من تلف أموالهم، کما لا یخفی</w:t>
      </w:r>
      <w:r>
        <w:rPr>
          <w:rFonts w:eastAsia="IRNazanin" w:cs="IRNazanin"/>
          <w:color w:val="111111"/>
          <w:sz w:val="28"/>
          <w:szCs w:val="28"/>
          <w:rtl w:val="true"/>
          <w:lang w:bidi="fa-IR"/>
        </w:rPr>
        <w:t>.</w:t>
      </w:r>
    </w:p>
    <w:p>
      <w:pPr>
        <w:pStyle w:val="Heading6"/>
        <w:numPr>
          <w:ilvl w:val="5"/>
          <w:numId w:val="1"/>
        </w:numPr>
        <w:rPr/>
      </w:pPr>
      <w:bookmarkStart w:id="888" w:name="__RefHeading___Toc9531091_73709187"/>
      <w:bookmarkStart w:id="889" w:name="_Toc348"/>
      <w:bookmarkEnd w:id="888"/>
      <w:r>
        <w:rPr>
          <w:rtl w:val="true"/>
        </w:rPr>
        <w:t>الرابع</w:t>
      </w:r>
      <w:r>
        <w:rPr>
          <w:rtl w:val="true"/>
        </w:rPr>
        <w:t xml:space="preserve">: </w:t>
      </w:r>
      <w:r>
        <w:rPr>
          <w:rtl w:val="true"/>
        </w:rPr>
        <w:t>إطلاق بعض الروایات أو عمومه</w:t>
      </w:r>
      <w:bookmarkEnd w:id="88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إطلاق الروایات أو 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بیان أوصاف الفقیه، المعبّر عنه بالحاکم، ککونه ورثة الأنبیاء، و أمین الرسول، و خلیفته، و حصن</w:t>
      </w:r>
    </w:p>
    <w:p>
      <w:pPr>
        <w:pStyle w:val="BookText"/>
        <w:rPr/>
      </w:pPr>
      <w:r>
        <w:rPr>
          <w:rFonts w:ascii="IRNazanin" w:hAnsi="IRNazanin" w:eastAsia="IRNazanin"/>
          <w:color w:val="111111"/>
          <w:sz w:val="28"/>
          <w:sz w:val="28"/>
          <w:szCs w:val="28"/>
          <w:rtl w:val="true"/>
          <w:lang w:bidi="fa-IR"/>
        </w:rPr>
        <w:t xml:space="preserve">الإسلام، و مثل الأنبیاء و بمنزلتهم، و الحاکم، و القاضی، و الحجّة من قبل الإمام، و أنّه المرجع فی جمیع الحوادث، و أنّ علی یده مجاری الاُمور، و الأحکام، و غیرها التی تقدّم ذکرها فی مباحثنا المتقدّمة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للفقیه ولایة عامّة</w:t>
      </w:r>
      <w:r>
        <w:rPr>
          <w:rStyle w:val="FootnoteAnchor"/>
          <w:rtl w:val="true"/>
        </w:rPr>
        <w:footnoteReference w:id="1632"/>
      </w:r>
      <w:r>
        <w:rPr>
          <w:rFonts w:ascii="IRNazanin" w:hAnsi="IRNazanin" w:eastAsia="IRNazanin"/>
          <w:color w:val="111111"/>
          <w:sz w:val="28"/>
          <w:sz w:val="28"/>
          <w:szCs w:val="28"/>
          <w:rtl w:val="true"/>
          <w:lang w:bidi="fa-IR"/>
        </w:rPr>
        <w:t>التی منها ولایته علی تربیة الأیتام و تعلیمهم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فی العوائد بداهة دلالتها علی نحو العامّ، و لا یضرّ بها ضعف سند بعضها مع کثرتها و صحّة بعضها،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النصوص الواردة فی حقّ الأوصیاء المعصومین المستدلّ بها فی مقامات إثبات الولایة و الإمامة المتضمّنین لولایة جمیع ما للنبیّ فیه الولایة، لیس متضمّناً لأکثر من ذلک، سیّما بعد انضمام ما ورد فی حقّهم أنّهم خیر خلق اللّه بعد الأئمّة، و أفضل الناس بعد النبیّین، و فضلهم علی الناس کفضل اللّه علی کلّ شیء، و کفضل الرسول علی أدنی الرعیّة</w:t>
      </w:r>
      <w:r>
        <w:rPr>
          <w:rFonts w:eastAsia="IRNazanin" w:cs="IRNazanin"/>
          <w:color w:val="111111"/>
          <w:sz w:val="28"/>
          <w:szCs w:val="28"/>
          <w:rtl w:val="true"/>
          <w:lang w:bidi="fa-IR"/>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و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المنساق من إطلاق الخلفاء و الاُمناء و الحجّة و الرجوع فی الحوادث الواقعة إنّما هو التنزیل منزلة النفس من کلّ جهة إلاّ ما خرج بالدلیل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الفطرة تحکم بأنّه إذا انقطع ید الرئیس عن رعیّته ظاهراً و جعل شخصاً نائباً منابه تعمّ النیابة جمیع ما للرئیس من الجهات و المناصب إلاّ ما دلّ الدلیل علی التخصیص و الخروج</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نحو المثال مفاد قوله علیه السلام فی مقبولة عمر بن حنظلة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w:t>
      </w:r>
    </w:p>
    <w:p>
      <w:pPr>
        <w:pStyle w:val="BookText"/>
        <w:rPr/>
      </w:pPr>
      <w:r>
        <w:rPr>
          <w:rFonts w:ascii="IRNazanin" w:hAnsi="IRNazanin" w:eastAsia="IRNazanin"/>
          <w:color w:val="111111"/>
          <w:sz w:val="28"/>
          <w:sz w:val="28"/>
          <w:szCs w:val="28"/>
          <w:rtl w:val="true"/>
          <w:lang w:bidi="fa-IR"/>
        </w:rPr>
        <w:t>علیکم حاکماً</w:t>
      </w:r>
      <w:r>
        <w:rPr>
          <w:rFonts w:eastAsia="IRNazanin" w:cs="IRNazanin"/>
          <w:color w:val="111111"/>
          <w:sz w:val="28"/>
          <w:szCs w:val="28"/>
          <w:rtl w:val="true"/>
          <w:lang w:bidi="fa-IR"/>
        </w:rPr>
        <w:t>»</w:t>
      </w:r>
      <w:r>
        <w:rPr>
          <w:rStyle w:val="FootnoteAnchor"/>
          <w:rtl w:val="true"/>
        </w:rPr>
        <w:footnoteReference w:id="1636"/>
      </w:r>
      <w:r>
        <w:rPr>
          <w:rFonts w:ascii="IRNazanin" w:hAnsi="IRNazanin" w:eastAsia="IRNazanin"/>
          <w:color w:val="111111"/>
          <w:sz w:val="28"/>
          <w:sz w:val="28"/>
          <w:szCs w:val="28"/>
          <w:rtl w:val="true"/>
          <w:lang w:bidi="fa-IR"/>
        </w:rPr>
        <w:t>یقتضی أن یتکفّل الفقیه جمیع الاُمور التی یرجع فیها إلی الحکّام فی العرف، کأخذ الحقّ من المماطل، و التصرّف فی مال الأیتام، و نصب القیّم لهم، و حفظهم عمّا یضرّ بهم فی دینهم أو دنیاهم، و ما شاکل ذلک، و لا نعنی بالولایة علی التربیة و التعلیم إلاّ ذلک، و مثله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قاضیاً</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فی روایة أبی خدیجة التی عبّر بعضهم عنها بالمعتبرة</w:t>
      </w:r>
      <w:r>
        <w:rPr>
          <w:rStyle w:val="FootnoteAnchor"/>
          <w:rtl w:val="true"/>
        </w:rPr>
        <w:footnoteReference w:id="1638"/>
      </w:r>
      <w:r>
        <w:rPr>
          <w:rFonts w:ascii="IRNazanin" w:hAnsi="IRNazanin" w:eastAsia="IRNazanin"/>
          <w:color w:val="111111"/>
          <w:sz w:val="28"/>
          <w:sz w:val="28"/>
          <w:szCs w:val="28"/>
          <w:rtl w:val="true"/>
          <w:lang w:bidi="fa-IR"/>
        </w:rPr>
        <w:t>؛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القضاوة بمنزلة دخالة القاضی فی الاُمور التی لا بدّ من وقوعها خارجاً، و تربیة الأیتام کان من الاُمور التی یلزم تحقّقها، و لا بدّ من تصدّی شخص معیّن له، و لا یکون ذلک غیر الحاکم؛ لأنّ المفروض فی المقام أنّه لا یکون للیتیم ولیّ أو وصیّ غیره، فالقدر المتیقّن من جعل القضاوة دخالته فی هذه الاُمور، و هو یلزم ولایته، إلاّ أن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وردت فی الترافع و القضاء و أنّ قضاءه و حکمه نافذ لا یجوز نقضه، فالتعدّی عنه إلی مثل الولایة علی تربیة الیتیم یحتاج إلی دلیل</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تربیة الأیتام من مناصب القضاء و وظائفهم،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عموم</w:t>
      </w:r>
    </w:p>
    <w:p>
      <w:pPr>
        <w:pStyle w:val="BookText"/>
        <w:rPr/>
      </w:pPr>
      <w:r>
        <w:rPr>
          <w:rFonts w:ascii="IRNazanin" w:hAnsi="IRNazanin" w:eastAsia="IRNazanin"/>
          <w:color w:val="111111"/>
          <w:sz w:val="28"/>
          <w:sz w:val="28"/>
          <w:szCs w:val="28"/>
          <w:rtl w:val="true"/>
          <w:lang w:bidi="fa-IR"/>
        </w:rPr>
        <w:t>ما روی عن النبیّ صلی الله علیه و آله فی کتب الفریقین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التی تقدّمت فی أبحاثنا السابقة</w:t>
      </w:r>
      <w:r>
        <w:rPr>
          <w:rStyle w:val="FootnoteAnchor"/>
          <w:rtl w:val="true"/>
        </w:rPr>
        <w:footnoteReference w:id="1641"/>
      </w:r>
      <w:bookmarkStart w:id="890" w:name="pg11754_113138"/>
    </w:p>
    <w:p>
      <w:pPr>
        <w:pStyle w:val="Heading6"/>
        <w:numPr>
          <w:ilvl w:val="5"/>
          <w:numId w:val="1"/>
        </w:numPr>
        <w:rPr/>
      </w:pPr>
      <w:bookmarkStart w:id="891" w:name="__RefHeading___Toc9531093_73709187"/>
      <w:bookmarkStart w:id="892" w:name="_Toc349"/>
      <w:bookmarkEnd w:id="890"/>
      <w:bookmarkEnd w:id="891"/>
      <w:r>
        <w:rPr>
          <w:rtl w:val="true"/>
        </w:rPr>
        <w:t>الخامس</w:t>
      </w:r>
      <w:r>
        <w:rPr>
          <w:rtl w:val="true"/>
        </w:rPr>
        <w:t xml:space="preserve">: </w:t>
      </w:r>
      <w:r>
        <w:rPr>
          <w:rtl w:val="true"/>
        </w:rPr>
        <w:t>عموم الروایات الواردة فی هدایة الأیتام و الجهّال</w:t>
      </w:r>
      <w:bookmarkEnd w:id="892"/>
    </w:p>
    <w:p>
      <w:pPr>
        <w:pStyle w:val="BookText"/>
        <w:rPr/>
      </w:pPr>
      <w:r>
        <w:rPr>
          <w:rFonts w:ascii="IRNazanin" w:hAnsi="IRNazanin" w:eastAsia="IRNazanin"/>
          <w:color w:val="111111"/>
          <w:sz w:val="28"/>
          <w:sz w:val="28"/>
          <w:szCs w:val="28"/>
          <w:rtl w:val="true"/>
          <w:lang w:bidi="fa-IR"/>
        </w:rPr>
        <w:t xml:space="preserve">وردت روایات تدلّ علی اهتمام الأئمّة علیهم السلام بهدایة الناس و الجهّال منهم عموماً و الأیتام خاصّة یستفاد منها أیضاً ولایة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تربیة الصغار و تعلیمهم، و هی کثیرة نذکر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ورد عن أبی محمّد العسکری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من شیعتنا عالماً بشریعتنا، و أخرج ضعفاء شیعتنا من ظلمة جهلهم إلی نور العلم الذی حبوناه به، جاء یوم القیامة و علی رأسه تاج من نور یضیء لأهل جمیع العرصات، و علیه حلّة لا یقوّم</w:t>
      </w:r>
      <w:r>
        <w:rPr>
          <w:rStyle w:val="FootnoteAnchor"/>
          <w:rtl w:val="true"/>
        </w:rPr>
        <w:footnoteReference w:id="1642"/>
      </w:r>
      <w:r>
        <w:rPr>
          <w:rFonts w:ascii="IRNazanin" w:hAnsi="IRNazanin" w:eastAsia="IRNazanin"/>
          <w:color w:val="111111"/>
          <w:sz w:val="28"/>
          <w:sz w:val="28"/>
          <w:szCs w:val="28"/>
          <w:rtl w:val="true"/>
          <w:lang w:bidi="fa-IR"/>
        </w:rPr>
        <w:t>لأقل سلک منها الدنیا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هذا عالم من بعض تلامذة آل محمّد علیهم السلام، ألا فمن أخرجه فی الدنیا من حیرة جهله فلیتشبّث بنوره؛ لیخرجه من حیرة ظلمة هذه العرصات إلی نزه الجنان، فیخرج کلّ من کان علّمه فی الدنیا خیراً، أو فتح عن قلبه من الجهل قفلاً، أو أوضح له عن شبهة</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ورد عنه علیه السلام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کافل یتیم آل محمّد المنقطع عن موالیه، الناشب فی تیه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یخرجه من جهله، و یوضّح له ما اشتبه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فضل کافل یتیم یطعمه و یسقیه، کفضل الشمس علی السهی</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کفل لنا یتیماً</w:t>
      </w:r>
    </w:p>
    <w:p>
      <w:pPr>
        <w:pStyle w:val="BookText"/>
        <w:rPr/>
      </w:pPr>
      <w:r>
        <w:rPr>
          <w:rFonts w:ascii="Amiri" w:hAnsi="Amiri" w:eastAsia="Amiri" w:cs="Amiri"/>
          <w:color w:val="111111"/>
          <w:sz w:val="28"/>
          <w:sz w:val="28"/>
          <w:szCs w:val="28"/>
          <w:rtl w:val="true"/>
          <w:lang w:bidi="ar-SA"/>
        </w:rPr>
        <w:t>قطعته عنّا محبّتنا</w:t>
      </w:r>
      <w:r>
        <w:rPr>
          <w:rStyle w:val="FootnoteAnchor"/>
          <w:rtl w:val="true"/>
        </w:rPr>
        <w:footnoteReference w:id="1645"/>
      </w:r>
      <w:r>
        <w:rPr>
          <w:rFonts w:ascii="IRNazanin" w:hAnsi="IRNazanin" w:eastAsia="IRNazanin"/>
          <w:color w:val="111111"/>
          <w:sz w:val="28"/>
          <w:sz w:val="28"/>
          <w:szCs w:val="28"/>
          <w:rtl w:val="true"/>
          <w:lang w:bidi="fa-IR"/>
        </w:rPr>
        <w:t>باستتارنا، فواساه من علومنا التی سقطت إلیه حتّی أرشده و هداه،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 الکریم المواسی أنا أولی بالکرم، اجعلوا له یا ملائکتی فی الجنان بعدد کلّ حرف علّمه ألف ألف قصر، و ضمّوا إلیها ما یلیق بها من سائر النعم</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عن محبّتنا باستتارنا؛ أی کان سبب قطعه عنّا أنّا أحببنا الاستتار عنه 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محنتنا</w:t>
      </w:r>
      <w:r>
        <w:rPr>
          <w:rStyle w:val="FootnoteAnchor"/>
          <w:rtl w:val="true"/>
        </w:rPr>
        <w:footnoteReference w:id="1647"/>
      </w:r>
      <w:r>
        <w:rPr>
          <w:rFonts w:ascii="IRNazanin" w:hAnsi="IRNazanin" w:eastAsia="IRNazanin"/>
          <w:color w:val="111111"/>
          <w:sz w:val="28"/>
          <w:sz w:val="28"/>
          <w:szCs w:val="28"/>
          <w:rtl w:val="true"/>
          <w:lang w:bidi="fa-IR"/>
        </w:rPr>
        <w:t>بالنون، و هو أظهر</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رواه فی معانی الأخبار و العلل عن عبد المؤمن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یروون أنّ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امّتی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اختلافهم رحمة فاجتماعهم عذاب؟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حیث تذهب و ذهبوا، إنّما أراد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649"/>
      </w:r>
      <w:r>
        <w:rPr>
          <w:rFonts w:ascii="IRNazanin" w:hAnsi="IRNazanin" w:eastAsia="IRNazanin"/>
          <w:color w:val="111111"/>
          <w:sz w:val="28"/>
          <w:sz w:val="28"/>
          <w:szCs w:val="28"/>
          <w:rtl w:val="true"/>
          <w:lang w:bidi="fa-IR"/>
        </w:rPr>
        <w:t>فأمرهم أن ینفروا إلی رسول اللّه صلی الله علیه و آله فیتعلّموا ثمّ یرجعوا إلی قومهم فیعلّموهم، إنّما أراد اختلافهم من البلدان لا اختلافاً فی دین اللّه، إنّما الدین واحد، إنّما الدین واحد</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فعموم التعلیم یشمل الأیتام و الصغار الذین لا ولیّ لهم، و هو ظاهر، و لکن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غضّ البصر عن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بإثبات ولایة الحاکم علی تعلیم الأیتام فقط، إلاّ أن نقول بوحدة الملاک فی التعلیم و التربیة، و لا بُعد فیه</w:t>
      </w:r>
      <w:r>
        <w:rPr>
          <w:rFonts w:eastAsia="IRNazanin" w:cs="IRNazanin"/>
          <w:color w:val="111111"/>
          <w:sz w:val="28"/>
          <w:szCs w:val="28"/>
          <w:rtl w:val="true"/>
          <w:lang w:bidi="fa-IR"/>
        </w:rPr>
        <w:t>.</w:t>
      </w:r>
      <w:bookmarkStart w:id="893" w:name="pg11754_113140"/>
    </w:p>
    <w:p>
      <w:pPr>
        <w:pStyle w:val="Heading6"/>
        <w:numPr>
          <w:ilvl w:val="5"/>
          <w:numId w:val="1"/>
        </w:numPr>
        <w:rPr/>
      </w:pPr>
      <w:bookmarkStart w:id="894" w:name="__RefHeading___Toc9531095_73709187"/>
      <w:bookmarkStart w:id="895" w:name="_Toc350"/>
      <w:bookmarkEnd w:id="893"/>
      <w:bookmarkEnd w:id="894"/>
      <w:r>
        <w:rPr>
          <w:rtl w:val="true"/>
        </w:rPr>
        <w:t>السادس</w:t>
      </w:r>
      <w:r>
        <w:rPr>
          <w:rtl w:val="true"/>
        </w:rPr>
        <w:t xml:space="preserve">: </w:t>
      </w:r>
      <w:r>
        <w:rPr>
          <w:rtl w:val="true"/>
        </w:rPr>
        <w:t>عموم قاعدة الإحسان</w:t>
      </w:r>
      <w:bookmarkEnd w:id="895"/>
    </w:p>
    <w:p>
      <w:pPr>
        <w:pStyle w:val="BookText"/>
        <w:rPr/>
      </w:pP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تربیة الأیتام و تعلیمهم إحسان إلیهم؛ لأنّها تدفع عنهم الضرر و تجلب لهم المنفعة، و یشملها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6"/>
        <w:numPr>
          <w:ilvl w:val="5"/>
          <w:numId w:val="1"/>
        </w:numPr>
        <w:rPr/>
      </w:pPr>
      <w:bookmarkStart w:id="896" w:name="__RefHeading___Toc9531097_73709187"/>
      <w:bookmarkStart w:id="897" w:name="_Toc351"/>
      <w:bookmarkEnd w:id="896"/>
      <w:r>
        <w:rPr>
          <w:rtl w:val="true"/>
        </w:rPr>
        <w:t>السابع</w:t>
      </w:r>
      <w:r>
        <w:rPr>
          <w:rtl w:val="true"/>
        </w:rPr>
        <w:t xml:space="preserve">: </w:t>
      </w:r>
      <w:r>
        <w:rPr>
          <w:rtl w:val="true"/>
        </w:rPr>
        <w:t>أدلّة وجوب حضانة اللقیط‌</w:t>
      </w:r>
      <w:bookmarkEnd w:id="897"/>
    </w:p>
    <w:p>
      <w:pPr>
        <w:pStyle w:val="BookText"/>
        <w:rPr/>
      </w:pPr>
      <w:r>
        <w:rPr>
          <w:rFonts w:ascii="Amiri" w:hAnsi="Amiri" w:eastAsia="Amiri" w:cs="Amiri"/>
          <w:color w:val="111111"/>
          <w:sz w:val="28"/>
          <w:sz w:val="28"/>
          <w:szCs w:val="28"/>
          <w:rtl w:val="true"/>
          <w:lang w:bidi="ar-SA"/>
        </w:rPr>
        <w:t>الأدلّة المتقدّمة</w:t>
      </w:r>
      <w:r>
        <w:rPr>
          <w:rStyle w:val="FootnoteAnchor"/>
          <w:rtl w:val="true"/>
        </w:rPr>
        <w:footnoteReference w:id="1652"/>
      </w:r>
      <w:r>
        <w:rPr>
          <w:rFonts w:ascii="IRNazanin" w:hAnsi="IRNazanin" w:eastAsia="IRNazanin"/>
          <w:color w:val="111111"/>
          <w:sz w:val="28"/>
          <w:sz w:val="28"/>
          <w:szCs w:val="28"/>
          <w:rtl w:val="true"/>
          <w:lang w:bidi="fa-IR"/>
        </w:rPr>
        <w:t xml:space="preserve">التی تدلّ علی وجوب حضانة اللقیط علی الملتقط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الملتقط حاکماً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تربیة الأیتام و الصغار الذین لا کافل لهم فی مفروض البحث، و القدر المتیقّن منه الحاکم</w:t>
      </w:r>
      <w:r>
        <w:rPr>
          <w:rFonts w:eastAsia="IRNazanin" w:cs="IRNazanin"/>
          <w:color w:val="111111"/>
          <w:sz w:val="28"/>
          <w:szCs w:val="28"/>
          <w:rtl w:val="true"/>
          <w:lang w:bidi="fa-IR"/>
        </w:rPr>
        <w:t>.</w:t>
      </w:r>
    </w:p>
    <w:p>
      <w:pPr>
        <w:pStyle w:val="Heading6"/>
        <w:numPr>
          <w:ilvl w:val="5"/>
          <w:numId w:val="1"/>
        </w:numPr>
        <w:rPr/>
      </w:pPr>
      <w:bookmarkStart w:id="898" w:name="__RefHeading___Toc9531099_73709187"/>
      <w:bookmarkStart w:id="899" w:name="_Toc352"/>
      <w:bookmarkEnd w:id="898"/>
      <w:r>
        <w:rPr>
          <w:rtl w:val="true"/>
        </w:rPr>
        <w:t>الثامن</w:t>
      </w:r>
      <w:r>
        <w:rPr>
          <w:rtl w:val="true"/>
        </w:rPr>
        <w:t xml:space="preserve">: </w:t>
      </w:r>
      <w:r>
        <w:rPr>
          <w:rtl w:val="true"/>
        </w:rPr>
        <w:t>سیرة المتشرّعة</w:t>
      </w:r>
      <w:bookmarkEnd w:id="899"/>
    </w:p>
    <w:p>
      <w:pPr>
        <w:pStyle w:val="Heading6"/>
        <w:numPr>
          <w:ilvl w:val="5"/>
          <w:numId w:val="1"/>
        </w:numPr>
        <w:rPr/>
      </w:pPr>
      <w:bookmarkStart w:id="900" w:name="__RefHeading___Toc9531101_73709187"/>
      <w:bookmarkStart w:id="901" w:name="_Toc353"/>
      <w:bookmarkEnd w:id="900"/>
      <w:r>
        <w:rPr>
          <w:rtl w:val="true"/>
        </w:rPr>
        <w:t>التاسع</w:t>
      </w:r>
      <w:r>
        <w:rPr>
          <w:rtl w:val="true"/>
        </w:rPr>
        <w:t xml:space="preserve">: </w:t>
      </w:r>
      <w:r>
        <w:rPr>
          <w:rtl w:val="true"/>
        </w:rPr>
        <w:t>القاعدة الثابتة من بعض الأخبار و مذاق الشریعة</w:t>
      </w:r>
      <w:bookmarkEnd w:id="90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تقریر هذین الدلیلین فی الأدلّة التی تدلّ علی ولایة الحاکم علی أموال الأیتام</w:t>
      </w:r>
      <w:r>
        <w:rPr>
          <w:rStyle w:val="FootnoteAnchor"/>
          <w:rtl w:val="true"/>
        </w:rPr>
        <w:footnoteReference w:id="1653"/>
      </w:r>
      <w:r>
        <w:rPr>
          <w:rFonts w:ascii="IRNazanin" w:hAnsi="IRNazanin" w:eastAsia="IRNazanin"/>
          <w:color w:val="111111"/>
          <w:sz w:val="28"/>
          <w:sz w:val="28"/>
          <w:szCs w:val="28"/>
          <w:rtl w:val="true"/>
          <w:lang w:bidi="fa-IR"/>
        </w:rPr>
        <w:t>، و حاصله أنّ تربیة الأیتام من الاُمور التی لا بدّ من الإتیان بها و لا یرضی الشارع بترکها؛ لأنّه یستلزم تضییع حقوقهم و فساد عقیدتهم، و المفروض عدم وجود ولیّ للأیتام، و أنّ ولایة الحاکم علی تربیتهم من مرتکزات المتشرّعة، و تدلّ علیها أیضاً القاعدة التی تستفاد من بعض الأخبار؛ من أنّ الصغیر یحتاج إلی التربیة و التعلیم، و أنّ الحاکم هو المنصوب من قبل الشارع لحفظه و حفظ أمواله، و کذلک تربیته و تعلیمه بما لا بدّ منه</w:t>
      </w:r>
      <w:r>
        <w:rPr>
          <w:rFonts w:eastAsia="IRNazanin" w:cs="IRNazanin"/>
          <w:color w:val="111111"/>
          <w:sz w:val="28"/>
          <w:szCs w:val="28"/>
          <w:rtl w:val="true"/>
          <w:lang w:bidi="fa-IR"/>
        </w:rPr>
        <w:t>.</w:t>
      </w:r>
      <w:bookmarkStart w:id="902" w:name="pg11754_113141"/>
    </w:p>
    <w:p>
      <w:pPr>
        <w:pStyle w:val="Heading6"/>
        <w:numPr>
          <w:ilvl w:val="5"/>
          <w:numId w:val="1"/>
        </w:numPr>
        <w:rPr/>
      </w:pPr>
      <w:bookmarkStart w:id="903" w:name="__RefHeading___Toc9531103_73709187"/>
      <w:bookmarkStart w:id="904" w:name="_Toc354"/>
      <w:bookmarkEnd w:id="902"/>
      <w:bookmarkEnd w:id="903"/>
      <w:r>
        <w:rPr>
          <w:rtl w:val="true"/>
        </w:rPr>
        <w:t>العاشر</w:t>
      </w:r>
      <w:r>
        <w:rPr>
          <w:rtl w:val="true"/>
        </w:rPr>
        <w:t xml:space="preserve">: </w:t>
      </w:r>
      <w:r>
        <w:rPr>
          <w:rtl w:val="true"/>
        </w:rPr>
        <w:t>الإجماع</w:t>
      </w:r>
      <w:bookmarkEnd w:id="904"/>
    </w:p>
    <w:p>
      <w:p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بولایة الحاکم فی کلّ ما له فی الشرع مدخلیة حکماً أو موضوعاً، و عدم اختصاص ولایته فی بیان الأحکام الشرعیّة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تحصیل الإجماع علیه من الفقهاء؛ فإنّهم لا یزالون یذکرون ولایته فی مقامات عدیدة لا دلیل علیها سوی الإطلاق الذی ذکرناه، المؤیّد بمسیس الحاجة إلی ذلک أشدّ من مسیسها فی الأحکام الشرعیّة</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5" w:name="__RefHeading___Toc9531105_73709187"/>
      <w:bookmarkStart w:id="906" w:name="_Toc355"/>
      <w:bookmarkEnd w:id="905"/>
      <w:r>
        <w:rPr>
          <w:rtl w:val="true"/>
        </w:rPr>
        <w:t>الحادی عشر</w:t>
      </w:r>
      <w:r>
        <w:rPr>
          <w:rtl w:val="true"/>
        </w:rPr>
        <w:t xml:space="preserve">: </w:t>
      </w:r>
      <w:r>
        <w:rPr>
          <w:rtl w:val="true"/>
        </w:rPr>
        <w:t>إثباتها من باب ولایة الحسبة</w:t>
      </w:r>
      <w:bookmarkEnd w:id="906"/>
    </w:p>
    <w:p>
      <w:pPr>
        <w:pStyle w:val="BookText"/>
        <w:rPr/>
      </w:pPr>
      <w:r>
        <w:rPr>
          <w:rFonts w:ascii="IRNazanin" w:hAnsi="IRNazanin" w:eastAsia="IRNazanin"/>
          <w:color w:val="111111"/>
          <w:sz w:val="28"/>
          <w:sz w:val="28"/>
          <w:szCs w:val="28"/>
          <w:rtl w:val="true"/>
          <w:lang w:bidi="fa-IR"/>
        </w:rPr>
        <w:t>مع الغضّ عن بعض هذه الأدلّة و عدم قبولها یمکن إثبات ولایة الحاکم علی تربیة الأیتام و الذین لم یکن لهم ولیّ، و تعلیمهم من باب ولایة الحسبة التی هی مقبولة عند الکلّ، و تقدّم تقریرها أیضاً فی باب أدلّة ولایة الحاکم علی تزویج الأیتام</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9531107_73709187"/>
      <w:bookmarkStart w:id="908" w:name="_Toc356"/>
      <w:bookmarkEnd w:id="907"/>
      <w:r>
        <w:rPr>
          <w:rtl w:val="true"/>
        </w:rPr>
        <w:t>مشروطیّة ولایة الحاکم بفقد الأبوین</w:t>
      </w:r>
      <w:bookmarkEnd w:id="908"/>
    </w:p>
    <w:p>
      <w:pPr>
        <w:pStyle w:val="BookText"/>
        <w:rPr/>
      </w:pPr>
      <w:r>
        <w:rPr>
          <w:rFonts w:ascii="IRNazanin" w:hAnsi="IRNazanin" w:eastAsia="IRNazanin"/>
          <w:color w:val="111111"/>
          <w:sz w:val="28"/>
          <w:sz w:val="28"/>
          <w:szCs w:val="28"/>
          <w:rtl w:val="true"/>
          <w:lang w:bidi="fa-IR"/>
        </w:rPr>
        <w:t>قد صرّح الفقهاء فی ولایة الحاکم علی تزویج الصغار و أموالهم</w:t>
      </w:r>
      <w:r>
        <w:rPr>
          <w:rStyle w:val="FootnoteAnchor"/>
          <w:rtl w:val="true"/>
        </w:rPr>
        <w:footnoteReference w:id="1656"/>
      </w:r>
      <w:r>
        <w:rPr>
          <w:rFonts w:ascii="IRNazanin" w:hAnsi="IRNazanin" w:eastAsia="IRNazanin"/>
          <w:color w:val="111111"/>
          <w:sz w:val="28"/>
          <w:sz w:val="28"/>
          <w:szCs w:val="28"/>
          <w:rtl w:val="true"/>
          <w:lang w:bidi="fa-IR"/>
        </w:rPr>
        <w:t>بأنّ ولایته مشروطة بفقد الأبوین و الوصیّ لهما، و ادّعی بعضهم أنّه لا خلاف فیه، و لا إشکال</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یستفاد من کلماتهم فی المقام أیضاً کذلک و إن لم نجد من صرّح به،</w:t>
      </w:r>
    </w:p>
    <w:p>
      <w:pPr>
        <w:pStyle w:val="BookText"/>
        <w:rPr/>
      </w:pPr>
      <w:r>
        <w:rPr>
          <w:rFonts w:ascii="IRNazanin" w:hAnsi="IRNazanin" w:eastAsia="IRNazanin"/>
          <w:color w:val="111111"/>
          <w:sz w:val="28"/>
          <w:sz w:val="28"/>
          <w:szCs w:val="28"/>
          <w:rtl w:val="true"/>
          <w:lang w:bidi="fa-IR"/>
        </w:rPr>
        <w:t>حیث إنّهم حکموا بجواز تصرّف الحاکم و تولّیه أمر الصغار فی موارد لم یکن لهم ولیّ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لهذا الحکم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لأنّ الولایة تکون علی خلاف الأصل، فیُکتفی فیها بالقدر المتیقّن؛ و هو موضع فقد الأبوین، و أمّا مع وجودهما فنشکّ فیها 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الفقیه 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موارد تشخیص الولایة فی غیر المتیقّن منها فی هذه الأزمان مشکل جدّاً، فلا بدّ من التأمّل التامّ</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النصوص، کصحیحة إسماعیل بن بزیع المتقدّمة</w:t>
      </w:r>
      <w:r>
        <w:rPr>
          <w:rStyle w:val="FootnoteAnchor"/>
          <w:rtl w:val="true"/>
        </w:rPr>
        <w:footnoteReference w:id="1659"/>
      </w:r>
      <w:r>
        <w:rPr>
          <w:rFonts w:ascii="IRNazanin" w:hAnsi="IRNazanin" w:eastAsia="IRNazanin"/>
          <w:color w:val="111111"/>
          <w:sz w:val="28"/>
          <w:sz w:val="28"/>
          <w:szCs w:val="28"/>
          <w:rtl w:val="true"/>
          <w:lang w:bidi="fa-IR"/>
        </w:rPr>
        <w:t xml:space="preserve">، حیث إنّ المفروض فیها صورة فقدان الأب و الجدّ، و حکم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قرّرناه فی البحث عن ولایة الحاکم علی أموال الأیتام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ولایة الحاکم فی مفروض السؤال، و الظاهر أنّه لا تفاوت بین ولایته علی أموال الصغار، و علی تربیتهم و تعلیمهم؛ لوحدة الملاک، علی هذا یمکن أن یستفاد من هذه الصحیحة أنّ ولایة الحاکم علی تربیة الصغار و تعلیمهم مشروط بفقد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صحیحة علی بن رئاب المتقدّمة</w:t>
      </w:r>
      <w:r>
        <w:rPr>
          <w:rStyle w:val="FootnoteAnchor"/>
          <w:rtl w:val="true"/>
        </w:rPr>
        <w:footnoteReference w:id="1660"/>
      </w:r>
      <w:r>
        <w:rPr>
          <w:rFonts w:ascii="IRNazanin" w:hAnsi="IRNazanin" w:eastAsia="IRNazanin"/>
          <w:color w:val="111111"/>
          <w:sz w:val="28"/>
          <w:sz w:val="28"/>
          <w:szCs w:val="28"/>
          <w:rtl w:val="true"/>
          <w:lang w:bidi="fa-IR"/>
        </w:rPr>
        <w:t>، لأنّه تدلّ علی ثبوت الولایة لغیر الأب و الوصیّ له و الجدّ، حیث انتفت هذه الثلاثة فی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ما ورد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العوائد فی البحث عن ولایة الفقیه علی أموال الأیتام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هذه الولایة ثابتة مطلقاً، أو بعد انتفاء الأب و الجدّ و الوصیّ؟ الظاهر عدم الخلاف فی</w:t>
      </w:r>
      <w:bookmarkStart w:id="909" w:name="pg11754_113143"/>
    </w:p>
    <w:p>
      <w:pPr>
        <w:pStyle w:val="BookText"/>
        <w:rPr/>
      </w:pPr>
      <w:bookmarkEnd w:id="909"/>
      <w:r>
        <w:rPr>
          <w:rFonts w:ascii="IRNazanin" w:hAnsi="IRNazanin" w:eastAsia="IRNazanin"/>
          <w:color w:val="111111"/>
          <w:sz w:val="28"/>
          <w:sz w:val="28"/>
          <w:szCs w:val="28"/>
          <w:rtl w:val="true"/>
          <w:lang w:bidi="fa-IR"/>
        </w:rPr>
        <w:t>الترتیب، و أنّها مخصوصة بصورة انتفاء هؤلاء، و لم یثبت من الأدلّة أزید من ذلک</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استندنا لإثبات ولایة الحاکم فی المقام علی ما تدلّ علی إطلاق ولایته،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بید العلماء الاُمناء باللّه علی حلاله و حرامه</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فیثبت ولایته فی المقام مطلقاً حتّی فی صورة وجود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استندنا إلی الأدلّة الخاصّة المتقدّمة، فیستفاد منها أنّ ولایته منوطة بفقد الأب و الجدّ و الوصیّ منهما، و حیث إنّ الولایة علی خلاف الأصل، و الأدلّة العامّة لا تصحّ أکثرها سنداً، فیکتفی بالقدر المتیقّن؛ و هو صورة فقد الأب و الجدّ، و اللّه هو العالم بحکمه</w:t>
      </w:r>
      <w:r>
        <w:rPr>
          <w:rFonts w:eastAsia="IRNazanin" w:cs="IRNazanin"/>
          <w:color w:val="111111"/>
          <w:sz w:val="28"/>
          <w:szCs w:val="28"/>
          <w:rtl w:val="true"/>
          <w:lang w:bidi="fa-IR"/>
        </w:rPr>
        <w:t>.</w:t>
      </w:r>
    </w:p>
    <w:p>
      <w:pPr>
        <w:pStyle w:val="Heading5"/>
        <w:numPr>
          <w:ilvl w:val="4"/>
          <w:numId w:val="1"/>
        </w:numPr>
        <w:rPr/>
      </w:pPr>
      <w:bookmarkStart w:id="910" w:name="__RefHeading___Toc9531109_73709187"/>
      <w:bookmarkStart w:id="911" w:name="_Toc357"/>
      <w:bookmarkEnd w:id="910"/>
      <w:r>
        <w:rPr>
          <w:rtl w:val="true"/>
        </w:rPr>
        <w:t>وجوب تربیة الصغار علی الحاکم</w:t>
      </w:r>
      <w:bookmarkEnd w:id="9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المتقدّمة و إن اختلف مفادها من حیث دلالتها علی جواز تصرّف الحاکم فی أمر تربیة الصغار أو وجوبها علیه، إلاّ أنّه یمکن أن یدّعی دلالتها فی الجملة علی أنّه یجب علی الحاکم بمثل ما یجب علی الأب و الجدّ؛ بمعنی أنّه یجب علیه تربیة الأیتام و الصغار الذین لهم أولیاء، و لکن لم یقوموا بأمر تربیتهم، و لم یمکن إجبارهم علی ذلک أو لم یقدروا علی تربیة أولادهم؛ سواء حصلت عدم القدرة علیها من حیث ضعفهم فی العقل و العلم؛ لکونهم من السفهاء أو المجانین، أو فی المال</w:t>
      </w:r>
      <w:bookmarkStart w:id="912" w:name="pg11754_113144"/>
    </w:p>
    <w:p>
      <w:pPr>
        <w:pStyle w:val="BookText"/>
        <w:rPr/>
      </w:pPr>
      <w:bookmarkEnd w:id="912"/>
      <w:r>
        <w:rPr>
          <w:rFonts w:ascii="IRNazanin" w:hAnsi="IRNazanin" w:eastAsia="IRNazanin"/>
          <w:color w:val="111111"/>
          <w:sz w:val="28"/>
          <w:sz w:val="28"/>
          <w:szCs w:val="28"/>
          <w:rtl w:val="true"/>
          <w:lang w:bidi="fa-IR"/>
        </w:rPr>
        <w:t>ککونهم من الفقراء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الحاکم الإسلامی تخصیص قسم من بیت المال لتأسیس مراکز عامّة للتعلیم و التربیة حتّی یسهل أمر تربیة الأطفال و تعلیمهم، و کذا یجب علیه تحصیل مقدّماتها، کتعیین أفراد خبراء حال کونهم عالمین صادقین من أهل الدین و الورع و الاعتقادات الصحیحة، حتّی یقوموا بتربیة الأطفال علی نحو یتخلّقوا بالأخلاق الإسلامیّة، و یبلغوا مؤمنین هادیین إلی الصراط المستقیم، ذوی اعتقادات صحیحة مبنیّة علی أساس ما أکّده الشارع المقدّس علی تعلیمها لأبناء المسلمین، و لا یجوز أن یتصدّی لها من لم یکن له اعتقاد صحیح، و لم یعتنِ بالمسائل الشرعیّة، خوفاً أن یربّی الأطفال تربیة فاسدة و اعتقادات باطلة، أعاذ اللّه أطفالنا من شرور الخلق و سیِّئات أعمالهم</w:t>
      </w:r>
      <w:r>
        <w:rPr>
          <w:rFonts w:eastAsia="IRNazanin" w:cs="IRNazanin"/>
          <w:color w:val="111111"/>
          <w:sz w:val="28"/>
          <w:szCs w:val="28"/>
          <w:rtl w:val="true"/>
          <w:lang w:bidi="fa-IR"/>
        </w:rPr>
        <w:t>.</w:t>
      </w:r>
    </w:p>
    <w:p>
      <w:pPr>
        <w:pStyle w:val="Heading5"/>
        <w:numPr>
          <w:ilvl w:val="4"/>
          <w:numId w:val="1"/>
        </w:numPr>
        <w:rPr/>
      </w:pPr>
      <w:bookmarkStart w:id="913" w:name="__RefHeading___Toc9531111_73709187"/>
      <w:bookmarkStart w:id="914" w:name="_Toc358"/>
      <w:bookmarkEnd w:id="913"/>
      <w:r>
        <w:rPr>
          <w:rtl w:val="true"/>
        </w:rPr>
        <w:t>ولایة عدول المؤمنین علی تربیة الأیتام</w:t>
      </w:r>
      <w:bookmarkEnd w:id="914"/>
    </w:p>
    <w:p>
      <w:pPr>
        <w:pStyle w:val="BookText"/>
        <w:rPr/>
      </w:pPr>
      <w:r>
        <w:rPr>
          <w:rFonts w:ascii="IRNazanin" w:hAnsi="IRNazanin" w:eastAsia="IRNazanin"/>
          <w:color w:val="111111"/>
          <w:sz w:val="28"/>
          <w:sz w:val="28"/>
          <w:szCs w:val="28"/>
          <w:rtl w:val="true"/>
          <w:lang w:bidi="fa-IR"/>
        </w:rPr>
        <w:t xml:space="preserve">یدلّ علی ولایة عدول المؤمنین علی تربیة الأیتام و تعلیمهم ما تقدّم من ولایتهم علی أموال الأیتام؛ لعدم الفرق بین البابین، بل یدلّ علی ولایتهم فی المقام بطریق أولی؛ لأنّ تربیتهم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تأثیراً فی إصلاح دینهم و دنیاهم من حفظ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أشبعنا التحقیق حولها فی الباب الرابع</w:t>
      </w:r>
      <w:r>
        <w:rPr>
          <w:rStyle w:val="FootnoteAnchor"/>
          <w:rtl w:val="true"/>
        </w:rPr>
        <w:footnoteReference w:id="1665"/>
      </w:r>
      <w:r>
        <w:rPr>
          <w:rFonts w:ascii="IRNazanin" w:hAnsi="IRNazanin" w:eastAsia="IRNazanin"/>
          <w:color w:val="111111"/>
          <w:sz w:val="28"/>
          <w:sz w:val="28"/>
          <w:szCs w:val="28"/>
          <w:rtl w:val="true"/>
          <w:lang w:bidi="fa-IR"/>
        </w:rPr>
        <w:t>، فلا نعیدها خوفاً من التطویل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تدلّ علی ولایتهم فی المقام بعض الأدلّة المتقدّمة التی أقمناها علی ولایة الحاکم علی تربیة الأیتام، کدلیل وجوب حفظ النظام؛ لأجل أنّ القدر المتیقّن للعمل بهذا الوجوب فی صورة فقد الحاکم العدول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الحسبة، حیث إنّ</w:t>
      </w:r>
    </w:p>
    <w:p>
      <w:pPr>
        <w:pStyle w:val="BookText"/>
        <w:rPr/>
      </w:pPr>
      <w:r>
        <w:rPr>
          <w:rFonts w:ascii="IRNazanin" w:hAnsi="IRNazanin" w:eastAsia="IRNazanin"/>
          <w:color w:val="111111"/>
          <w:sz w:val="28"/>
          <w:sz w:val="28"/>
          <w:szCs w:val="28"/>
          <w:rtl w:val="true"/>
          <w:lang w:bidi="fa-IR"/>
        </w:rPr>
        <w:t>الشارع لا یرضی بترک تربیتهم، و هی کالنفقة لهم بل أولی منها، فیجب إنجازها، و القدر المتیقّن بعد الحاکم هو المؤمن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یمکن إثبات ولایتهم استناداً لبعض الأدلّة التی أقمناها لإثبات ولایة الآباء و الأجداد علیهم،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کذا الآیات التی تدلّ علی مطلق الإحسان،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دلالتها علی الاستحباب بنحو العام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أنّ کثیراً من موارد التعلیم و التربیة مستحبّ، و لم یکن للأیتام ولیّ، کما أنّه لم یکن فی البین حاکم، فیتوجّه الخطاب إلی الغیر، و القدر المتیقّن منه هو المؤمن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التربیة و التعلیم الذی یوجب الانحراف و فساد الأطفال یعدّ فی العرف إعانة علی الإثم، فالإهمال فیها حرام، و فعلها واجب، و القدر المتیقّن للعمل بهذا الوجوب فی مفروض البحث هو المؤمن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التربیة و التعلیم للأطفال الذین لا ولیّ لهم تکون إحساناً إلیهم؛ لأنّه یوجب جلب المنفعة لهم و رفع الضرر عنهم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یمکن إثبات ولایتهم علی تربیة الأیتام من أدلّة وجوب الأمر بالمعروف و النهی عن المنکر؛ إذ لا یشترط فی المأمور و المنهی أن یکون عالماً بالمعصیة، فینکر علی المتلبّس بالمعصیة بصورة تعریفه أنّها معصیة و نهیه عنها، و کذا المتناول للمعصیة؛ فإنّه ینکر علیه کالبغاة؛ لأنّ المعتبر ملابسته لمفسدة واجبة</w:t>
      </w:r>
      <w:bookmarkStart w:id="915" w:name="pg11754_113146"/>
    </w:p>
    <w:p>
      <w:pPr>
        <w:pStyle w:val="BookText"/>
        <w:rPr/>
      </w:pPr>
      <w:bookmarkEnd w:id="915"/>
      <w:r>
        <w:rPr>
          <w:rFonts w:ascii="IRNazanin" w:hAnsi="IRNazanin" w:eastAsia="IRNazanin"/>
          <w:color w:val="111111"/>
          <w:sz w:val="28"/>
          <w:sz w:val="28"/>
          <w:szCs w:val="28"/>
          <w:rtl w:val="true"/>
          <w:lang w:bidi="fa-IR"/>
        </w:rPr>
        <w:t>الدفع، أو تارکاً لمصلحة واجبة الحصول، و قد کان المتلبّسون غیر عالمین بذلک، کتأدیب الصبیان و المجانین؛ فإنّهم یؤدّبون حال کونهم لا معصیة فی حقّهم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التربیة و التعلیم واجب الحصول للأطفال، فیجب من باب الأمر بالمعروف و النهی عن المنکر، و حیث لم یکن ولیّ و لا حاکم، فیتوجّه الخطاب إلی المؤمن العادل؛ لأنّه تصرّف و ولایة علی الأطفال، و الأصل عدمها إلاّ ما خرج بالدلیل، و القدر المتیقّن الذی خرج من هذا الأصل فی صورة فقد الولیّ و الحاکم هو المؤمن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ولایتهم علی تربیة الأطفال ما اشترط فی ولایتهم علی الأموال؛ من وجوب رعایة المصلحة، و فقد الحاکم، و تعذّر الاستئذان منه، و قد تقدّم البحث عنها فی ولایتهم علی الأموال فلا نعیدها</w:t>
      </w:r>
      <w:r>
        <w:rPr>
          <w:rStyle w:val="FootnoteAnchor"/>
          <w:rtl w:val="true"/>
        </w:rPr>
        <w:footnoteReference w:id="1668"/>
      </w:r>
      <w:r>
        <w:rPr>
          <w:rFonts w:ascii="IRNazanin" w:hAnsi="IRNazanin" w:eastAsia="IRNazanin"/>
          <w:color w:val="111111"/>
          <w:sz w:val="28"/>
          <w:sz w:val="28"/>
          <w:szCs w:val="28"/>
          <w:rtl w:val="true"/>
          <w:lang w:bidi="fa-IR"/>
        </w:rPr>
        <w:t>، قال 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الترتیب من ضروریات فقه الإمامیّة</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9531113_73709187"/>
      <w:bookmarkStart w:id="917" w:name="_Toc359"/>
      <w:bookmarkEnd w:id="916"/>
      <w:r>
        <w:rPr>
          <w:rtl w:val="true"/>
        </w:rPr>
        <w:t>تربیة الأولاد و تعلیمهم عند أهل السنّة</w:t>
      </w:r>
      <w:bookmarkEnd w:id="917"/>
    </w:p>
    <w:p>
      <w:pPr>
        <w:pStyle w:val="Heading6"/>
        <w:numPr>
          <w:ilvl w:val="5"/>
          <w:numId w:val="1"/>
        </w:numPr>
        <w:rPr/>
      </w:pPr>
      <w:bookmarkStart w:id="918" w:name="__RefHeading___Toc9531115_73709187"/>
      <w:bookmarkStart w:id="919" w:name="_Toc360"/>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یستفاد من کلمات فقهاء المذاهب الأربعة فی أبواب مختلفة أنّه یجب علی الوالدین تربیة أولادهم و تعلیمهم فی الاُمور المهمّة التی کانت فیها مصلحة مُلزمة للطفل، و کذا یجب علیهم منعهم عمّا یضرّهم، و عن کلّ ما لا یرضی الشارع بوقوعه فی الخارج و لو من غیر المکلّفین، و یستحبّ تربیتهم فی غیر ذلک، کتعلیمهم آداب المعاشرة و الحرف و الصنائع و ما یصلح به معاشهم و غیرها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الباحثین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أهمّ الحقوق الواجبة للولد علی والدیه،</w:t>
      </w:r>
      <w:bookmarkStart w:id="920" w:name="pg11754_113147"/>
    </w:p>
    <w:p>
      <w:pPr>
        <w:pStyle w:val="BookText"/>
        <w:rPr/>
      </w:pPr>
      <w:bookmarkEnd w:id="920"/>
      <w:r>
        <w:rPr>
          <w:rFonts w:ascii="IRNazanin" w:hAnsi="IRNazanin" w:eastAsia="IRNazanin"/>
          <w:color w:val="111111"/>
          <w:sz w:val="28"/>
          <w:sz w:val="28"/>
          <w:szCs w:val="28"/>
          <w:rtl w:val="true"/>
          <w:lang w:bidi="fa-IR"/>
        </w:rPr>
        <w:t>حقّ التربیة و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کانت عنایة الإسلام کبیرة فی توجیه الأطفال و العنایة بتربیتهم و تهذیب سلوکهم، و قد أکّد علماء التربیة المسلمین علی ضرورة الاهتمام بهذه الناحیة عند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الوالدین أن یسبقا إلی فطرته السلیمة بالخیر، و یوجّهانه التوجیه السلیم الذی ینطبع فی فؤاده و یؤثّر علیه طوال حیاته</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أحکام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الوالدین یقومان بتعلیم أولادهم الذکور و الإناث أحکام الدین و معانی الإسلام التی یحتاجونها، إن کان الوالدان یعرفانها و یقدران علی تفهیمها لأولادهما، فإن لم یعرفا ذلک، أو لا یقدران علی تفهیمهما لأولادهما فعلیهما الاستعانة بأهل العلم؛ بأن یرسلا أولادهما إلی المکاتب، أو إلی أهل العلم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یعدم الوالدان عادة المعرفة بأرکان الإسلام، و بأُصول الإیمان، و بکیفیّة الوضوء و الصلاة، فعلیهما أن یقوما بأنفسهما بتعلیم أولادهم هذه الاُمور</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نذکر شطراً من کلمات فقهائهم التی ترتبط بالمقام</w:t>
      </w:r>
      <w:r>
        <w:rPr>
          <w:rFonts w:eastAsia="IRNazanin" w:cs="IRNazanin"/>
          <w:color w:val="111111"/>
          <w:sz w:val="28"/>
          <w:szCs w:val="28"/>
          <w:rtl w:val="true"/>
          <w:lang w:bidi="fa-IR"/>
        </w:rPr>
        <w:t>:</w:t>
      </w:r>
    </w:p>
    <w:p>
      <w:pPr>
        <w:pStyle w:val="Heading6"/>
        <w:numPr>
          <w:ilvl w:val="5"/>
          <w:numId w:val="1"/>
        </w:numPr>
        <w:rPr/>
      </w:pPr>
      <w:bookmarkStart w:id="921" w:name="__RefHeading___Toc9531117_73709187"/>
      <w:bookmarkStart w:id="922" w:name="_Toc361"/>
      <w:bookmarkEnd w:id="921"/>
      <w:r>
        <w:rPr>
          <w:rtl w:val="true"/>
        </w:rPr>
        <w:t>أ</w:t>
      </w:r>
      <w:r>
        <w:rPr>
          <w:rtl w:val="true"/>
        </w:rPr>
        <w:t xml:space="preserve">: </w:t>
      </w:r>
      <w:r>
        <w:rPr>
          <w:rtl w:val="true"/>
        </w:rPr>
        <w:t>الشافعیة</w:t>
      </w:r>
      <w:bookmarkEnd w:id="9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یؤمر أحد ممّن لا یجب علیه فعل الصلاة بفعلها إلاّ الصبیّ؛ فإنّه یؤمر بفعلها لسبع، و یضرب علی ترکها لعشر؛ لما روی سمرة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الصبیّ الصلاة لسبع سنین، و اضربوه علیها</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ابن عشر</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مغنی المحتاج</w:t>
      </w:r>
      <w:r>
        <w:rPr>
          <w:rStyle w:val="FootnoteAnchor"/>
          <w:rtl w:val="true"/>
        </w:rPr>
        <w:footnoteReference w:id="1674"/>
      </w:r>
      <w:r>
        <w:rPr>
          <w:rFonts w:ascii="IRNazanin" w:hAnsi="IRNazanin" w:eastAsia="IRNazanin"/>
          <w:color w:val="111111"/>
          <w:sz w:val="28"/>
          <w:sz w:val="28"/>
          <w:szCs w:val="28"/>
          <w:rtl w:val="true"/>
          <w:lang w:bidi="fa-IR"/>
        </w:rPr>
        <w:t>، و نهایة المحتاج</w:t>
      </w:r>
      <w:r>
        <w:rPr>
          <w:rStyle w:val="FootnoteAnchor"/>
          <w:rtl w:val="true"/>
        </w:rPr>
        <w:footnoteReference w:id="1675"/>
      </w:r>
      <w:r>
        <w:rPr>
          <w:rFonts w:ascii="Amiri" w:hAnsi="Amiri" w:eastAsia="Amiri" w:cs="Amiri"/>
          <w:color w:val="111111"/>
          <w:sz w:val="28"/>
          <w:sz w:val="28"/>
          <w:szCs w:val="28"/>
          <w:rtl w:val="true"/>
          <w:lang w:bidi="ar-SA"/>
        </w:rPr>
        <w:t>، و مثل ذلک فی الاُمّ‌</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النووی فی شرح کلام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اقتصر المصنّف علی الصبیّ، و لو قال الصبیّ و الصبیّة لکان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الأمر و الضرب واجب علی الولی؛ سواء کان أباً أو جدّاً أو وصیّاً أو قیّماً من جهة القاضی، صرّح به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الآباء و الاُمّهات أن یؤدّبوا أولادهم، و یعلّموهم الطهارة و الصلاة، و یضربوهم علی ذلک إذا عقلوا،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یأمره الولیّ بحضور الصلوات فی الجماعة، و بالسواک و سائر الوظائف الدینیّة، و یعرّفه تحریم الزنا و اللواط و الخمر و الکذب و الغیبة و شبهها، 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الآباء و الاُمّهات تعلیم أولادهم الطهارة و الصلاة 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اجرة تعلیم الفرائض فی مال الصبیّ، فإن لم یکن له مال فعلی الأب، فإن لم یکن فعلی الاُمّ</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فی موضع آخر هذا الکلام عن الشافعی و الأصحاب، و أضاف بأنّ علی الولیّ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أنّ بالبلوغ یدخل فی التکلیف و یعرّفه ما یبلغ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التعلیم مستحبّ، و الصحیح وجوبه، و هو ظاهر نصّه، و کما یجب علیه النظر فی ماله،</w:t>
      </w:r>
      <w:bookmarkStart w:id="923" w:name="pg11754_113149"/>
    </w:p>
    <w:p>
      <w:pPr>
        <w:pStyle w:val="BookText"/>
        <w:rPr/>
      </w:pPr>
      <w:bookmarkEnd w:id="923"/>
      <w:r>
        <w:rPr>
          <w:rFonts w:ascii="IRNazanin" w:hAnsi="IRNazanin" w:eastAsia="IRNazanin"/>
          <w:color w:val="111111"/>
          <w:sz w:val="28"/>
          <w:sz w:val="28"/>
          <w:szCs w:val="28"/>
          <w:rtl w:val="true"/>
          <w:lang w:bidi="fa-IR"/>
        </w:rPr>
        <w:t>و هذا أولی، و إنّما المستحبّ ما زاد علی هذا من تعلیم القرآن وفقه و أدب، و یعرّفه ما یصلح به معاشه</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4" w:name="__RefHeading___Toc9531119_73709187"/>
      <w:bookmarkStart w:id="925" w:name="_Toc362"/>
      <w:bookmarkEnd w:id="924"/>
      <w:r>
        <w:rPr>
          <w:rtl w:val="true"/>
        </w:rPr>
        <w:t>ب</w:t>
      </w:r>
      <w:r>
        <w:rPr>
          <w:rtl w:val="true"/>
        </w:rPr>
        <w:t xml:space="preserve">: </w:t>
      </w:r>
      <w:r>
        <w:rPr>
          <w:rtl w:val="true"/>
        </w:rPr>
        <w:t>الحنابلة</w:t>
      </w:r>
      <w:bookmarkEnd w:id="925"/>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تجب علی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یؤمر بها للسبع، و یضرب علیها لعشر لیتمرّن و یعتادها، فلا یترکها عند بلوغه</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المرداوی فی الإنصاف</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غایة المرام، و أضاف بأنّ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أولادکم بالصلاة</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 لیس أمراً منه صلی الله علیه و آله للصبیّ، و إنّما هو أمر للولیّ، فأوجب علی الولیّ أن یأمر الصبیّ</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 ولیّ الصبیّ أن یعلّمه الطهارة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التأدیب المشروع فی حقّ الصبیّ لتمرینه علی الصلاة کی یألفها و یعتادها و لا یترکها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کالضرب علی تعلّم الخطّ و القرآن و الصناعة و أشباهها</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البهوتی فی کشف القناع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یلزم الولیّ تعلیم الصلاة و تعلیم الطهارة نصّاً؛ لأنّه لا یمکنه فعل الصلاة إلاّ إذا علمها، فإذا علمها احتاج إلی العلم بالطهارة لیتمکّن منها، فإن احتاج إلی اجرة فمن مال الصغیر، فإن لم یکن له فعلی من تلزمه</w:t>
      </w:r>
      <w:bookmarkStart w:id="926" w:name="pg11754_113150"/>
    </w:p>
    <w:p>
      <w:pPr>
        <w:pStyle w:val="BookText"/>
        <w:rPr/>
      </w:pPr>
      <w:bookmarkEnd w:id="926"/>
      <w:r>
        <w:rPr>
          <w:rFonts w:ascii="IRNazanin" w:hAnsi="IRNazanin" w:eastAsia="IRNazanin"/>
          <w:color w:val="111111"/>
          <w:sz w:val="28"/>
          <w:sz w:val="28"/>
          <w:szCs w:val="28"/>
          <w:rtl w:val="true"/>
          <w:lang w:bidi="fa-IR"/>
        </w:rPr>
        <w:t>نفقته، و کذا إصلاح ماله و کفّه عن المفاسد، و کذلک ذکر النووی فی شرح المهذّب الصیام و نحوه و یعرّف تحریم الزنا، و اللواط، و السرقة، و شرب المسکر، و الکذب، و الغیبة و نحوها، و یعرف أنّه بالبلوغ یدخل فی التکلیف و یعرّفه ما یبلغ به</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7" w:name="__RefHeading___Toc9531121_73709187"/>
      <w:bookmarkStart w:id="928" w:name="_Toc363"/>
      <w:bookmarkEnd w:id="927"/>
      <w:r>
        <w:rPr>
          <w:rtl w:val="true"/>
        </w:rPr>
        <w:t>ج</w:t>
      </w:r>
      <w:r>
        <w:rPr>
          <w:rtl w:val="true"/>
        </w:rPr>
        <w:t xml:space="preserve">: </w:t>
      </w:r>
      <w:r>
        <w:rPr>
          <w:rtl w:val="true"/>
        </w:rPr>
        <w:t>الحنفیّة</w:t>
      </w:r>
      <w:bookmarkEnd w:id="928"/>
    </w:p>
    <w:p>
      <w:pPr>
        <w:pStyle w:val="BookText"/>
        <w:rPr/>
      </w:pPr>
      <w:r>
        <w:rPr>
          <w:rFonts w:ascii="IRNazanin" w:hAnsi="IRNazanin" w:eastAsia="IRNazanin"/>
          <w:color w:val="111111"/>
          <w:sz w:val="28"/>
          <w:sz w:val="28"/>
          <w:szCs w:val="28"/>
          <w:rtl w:val="true"/>
          <w:lang w:bidi="fa-IR"/>
        </w:rPr>
        <w:t>قال فی الدرّ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بالصوم و الصلاة و ینهی عن شرب الخمر لیألف الخیر و یترک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ابن عابدین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یفترض علی غیر المکلّف و إن وجب علی ولیّه، و ذلک لیتخلّق بفعلهما و یعتاده، لا لافتراضها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الحدیث أنّ الأمر لابن سبع واجب کالضرب</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الکاسانی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وقت الحضانة و أنّها لا تنتهی إلاّ بالبلوغ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الغلام یحتاج إلی التأدیب و التخلّق بأخلاق الرجال، و تحصیل أنواع الفضائل، و اکتساب أسباب العلوم، و الأب علی ذلک أقوم و أقدر، مع ما أنّه لو ترک فی یدها لتخلّق بأخلاق النساء و تعوّد بشمائلهنّ، و فیه ضرر</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الحضانة واجبة یستفاد منه وجوب قیام الأب بالاُمور المذکورة للولد و ما هی إلاّ تربیته بها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 أنّ الحضانة تشمل التربیة، فکما أنّ الحضانة واجبة کذلک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هذا من کلمات کثیر منهم</w:t>
      </w:r>
      <w:r>
        <w:rPr>
          <w:rStyle w:val="FootnoteAnchor"/>
          <w:rtl w:val="true"/>
        </w:rPr>
        <w:footnoteReference w:id="1687"/>
      </w:r>
      <w:bookmarkStart w:id="929" w:name="pg11754_113151"/>
    </w:p>
    <w:p>
      <w:pPr>
        <w:pStyle w:val="Heading6"/>
        <w:numPr>
          <w:ilvl w:val="5"/>
          <w:numId w:val="1"/>
        </w:numPr>
        <w:rPr/>
      </w:pPr>
      <w:bookmarkStart w:id="930" w:name="__RefHeading___Toc9531123_73709187"/>
      <w:bookmarkStart w:id="931" w:name="_Toc364"/>
      <w:bookmarkEnd w:id="929"/>
      <w:bookmarkEnd w:id="930"/>
      <w:r>
        <w:rPr>
          <w:rtl w:val="true"/>
        </w:rPr>
        <w:t>د</w:t>
      </w:r>
      <w:r>
        <w:rPr>
          <w:rtl w:val="true"/>
        </w:rPr>
        <w:t xml:space="preserve">: </w:t>
      </w:r>
      <w:r>
        <w:rPr>
          <w:rtl w:val="true"/>
        </w:rPr>
        <w:t>المالکیّة</w:t>
      </w:r>
      <w:bookmarkEnd w:id="931"/>
    </w:p>
    <w:p>
      <w:pPr>
        <w:pStyle w:val="BookText"/>
        <w:rPr/>
      </w:pPr>
      <w:r>
        <w:rPr>
          <w:rFonts w:ascii="IRNazanin" w:hAnsi="IRNazanin" w:eastAsia="IRNazanin"/>
          <w:color w:val="111111"/>
          <w:sz w:val="28"/>
          <w:sz w:val="28"/>
          <w:szCs w:val="28"/>
          <w:rtl w:val="true"/>
          <w:lang w:bidi="fa-IR"/>
        </w:rPr>
        <w:t>ففی المدوّنة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الصبیان بالصلاة إذا أثغروا، 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الصبیان بالصلاة سبع سنین، و اضربوهم علیها لعشر سنین</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و کذا فی تبیین المسالک، و أضاف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موجّهٌ إلی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 علیهم البلوغ، و قد تمکّن ذلک من قلوبهم و سکنت إلیه أنفسهم، و أنست بما یعملون به من ذلک جوارحهم</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مواهب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المأمور بذلک الصبیان أو الأولیاء؟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بذلک الأولیاء، و أنّ الصبیّ لا یخاطب بندب و لا بغیره،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بذلک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ثواب له و لا هو مخاطب بندب و لا بغیره، بل المخاطب الولیّ، و أمر الصبیّ بالعبادات علی سبیل الإصلاح کریاضة الدابّة</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شبه هذا فی حاشیة الخرشی</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سنذکر نظرهم فی الاُمور التی یستحبّ للأولیاء تربیة الأطفال و تعلیمهم بها فی الفصل الثالث من هذا الباب إن شاء اللّه</w:t>
      </w:r>
      <w:r>
        <w:rPr>
          <w:rFonts w:eastAsia="IRNazanin" w:cs="IRNazanin"/>
          <w:color w:val="111111"/>
          <w:sz w:val="28"/>
          <w:szCs w:val="28"/>
          <w:rtl w:val="true"/>
          <w:lang w:bidi="fa-IR"/>
        </w:rPr>
        <w:t>.</w:t>
      </w:r>
    </w:p>
    <w:p>
      <w:pPr>
        <w:pStyle w:val="Heading5"/>
        <w:numPr>
          <w:ilvl w:val="4"/>
          <w:numId w:val="1"/>
        </w:numPr>
        <w:rPr/>
      </w:pPr>
      <w:bookmarkStart w:id="932" w:name="__RefHeading___Toc9531125_73709187"/>
      <w:bookmarkStart w:id="933" w:name="_Toc365"/>
      <w:bookmarkEnd w:id="932"/>
      <w:r>
        <w:rPr>
          <w:rtl w:val="true"/>
        </w:rPr>
        <w:t>ولایة الحاکم علی تربیة الأیتام عندهم</w:t>
      </w:r>
      <w:bookmarkEnd w:id="93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یتعرّض فقهاء أهل السنّة أیضاً کالشیعة لولایة الحاکم علی تربیة الأیتام و الأطفال الذین لم یکن لهم ولیّ بخصوصها، إلاّ أنّه یستفاد من کلماتهم فی باب</w:t>
      </w:r>
    </w:p>
    <w:p>
      <w:pPr>
        <w:pStyle w:val="BookText"/>
        <w:rPr/>
      </w:pPr>
      <w:r>
        <w:rPr>
          <w:rFonts w:ascii="IRNazanin" w:hAnsi="IRNazanin" w:eastAsia="IRNazanin"/>
          <w:color w:val="111111"/>
          <w:sz w:val="28"/>
          <w:sz w:val="28"/>
          <w:szCs w:val="28"/>
          <w:rtl w:val="true"/>
          <w:lang w:bidi="fa-IR"/>
        </w:rPr>
        <w:t>الحضانة و غیرها أنّهم متّفقون علی أنّ للحاکم ولایة علیها و یجب علیه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المرداوی فی 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للرجال من ذوی الأرحام حقّ الحضانة؟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لهم فی الحضانة، و ینتقل إلی الحاکم، جزم به فی الوجیز، و هو ظاهر ما جزم به فی العمدة</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الحضانة عندهم</w:t>
      </w:r>
      <w:r>
        <w:rPr>
          <w:rStyle w:val="FootnoteAnchor"/>
          <w:rtl w:val="true"/>
        </w:rPr>
        <w:footnoteReference w:id="1695"/>
      </w:r>
      <w:r>
        <w:rPr>
          <w:rFonts w:ascii="IRNazanin" w:hAnsi="IRNazanin" w:eastAsia="IRNazanin"/>
          <w:color w:val="111111"/>
          <w:sz w:val="28"/>
          <w:sz w:val="28"/>
          <w:szCs w:val="28"/>
          <w:rtl w:val="true"/>
          <w:lang w:bidi="fa-IR"/>
        </w:rPr>
        <w:t>تشمل التربیة بالمعنی المقصود فی المقام، فیستفاد من کلامه أنّ للحاکم ولایة علی تربیة الصغیر إذا لم یکن له أبوان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ولایة الإمامة، فسببها الإمامة، و ولایة الإمامة نوعان أیضاً کولایة القرابة، و شرطها ما هو شرط تلک الولایة فی النوعین جمیعاً، و لها شرطان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النوعین جمیعاً؛ و هو أن لا یکون هناک ولیّ أصلاً؛ 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Style w:val="FootnoteAnchor"/>
          <w:rtl w:val="true"/>
        </w:rPr>
        <w:footnoteReference w:id="1696"/>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الحاکم ولیّاً للأیتام و یجب علیه تربیتهم؛ لأنّ المفروض أنّه لا ولیّ لهم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الفقه الإسلامی و أدلّته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أهل العلم فی أنّ للسلطان ولایة تزویج المرأة عند عدم أولیائها أو عضلهم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أو الحاکم</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الأمر الاهتمام بأمر الرعیّة</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شکّ فی أنّ تربیة الأطفال تکون من أهمّ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ترک أحد الأبوین تعلیم الصبیّ و أمره الذی أوجبه اللّه علیه، فهو عاص و لا ولایة له علیه، بل کلّ من لم یقم بالواجب فی ولایته فلا ولایة له، بل إمّا أن یرفع یده عن الولایة و یقام مقامه من یفعل الواجب، و إمّا أن یضمّ إلیه من یقوم معه بالواجب</w:t>
      </w:r>
      <w:r>
        <w:rPr>
          <w:rFonts w:eastAsia="IRNazanin" w:cs="IRNazanin"/>
          <w:color w:val="111111"/>
          <w:sz w:val="28"/>
          <w:szCs w:val="28"/>
          <w:rtl w:val="true"/>
          <w:lang w:bidi="fa-IR"/>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یرفع ید الولیّ إذا ترک تعلیم الصبیّ و یقوم مقامه من یفعل الواجب أو یضمّ إلیه من یقوم بالواجب هو الحاکم، کما لا یخفی</w:t>
      </w:r>
      <w:r>
        <w:rPr>
          <w:rFonts w:eastAsia="IRNazanin" w:cs="IRNazanin"/>
          <w:color w:val="111111"/>
          <w:sz w:val="28"/>
          <w:szCs w:val="28"/>
          <w:rtl w:val="true"/>
          <w:lang w:bidi="fa-IR"/>
        </w:rPr>
        <w:t>.</w:t>
      </w:r>
      <w:bookmarkStart w:id="934" w:name="pg11754_113154"/>
    </w:p>
    <w:p>
      <w:pPr>
        <w:pStyle w:val="Heading3"/>
        <w:numPr>
          <w:ilvl w:val="2"/>
          <w:numId w:val="1"/>
        </w:numPr>
        <w:rPr/>
      </w:pPr>
      <w:bookmarkStart w:id="935" w:name="__RefHeading___Toc9531127_73709187"/>
      <w:bookmarkStart w:id="936" w:name="_Toc366"/>
      <w:bookmarkEnd w:id="934"/>
      <w:bookmarkEnd w:id="935"/>
      <w:r>
        <w:rPr>
          <w:rtl w:val="true"/>
        </w:rPr>
        <w:t>الفصل الثانی</w:t>
      </w:r>
      <w:r>
        <w:rPr>
          <w:rtl w:val="true"/>
        </w:rPr>
        <w:t xml:space="preserve">: </w:t>
      </w:r>
      <w:r>
        <w:rPr>
          <w:rtl w:val="true"/>
        </w:rPr>
        <w:t>الأسالیب و المناهج المؤثّرة فی التربیة و التعلیم</w:t>
      </w:r>
      <w:bookmarkEnd w:id="936"/>
    </w:p>
    <w:p>
      <w:pPr>
        <w:pStyle w:val="Heading4"/>
        <w:numPr>
          <w:ilvl w:val="3"/>
          <w:numId w:val="1"/>
        </w:numPr>
        <w:rPr/>
      </w:pPr>
      <w:bookmarkStart w:id="937" w:name="__RefHeading___Toc9531129_73709187"/>
      <w:bookmarkStart w:id="938" w:name="_Toc367"/>
      <w:bookmarkEnd w:id="937"/>
      <w:r>
        <w:rPr>
          <w:rtl w:val="true"/>
        </w:rPr>
        <w:t>تمهید</w:t>
      </w:r>
      <w:r>
        <w:rPr>
          <w:rtl w:val="true"/>
        </w:rPr>
        <w:t>:</w:t>
      </w:r>
      <w:bookmarkEnd w:id="938"/>
    </w:p>
    <w:p>
      <w:pPr>
        <w:pStyle w:val="BookText"/>
        <w:rPr/>
      </w:pPr>
      <w:r>
        <w:rPr>
          <w:rFonts w:ascii="IRNazanin" w:hAnsi="IRNazanin" w:eastAsia="IRNazanin"/>
          <w:color w:val="111111"/>
          <w:sz w:val="28"/>
          <w:sz w:val="28"/>
          <w:szCs w:val="28"/>
          <w:rtl w:val="true"/>
          <w:lang w:bidi="fa-IR"/>
        </w:rPr>
        <w:t>من أهمّ المباحث فی التربیة و التعلیم معرفة العوامل و الطرق المؤثّرة فیهما، إذ جهل المربّی باُسلوب التربیة ربما یحصل من سعیه خلاف المقصود، مثلاً لو کان طریق التربیة إلی إیجاد صفة حسنة، أو ترک صفة قبیحة فی الصبی هو التشویق أو الموعظة الحسنة، لکنّ المربّی لم یسلک هذا الطریق، بل سلک طریق الهجر و التأدیب، لم یحصل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ینبغی أن یعرف المربّی کلّ شیء یجب اتّصاف الطفل به فی مسیر کماله و سعادته، و إلاّ ربما یتخیّل شیئاً حسناً و یُلزِم نفسه بأن یتّصف الطفل به و کان فی الواقع قبیحاً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هذا من الکتاب و السنّة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تفسیر التبیان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جابر، عن أبی جعفر محمّد بن علی علیهما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یأتی الأمر من وجهه أیّ الاُمور کان</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لیس البرّ أن تأتوا البیوت من غیر جهاتها، و ینبغی أن تأتوا الاُمور من جهاتها أیّ الاُمور کان، و هو المرویّ عن جابر، عن أبی جعفر علیه السلام</w:t>
      </w:r>
      <w:r>
        <w:rPr>
          <w:rFonts w:eastAsia="IRNazanin" w:cs="IRNazanin"/>
          <w:color w:val="111111"/>
          <w:sz w:val="28"/>
          <w:szCs w:val="28"/>
          <w:rtl w:val="true"/>
          <w:lang w:bidi="fa-IR"/>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الکلینی بإسناده عن طلحة بن 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Fonts w:eastAsia="IRNazanin" w:cs="IRNazanin"/>
          <w:color w:val="111111"/>
          <w:sz w:val="28"/>
          <w:szCs w:val="28"/>
          <w:rtl w:val="true"/>
          <w:lang w:bidi="fa-IR"/>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أیضاً عن ابن فضّال،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العالم العامل بغیر علمه کالجاهل الجائر الذی لا یستفیق من جهله، بل الحجّة علیه أعظم، و الحسرة له ألزم، و هو عند اللّه ألوم</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للوالدین و کلّ مربٍّ للصبیان لو أرادوا التوفیق فی أمر التربیة و التعلیم أن یعرفوا الطرق و الأسالیب الصحیحة و العوامل المؤثّرة فیهما، حیث إنّ الآباء و الاُمّهات الجاهلین بالأسالیب التربویّة، و البعیدین عن خیرها و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العالمین بها لکنّهم لا یطبّقونها علی أولادهم بصورة صحیحة، یعجزون عن تربیتهم بصورة سلیمة، و جعلهم أفراداً صالحین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هذا عقدنا هذا الفصل للبحث عن الأسالیب و الطرق المؤثّرة فی التربیة، و فیه مباحث</w:t>
      </w:r>
      <w:r>
        <w:rPr>
          <w:rFonts w:eastAsia="IRNazanin" w:cs="IRNazanin"/>
          <w:color w:val="111111"/>
          <w:sz w:val="28"/>
          <w:szCs w:val="28"/>
          <w:rtl w:val="true"/>
          <w:lang w:bidi="fa-IR"/>
        </w:rPr>
        <w:t>:</w:t>
      </w:r>
      <w:bookmarkStart w:id="939" w:name="pg11754_113157"/>
    </w:p>
    <w:p>
      <w:pPr>
        <w:pStyle w:val="Heading4"/>
        <w:numPr>
          <w:ilvl w:val="3"/>
          <w:numId w:val="1"/>
        </w:numPr>
        <w:rPr/>
      </w:pPr>
      <w:bookmarkStart w:id="940" w:name="__RefHeading___Toc9531131_73709187"/>
      <w:bookmarkStart w:id="941" w:name="_Toc368"/>
      <w:bookmarkEnd w:id="939"/>
      <w:bookmarkEnd w:id="940"/>
      <w:r>
        <w:rPr>
          <w:rtl w:val="true"/>
        </w:rPr>
        <w:t>المبحث الأوّل</w:t>
      </w:r>
      <w:r>
        <w:rPr>
          <w:rtl w:val="true"/>
        </w:rPr>
        <w:t xml:space="preserve">: </w:t>
      </w:r>
      <w:r>
        <w:rPr>
          <w:rtl w:val="true"/>
        </w:rPr>
        <w:t>معرفة مراحل التربیة و التعلیم</w:t>
      </w:r>
      <w:bookmarkEnd w:id="941"/>
    </w:p>
    <w:p>
      <w:pPr>
        <w:pStyle w:val="Heading5"/>
        <w:numPr>
          <w:ilvl w:val="4"/>
          <w:numId w:val="1"/>
        </w:numPr>
        <w:rPr/>
      </w:pPr>
      <w:bookmarkStart w:id="942" w:name="__RefHeading___Toc9531133_73709187"/>
      <w:bookmarkStart w:id="943" w:name="_Toc369"/>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یستفاد من الآیات و الروایات أنّ للتربیة و التعلیم بالنسبة إلی سنّ الطفل مراحل ینبغی مراعاتها من جانب الأبوین</w:t>
      </w:r>
      <w:r>
        <w:rPr>
          <w:rFonts w:eastAsia="IRNazanin" w:cs="IRNazanin"/>
          <w:color w:val="111111"/>
          <w:sz w:val="28"/>
          <w:szCs w:val="28"/>
          <w:rtl w:val="true"/>
          <w:lang w:bidi="fa-IR"/>
        </w:rPr>
        <w:t>:</w:t>
      </w:r>
    </w:p>
    <w:p>
      <w:pPr>
        <w:pStyle w:val="Heading5"/>
        <w:numPr>
          <w:ilvl w:val="4"/>
          <w:numId w:val="1"/>
        </w:numPr>
        <w:rPr/>
      </w:pPr>
      <w:bookmarkStart w:id="944" w:name="__RefHeading___Toc9531135_73709187"/>
      <w:bookmarkStart w:id="945" w:name="_Toc370"/>
      <w:bookmarkEnd w:id="944"/>
      <w:r>
        <w:rPr>
          <w:rtl w:val="true"/>
        </w:rPr>
        <w:t>المرحلة الاُولی</w:t>
      </w:r>
      <w:r>
        <w:rPr>
          <w:rtl w:val="true"/>
        </w:rPr>
        <w:t xml:space="preserve">: </w:t>
      </w:r>
      <w:r>
        <w:rPr>
          <w:rtl w:val="true"/>
        </w:rPr>
        <w:t>أن یتولّع الطفل باللعب؛</w:t>
      </w:r>
      <w:bookmarkEnd w:id="945"/>
    </w:p>
    <w:p>
      <w:pPr>
        <w:pStyle w:val="Heading6"/>
        <w:numPr>
          <w:ilvl w:val="5"/>
          <w:numId w:val="1"/>
        </w:numPr>
        <w:rPr/>
      </w:pPr>
      <w:bookmarkStart w:id="946" w:name="__RefHeading___Toc9531137_73709187"/>
      <w:bookmarkStart w:id="947" w:name="_Toc371"/>
      <w:bookmarkEnd w:id="946"/>
      <w:r>
        <w:rPr>
          <w:rtl w:val="true"/>
        </w:rPr>
        <w:t>اشارة</w:t>
      </w:r>
      <w:bookmarkEnd w:id="947"/>
    </w:p>
    <w:p>
      <w:pPr>
        <w:pStyle w:val="BookText"/>
        <w:rPr/>
      </w:pPr>
      <w:r>
        <w:rPr>
          <w:rFonts w:ascii="IRNazanin" w:hAnsi="IRNazanin" w:eastAsia="IRNazanin"/>
          <w:color w:val="111111"/>
          <w:sz w:val="28"/>
          <w:sz w:val="28"/>
          <w:szCs w:val="28"/>
          <w:rtl w:val="true"/>
          <w:lang w:bidi="fa-IR"/>
        </w:rPr>
        <w:t>و هی مرحلة الحریّة التی تقتضی أن یخلّی الوالدان سبیل الطفل للّعب، و یبدأ من حین الولادة إلی سبع سنین، و الطفل فی هذه السنین یتولّع باللعب، و قد رغّب الإسلام الآباء أن یحرصوا علی تربیة أطفالهم علی ممارسة بعض الألعاب و النشاطات البدنیّة المباحة، و نبّه إلی أنّ الحرکة عند الطفل غریزة قویّة، فیجب توجیهها إلی ما ینفعها، و جاءت فی الدراسات الحدیثة أنّ ذهن الطفل یتفتّح و ینمو فی اللعب، فقد جاء فی بحثٍ تربویّ أنّ الأطفال الذین تکون لدیهم الإمکانات و الفرص للّعب تنمو عقولهم نموّاً أسرع و أکثر من غیرهم ممّن لم تُتَح لهم هذه الفرص و تلک الإمکانات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بعض الباحثین أنّ رعایة الطفل و اکتسابه بعض المهارات تساعد علی نموّه الاجتماعی، و ذلک حسب سنّه؛ کما أکّد علی أنّ الأطفال ما قبل سنّ المدرسة یملکون حریّة اللعب فی معظم الوقت، و تدلّ بعض الدراسات علی أنّ تنمیة القوی الجسمیّة و تنشیطها عند الأطفال تحتاج إلی لعب یکسبهم بعض المهارات الحرکیّة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یرشد بل یدلّ علی هذه المرحلة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شیخنا البهائی رحمه الله أنّ الخصال الخمس المذکورة فی الآیة مترتّبة بحسب سنی عمر الإنسان و مراحل حیاته، فیتولّع أوّلاً باللعب و هو طفل أو مراهق، ثمّ إذا بلغ و اشتدّ عظمه تعلّق باللهو و الملاهی، ثمّ إذا بلغ أشدّه اشتغل بالزینة من الملابس الفاخرة</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 فی تفسیر اللعب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فعل الصبیان الذین یتعبون أنفسهم جدّاً، ثمّ إنّ تلک المتاعب تنقضی من غیر فائدة</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مَعَنا غَداً یَرْتَعْ وَ یَلْعَبْ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یلعب، و المراد باللعب المباح من الانبساط لا اللعب المحظور الذی هو ضدّ الحقّ، و لذلک لم ینکر یعقوب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نلعب</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فإنّه قد ثبت أنّ الحبیب المصطفی و المربّی الکریم محمّداً صلی الله علیه و آله کان یشجّع علی بعض الریاضات المفیدة، و یشجّع علیها الأطفال، بل کان یقوم ببعض النشاطات الریاضیة و البدنیّة مع الأطفال، و کذا الأئمّة المعصومون علیهم السلام من بعده، فیمکن أن تنقسم النصوص الواردة فی هذا المعنی إلی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لعب النبیّ صلی الله علیه و آله أو الأئمّة علیهم السلام مع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المستدرک عن یعلی العامری، أنّه خرج من عند رسول اللّه صلی الله علیه و آله إلی طعام دعی إلیه، فإذا هو بحسین علیه السلام یلعب مع الصبیان، فاستقبل النبیّ صلی الله علیه و آله أمام</w:t>
      </w:r>
    </w:p>
    <w:p>
      <w:pPr>
        <w:pStyle w:val="BookText"/>
        <w:rPr/>
      </w:pPr>
      <w:r>
        <w:rPr>
          <w:rFonts w:ascii="IRNazanin" w:hAnsi="IRNazanin" w:eastAsia="IRNazanin"/>
          <w:color w:val="111111"/>
          <w:sz w:val="28"/>
          <w:sz w:val="28"/>
          <w:szCs w:val="28"/>
          <w:rtl w:val="true"/>
          <w:lang w:bidi="fa-IR"/>
        </w:rPr>
        <w:t>القوم ثمّ بسط یدیه، فطفر الصبیّ هاهنا مرّة، و هاهنا مرّة، و جعل رسول اللّه صلی الله علیه و آله یضاحکه حتّی أخذه، فجعل إحدی یدیه تحت ذقنه و الاُخری تحت قفاه، و وضع فاه علی فیه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علیه السلام ذات یوم فی حجر النبیّ صلی الله علیه و آله و هو یلاعبه و یضاحکه، 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أشدّ إعجابک بهذا الصبیّ؟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ویلک و کیف لا أُحبّه و أُعجب به و هو ثمرة فؤادی و قرّة عینی، أما إنّ امّتی ستقتله، فمن زاره بعد وفاته کتب اللّه له حجّة من حججی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حجّة من حججک؟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حجّتین،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أربعاً، فلم تزل تزاده و هو یزید و یضعف حتّی بلغ سبعین حجّة من حجج رسول اللّه صلی الله علیه و آله بأعمارها</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حمّاد، عن أبیه أنّ النبیّ صلی الله علیه و آله برک للحسن و الحسین علیهما السلام، فحملهما و خالف بین أیدیهما و أرجلهما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الجمل جملکما</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 صلی الله علیه و آله و الحسن و الحسین علیهما السلام علی</w:t>
      </w:r>
    </w:p>
    <w:p>
      <w:pPr>
        <w:pStyle w:val="BookText"/>
        <w:rPr/>
      </w:pPr>
      <w:r>
        <w:rPr>
          <w:rFonts w:ascii="IRNazanin" w:hAnsi="IRNazanin" w:eastAsia="IRNazanin"/>
          <w:color w:val="111111"/>
          <w:sz w:val="28"/>
          <w:sz w:val="28"/>
          <w:szCs w:val="28"/>
          <w:rtl w:val="true"/>
          <w:lang w:bidi="fa-IR"/>
        </w:rPr>
        <w:t>ظهره و هو یجثو لهما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جملکما و نِعم العدلان أنتما</w:t>
      </w:r>
      <w:r>
        <w:rPr>
          <w:rFonts w:eastAsia="IRNazanin" w:cs="IRNazanin"/>
          <w:color w:val="111111"/>
          <w:sz w:val="28"/>
          <w:szCs w:val="28"/>
          <w:rtl w:val="true"/>
          <w:lang w:bidi="fa-IR"/>
        </w:rPr>
        <w:t>»</w:t>
      </w:r>
      <w:r>
        <w:rPr>
          <w:rStyle w:val="FootnoteAnchor"/>
          <w:rtl w:val="true"/>
        </w:rPr>
        <w:footnoteReference w:id="1713"/>
      </w:r>
      <w:r>
        <w:rPr>
          <w:rFonts w:ascii="IRNazanin" w:hAnsi="IRNazanin" w:eastAsia="IRNazanin"/>
          <w:color w:val="111111"/>
          <w:sz w:val="28"/>
          <w:sz w:val="28"/>
          <w:szCs w:val="28"/>
          <w:rtl w:val="true"/>
          <w:lang w:bidi="fa-IR"/>
        </w:rPr>
        <w:t>، و غیرهما من الأخبار الکثیرة</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الکامل و الثعلبی فی العرائس فی حدیث قال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عیسی علیه السلام یلعب مع الصبیان، إذ وثب غلام علی صبی فضربه علی رجله فقتله، فألقاه بین رجلی المسیح متلطّخاً بالدّم، فانطلقوا به إلی الحاکم فی ذلک البلد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صبیّنا، فسأله الحاکم فقال ما قتلته، فأرادوا أن یبطشوا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بالصبیّ حتی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فعجبوا من قوله و أحضروه عند القتیل، فدعا اللّه تعالی و أحیاه،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فلان، فقال بنو إسرائیل للقتیل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ثمّ مات من ساعته</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المعنی عن طریق أهل السنّة أیضاً،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النسائی عن عبد اللّه بن شدّاد،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فی إحدی صلاتی العشاء و هو حامل حسناً أو حسیناً، فتقدّم رسول اللّه صلی الله علیه و آله فوضعه ثمّ کبّر للصلاة، فصلّی فسجد بین ظهرانی</w:t>
      </w:r>
      <w:r>
        <w:rPr>
          <w:rStyle w:val="FootnoteAnchor"/>
          <w:rtl w:val="true"/>
        </w:rPr>
        <w:footnoteReference w:id="1716"/>
      </w:r>
      <w:r>
        <w:rPr>
          <w:rFonts w:ascii="IRNazanin" w:hAnsi="IRNazanin" w:eastAsia="IRNazanin"/>
          <w:color w:val="111111"/>
          <w:sz w:val="28"/>
          <w:sz w:val="28"/>
          <w:szCs w:val="28"/>
          <w:rtl w:val="true"/>
          <w:lang w:bidi="fa-IR"/>
        </w:rPr>
        <w:t>صلاته سجدة أطالها،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و إذا الصبیّ علی ظهر رسول اللّه صلی الله علیه و آله و هو ساجد، فرجعت إلی سجودی، فلمّا قضی رسول اللّه صلی الله علیه و آله الصلاة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سجدت بین ظهرانی صلاتک سجدة أطلتها حتّی ظنّنا أنّه قد حدث أمر، أو أنّه یُوحی إلیک؟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لم یکن، و لکن ابنی ارتحلنی فکرهت أن اعجّله حتّی یقضی حاجته</w:t>
      </w:r>
      <w:r>
        <w:rPr>
          <w:rFonts w:eastAsia="IRNazanin" w:cs="IRNazanin"/>
          <w:color w:val="111111"/>
          <w:sz w:val="28"/>
          <w:szCs w:val="28"/>
          <w:rtl w:val="true"/>
          <w:lang w:bidi="fa-IR"/>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bookmarkStart w:id="948" w:name="pg11754_113161"/>
    </w:p>
    <w:p>
      <w:pPr>
        <w:pStyle w:val="BookText"/>
        <w:rPr/>
      </w:pPr>
      <w:bookmarkEnd w:id="948"/>
      <w:r>
        <w:rPr>
          <w:rFonts w:ascii="IRNazanin" w:hAnsi="IRNazanin" w:eastAsia="IRNazanin"/>
          <w:color w:val="111111"/>
          <w:sz w:val="28"/>
          <w:sz w:val="28"/>
          <w:szCs w:val="28"/>
          <w:rtl w:val="true"/>
          <w:lang w:bidi="fa-IR"/>
        </w:rPr>
        <w:t>و روی المحدّث الکاشانی فی المحجّة البیضاء عن طریق أهل السنّة أنّ النبیّ صلی الله علیه و آله یقدم من السفر فیتلقّاه الصبیان فیقف لهم، ثمّ یأمر بهم فیرفعون إلیه، فیرفع منهم بین یدیه و من خلفه، و یأمر أصحابه أن یحملوا بعضهم، فربما یتفاخر الصبیان بعد ذلک،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 رسول اللّه صلی الله علیه و آله بین یدیه، و حملک أنت وراءه، و یقول بعضهم أمر أصحابه أن یحملوک وراءهم</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استحباب التصابی</w:t>
      </w:r>
      <w:r>
        <w:rPr>
          <w:rStyle w:val="FootnoteAnchor"/>
          <w:rtl w:val="true"/>
        </w:rPr>
        <w:footnoteReference w:id="1720"/>
      </w:r>
      <w:r>
        <w:rPr>
          <w:rFonts w:ascii="IRNazanin" w:hAnsi="IRNazanin" w:eastAsia="IRNazanin"/>
          <w:color w:val="111111"/>
          <w:sz w:val="28"/>
          <w:sz w:val="28"/>
          <w:szCs w:val="28"/>
          <w:rtl w:val="true"/>
          <w:lang w:bidi="fa-IR"/>
        </w:rPr>
        <w:t>و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الکلینی،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من کان له ولد صبّا</w:t>
      </w:r>
      <w:r>
        <w:rPr>
          <w:rFonts w:eastAsia="IRNazanin" w:cs="IRNazanin"/>
          <w:color w:val="111111"/>
          <w:sz w:val="28"/>
          <w:szCs w:val="28"/>
          <w:rtl w:val="true"/>
          <w:lang w:bidi="fa-IR"/>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ممّا نذکرها فی المرحلة الثانیة</w:t>
      </w:r>
      <w:r>
        <w:rPr>
          <w:rFonts w:eastAsia="IRNazanin" w:cs="IRNazanin"/>
          <w:color w:val="111111"/>
          <w:sz w:val="28"/>
          <w:szCs w:val="28"/>
          <w:rtl w:val="true"/>
          <w:lang w:bidi="fa-IR"/>
        </w:rPr>
        <w:t>.</w:t>
      </w:r>
    </w:p>
    <w:p>
      <w:pPr>
        <w:pStyle w:val="Heading6"/>
        <w:numPr>
          <w:ilvl w:val="5"/>
          <w:numId w:val="1"/>
        </w:numPr>
        <w:rPr/>
      </w:pPr>
      <w:bookmarkStart w:id="949" w:name="__RefHeading___Toc9531139_73709187"/>
      <w:bookmarkStart w:id="950" w:name="_Toc372"/>
      <w:bookmarkEnd w:id="949"/>
      <w:r>
        <w:rPr>
          <w:rtl w:val="true"/>
        </w:rPr>
        <w:t>إیضاح</w:t>
      </w:r>
      <w:bookmarkEnd w:id="9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یعلم أنّه لیس مقصودنا بالحرّیة فی هذه المرحلة، الحرّیة المطلقة بحیث یخلّی الوالدان سبیل الطفل لکلّ فعل حتّی الأفعال التی تضرّ بروحه و جسمه؛ إذ لا ریب أنّ من وظائف الوالدین و المربّین منعه من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یلزم أن یعلم أنّه لا ینبغی ترک تربیة الطفل فی هذه المرحلة مطلقاً؛ إذ من البدیهی أنّ التربیة و التعلیم فی هذه المرحلة أیضاً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مقصودنا أن یربّی الوالدان أطفالهم بشکل ساذج و بطریق اللعب المباح الذی یتوافق مع طبیعة سنّ الطفل، و لا ینبغی أن یترک الطفل فی هذه المرحلة مطلقاً؛ إذ من البدیهی أنّ التربیة و التعلیم فی هذه المرحلة أنفع من المراحل الاُخری، و ربّ صبیان تعلّموا کثیراً من المعارف و الأحکام الشرعیّة فی السنّ اثنین إلی السبع</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علی ذلک الروایات التی تدلّ علی لزوم التدرّج فی التربیة و التعلیم من أوائل عمر الطفل إلی زمان البلوغ و بعده، و أنّ التربیة و التعلیم لا تنحصر بمرحلة خاصّة أو سنّ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عبد اللّه بن فضالة، عن أبی عبد اللّه أو أبی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ثلاث سنین یقال 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یترک حتّی یتمّ له ثلاث سنین و سبعة أشهر و عشرون یوماً،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سبع مرّات، و یترک حتّی یتمّ له أربع سنین ثمّ یُقال له سبع مرّات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 محمّد، ثمّ یُترک حتّی یتمّ له خمس سنین،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یمینک و أیّهما شمالک، فإذا عرف ذلک حوّل وجهه إلی القبلة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یُترک حتّی یتمّ له ستّ سنین، فإذا تمّ له ستّ سنین صلّی</w:t>
      </w:r>
      <w:bookmarkStart w:id="951" w:name="pg11754_113163"/>
    </w:p>
    <w:p>
      <w:pPr>
        <w:pStyle w:val="BookText"/>
        <w:rPr/>
      </w:pPr>
      <w:bookmarkEnd w:id="951"/>
      <w:r>
        <w:rPr>
          <w:rFonts w:ascii="Amiri" w:hAnsi="Amiri" w:eastAsia="Amiri" w:cs="Amiri"/>
          <w:color w:val="111111"/>
          <w:sz w:val="28"/>
          <w:sz w:val="28"/>
          <w:szCs w:val="28"/>
          <w:rtl w:val="true"/>
          <w:lang w:bidi="ar-SA"/>
        </w:rPr>
        <w:t>و عُلِّم الرکوع و السجود، ثمّ یُترک حتّی یتمّ له سبع سنین، فإذا تمّ له سبع سنین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وجهک و کفّیک، فإذا غسلهما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یُترک حتّی یتمّ له تسع سنین، فإذا تمّت له علّم الوضوء و ضرب علیه و أُمِرَ بالصلاة و ضرب علیها، فإذا تعلّم الوضوء و الصلاة غفر اللّه لوالدیه إن شاء اللّه</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الکلینی بإسناده عن الحلبی، عن أبی عبد اللّه علیه 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نأمر صبیاننا بالصیام إذا کانوا بنی سبع سنین بما أطاقوا من صیام الیوم، فإن کان إلی نصف النهار أو أکثر من ذلک أو أقلّ، فإذا غلبهم العطش و الغرث أفطروا حتّی یتعوّدوا الصوم و یطیقوه، فمروا صبیانکم إذا کانوا بنی تسع سنین بالصوم ما أطاقوا من صیام، فإذا غلبهم العطش أفطروا</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9531141_73709187"/>
      <w:bookmarkStart w:id="953" w:name="_Toc373"/>
      <w:bookmarkEnd w:id="952"/>
      <w:r>
        <w:rPr>
          <w:rtl w:val="true"/>
        </w:rPr>
        <w:t>المرحلة الثانیة</w:t>
      </w:r>
      <w:r>
        <w:rPr>
          <w:rtl w:val="true"/>
        </w:rPr>
        <w:t xml:space="preserve">: </w:t>
      </w:r>
      <w:r>
        <w:rPr>
          <w:rtl w:val="true"/>
        </w:rPr>
        <w:t>التهیّؤ للتربیة و التعلیم؛</w:t>
      </w:r>
      <w:bookmarkEnd w:id="953"/>
    </w:p>
    <w:p>
      <w:pPr>
        <w:pStyle w:val="BookText"/>
        <w:rPr/>
      </w:pPr>
      <w:r>
        <w:rPr>
          <w:rFonts w:ascii="IRNazanin" w:hAnsi="IRNazanin" w:eastAsia="IRNazanin"/>
          <w:color w:val="111111"/>
          <w:sz w:val="28"/>
          <w:sz w:val="28"/>
          <w:szCs w:val="28"/>
          <w:rtl w:val="true"/>
          <w:lang w:bidi="fa-IR"/>
        </w:rPr>
        <w:t>و هی تبدأ من سبع سنین إلی حدّ البلوغ، و الطفل فی هذه المرحلة یفهم و یدرک المفاهیم و یعلم الخیر من الشرّ، و النفع من الضرر، و الحسن من القبح، و هی مرحلة یستعدّ فیها للتربیة و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الوالدین و المعلّم الاهتمام بها کمال الاهتمام، و علیهم أن یغرسوا فی قلوب أطفالهم فی هذه المرحلة الإیمان باللّه تعالی و الفضائل و المکارم؛ لأنّ قلب الطفل فی هذه السنین کالمرآة، یمکن أن ینعکس فیه کلّ شیء، فإن انعکست فیه معارف الدین و أحکام الشریعة، لا یزول منه أبداً، و إن انعکس فیه سیّئات الأخلاق و الشرور و المفاسد، یصعب خروجها منه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تسامح الوالدین و تهاونهما فی تربیة الطفل و تعلیمه فی هذه المرحلة یوجب صعوبتها فی مراحل اخری، و لذا یعبّر المعصومون علیهم السلام عن هذه</w:t>
      </w:r>
    </w:p>
    <w:p>
      <w:pPr>
        <w:pStyle w:val="BookText"/>
        <w:rPr/>
      </w:pPr>
      <w:r>
        <w:rPr>
          <w:rFonts w:ascii="IRNazanin" w:hAnsi="IRNazanin" w:eastAsia="IRNazanin"/>
          <w:color w:val="111111"/>
          <w:sz w:val="28"/>
          <w:sz w:val="28"/>
          <w:szCs w:val="28"/>
          <w:rtl w:val="true"/>
          <w:lang w:bidi="fa-IR"/>
        </w:rPr>
        <w:t>المرحلة بالعبودیّة و التأدیب، فإلیک نصّ بعض الروایات التی تدلّ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الکلینی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 و الزمه نفسک سبع سنین، فإن أفلح و إلاّ فإنّه من لا خیر فیه</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أیضاً عن یونس بن یعقوب،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 صبیّک حتّی یأتی له ستّ سنین، ثمّ ضمّه إلیک سبع سنین فأدّبه بأدبک، فإن قبل و صلح و إلاّ فخلّ عنه</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 ما رواه عن یعقوب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w:t>
      </w:r>
      <w:r>
        <w:rPr>
          <w:rFonts w:eastAsia="IRNazanin" w:cs="IRNazanin"/>
          <w:color w:val="111111"/>
          <w:sz w:val="28"/>
          <w:szCs w:val="28"/>
          <w:rtl w:val="true"/>
          <w:lang w:bidi="fa-IR"/>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 و یؤدّب سبع سنین، و الزمه نفسک سبع سنین، فإن أفلح و إلاّ فلا خیر فیه</w:t>
      </w:r>
      <w:r>
        <w:rPr>
          <w:rFonts w:eastAsia="IRNazanin" w:cs="IRNazanin"/>
          <w:color w:val="111111"/>
          <w:sz w:val="28"/>
          <w:szCs w:val="28"/>
          <w:rtl w:val="true"/>
          <w:lang w:bidi="fa-IR"/>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سبعاً و یؤدّب سبعاً، و یستخدم سبعاً، و منتهی طوله فی ثلاث و عشرین سنة، و عقله فی خمس و ثلاثین، و ما کان بعد ذلک فبالتجارب</w:t>
      </w:r>
      <w:r>
        <w:rPr>
          <w:rFonts w:eastAsia="IRNazanin" w:cs="IRNazanin"/>
          <w:color w:val="111111"/>
          <w:sz w:val="28"/>
          <w:szCs w:val="28"/>
          <w:rtl w:val="true"/>
          <w:lang w:bidi="fa-IR"/>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الطبرسی فی مکارم الأخلاق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 فإن رضیت خلائقه لإحدی و عشرین سنة، و إلاّ ضرب علی جنبیه فقد أعذرت إلی اللّه</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bookmarkStart w:id="954" w:name="pg11754_113165"/>
    </w:p>
    <w:p>
      <w:pPr>
        <w:pStyle w:val="BookText"/>
        <w:rPr/>
      </w:pPr>
      <w:bookmarkEnd w:id="954"/>
      <w:r>
        <w:rPr>
          <w:rFonts w:ascii="IRNazanin" w:hAnsi="IRNazanin" w:eastAsia="IRNazanin"/>
          <w:color w:val="111111"/>
          <w:sz w:val="28"/>
          <w:sz w:val="28"/>
          <w:szCs w:val="28"/>
          <w:rtl w:val="true"/>
          <w:lang w:bidi="fa-IR"/>
        </w:rPr>
        <w:t xml:space="preserve">و یستفاد من هذه الأحادیث عنایة المعصومین علیهم السلام بالمرحلة الثانیة التی تبدأ من سنّ السبع أو الستّ إلی أوان البلوغ، فإن ادّب الصبی بتعالیم الإسلام و قبلها و صلح فهو سعید، و إلاّ یصعب تأدیبه بعد، و الظاهر أنّه لیس المراد من قوله علیه السلام فی ذیل بعض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مطلقاً، بل هو کنایة عن صعوبة تربیته بعد هذا، کما لا یخفی</w:t>
      </w:r>
      <w:r>
        <w:rPr>
          <w:rFonts w:eastAsia="IRNazanin" w:cs="IRNazanin"/>
          <w:color w:val="111111"/>
          <w:sz w:val="28"/>
          <w:szCs w:val="28"/>
          <w:rtl w:val="true"/>
          <w:lang w:bidi="fa-IR"/>
        </w:rPr>
        <w:t>.</w:t>
      </w:r>
    </w:p>
    <w:p>
      <w:pPr>
        <w:pStyle w:val="Heading5"/>
        <w:numPr>
          <w:ilvl w:val="4"/>
          <w:numId w:val="1"/>
        </w:numPr>
        <w:rPr/>
      </w:pPr>
      <w:bookmarkStart w:id="955" w:name="__RefHeading___Toc9531143_73709187"/>
      <w:bookmarkStart w:id="956" w:name="_Toc374"/>
      <w:bookmarkEnd w:id="955"/>
      <w:r>
        <w:rPr>
          <w:rtl w:val="true"/>
        </w:rPr>
        <w:t>المرحلة الثالثة</w:t>
      </w:r>
      <w:r>
        <w:rPr>
          <w:rtl w:val="true"/>
        </w:rPr>
        <w:t xml:space="preserve">: </w:t>
      </w:r>
      <w:r>
        <w:rPr>
          <w:rtl w:val="true"/>
        </w:rPr>
        <w:t>مرحلة المشاورة و الموازرة،</w:t>
      </w:r>
      <w:bookmarkEnd w:id="956"/>
    </w:p>
    <w:p>
      <w:pPr>
        <w:pStyle w:val="BookText"/>
        <w:rPr/>
      </w:pPr>
      <w:r>
        <w:rPr>
          <w:rFonts w:ascii="IRNazanin" w:hAnsi="IRNazanin" w:eastAsia="IRNazanin"/>
          <w:color w:val="111111"/>
          <w:sz w:val="28"/>
          <w:sz w:val="28"/>
          <w:szCs w:val="28"/>
          <w:rtl w:val="true"/>
          <w:lang w:bidi="fa-IR"/>
        </w:rPr>
        <w:t>و تبدأ هذه المرحلة من أوان البلوغ إلی سبع سنین تقریباً، و فی هذه المرحلة یستعدّ الأولاد لإظهار استعداداتهم و کمالاتهم، و ینبغی علی الوالدین أن یشاوراهم و یؤازراهم و یستفیدا منهم فی برنامج المعاش و الاُسرة؛ لأنّ المشاورة توجب إحیاء شخصیّتهم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هذه المرحلة بعض ما تقدّم، مثل ما رواه فی الکافی عن یعقوب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مکارم الأخلاق نقلاً من کتاب المحاسن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صبیّک حتّی یأتی علیه ستّ سنین، ثمّ أدّبه فی الکتّاب ستّ سنین، ثمّ ضمّه إلیک سبع سنین فأدّبه بأدبک، فإن قبل و صلح و إلاّ فخلّ عنه</w:t>
      </w:r>
      <w:r>
        <w:rPr>
          <w:rFonts w:eastAsia="IRNazanin" w:cs="IRNazanin"/>
          <w:color w:val="111111"/>
          <w:sz w:val="28"/>
          <w:szCs w:val="28"/>
          <w:rtl w:val="true"/>
          <w:lang w:bidi="fa-IR"/>
        </w:rPr>
        <w:t>»</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bookmarkStart w:id="957" w:name="pg11754_113166"/>
    </w:p>
    <w:p>
      <w:pPr>
        <w:pStyle w:val="Heading4"/>
        <w:numPr>
          <w:ilvl w:val="3"/>
          <w:numId w:val="1"/>
        </w:numPr>
        <w:rPr/>
      </w:pPr>
      <w:bookmarkStart w:id="958" w:name="__RefHeading___Toc9531145_73709187"/>
      <w:bookmarkStart w:id="959" w:name="_Toc375"/>
      <w:bookmarkEnd w:id="957"/>
      <w:bookmarkEnd w:id="958"/>
      <w:r>
        <w:rPr>
          <w:rtl w:val="true"/>
        </w:rPr>
        <w:t>المبحث الثانی</w:t>
      </w:r>
      <w:r>
        <w:rPr>
          <w:rtl w:val="true"/>
        </w:rPr>
        <w:t xml:space="preserve">: </w:t>
      </w:r>
      <w:r>
        <w:rPr>
          <w:rtl w:val="true"/>
        </w:rPr>
        <w:t>التربیة عن طریق إحیاء شخصیّة الطفل</w:t>
      </w:r>
      <w:bookmarkEnd w:id="959"/>
    </w:p>
    <w:p>
      <w:pPr>
        <w:pStyle w:val="Heading5"/>
        <w:numPr>
          <w:ilvl w:val="4"/>
          <w:numId w:val="1"/>
        </w:numPr>
        <w:rPr/>
      </w:pPr>
      <w:bookmarkStart w:id="960" w:name="__RefHeading___Toc9531147_73709187"/>
      <w:bookmarkStart w:id="961" w:name="_Toc376"/>
      <w:bookmarkEnd w:id="960"/>
      <w:r>
        <w:rPr>
          <w:rtl w:val="true"/>
        </w:rPr>
        <w:t>اشارة</w:t>
      </w:r>
      <w:bookmarkEnd w:id="961"/>
    </w:p>
    <w:p>
      <w:pPr>
        <w:pStyle w:val="BookText"/>
        <w:rPr/>
      </w:pPr>
      <w:r>
        <w:rPr>
          <w:rFonts w:ascii="IRNazanin" w:hAnsi="IRNazanin" w:eastAsia="IRNazanin"/>
          <w:color w:val="111111"/>
          <w:sz w:val="28"/>
          <w:sz w:val="28"/>
          <w:szCs w:val="28"/>
          <w:rtl w:val="true"/>
          <w:lang w:bidi="fa-IR"/>
        </w:rPr>
        <w:t>إنّ سلوک جمیع أفراد البشر و أسالیب معاشرتهم مع الناس إنّما هو خلاصة للأسالیب التربویّة التی اتّخذت معهم فی دور الطفولة من قبل الآباء أو الاُمّهات فی الاُسرة، أو من قبل المعلّمین فی المدرسة، فکلّ خیر أو شرّ لقّنوه إیّاهم فی أیّام الطفولة یظهر علی سلوکهم عند الکِبَر، و عند ما یصبحون أعضاء فی هذا المجتمع الإنسانی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الشخصیّة و حریّة الإرادة و الاعتماد علی النفس، و کذلک الحقارة، و الاعتماد علی الغیر، و الخسّة، صفات تصبّ رکائزها فی حجر الاُمّ و حضن الأب، فعلی الآباء و الاُمّهات الذین یرغبون فی تنشئة أطفال ذوی شخصیّة أن یهتمّوا بذلک منذ الأدوار الاُولی من حیاتهم و ینمّوا هذه الخصلة الطیّبة فی نفوسهم منذ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الطفل الذی نشأ فی الاُسرة علی الخسّة و الحقارة و لم یعامله أبواه معاملة إنسان، و لم یعترفا به کعضو محترم من أعضاء الاُسرة لا یستطیع فی الکبر أن یبدی الاستقلال فی تصرّفاته و الرصانة فی شخصیته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إیجاد الشخصیّة و الاعتماد علی النفس عند الطفل من الواجبات التربویة للآباء و الاُمّهات، و ظهور هذه الحالة النفسیّة عند الأطفال یسیر وفق منهج منظّم، بحیث لو طبّق بصورة صحیحة أدّی إلی نتائج مرضیّة، و نشأ الطفل ذا شخصیّة 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إهماله فإنّه یؤدّی إلی تعوّد الطفل علی الخسّة و الحقارة</w:t>
      </w:r>
      <w:r>
        <w:rPr>
          <w:rStyle w:val="FootnoteAnchor"/>
          <w:rtl w:val="true"/>
        </w:rPr>
        <w:footnoteReference w:id="1733"/>
      </w:r>
      <w:bookmarkStart w:id="962" w:name="pg11754_113167"/>
    </w:p>
    <w:p>
      <w:pPr>
        <w:pStyle w:val="Heading5"/>
        <w:numPr>
          <w:ilvl w:val="4"/>
          <w:numId w:val="1"/>
        </w:numPr>
        <w:rPr/>
      </w:pPr>
      <w:bookmarkStart w:id="963" w:name="__RefHeading___Toc9531149_73709187"/>
      <w:bookmarkStart w:id="964" w:name="_Toc377"/>
      <w:bookmarkEnd w:id="962"/>
      <w:bookmarkEnd w:id="963"/>
      <w:r>
        <w:rPr>
          <w:rtl w:val="true"/>
        </w:rPr>
        <w:t>عوامل إحیاء شخصیّة الطفل</w:t>
      </w:r>
      <w:bookmarkEnd w:id="964"/>
    </w:p>
    <w:p>
      <w:pPr>
        <w:pStyle w:val="Heading6"/>
        <w:numPr>
          <w:ilvl w:val="5"/>
          <w:numId w:val="1"/>
        </w:numPr>
        <w:rPr/>
      </w:pPr>
      <w:bookmarkStart w:id="965" w:name="__RefHeading___Toc9531151_73709187"/>
      <w:bookmarkStart w:id="966" w:name="_Toc378"/>
      <w:bookmarkEnd w:id="965"/>
      <w:r>
        <w:rPr>
          <w:rtl w:val="true"/>
        </w:rPr>
        <w:t>أ</w:t>
      </w:r>
      <w:r>
        <w:rPr>
          <w:rtl w:val="true"/>
        </w:rPr>
        <w:t xml:space="preserve">: </w:t>
      </w:r>
      <w:r>
        <w:rPr>
          <w:rtl w:val="true"/>
        </w:rPr>
        <w:t>تسمیته باسمٍ حسنٍ‌</w:t>
      </w:r>
      <w:bookmarkEnd w:id="966"/>
    </w:p>
    <w:p>
      <w:pPr>
        <w:pStyle w:val="BookText"/>
        <w:rPr/>
      </w:pPr>
      <w:r>
        <w:rPr>
          <w:rFonts w:ascii="IRNazanin" w:hAnsi="IRNazanin" w:eastAsia="IRNazanin"/>
          <w:color w:val="111111"/>
          <w:sz w:val="28"/>
          <w:sz w:val="28"/>
          <w:szCs w:val="28"/>
          <w:rtl w:val="true"/>
          <w:lang w:bidi="fa-IR"/>
        </w:rPr>
        <w:t>من المظاهر المهمّة لدی کلّ إنسان اسمه و اسم عشیرته، فکما أنّ صورة کلّ شخص سبب لاستحضاره فی أذهان الناس، کذلک اسمه؛ فإنّه یحکی عن صاحبه و یعطی صورة عنه، و کما أنّ الإنسان یلتذّ من صورته الجمیلة و یتألّم إن کانت قبیحة، کذلک یسرّ من الاسم الجمیل و یتأذّی من الاسم القبیح له أو لعشیرته، فی حین أنّ الصورة القبیحة یمکن تمزیقها و محوها بکلّ سهولة، أمّا تغییر الاسم و اللقب فهو 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یمتازون بأسماء جمیلة أو ینتمون إلی عشیرة ذات اسم جمیل یفتخرون بذلک، و یذکرونه بکلّ ارتیاح و طلاقة دون شعور بالحقارة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یحملون أسماء مستهجنة أو ینتمون إلی عشیرة ذات نسبة قبیحة فطالما یأبون عن ذکر ذلک و إن التجئوا إلی ذکره فی مناسبة ما شعروا بالخجل و الضعة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للاسم الحسن أثراً کبیراً لإحیاء شخصیّة الولد و تربیته نحو الکمال، و حثّ الأئمّة علیهم السلام الآباء و الاُمّهات إلی اختیار أسماء الحسن و الجمیل، مثل</w:t>
      </w:r>
    </w:p>
    <w:p>
      <w:pPr>
        <w:pStyle w:val="BookText"/>
        <w:rPr/>
      </w:pPr>
      <w:r>
        <w:rPr>
          <w:rFonts w:ascii="IRNazanin" w:hAnsi="IRNazanin" w:eastAsia="IRNazanin"/>
          <w:color w:val="111111"/>
          <w:sz w:val="28"/>
          <w:sz w:val="28"/>
          <w:szCs w:val="28"/>
          <w:rtl w:val="true"/>
          <w:lang w:bidi="fa-IR"/>
        </w:rPr>
        <w:t>ما رواه فی الکافی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حق ابنی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 أدبه، وضعه موضعاً حسناً</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IRNazanin" w:hAnsi="IRNazanin" w:eastAsia="IRNazanin"/>
          <w:color w:val="111111"/>
          <w:sz w:val="28"/>
          <w:sz w:val="28"/>
          <w:szCs w:val="28"/>
          <w:rtl w:val="true"/>
          <w:lang w:bidi="fa-IR"/>
        </w:rPr>
        <w:t>و قد مرّ البحث عنه فی الباب الأوّل فلا نعیده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7" w:name="__RefHeading___Toc9531153_73709187"/>
      <w:bookmarkStart w:id="968" w:name="_Toc379"/>
      <w:bookmarkEnd w:id="967"/>
      <w:r>
        <w:rPr>
          <w:rtl w:val="true"/>
        </w:rPr>
        <w:t>ب</w:t>
      </w:r>
      <w:r>
        <w:rPr>
          <w:rtl w:val="true"/>
        </w:rPr>
        <w:t xml:space="preserve">: </w:t>
      </w:r>
      <w:r>
        <w:rPr>
          <w:rtl w:val="true"/>
        </w:rPr>
        <w:t>احترام الطفل و تکریمه و حبّه</w:t>
      </w:r>
      <w:bookmarkEnd w:id="96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احترام الطفل و تکریمه و حسن معاشرة الوالدین معه من أهمّ العوامل</w:t>
      </w:r>
    </w:p>
    <w:p>
      <w:pPr>
        <w:pStyle w:val="BookText"/>
        <w:rPr/>
      </w:pPr>
      <w:r>
        <w:rPr>
          <w:rFonts w:ascii="IRNazanin" w:hAnsi="IRNazanin" w:eastAsia="IRNazanin"/>
          <w:color w:val="111111"/>
          <w:sz w:val="28"/>
          <w:sz w:val="28"/>
          <w:szCs w:val="28"/>
          <w:rtl w:val="true"/>
          <w:lang w:bidi="fa-IR"/>
        </w:rPr>
        <w:t>الأساسیة لبناء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الأوّل للتربیة الصحیحة و تنمیة الشخصیّة و الاستقلال عند الطفل، أن یعرف الوالدان حقیقة طفلهما، و لا یتجاهلا قیمته الواقعیّة و أن یعتقدا بأنّ طفلهما لیس شاة أو دجاجة یحتاج إلی الطعام و اللعب و النوم، بل إنّه إنسان صغیر إنسان واقعیّ و لکنّه ضعیف، إنسان حقیقی یملک من الذخائر الفطریّة ما یجب أن تبرز من عالم القوّة إلی حیّز الطفل</w:t>
      </w:r>
      <w:r>
        <w:rPr>
          <w:rFonts w:eastAsia="IRNazanin" w:cs="IRNazanin"/>
          <w:color w:val="111111"/>
          <w:sz w:val="28"/>
          <w:szCs w:val="28"/>
          <w:rtl w:val="true"/>
          <w:lang w:bidi="fa-IR"/>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علی لزوم احترام الطفل طوائف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أنّ تکریم الناس من سیرة النبیّ الأکرم صلی الله علیه و آله، حیث إنّه یکرم من یدخل علیه حتی ربما یبسط ثوبه، و یؤثر الداخل بالوسادة التی تحته</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فی مکارم الأخلاق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و هو متّکئ علی وسادة، فألقاها إلیّ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ما من مسلم دخل علی أخیه المسلم فیلقی له الوسادة إکراماً له إلاّ غفر اللّه له</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أنّه دخل رجل المسجد و هو جالس وحده فتزحزح</w:t>
      </w:r>
      <w:r>
        <w:rPr>
          <w:rStyle w:val="FootnoteAnchor"/>
          <w:rtl w:val="true"/>
        </w:rPr>
        <w:footnoteReference w:id="1740"/>
      </w:r>
      <w:r>
        <w:rPr>
          <w:rFonts w:ascii="IRNazanin" w:hAnsi="IRNazanin" w:eastAsia="IRNazanin"/>
          <w:color w:val="111111"/>
          <w:sz w:val="28"/>
          <w:sz w:val="28"/>
          <w:szCs w:val="28"/>
          <w:rtl w:val="true"/>
          <w:lang w:bidi="fa-IR"/>
        </w:rPr>
        <w:t>له صلی الله علیه و آله،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سعة یا رسول اللّه،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 المسلم علی المسلم إذا رآه یرید الجلوس إلیه أن یتزحزح له</w:t>
      </w:r>
      <w:r>
        <w:rPr>
          <w:rFonts w:eastAsia="IRNazanin" w:cs="IRNazanin"/>
          <w:color w:val="111111"/>
          <w:sz w:val="28"/>
          <w:szCs w:val="28"/>
          <w:rtl w:val="true"/>
          <w:lang w:bidi="fa-IR"/>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الحثّ و الأجر فی تکریم الناس عموماً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أخاه المسلم بکلمة یلطفه بها، و فرّج عنه کربته، لم یزل فی ظلّ اللّه الممدود</w:t>
      </w:r>
    </w:p>
    <w:p>
      <w:pPr>
        <w:pStyle w:val="BookText"/>
        <w:rPr/>
      </w:pPr>
      <w:r>
        <w:rPr>
          <w:rFonts w:ascii="IRNazanin" w:hAnsi="IRNazanin" w:eastAsia="IRNazanin"/>
          <w:color w:val="111111"/>
          <w:sz w:val="28"/>
          <w:sz w:val="28"/>
          <w:szCs w:val="28"/>
          <w:rtl w:val="true"/>
          <w:lang w:bidi="fa-IR"/>
        </w:rPr>
        <w:t>علیه الرحمة ما کان فی ذلک</w:t>
      </w:r>
      <w:r>
        <w:rPr>
          <w:rFonts w:eastAsia="IRNazanin" w:cs="IRNazanin"/>
          <w:color w:val="111111"/>
          <w:sz w:val="28"/>
          <w:szCs w:val="28"/>
          <w:rtl w:val="true"/>
          <w:lang w:bidi="fa-IR"/>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أخوه المسلم فأکرمه فإنّما أکرم اللّه عزّ و جلّ</w:t>
      </w:r>
      <w:r>
        <w:rPr>
          <w:rFonts w:eastAsia="IRNazanin" w:cs="IRNazanin"/>
          <w:color w:val="111111"/>
          <w:sz w:val="28"/>
          <w:szCs w:val="28"/>
          <w:rtl w:val="true"/>
          <w:lang w:bidi="fa-IR"/>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امّتی عبد ألطف أخاه فی اللّه بشیء من لطف إلاّ أخدمه اللّه من خدم الجنّة</w:t>
      </w:r>
      <w:r>
        <w:rPr>
          <w:rFonts w:eastAsia="IRNazanin" w:cs="IRNazanin"/>
          <w:color w:val="111111"/>
          <w:sz w:val="28"/>
          <w:szCs w:val="28"/>
          <w:rtl w:val="true"/>
          <w:lang w:bidi="fa-IR"/>
        </w:rPr>
        <w:t>»</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تکریم الصبیان و حبّهم خاصّاً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عوالی اللآلی،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آدابهم</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عبد اللّه بن محمّد البجلی،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الصبیان و ارحموهم، و إذا وعدتموهم شیئاً ففوا لهم، فإنّهم لا یدرون إلاّ أنّکم ترزقونهم</w:t>
      </w:r>
      <w:r>
        <w:rPr>
          <w:rFonts w:eastAsia="IRNazanin" w:cs="IRNazanin"/>
          <w:color w:val="111111"/>
          <w:sz w:val="28"/>
          <w:szCs w:val="28"/>
          <w:rtl w:val="true"/>
          <w:lang w:bidi="fa-IR"/>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عن أبی الحسن علیه السلام مع زیادة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لیس یغضب بشیء کغضبه للنساء و الصبیان</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لیرحم العبد لشدّة حبّه لولده</w:t>
      </w:r>
      <w:r>
        <w:rPr>
          <w:rFonts w:eastAsia="IRNazanin" w:cs="IRNazanin"/>
          <w:color w:val="111111"/>
          <w:sz w:val="28"/>
          <w:szCs w:val="28"/>
          <w:rtl w:val="true"/>
          <w:lang w:bidi="fa-IR"/>
        </w:rPr>
        <w:t>»</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bookmarkStart w:id="969" w:name="pg11754_113170"/>
    </w:p>
    <w:p>
      <w:pPr>
        <w:pStyle w:val="BookText"/>
        <w:rPr/>
      </w:pPr>
      <w:bookmarkEnd w:id="9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المحاسن عن یحیی بن المساور، عن أبیه،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الأعمال أفضل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الأطفال؛ فإنّی فطرتهم علی توحیدی، فإن أمتّهم أدخلتهم برحمتی جنّتی</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من طریق أهل السنّة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بنتان أو اختان فأحسن إلیهما ما صحبتاه کنت أنا و هو فی الجنّة کهاتین</w:t>
      </w:r>
      <w:r>
        <w:rPr>
          <w:rFonts w:eastAsia="IRNazanin" w:cs="IRNazanin"/>
          <w:color w:val="111111"/>
          <w:sz w:val="28"/>
          <w:szCs w:val="28"/>
          <w:rtl w:val="true"/>
          <w:lang w:bidi="fa-IR"/>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0" w:name="__RefHeading___Toc9531155_73709187"/>
      <w:bookmarkStart w:id="971" w:name="_Toc380"/>
      <w:bookmarkEnd w:id="970"/>
      <w:r>
        <w:rPr>
          <w:rtl w:val="true"/>
        </w:rPr>
        <w:t>ج</w:t>
      </w:r>
      <w:r>
        <w:rPr>
          <w:rtl w:val="true"/>
        </w:rPr>
        <w:t xml:space="preserve">: </w:t>
      </w:r>
      <w:r>
        <w:rPr>
          <w:rtl w:val="true"/>
        </w:rPr>
        <w:t>الملاطفة و الترحّم بالطفل</w:t>
      </w:r>
      <w:bookmarkEnd w:id="971"/>
    </w:p>
    <w:p>
      <w:pPr>
        <w:pStyle w:val="BookText"/>
        <w:rPr/>
      </w:pPr>
      <w:r>
        <w:rPr>
          <w:rFonts w:ascii="IRNazanin" w:hAnsi="IRNazanin" w:eastAsia="IRNazanin"/>
          <w:color w:val="111111"/>
          <w:sz w:val="28"/>
          <w:sz w:val="28"/>
          <w:szCs w:val="28"/>
          <w:rtl w:val="true"/>
          <w:lang w:bidi="fa-IR"/>
        </w:rPr>
        <w:t>ینبغی للمؤمن أن یرفق و یتلطّف مع الکبیر و الصغیر، لکنّ الطفل أجدر بالرفق و الملاطفة لصغره و ضعفه، فعلی الوالدین أن یسلکوا مع أطفالهم سبیل الرحمة، و أن یتحقّقوا بها فی حیاتهم الیومیّة و واجباتهم الدعویّة و التربویّة</w:t>
      </w:r>
      <w:r>
        <w:rPr>
          <w:rStyle w:val="FootnoteAnchor"/>
          <w:rtl w:val="true"/>
        </w:rPr>
        <w:footnoteReference w:id="1751"/>
      </w:r>
      <w:r>
        <w:rPr>
          <w:rFonts w:ascii="IRNazanin" w:hAnsi="IRNazanin" w:eastAsia="IRNazanin"/>
          <w:color w:val="111111"/>
          <w:sz w:val="28"/>
          <w:sz w:val="28"/>
          <w:szCs w:val="28"/>
          <w:rtl w:val="true"/>
          <w:lang w:bidi="fa-IR"/>
        </w:rPr>
        <w:t>؛ إنّ الطفل الذی یتلقّی مقداراً کافیاً من العطف و الحنان من أبویه، و یروی من ینبوع الحبّ یملک روحاً غضّة و نشطة، أنّه لا یحسّ بالحرمان فی باطنه و لا یصاب بالعُقد النفسیّة، تتفتّح أزاهیر الفضائل فی قلبه بسهولة، و إذا لم تعتوره العراقیل فی أثناء طریقه فإنّه ینشأ إنساناً عطوفاً فاضلاً یکنّ الخیر و الصلاح للجمیع</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حثّ اللّه النبیّ صلی الله علیه و آله و الأئمّة المعصومون علیهم السلام بالعطف و الترحّم للأطفال، و حیاته صلی الله علیه و آله حافلة مع الأطفال بألوان العطف علیهم، فکان لهم من وقته نصیب، فکان یمازحهم و یلاعبهم و یقبّلهم</w:t>
      </w:r>
      <w:r>
        <w:rPr>
          <w:rStyle w:val="FootnoteAnchor"/>
          <w:rtl w:val="true"/>
        </w:rPr>
        <w:footnoteReference w:id="1753"/>
      </w:r>
      <w:r>
        <w:rPr>
          <w:rFonts w:ascii="IRNazanin" w:hAnsi="IRNazanin" w:eastAsia="IRNazanin"/>
          <w:color w:val="111111"/>
          <w:sz w:val="28"/>
          <w:sz w:val="28"/>
          <w:szCs w:val="28"/>
          <w:rtl w:val="true"/>
          <w:lang w:bidi="fa-IR"/>
        </w:rPr>
        <w:t>، و یعلّم الناس أن یسلکوا هذا الطریق اللطیف</w:t>
      </w:r>
    </w:p>
    <w:p>
      <w:pPr>
        <w:pStyle w:val="BookText"/>
        <w:rPr/>
      </w:pPr>
      <w:r>
        <w:rPr>
          <w:rFonts w:ascii="IRNazanin" w:hAnsi="IRNazanin" w:eastAsia="IRNazanin"/>
          <w:color w:val="111111"/>
          <w:sz w:val="28"/>
          <w:sz w:val="28"/>
          <w:szCs w:val="28"/>
          <w:rtl w:val="true"/>
          <w:lang w:bidi="fa-IR"/>
        </w:rPr>
        <w:t>فی معاملة الأطفال، و وردت فی الجوامع الحدیثیّة و غیرها روایات کثیرة تدلّ علی هذا المعنی، فإلیک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الصبیان و ارحموهم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کبارکم و ارحموا صغارکم</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یرحم صغیرنا و لم یوقّر کبیرنا</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صلی الله علیه و آله أیضاً فی ما أوصی به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ارحم من أهلک الصغیر، و وقّر منهم الکبیر</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جاء فی بیان صفاته صلی الله علیه و آله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آله إذا أصبح مسح علی رءوس ولده</w:t>
      </w:r>
      <w:r>
        <w:rPr>
          <w:rFonts w:eastAsia="IRNazanin" w:cs="IRNazanin"/>
          <w:color w:val="111111"/>
          <w:sz w:val="28"/>
          <w:szCs w:val="28"/>
          <w:rtl w:val="true"/>
          <w:lang w:bidi="fa-IR"/>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bookmarkStart w:id="972" w:name="pg11754_113172"/>
    </w:p>
    <w:p>
      <w:pPr>
        <w:pStyle w:val="BookText"/>
        <w:rPr/>
      </w:pPr>
      <w:bookmarkEnd w:id="97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مولانا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لیتأسّ صغیرکم بکبیرکم، و لیرأف کبیرکم بصغیرکم، و لا تکونوا کجفاة الجاهلیّة</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البحار نقلاً من کتاب الإمامة و التبصرة لعلی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الوالد إلی ولده فسرّه کان للوالد عتق نسمةٍ،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نظر ستّین و ثلاثمائة نظرة؟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9531157_73709187"/>
      <w:bookmarkStart w:id="974" w:name="_Toc381"/>
      <w:bookmarkEnd w:id="973"/>
      <w:r>
        <w:rPr>
          <w:rtl w:val="true"/>
        </w:rPr>
        <w:t>مظاهر العطف و الترحّم علی الأطفال فی الروایات</w:t>
      </w:r>
      <w:bookmarkEnd w:id="974"/>
    </w:p>
    <w:p>
      <w:pPr>
        <w:pStyle w:val="Heading6"/>
        <w:numPr>
          <w:ilvl w:val="5"/>
          <w:numId w:val="1"/>
        </w:numPr>
        <w:rPr/>
      </w:pPr>
      <w:bookmarkStart w:id="975" w:name="__RefHeading___Toc9531159_73709187"/>
      <w:bookmarkStart w:id="976" w:name="_Toc382"/>
      <w:bookmarkEnd w:id="975"/>
      <w:r>
        <w:rPr>
          <w:rtl w:val="true"/>
        </w:rPr>
        <w:t>أ</w:t>
      </w:r>
      <w:r>
        <w:rPr>
          <w:rtl w:val="true"/>
        </w:rPr>
        <w:t xml:space="preserve">: </w:t>
      </w:r>
      <w:r>
        <w:rPr>
          <w:rtl w:val="true"/>
        </w:rPr>
        <w:t>تقبیل الوالدین أطفالهم</w:t>
      </w:r>
      <w:bookmarkEnd w:id="976"/>
    </w:p>
    <w:p>
      <w:pPr>
        <w:pStyle w:val="BookText"/>
        <w:rPr/>
      </w:pPr>
      <w:r>
        <w:rPr>
          <w:rFonts w:ascii="IRNazanin" w:hAnsi="IRNazanin" w:eastAsia="IRNazanin"/>
          <w:color w:val="111111"/>
          <w:sz w:val="28"/>
          <w:sz w:val="28"/>
          <w:szCs w:val="28"/>
          <w:rtl w:val="true"/>
          <w:lang w:bidi="fa-IR"/>
        </w:rPr>
        <w:t>الأحادیث الواردة عن المعصومین علیهم السلام تؤکّد علی تقبیل الوالدین أولادهم، و أنّ لهم فی ذلک أجراً عظیماً، و کان هذا من سیرة النبیّ الأکرم صلی الله علیه و آله فإلیک بعض ما ورد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النبیّ صلی الله علیه و آله و علی فخذه الأیسر ابنه إبراهیم، و علی فخذه الأیمن الحسین بن علی علیهم السلام، و هو تارةً یقبِّل هذا و تارةً یقبِّل هذا، إذ هبط جبرئیل بوحیٍ من ربّ العالمین</w:t>
      </w:r>
      <w:r>
        <w:rPr>
          <w:rFonts w:eastAsia="IRNazanin" w:cs="IRNazanin"/>
          <w:color w:val="111111"/>
          <w:sz w:val="28"/>
          <w:szCs w:val="28"/>
          <w:rtl w:val="true"/>
          <w:lang w:bidi="fa-IR"/>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مکارم الأخلاق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 صلی الله علیه و آله یقبِّل الحسن و الحسین و عنده الأقرع بن حابس التمیمی جالساً، فقال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عشرة من الولد ما قبّلت منهم أحداً، فنظر إلیه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الروایة المتقدّمة التی رواها فی المستدرک عن یعلی العامری أنّه خرج من عند رسول اللّه صلی الله علیه و آله إلی طعام دُعی إلیه، فإذا هو بحسین علیه السلام یلعب مع الصبیان، فاستقبل النبیّ صلی الله علیه و آله أمام القوم ثمّ بسط یدیه، فطفر الصبیّ هاهنا مرّة و هاهنا مرّة، و جعل رسول اللّه صلی الله علیه و آله یضاحکه حتّی أخذه، فجعل إحدی یدیه تحت ذقنه و الاُخری تحت قفاه، و وضع فاه علی فیه و قبّله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کشف الغمّة من مسند أحمد بن حنبل، عن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آله فی بیتی یوماً، إذ قالت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 فاطمة و الحسن و الحسین علیهم السلام بالسدّة،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فتنحّی لی عن أهل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فتنحیت من البیت قریباً، فدخل علی و فاطمة و الحسن و الحسین و هما صبیّان صغیران، فأخذ الصبیّین فوضعهما فی حجره فقبلهما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 علیّاً بإحدی یدیه و فاطمة بالید الاُخری فقبّل فاطمة و قبّل علیّاً، فأغدف علیهم خمیصة سوداء،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لا إلی النار، أنا و أهل بیتی</w:t>
      </w:r>
      <w:r>
        <w:rPr>
          <w:rFonts w:eastAsia="IRNazanin" w:cs="IRNazanin"/>
          <w:color w:val="111111"/>
          <w:sz w:val="28"/>
          <w:szCs w:val="28"/>
          <w:rtl w:val="true"/>
          <w:lang w:bidi="fa-IR"/>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الفضل بن أبی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ولده کتب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حسنة، و من فرّحه فرّحه اللّه یوم القیامة</w:t>
      </w:r>
      <w:r>
        <w:rPr>
          <w:rFonts w:eastAsia="IRNazanin" w:cs="IRNazanin"/>
          <w:color w:val="111111"/>
          <w:sz w:val="28"/>
          <w:szCs w:val="28"/>
          <w:rtl w:val="true"/>
          <w:lang w:bidi="fa-IR"/>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أیضاً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قبّلت صبیّاً لی قطّ، فلمّا ولّی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عندی أنّه من أهل النار</w:t>
      </w:r>
      <w:r>
        <w:rPr>
          <w:rFonts w:eastAsia="IRNazanin" w:cs="IRNazanin"/>
          <w:color w:val="111111"/>
          <w:sz w:val="28"/>
          <w:szCs w:val="28"/>
          <w:rtl w:val="true"/>
          <w:lang w:bidi="fa-IR"/>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bookmarkStart w:id="977" w:name="pg11754_113174"/>
    </w:p>
    <w:p>
      <w:pPr>
        <w:pStyle w:val="BookText"/>
        <w:rPr/>
      </w:pPr>
      <w:bookmarkEnd w:id="97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روضة الواعظین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قُبلة أولادکم؛ فإنّ لکم بکلّ قبلة درجة فی الجنّة مسیرة خمسمائة عام</w:t>
      </w:r>
      <w:r>
        <w:rPr>
          <w:rFonts w:eastAsia="IRNazanin" w:cs="IRNazanin"/>
          <w:color w:val="111111"/>
          <w:sz w:val="28"/>
          <w:szCs w:val="28"/>
          <w:rtl w:val="true"/>
          <w:lang w:bidi="fa-IR"/>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8" w:name="__RefHeading___Toc9531161_73709187"/>
      <w:bookmarkStart w:id="979" w:name="_Toc383"/>
      <w:bookmarkEnd w:id="978"/>
      <w:r>
        <w:rPr>
          <w:rtl w:val="true"/>
        </w:rPr>
        <w:t>ب</w:t>
      </w:r>
      <w:r>
        <w:rPr>
          <w:rtl w:val="true"/>
        </w:rPr>
        <w:t xml:space="preserve">: </w:t>
      </w:r>
      <w:r>
        <w:rPr>
          <w:rtl w:val="true"/>
        </w:rPr>
        <w:t>إدخال السرور فی قلوب الأطفال</w:t>
      </w:r>
      <w:bookmarkEnd w:id="979"/>
    </w:p>
    <w:p>
      <w:pPr>
        <w:pStyle w:val="BookText"/>
        <w:rPr/>
      </w:pPr>
      <w:r>
        <w:rPr>
          <w:rFonts w:ascii="IRNazanin" w:hAnsi="IRNazanin" w:eastAsia="IRNazanin"/>
          <w:color w:val="111111"/>
          <w:sz w:val="28"/>
          <w:sz w:val="28"/>
          <w:szCs w:val="28"/>
          <w:rtl w:val="true"/>
          <w:lang w:bidi="fa-IR"/>
        </w:rPr>
        <w:t>قد جاء فی الروایات بأنّه ینبغی للوالدین أن یسلکوا مع أطفالهم سبیل الشفقة و المحبّة بإدخال السرور فی قلوبهم بشراء التحف لهم أو سقیهم شربة من الماء،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الأمالی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إلی عیاله کان کحامل صدقة إلی قوم محاویج، و لیبدأ بالإناث قبل الذکور؛ فإنّ من فرّح ابنته فکأنّما أعتق رقبة من ولد إسماعیل، و من أقرّ بعین ابن فکأنّما بکی من خشیة اللّه، و من بکی من خشیة اللّه أدخله جنّات النعیم</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سقی ولده شربة من ماء فی صغره سقاه اللّه سبعین شربة من ماء الکوثر یوم القیامة</w:t>
      </w:r>
      <w:r>
        <w:rPr>
          <w:rFonts w:eastAsia="IRNazanin" w:cs="IRNazanin"/>
          <w:color w:val="111111"/>
          <w:sz w:val="28"/>
          <w:szCs w:val="28"/>
          <w:rtl w:val="true"/>
          <w:lang w:bidi="fa-IR"/>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0" w:name="__RefHeading___Toc9531163_73709187"/>
      <w:bookmarkStart w:id="981" w:name="_Toc384"/>
      <w:bookmarkEnd w:id="980"/>
      <w:r>
        <w:rPr>
          <w:rtl w:val="true"/>
        </w:rPr>
        <w:t>ج</w:t>
      </w:r>
      <w:r>
        <w:rPr>
          <w:rtl w:val="true"/>
        </w:rPr>
        <w:t xml:space="preserve">: </w:t>
      </w:r>
      <w:r>
        <w:rPr>
          <w:rtl w:val="true"/>
        </w:rPr>
        <w:t>التوسعة علی العیال و الأطفال</w:t>
      </w:r>
      <w:bookmarkEnd w:id="981"/>
    </w:p>
    <w:p>
      <w:pPr>
        <w:pStyle w:val="BookText"/>
        <w:rPr/>
      </w:pPr>
      <w:r>
        <w:rPr>
          <w:rFonts w:ascii="IRNazanin" w:hAnsi="IRNazanin" w:eastAsia="IRNazanin"/>
          <w:color w:val="111111"/>
          <w:sz w:val="28"/>
          <w:sz w:val="28"/>
          <w:szCs w:val="28"/>
          <w:rtl w:val="true"/>
          <w:lang w:bidi="fa-IR"/>
        </w:rPr>
        <w:t>، و یدلّ علی ذلک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الکافی عن معمّر بن خلاّد، عن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للرجل أن یوسّع علی عیاله لئلاّ یتمنّوا موته، و تلا هذه الآیة وَ یُطْعِمُونَ الطَّعامَ عَلی حُبِّهِ مِسْکِیناً وَ یَتِیماً وَ أَسِیراً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 عیال الرجل ینبغی إذا زید</w:t>
      </w:r>
      <w:bookmarkStart w:id="982" w:name="pg11754_113175"/>
    </w:p>
    <w:p>
      <w:pPr>
        <w:pStyle w:val="BookText"/>
        <w:rPr/>
      </w:pPr>
      <w:bookmarkEnd w:id="982"/>
      <w:r>
        <w:rPr>
          <w:rFonts w:ascii="IRNazanin" w:hAnsi="IRNazanin" w:eastAsia="IRNazanin"/>
          <w:color w:val="111111"/>
          <w:sz w:val="28"/>
          <w:sz w:val="28"/>
          <w:szCs w:val="28"/>
          <w:rtl w:val="true"/>
          <w:lang w:bidi="fa-IR"/>
        </w:rPr>
        <w:t>فی النعمة أن یزید أُسراءه فی السعة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أیضاً عن أبی حمزة، عن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أرضاکم عند اللّه أسبغکم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أوسعکم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عیاله</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یأخذ بآداب اللّه إذا وسّع اللّه علیه اتّسع، و إذا أمسک عنه أمسک</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3" w:name="__RefHeading___Toc9531165_73709187"/>
      <w:bookmarkStart w:id="984" w:name="_Toc385"/>
      <w:bookmarkEnd w:id="983"/>
      <w:r>
        <w:rPr>
          <w:rtl w:val="true"/>
        </w:rPr>
        <w:t>د</w:t>
      </w:r>
      <w:r>
        <w:rPr>
          <w:rtl w:val="true"/>
        </w:rPr>
        <w:t xml:space="preserve">: </w:t>
      </w:r>
      <w:r>
        <w:rPr>
          <w:rtl w:val="true"/>
        </w:rPr>
        <w:t>الشرکة فی لعبهم</w:t>
      </w:r>
      <w:bookmarkEnd w:id="984"/>
    </w:p>
    <w:p>
      <w:pPr>
        <w:pStyle w:val="BookText"/>
        <w:rPr/>
      </w:pPr>
      <w:r>
        <w:rPr>
          <w:rFonts w:ascii="IRNazanin" w:hAnsi="IRNazanin" w:eastAsia="IRNazanin"/>
          <w:color w:val="111111"/>
          <w:sz w:val="28"/>
          <w:sz w:val="28"/>
          <w:szCs w:val="28"/>
          <w:rtl w:val="true"/>
          <w:lang w:bidi="fa-IR"/>
        </w:rPr>
        <w:t>قد تقدّم البحث عنه، فراجع</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9531167_73709187"/>
      <w:bookmarkStart w:id="986" w:name="_Toc386"/>
      <w:bookmarkEnd w:id="985"/>
      <w:r>
        <w:rPr>
          <w:rtl w:val="true"/>
        </w:rPr>
        <w:t>إیضاح</w:t>
      </w:r>
      <w:bookmarkEnd w:id="986"/>
    </w:p>
    <w:p>
      <w:pPr>
        <w:pStyle w:val="BookText"/>
        <w:rPr/>
      </w:pPr>
      <w:r>
        <w:rPr>
          <w:rFonts w:ascii="IRNazanin" w:hAnsi="IRNazanin" w:eastAsia="IRNazanin"/>
          <w:color w:val="111111"/>
          <w:sz w:val="28"/>
          <w:sz w:val="28"/>
          <w:szCs w:val="28"/>
          <w:rtl w:val="true"/>
          <w:lang w:bidi="fa-IR"/>
        </w:rPr>
        <w:t>قد أکّدت الروایات علی الإحسان و المحبّة بالنسبة إلی البنات أکثر من الأبناء، و لعلّه للمنع عن تحقیرهنّ من بعض الوالدین فی محیط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عوالی اللآلی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اختان أو بنتان فأحسن إلیهما کنت أنا و هو فی الجنّة کهاتین و أشار بإصبعیه السبّابة و الوسطی</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و تقدّم أنّه روی هذا المعنی من طریق أهل السنّة أیضاً باختلاف یسیر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عائشة زوج النبیّ صلی الله علیه و آله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امرأة معها ابنتان تسألنی فلم تجد عندی غیر تمرة واحدة، فأعطیتها فقسّمتها بین ابنتیها ثمّ قامت فخرجت،</w:t>
      </w:r>
      <w:bookmarkStart w:id="987" w:name="pg11754_113176"/>
    </w:p>
    <w:p>
      <w:pPr>
        <w:pStyle w:val="BookText"/>
        <w:rPr/>
      </w:pPr>
      <w:bookmarkEnd w:id="987"/>
      <w:r>
        <w:rPr>
          <w:rFonts w:ascii="IRNazanin" w:hAnsi="IRNazanin" w:eastAsia="IRNazanin"/>
          <w:color w:val="111111"/>
          <w:sz w:val="28"/>
          <w:sz w:val="28"/>
          <w:szCs w:val="28"/>
          <w:rtl w:val="true"/>
          <w:lang w:bidi="fa-IR"/>
        </w:rPr>
        <w:t>فدخل النبیّ صلی الله علیه و آله فحدّثته،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من هذه البنات شیئاً فأحسن إلیهنّ کنّ له سِتراً من النار</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9531169_73709187"/>
      <w:bookmarkStart w:id="989" w:name="_Toc387"/>
      <w:bookmarkEnd w:id="988"/>
      <w:r>
        <w:rPr>
          <w:rtl w:val="true"/>
        </w:rPr>
        <w:t>الحذر من الإفراط فی محبّة الطفل</w:t>
      </w:r>
      <w:bookmarkEnd w:id="989"/>
    </w:p>
    <w:p>
      <w:pPr>
        <w:pStyle w:val="BookText"/>
        <w:rPr/>
      </w:pPr>
      <w:r>
        <w:rPr>
          <w:rFonts w:ascii="IRNazanin" w:hAnsi="IRNazanin" w:eastAsia="IRNazanin"/>
          <w:color w:val="111111"/>
          <w:sz w:val="28"/>
          <w:sz w:val="28"/>
          <w:szCs w:val="28"/>
          <w:rtl w:val="true"/>
          <w:lang w:bidi="fa-IR"/>
        </w:rPr>
        <w:t>کما ثبت أنّ المحبّة و تکریم الطفل یوجب إحیاء شخصیّته، و توازن روحه، و سلامة جسمه، کذلک ثبت أنّ الإفراط فی المحبّة أیضاً مضرّ و عامل للصفات المذمومة فیه؛ إذ التکریم و المحبّة للطفل یکون بمنزلة المأکولات و المشروبات، فکما أنّ الإفراط فیهما یوجب الاختلال و المرض فی الجسم، کذلک الإفراط فی المحبّة یوجب مرض الروح، فعلی الوالدین أن یعملا فیه علی نحو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الأسف بعض الآباء و الاُمّهات لم یهتمّوا بهذا الأمر، بل یفرّطون فی المحبّة و العطف علی أولادهم، مع أنّ فیه خطراً علیهم، و لذا حذّر الأئمّة علیهم السلام الوالدین عن الإفراط فی المحبّة علی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الآباء من دعاه البرّ إلی الإفراط، و شرّ الأبناء من دعاه التقصیر إلی العقوق</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الإفراط فی المحبّة یوجب صفة العجب؛ لأنّ الطفل الذی کان مورداً للحبّ الشدید فی الاُسرة یتصوّر أنّ حبّ الوالدین إیّاه کان لمزیّة فیه، فهو یعجب بنفسه و لا یری لنفسه عیباً، و لا ریب أنّ العجب یوجب هلاک النفس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أعجب بنفسه و فعله فقد ضلّ عن منهج الرشد، و ادّعی ما لیس له، و المدّعی من غیر حقّ کاذب و إن خفی دعواه و طال دهره</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أعجب برأیه هلک، و إنّ عیسی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داویت المرضی فشفیتهم بإذن اللّه، و أبرأت الأکمه و الأبرص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عالجت الأحمق فلم أقدر علی إصلاحه،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ما الأحمق؟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برأیه و نفسه الذی یری الفضل کلّه له لا علیه، و یوجب الحقّ کلّه لنفسه و لا یوجب علیها حقّاً، فذاک الأحمق الذی لا حیلة فی مداواته</w:t>
      </w:r>
      <w:r>
        <w:rPr>
          <w:rFonts w:eastAsia="IRNazanin" w:cs="IRNazanin"/>
          <w:color w:val="111111"/>
          <w:sz w:val="28"/>
          <w:szCs w:val="28"/>
          <w:rtl w:val="true"/>
          <w:lang w:bidi="fa-IR"/>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الإفراط فی المحبّة یوجب استبداد الرأی؛ لأنّ الطفل الذی کان مورداً للعطف و الحنان الشدید، بحیث إنّ جمیع أفراد الاُسرة یستجیبون لمیوله، و یطلقون له العنان فی أفعاله و أقواله لشدّة حبّهم له، ینمو فیه الاستبداد بالرأی و یتوقّع من أفراد المجتمع أیضاً أن ینقادوا لأوامره و نواهیه، و لا ریب فی عدم إرضاء کلّ میوله و نزعاته فی المجتمع، و ربما کان هذا سبباً لانتحاره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الباحثین فی المسائل التربویة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الأطفال الذین یواجهون المحبّة و الرأفة الزائدتین، و یستسلم لهم آباؤهم و امّهاتهم بدون أیّ قیدٍ أو شرط، و یستجیبون لجمیع مطالبهم من صالحٍ أو طالح، و بالتالی ینشئون علی الاستبداد و الإعجاب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یحملون أرواحاً ضعیفة و نفوساً سریعة الانهزام من ساحة المعرکة، و یتأثّرون من دور الطفولة حتّی آخر لحظة من العمر من مواجهة أبسط الأشیاء و أخفّ المصائب، و ینکسرون أمام مشاکل الحیاة بسرعة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الأفراد الذین نشئوا فی ظلّ الحنان المفرط، هم أتعس الأفراد؛ لأنّهم یعجزون عن حلّ مشاکل الحیاة الاعتیادیة، فیلجئون فی الشدائد إلی الانتحار متصوّرین أنّ النهایة الحتمیة لفشلهم یجب أن تبرّر بالانهزام من معرکة الحیاة</w:t>
      </w:r>
      <w:r>
        <w:rPr>
          <w:rFonts w:eastAsia="IRNazanin" w:cs="IRNazanin"/>
          <w:color w:val="111111"/>
          <w:sz w:val="28"/>
          <w:szCs w:val="28"/>
          <w:rtl w:val="true"/>
          <w:lang w:bidi="fa-IR"/>
        </w:rPr>
        <w:t>»</w:t>
      </w:r>
      <w:r>
        <w:rPr>
          <w:rStyle w:val="FootnoteAnchor"/>
          <w:rtl w:val="true"/>
        </w:rPr>
        <w:footnoteReference w:id="1780"/>
      </w:r>
      <w:bookmarkStart w:id="990" w:name="pg11754_113178"/>
    </w:p>
    <w:p>
      <w:pPr>
        <w:pStyle w:val="Heading4"/>
        <w:numPr>
          <w:ilvl w:val="3"/>
          <w:numId w:val="1"/>
        </w:numPr>
        <w:rPr/>
      </w:pPr>
      <w:bookmarkStart w:id="991" w:name="__RefHeading___Toc9531171_73709187"/>
      <w:bookmarkStart w:id="992" w:name="_Toc388"/>
      <w:bookmarkEnd w:id="990"/>
      <w:bookmarkEnd w:id="991"/>
      <w:r>
        <w:rPr>
          <w:rtl w:val="true"/>
        </w:rPr>
        <w:t>المبحث الثالث</w:t>
      </w:r>
      <w:r>
        <w:rPr>
          <w:rtl w:val="true"/>
        </w:rPr>
        <w:t xml:space="preserve">: </w:t>
      </w:r>
      <w:r>
        <w:rPr>
          <w:rtl w:val="true"/>
        </w:rPr>
        <w:t>التربیة بالقدوة و الاُسوة</w:t>
      </w:r>
      <w:bookmarkEnd w:id="992"/>
    </w:p>
    <w:p>
      <w:pPr>
        <w:pStyle w:val="Heading5"/>
        <w:numPr>
          <w:ilvl w:val="4"/>
          <w:numId w:val="1"/>
        </w:numPr>
        <w:rPr/>
      </w:pPr>
      <w:bookmarkStart w:id="993" w:name="__RefHeading___Toc9531173_73709187"/>
      <w:bookmarkStart w:id="994" w:name="_Toc389"/>
      <w:bookmarkEnd w:id="993"/>
      <w:r>
        <w:rPr>
          <w:rtl w:val="true"/>
        </w:rPr>
        <w:t>اشارة</w:t>
      </w:r>
      <w:bookmarkEnd w:id="994"/>
    </w:p>
    <w:p>
      <w:pPr>
        <w:pStyle w:val="BookText"/>
        <w:rPr/>
      </w:pPr>
      <w:r>
        <w:rPr>
          <w:rStyle w:val="FootnoteAnchor"/>
          <w:rtl w:val="true"/>
        </w:rPr>
        <w:footnoteReference w:id="1781"/>
      </w:r>
    </w:p>
    <w:p>
      <w:pPr>
        <w:pStyle w:val="Heading5"/>
        <w:numPr>
          <w:ilvl w:val="4"/>
          <w:numId w:val="1"/>
        </w:numPr>
        <w:rPr/>
      </w:pPr>
      <w:bookmarkStart w:id="995" w:name="__RefHeading___Toc9531175_73709187"/>
      <w:bookmarkStart w:id="996" w:name="_Toc390"/>
      <w:bookmarkEnd w:id="995"/>
      <w:r>
        <w:rPr>
          <w:rtl w:val="true"/>
        </w:rPr>
        <w:t>أ</w:t>
      </w:r>
      <w:r>
        <w:rPr>
          <w:rtl w:val="true"/>
        </w:rPr>
        <w:t xml:space="preserve">: </w:t>
      </w:r>
      <w:r>
        <w:rPr>
          <w:rtl w:val="true"/>
        </w:rPr>
        <w:t>القدوة و الاُسوة فی القرآن</w:t>
      </w:r>
      <w:bookmarkEnd w:id="996"/>
    </w:p>
    <w:p>
      <w:pPr>
        <w:pStyle w:val="BookText"/>
        <w:rPr/>
      </w:pPr>
      <w:r>
        <w:rPr>
          <w:rFonts w:ascii="IRNazanin" w:hAnsi="IRNazanin" w:eastAsia="IRNazanin"/>
          <w:color w:val="111111"/>
          <w:sz w:val="28"/>
          <w:sz w:val="28"/>
          <w:szCs w:val="28"/>
          <w:rtl w:val="true"/>
          <w:lang w:bidi="fa-IR"/>
        </w:rPr>
        <w:t>کانت القدوة عاملاً کبیراً فی صلاح الناس أو فسادهم، لا سیّما فی صلاح الطفل أو فساده، فإن کان المربّی صادقاً أمیناً کریماً عفیفاً نشأ الولد علی الصدق و الأمانة و الشجاعة و 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خائناً بخیلاً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علی الکذب و الخیانة و الجبن و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القرآن العظیم بإراءة الاُسوة لتربیة الناس، فبعث اللّه محمّداً صلی الله علیه و آله لیکون للمسلمین علی مدار التاریخ القدوة الصالحة و للبشریّة فی کلّ مکان و زمان السراج المنیر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 سبحانه و تعالی سیرة إبراهیم و عمله فی براءته علیه السلام من آلهة المشرکین التی تُعْبَدُ من دون اللّه قدوةً و اسوةً للمؤمنین،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أیضاً جعل عزّ و جلّ امرأة فرعون اسوة للمؤمنین و المؤمنات، فقال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کذا جعل سبحانه و تعالی امرأة نوح و امرأة لوط، اسوة للکفّار و المشرکین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بناءً علی ذلک فإنّ علی المسلم و خاصّة إذا کان راعیاً لأهله و اسرته أن یتحلّی بالإیمان و یتّصف بالخُلق الکریم، مقتدیاً بالنبی صلی الله علیه و آله؛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أبلغ وصف فی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ذلک ینتقل المربّی صفاته إلی مَن یعتنی بهم، الذین یقتدون بأفعاله و أقواله بالتأثیر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علماء النفس إلی أنّ الطفل مقلّد لأبویه فی کثیر من أعماله؛ لأنّ الطفل بطبیعته یری أنّ ما یقوم به والده هو العمل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حسنة من حسنات أبیه، أو سیّئة من سیّئات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الولد الذی یری والده یکذب، لا یمکن أن یتعلّم الصدق، و الذی یشرب الخمر، لا یمکن أن یُقنِعَ ولده بأنّه حرام أو مضرّ</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القدوة فی التربیة هی من أنجع الوسائل المؤثّرة فی إعداد الولد خُلقیّاً، و تکوینه نفسیّاً و اجتماعیّاً؛ ذلک لأنّ المربّی هو المثل الأعلی فی نظر الطفل، و الأسوة الصالحة فی عین الولد یقلِّده سلوکیّاً، و یحاکیه خلقیّاً من حیث یشعر أو لا یشعر، بل تنطبع فی نفسه و إحساسه صورته القولیّة و الفعلیّة و الحسیّة و المعنویّة من حیث یدری أو لا یدری</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أنّ غریزة التقلید من أقوی غرائز الصبیان، سیّما بین سنین</w:t>
      </w:r>
      <w:bookmarkStart w:id="997" w:name="pg11754_113180"/>
    </w:p>
    <w:p>
      <w:pPr>
        <w:pStyle w:val="BookText"/>
        <w:rPr/>
      </w:pPr>
      <w:bookmarkEnd w:id="997"/>
      <w:r>
        <w:rPr>
          <w:rFonts w:ascii="IRNazanin" w:hAnsi="IRNazanin" w:eastAsia="IRNazanin"/>
          <w:color w:val="111111"/>
          <w:sz w:val="28"/>
          <w:sz w:val="28"/>
          <w:szCs w:val="28"/>
          <w:rtl w:val="true"/>
          <w:lang w:bidi="fa-IR"/>
        </w:rPr>
        <w:t>الاُولی إلی السبع، و فی الواقع السمع و البصر فی الطفل بمنزلة مرآة تعکس کلّما جعل فی مقابلهما، مع أنّ المرآة لا یبقی فیها الشیء المعکوس، لکن ذهن الطفل یبقی فیه کلّما یری ببصره أو یسمع باُذنه و ینعکس فیما بعد</w:t>
      </w:r>
      <w:r>
        <w:rPr>
          <w:rFonts w:eastAsia="IRNazanin" w:cs="IRNazanin"/>
          <w:color w:val="111111"/>
          <w:sz w:val="28"/>
          <w:szCs w:val="28"/>
          <w:rtl w:val="true"/>
          <w:lang w:bidi="fa-IR"/>
        </w:rPr>
        <w:t>.</w:t>
      </w:r>
    </w:p>
    <w:p>
      <w:pPr>
        <w:pStyle w:val="Heading5"/>
        <w:numPr>
          <w:ilvl w:val="4"/>
          <w:numId w:val="1"/>
        </w:numPr>
        <w:rPr/>
      </w:pPr>
      <w:bookmarkStart w:id="998" w:name="__RefHeading___Toc9531177_73709187"/>
      <w:bookmarkStart w:id="999" w:name="_Toc391"/>
      <w:bookmarkEnd w:id="998"/>
      <w:r>
        <w:rPr>
          <w:rtl w:val="true"/>
        </w:rPr>
        <w:t>ب</w:t>
      </w:r>
      <w:r>
        <w:rPr>
          <w:rtl w:val="true"/>
        </w:rPr>
        <w:t xml:space="preserve">: </w:t>
      </w:r>
      <w:r>
        <w:rPr>
          <w:rtl w:val="true"/>
        </w:rPr>
        <w:t>التحذیر علی مخالفة القول مع العمل</w:t>
      </w:r>
      <w:bookmarkEnd w:id="999"/>
    </w:p>
    <w:p>
      <w:pPr>
        <w:pStyle w:val="BookText"/>
        <w:rPr/>
      </w:pPr>
      <w:r>
        <w:rPr>
          <w:rFonts w:ascii="IRNazanin" w:hAnsi="IRNazanin" w:eastAsia="IRNazanin"/>
          <w:color w:val="111111"/>
          <w:sz w:val="28"/>
          <w:sz w:val="28"/>
          <w:szCs w:val="28"/>
          <w:rtl w:val="true"/>
          <w:lang w:bidi="fa-IR"/>
        </w:rPr>
        <w:t>وردت روایات کثیرة عن الأئمّة المعصومین علیهم السلام بأنّهم حذّروا عن مخالفة القول مع العمل، نذکر أنموذجاً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وصایا أمیر المؤمنین علیه السلام لابنه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یرید الآخرة بعمل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بالمعروف و لا یأتمر، و ینهی و لا ینتهی، یحبّ الصالحین و لا یعمل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روی فی الکافی عن الحارث بن المغیرة، عن أبی عبد اللّه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بالعلماء من صدّق فعله قوله، و من لم یصدّق فعله قوله فلیس بعالم</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 المفضّل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یُعرَف الناجی؟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فعله لقوله موافقاً فأثبت</w:t>
      </w:r>
      <w:r>
        <w:rPr>
          <w:rStyle w:val="FootnoteAnchor"/>
          <w:rtl w:val="true"/>
        </w:rPr>
        <w:footnoteReference w:id="1787"/>
      </w:r>
      <w:r>
        <w:rPr>
          <w:rFonts w:ascii="IRNazanin" w:hAnsi="IRNazanin" w:eastAsia="IRNazanin"/>
          <w:color w:val="111111"/>
          <w:sz w:val="28"/>
          <w:sz w:val="28"/>
          <w:szCs w:val="28"/>
          <w:rtl w:val="true"/>
          <w:lang w:bidi="fa-IR"/>
        </w:rPr>
        <w:t>له الشهادة، و من لم یکن فعله لقوله موافقاً فإنّما ذلک مستودع</w:t>
      </w:r>
      <w:r>
        <w:rPr>
          <w:rFonts w:eastAsia="IRNazanin" w:cs="IRNazanin"/>
          <w:color w:val="111111"/>
          <w:sz w:val="28"/>
          <w:szCs w:val="28"/>
          <w:rtl w:val="true"/>
          <w:lang w:bidi="fa-IR"/>
        </w:rPr>
        <w:t xml:space="preserve">» </w:t>
      </w:r>
      <w:r>
        <w:rPr>
          <w:rStyle w:val="FootnoteAnchor"/>
          <w:rtl w:val="true"/>
        </w:rPr>
        <w:footnoteReference w:id="1788"/>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الشهید الثانی فی عداد آداب یختصّ بها 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یحترز من مخالفة</w:t>
      </w:r>
    </w:p>
    <w:p>
      <w:pPr>
        <w:pStyle w:val="BookText"/>
        <w:rPr/>
      </w:pPr>
      <w:r>
        <w:rPr>
          <w:rFonts w:ascii="IRNazanin" w:hAnsi="IRNazanin" w:eastAsia="IRNazanin"/>
          <w:color w:val="111111"/>
          <w:sz w:val="28"/>
          <w:sz w:val="28"/>
          <w:szCs w:val="28"/>
          <w:rtl w:val="true"/>
          <w:lang w:bidi="fa-IR"/>
        </w:rPr>
        <w:t>أفعاله لأقواله و إن کانت علی الوجه الشرعی، مثل أن یحرّم شیئاً و یفعله أو یوجب شیئاً و یترکه، أو یندب إلی فعل شیء و لا یفعله و إن کان فعل ذلک مطابقاً للشرع بحسب حاله؛ فإنّ الأحکام الشرعیّة تختلف باختلاف الأشخاص، کما لو أمر بتشییع الجنائز و باقی أحکامهم، و أمر بالصیام، و قضاء حوائج المؤمنین، و أفعال البرّ، و زیارة قبور الأنبیاء و الأئمّة علیهم السلام و لم یفعل ذلک لاشتغاله بما هو أهمّ منه، بحیث ینافی اشتغاله بما یأمر به ما هو فیه، و الحال أنّه أفضل أو متعیّن، و حینئذٍ فالواجب علیه مع خوف التباس الأمر أن یبیّن الوجه الموجب للمخالفة دفعاً للوسواس الشیطانی من قلب السامع</w:t>
      </w:r>
      <w:r>
        <w:rPr>
          <w:rFonts w:eastAsia="IRNazanin" w:cs="IRNazanin"/>
          <w:color w:val="111111"/>
          <w:sz w:val="28"/>
          <w:szCs w:val="28"/>
          <w:rtl w:val="true"/>
          <w:lang w:bidi="fa-IR"/>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الإمام الخمینی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الأبناء کان حشرهم و صحبتهم مع الأبوین دائماً أو غالباً، ینبغی أن یربّیهم عملاً حتّی لو فرض أنّ الأبوین لم تتّصف نفسهما بأخلاق حسنة و أعمال صالحة یلزم إظهار الصلاح فی حضور الطفل و لو تکلّفاً، مضافاً إلی أنّ هذا الأمر ربما کان سبباً لإصلاح الأبوین؛ إذ المجاز قنطرة إلی الحقیقة، و التکلّف طریق إلی التخلّق، و لا ریب أنّ فساد الأبوین عملاً یؤثّر فی الأطفال سریعاً، فالطفل الذی یربّی عند الأبوین الفاسدین أخلاقاً و عملاً ربما لم یصلح عند المربّی الصالح منذ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فحسن تربیة الأبوین و صلاح نفسهما من توفیقات قهریّة و سعادة غیر اختیاریّة یحصل للطفل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فساد الأبوین و سوء تربیتهما أیضاً من الشقاوات، و سوء الاتّفاقات القهریّة یحصل للطفل</w:t>
      </w:r>
      <w:r>
        <w:rPr>
          <w:rFonts w:eastAsia="IRNazanin" w:cs="IRNazanin"/>
          <w:color w:val="111111"/>
          <w:sz w:val="28"/>
          <w:szCs w:val="28"/>
          <w:rtl w:val="true"/>
          <w:lang w:bidi="fa-IR"/>
        </w:rPr>
        <w:t>»</w:t>
      </w:r>
      <w:r>
        <w:rPr>
          <w:rStyle w:val="FootnoteAnchor"/>
          <w:rtl w:val="true"/>
        </w:rPr>
        <w:footnoteReference w:id="1791"/>
      </w:r>
      <w:bookmarkStart w:id="1000" w:name="pg11754_113182"/>
    </w:p>
    <w:p>
      <w:pPr>
        <w:pStyle w:val="Heading5"/>
        <w:numPr>
          <w:ilvl w:val="4"/>
          <w:numId w:val="1"/>
        </w:numPr>
        <w:rPr/>
      </w:pPr>
      <w:bookmarkStart w:id="1001" w:name="__RefHeading___Toc9531179_73709187"/>
      <w:bookmarkStart w:id="1002" w:name="_Toc392"/>
      <w:bookmarkEnd w:id="1000"/>
      <w:bookmarkEnd w:id="1001"/>
      <w:r>
        <w:rPr>
          <w:rtl w:val="true"/>
        </w:rPr>
        <w:t>ج</w:t>
      </w:r>
      <w:r>
        <w:rPr>
          <w:rtl w:val="true"/>
        </w:rPr>
        <w:t xml:space="preserve">: </w:t>
      </w:r>
      <w:r>
        <w:rPr>
          <w:rtl w:val="true"/>
        </w:rPr>
        <w:t>التربیة عملاً من سنن الأنبیاء و المعصومین علیهم السلام</w:t>
      </w:r>
      <w:bookmarkEnd w:id="1002"/>
    </w:p>
    <w:p>
      <w:pPr>
        <w:pStyle w:val="BookText"/>
        <w:rPr/>
      </w:pPr>
      <w:r>
        <w:rPr>
          <w:rFonts w:ascii="IRNazanin" w:hAnsi="IRNazanin" w:eastAsia="IRNazanin"/>
          <w:color w:val="111111"/>
          <w:sz w:val="28"/>
          <w:sz w:val="28"/>
          <w:szCs w:val="28"/>
          <w:rtl w:val="true"/>
          <w:lang w:bidi="fa-IR"/>
        </w:rPr>
        <w:t>إنّ التربیة من طریق العمل من جملة الطرق التی استفاد منها الأنبیاء و المعصومین علیهم السلام لتربیة أصحابهم و اتّصافهم بالأخلاق الحسنة، و لعلّ هذا هو السرّ الأعظم لتوفیقهم فی جذب الناس و هدایتهم و إصلاحهم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المصادر الحدیثیّة و غیرها أنّهم علیهم السلام علّموا کثیراً من الفضائل و المکارم من طریق العمل، و فی الحقیقة جعلوا أنفسهم قدوة لتابعیهم حتّی یقتدوا بهم، نذکر بعضها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الکلینی عن محمّد بن سنان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لی إلیکم حاجة اقضوها لی،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قُضیت حاجتک یا روح اللّه، فقام فغسّل 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أحقّ بهذا یا روح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هکذا لکیما تتواضعوا بعدی فی الناس کتواضعی لکم</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روی فی الإرشاد عن محمّد بن جعفر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 علیّ بن الحسین علیهما السلام رجل من أهل بیته فأسمعه و شتمه فلم یکلّمه، فلمّا انصرف قال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هذا الرجل، و أنا احبُّ أن تبلغوا معی إلیه حتّی تسمعوا منّی ردّی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لقد کنّا نحبّ أن تقول له و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نعلیه و مشی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فعلمنا أنّه لا یقول له شیئاً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حتّی أتی منزل الرجل فصرخ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إلینا متوثّباً للشرّ و هو لا یشکّ أنّه إنّما جاءه مکافئاً له علی</w:t>
      </w:r>
    </w:p>
    <w:p>
      <w:pPr>
        <w:pStyle w:val="BookText"/>
        <w:rPr/>
      </w:pPr>
      <w:r>
        <w:rPr>
          <w:rFonts w:ascii="IRNazanin" w:hAnsi="IRNazanin" w:eastAsia="IRNazanin"/>
          <w:color w:val="111111"/>
          <w:sz w:val="28"/>
          <w:sz w:val="28"/>
          <w:szCs w:val="28"/>
          <w:rtl w:val="true"/>
          <w:lang w:bidi="fa-IR"/>
        </w:rPr>
        <w:t>بعض ما کان منه، فقال له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إنّک کنت قد وقفت علیّ آنفاً فقلتَ و قلت، فإن کنت قلت ما فی فأنا أستغفر اللّه منه، و إن کنت قلت ما لیسَ فی فغفر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الرجل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قلت فیک ما لیس فیک، و أنا أحقّ به</w:t>
      </w:r>
      <w:r>
        <w:rPr>
          <w:rFonts w:eastAsia="IRNazanin" w:cs="IRNazanin"/>
          <w:color w:val="111111"/>
          <w:sz w:val="28"/>
          <w:szCs w:val="28"/>
          <w:rtl w:val="true"/>
          <w:lang w:bidi="fa-IR"/>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تحف العقول أنّ موسی بن جعفر علیهما السلام مرّ برجل من أهل السواد دمیم</w:t>
      </w:r>
      <w:r>
        <w:rPr>
          <w:rStyle w:val="FootnoteAnchor"/>
          <w:rtl w:val="true"/>
        </w:rPr>
        <w:footnoteReference w:id="1794"/>
      </w:r>
      <w:r>
        <w:rPr>
          <w:rFonts w:ascii="IRNazanin" w:hAnsi="IRNazanin" w:eastAsia="IRNazanin"/>
          <w:color w:val="111111"/>
          <w:sz w:val="28"/>
          <w:sz w:val="28"/>
          <w:szCs w:val="28"/>
          <w:rtl w:val="true"/>
          <w:lang w:bidi="fa-IR"/>
        </w:rPr>
        <w:t>المنظر، فسلّم علیه و نزلَ عِندَه و حادثه طویلاً، ثمّ عرض علیه السلام علیه نفسه فی القیام بحاجةٍ إن عرضتْ 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 تنزل إلی هذا ثمّ تسأله عن حوائجک و هو إلیک أحوج؟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من عبید اللّه، و أخ فی کتاب اللّه، و جارٍ فی بلادِ اللّه، یجمعنا و إیّاهُ خیر الآباء آدم علیه السلام، و أفضل الأدیان الإسلام، و لعلّ الدهر یردُّ من حاجاتنا إلیه فیرانا بعد الزهو</w:t>
      </w:r>
      <w:r>
        <w:rPr>
          <w:rStyle w:val="FootnoteAnchor"/>
          <w:rtl w:val="true"/>
        </w:rPr>
        <w:footnoteReference w:id="1795"/>
      </w:r>
      <w:r>
        <w:rPr>
          <w:rFonts w:ascii="IRNazanin" w:hAnsi="IRNazanin" w:eastAsia="IRNazanin"/>
          <w:color w:val="111111"/>
          <w:sz w:val="28"/>
          <w:sz w:val="28"/>
          <w:szCs w:val="28"/>
          <w:rtl w:val="true"/>
          <w:lang w:bidi="fa-IR"/>
        </w:rPr>
        <w:t>علیه متواضعین بین یدیه،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نواصِلُ مَن لا یستحِقُّ وصالَنا مخافةَ أن نبقی بغیرِ صدیقٍ‌</w:t>
      </w:r>
      <w:r>
        <w:rPr>
          <w:rStyle w:val="FootnoteAnchor"/>
          <w:rtl w:val="true"/>
        </w:rPr>
        <w:footnoteReference w:id="17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عبد اللّه بن الصلت، عن رجل من أهل 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 السلام فی سفره إلی خراسان، فدعا یوماً بمائدةٍ له فجمع علیها موالیه من السودان و غیرهم،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عزلت لهؤلاء مائدة،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 إنّ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الأُمّ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 واحد، و الجزاء بالأعمال</w:t>
      </w:r>
      <w:r>
        <w:rPr>
          <w:rFonts w:eastAsia="IRNazanin" w:cs="IRNazanin"/>
          <w:color w:val="111111"/>
          <w:sz w:val="28"/>
          <w:szCs w:val="28"/>
          <w:rtl w:val="true"/>
          <w:lang w:bidi="fa-IR"/>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فی عیون الأخبار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إذا خلا جمع حشمه کلّهم عنده الصغیر و الکبیر، فیحدّثهم و یأنس بهم و یؤنسهم، و کان علیه السلام إذا جَلَس علی المائدة لا یدع صغیراً و لا کبیراً حتّی السائس و الحجّام إلاّ أقعده معه علی مائدته</w:t>
      </w:r>
      <w:r>
        <w:rPr>
          <w:rStyle w:val="FootnoteAnchor"/>
          <w:rtl w:val="true"/>
        </w:rPr>
        <w:footnoteReference w:id="1798"/>
      </w:r>
      <w:bookmarkStart w:id="1003" w:name="pg11754_113185"/>
    </w:p>
    <w:p>
      <w:pPr>
        <w:pStyle w:val="Heading4"/>
        <w:numPr>
          <w:ilvl w:val="3"/>
          <w:numId w:val="1"/>
        </w:numPr>
        <w:rPr/>
      </w:pPr>
      <w:bookmarkStart w:id="1004" w:name="__RefHeading___Toc9531181_73709187"/>
      <w:bookmarkStart w:id="1005" w:name="_Toc393"/>
      <w:bookmarkEnd w:id="1003"/>
      <w:bookmarkEnd w:id="1004"/>
      <w:r>
        <w:rPr>
          <w:rtl w:val="true"/>
        </w:rPr>
        <w:t>المبحث الرابع</w:t>
      </w:r>
      <w:r>
        <w:rPr>
          <w:rtl w:val="true"/>
        </w:rPr>
        <w:t xml:space="preserve">: </w:t>
      </w:r>
      <w:r>
        <w:rPr>
          <w:rtl w:val="true"/>
        </w:rPr>
        <w:t>التربیة من طریق العادة</w:t>
      </w:r>
      <w:bookmarkEnd w:id="1005"/>
    </w:p>
    <w:p>
      <w:pPr>
        <w:pStyle w:val="Heading5"/>
        <w:numPr>
          <w:ilvl w:val="4"/>
          <w:numId w:val="1"/>
        </w:numPr>
        <w:rPr/>
      </w:pPr>
      <w:bookmarkStart w:id="1006" w:name="__RefHeading___Toc9531183_73709187"/>
      <w:bookmarkStart w:id="1007" w:name="_Toc394"/>
      <w:bookmarkEnd w:id="1006"/>
      <w:r>
        <w:rPr>
          <w:rtl w:val="true"/>
        </w:rPr>
        <w:t>العادة طبع ثان</w:t>
      </w:r>
      <w:bookmarkEnd w:id="1007"/>
    </w:p>
    <w:p>
      <w:pPr>
        <w:pStyle w:val="BookText"/>
        <w:rPr/>
      </w:pPr>
      <w:r>
        <w:rPr>
          <w:rFonts w:ascii="IRNazanin" w:hAnsi="IRNazanin" w:eastAsia="IRNazanin"/>
          <w:color w:val="111111"/>
          <w:sz w:val="28"/>
          <w:sz w:val="28"/>
          <w:szCs w:val="28"/>
          <w:rtl w:val="true"/>
          <w:lang w:bidi="fa-IR"/>
        </w:rPr>
        <w:t>کلّ أمر لا یعتاده الإنسان یصیر بالتکرار عادة، فالصدق و الکذب یعتادهما الإنسان عند تکرارهما، و یکون طبیعة ثانویّة له، کما شاهدنا فی طوال عمرنا غیر مرّة، و قد صرّح بذلک الأئمّة المعصومین علیهم السلام فی روایات کثیرة نتلو علیک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غرر الحکم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للعادة علی کلّ إنسان سلطان</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 یستدعیک ما عوّدته، و نفسک تقتضیک ما ألَّفته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تنبیه الخواطر عن الحسن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العادات قاهرات، فمن اعتاد شیئاً فی سرّه و خلواته، فضحه فی علانیته و عند الملأ</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أیضاً فی غرر الحکم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الجمیل؛ فإنّه یُجمّل عنک الاُحدوثة و یجزل لک المثوبة</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لسانک لین الکلام، و بذل السلام یکثر محبّوک و یقلّ مبغضوک</w:t>
      </w:r>
      <w:r>
        <w:rPr>
          <w:rFonts w:eastAsia="IRNazanin" w:cs="IRNazanin"/>
          <w:color w:val="111111"/>
          <w:sz w:val="28"/>
          <w:szCs w:val="28"/>
          <w:rtl w:val="true"/>
          <w:lang w:bidi="fa-IR"/>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فعل المکارم، و تحمّل أعباء المغارم، تشرف</w:t>
      </w:r>
      <w:bookmarkStart w:id="1008" w:name="pg11754_113186"/>
    </w:p>
    <w:p>
      <w:pPr>
        <w:pStyle w:val="BookText"/>
        <w:rPr/>
      </w:pPr>
      <w:bookmarkEnd w:id="1008"/>
      <w:r>
        <w:rPr>
          <w:rFonts w:ascii="IRNazanin" w:hAnsi="IRNazanin" w:eastAsia="IRNazanin"/>
          <w:color w:val="111111"/>
          <w:sz w:val="28"/>
          <w:sz w:val="28"/>
          <w:szCs w:val="28"/>
          <w:rtl w:val="true"/>
          <w:lang w:bidi="fa-IR"/>
        </w:rPr>
        <w:t>نفسک، و تعمر آخرتک، و یکثر حامدوک</w:t>
      </w:r>
      <w:r>
        <w:rPr>
          <w:rFonts w:eastAsia="IRNazanin" w:cs="IRNazanin"/>
          <w:color w:val="111111"/>
          <w:sz w:val="28"/>
          <w:szCs w:val="28"/>
          <w:rtl w:val="true"/>
          <w:lang w:bidi="fa-IR"/>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الکاشانی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النفس بالعادة تستلذّ الباطل و تمیل إلیه و إلی القبائح، فکیف لا تستلذّ الحقّ لو ردّت إلیه مدّة، و ألزمت المواظبة علیه، بل میل النفس إلی هذه الاُمور الشنیعة خارج عن الطبع یضاهی المیل إلی أکل الطین، و قد یغلب علی بعض الناس ذلک بالعادة، فأمّا میلها إلی الحکمة و حبّ اللّه تعالی و معرفته و عبادته فهو کالمیل إلی الطعام و الشراب، فهو مقتضی طبع القلب</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9531185_73709187"/>
      <w:bookmarkStart w:id="1010" w:name="_Toc395"/>
      <w:bookmarkEnd w:id="1009"/>
      <w:r>
        <w:rPr>
          <w:rtl w:val="true"/>
        </w:rPr>
        <w:t>العادة من أقوم دعائم التربیة</w:t>
      </w:r>
      <w:bookmarkEnd w:id="1010"/>
    </w:p>
    <w:p>
      <w:pPr>
        <w:pStyle w:val="BookText"/>
        <w:rPr/>
      </w:pPr>
      <w:r>
        <w:rPr>
          <w:rFonts w:ascii="IRNazanin" w:hAnsi="IRNazanin" w:eastAsia="IRNazanin"/>
          <w:color w:val="111111"/>
          <w:sz w:val="28"/>
          <w:sz w:val="28"/>
          <w:szCs w:val="28"/>
          <w:rtl w:val="true"/>
          <w:lang w:bidi="fa-IR"/>
        </w:rPr>
        <w:t>إنّ التربیة بالتعوّد هی من أقوم دعائم التربیة و من أمتن وسائلها فی تنشئة الولد إیمانیّاً و تقویمه خلقیّاً، و ذلک لأجل أنّ الطفل ذو قلب طاهر و نفس ساذجة، و طبعه خالٍ عن کلّ عادة، و مستعدّ لتحصیل المکارم و المحاسن، فیلزم علی الآباء و الاُمّهات تعوید أولادهم علی أفعال الخیر و التحلّی بالسمات الخُلقیّة التی یتمسّکون بها فی مراحل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قلوب الأطفال کالمرآة مستعدّ لانعکاس کلّ نقش و صورة، و من جهة اخری إن لم یعتادوا علی أعمال حسنة و أخلاق فاضلة فی سنّ الصبا، یصعب علیهم فعلها بعد البلوغ، فعلی أولیائهم أن یعوّدوهم لتکون لهم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قول أمیر المؤمنین فی وصایاه لابنه الحسن علیهما السلام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قلب الحدث کالأرض الخالیة، ما القی فیها من شیء إلاّ قبلته، فبادر بالأدب قبل أن یقسو قلبک، و یشتغل لبّک</w:t>
      </w:r>
      <w:r>
        <w:rPr>
          <w:rFonts w:eastAsia="IRNazanin" w:cs="IRNazanin"/>
          <w:color w:val="111111"/>
          <w:sz w:val="28"/>
          <w:szCs w:val="28"/>
          <w:rtl w:val="true"/>
          <w:lang w:bidi="fa-IR"/>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وردت نصوص کثیرة بلزوم أمر الوالدین أطفالهم بفعل العبادات التی یجب علیهم بعد البلوغ کالصلاة و الصوم</w:t>
      </w:r>
      <w:r>
        <w:rPr>
          <w:rStyle w:val="FootnoteAnchor"/>
          <w:rtl w:val="true"/>
        </w:rPr>
        <w:footnoteReference w:id="1806"/>
      </w:r>
      <w:r>
        <w:rPr>
          <w:rFonts w:ascii="IRNazanin" w:hAnsi="IRNazanin" w:eastAsia="IRNazanin"/>
          <w:color w:val="111111"/>
          <w:sz w:val="28"/>
          <w:sz w:val="28"/>
          <w:szCs w:val="28"/>
          <w:rtl w:val="true"/>
          <w:lang w:bidi="fa-IR"/>
        </w:rPr>
        <w:t>، و لعلّ السرّ فی ذلک تعوید الطفل علی هذه الأعمال بحیث کان فعلها عند البلوغ سهلاً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النصوص</w:t>
      </w:r>
    </w:p>
    <w:p>
      <w:pPr>
        <w:pStyle w:val="BookText"/>
        <w:rPr/>
      </w:pPr>
      <w:r>
        <w:rPr>
          <w:rFonts w:ascii="IRNazanin" w:hAnsi="IRNazanin" w:eastAsia="IRNazanin"/>
          <w:color w:val="111111"/>
          <w:sz w:val="28"/>
          <w:sz w:val="28"/>
          <w:szCs w:val="28"/>
          <w:rtl w:val="true"/>
          <w:lang w:bidi="fa-IR"/>
        </w:rPr>
        <w:t>ما رواه فی التهذیب عن حفص، عن أبی عبد اللّه علیه السلام 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کان فی الصلاة و إلی جانبه الحسین بن علی علیه السلام، فکبّر رسول اللّه صلی الله علیه و آله فلم یحر</w:t>
      </w:r>
      <w:r>
        <w:rPr>
          <w:rStyle w:val="FootnoteAnchor"/>
          <w:rtl w:val="true"/>
        </w:rPr>
        <w:footnoteReference w:id="1807"/>
      </w:r>
      <w:r>
        <w:rPr>
          <w:rFonts w:ascii="IRNazanin" w:hAnsi="IRNazanin" w:eastAsia="IRNazanin"/>
          <w:color w:val="111111"/>
          <w:sz w:val="28"/>
          <w:sz w:val="28"/>
          <w:szCs w:val="28"/>
          <w:rtl w:val="true"/>
          <w:lang w:bidi="fa-IR"/>
        </w:rPr>
        <w:t>الحسین علیه السلام بالتکبیر، ثمّ کبّر رسول اللّه صلی الله علیه و آله فلم یحر الحسین علیه السلام التکبیر، و لم یزل رسول اللّه صلی الله علیه و آله یکبّر و یعالج الحسین علیه السلام التکبیر فلم یحر حتّی أکمل سبع تکبیرات، فأحار الحسین علیه السلام التکبیر فی السابعة،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سنّة</w:t>
      </w:r>
      <w:r>
        <w:rPr>
          <w:rFonts w:eastAsia="IRNazanin" w:cs="IRNazanin"/>
          <w:color w:val="111111"/>
          <w:sz w:val="28"/>
          <w:szCs w:val="28"/>
          <w:rtl w:val="true"/>
          <w:lang w:bidi="fa-IR"/>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bookmarkStart w:id="1011" w:name="pg11754_113188"/>
    </w:p>
    <w:p>
      <w:pPr>
        <w:pStyle w:val="Heading4"/>
        <w:numPr>
          <w:ilvl w:val="3"/>
          <w:numId w:val="1"/>
        </w:numPr>
        <w:rPr/>
      </w:pPr>
      <w:bookmarkStart w:id="1012" w:name="__RefHeading___Toc9531187_73709187"/>
      <w:bookmarkStart w:id="1013" w:name="_Toc396"/>
      <w:bookmarkEnd w:id="1011"/>
      <w:bookmarkEnd w:id="1012"/>
      <w:r>
        <w:rPr>
          <w:rtl w:val="true"/>
        </w:rPr>
        <w:t>المبحث الخامس</w:t>
      </w:r>
      <w:r>
        <w:rPr>
          <w:rtl w:val="true"/>
        </w:rPr>
        <w:t xml:space="preserve">: </w:t>
      </w:r>
      <w:r>
        <w:rPr>
          <w:rtl w:val="true"/>
        </w:rPr>
        <w:t>التربیة من طریق الموعظة</w:t>
      </w:r>
      <w:bookmarkEnd w:id="1013"/>
    </w:p>
    <w:p>
      <w:pPr>
        <w:pStyle w:val="Heading5"/>
        <w:numPr>
          <w:ilvl w:val="4"/>
          <w:numId w:val="1"/>
        </w:numPr>
        <w:rPr/>
      </w:pPr>
      <w:bookmarkStart w:id="1014" w:name="__RefHeading___Toc9531189_73709187"/>
      <w:bookmarkStart w:id="1015" w:name="_Toc397"/>
      <w:bookmarkEnd w:id="1014"/>
      <w:r>
        <w:rPr>
          <w:rtl w:val="true"/>
        </w:rPr>
        <w:t>أ</w:t>
      </w:r>
      <w:r>
        <w:rPr>
          <w:rtl w:val="true"/>
        </w:rPr>
        <w:t xml:space="preserve">: </w:t>
      </w:r>
      <w:r>
        <w:rPr>
          <w:rtl w:val="true"/>
        </w:rPr>
        <w:t>أهمّیة الموعظة</w:t>
      </w:r>
      <w:bookmarkEnd w:id="1015"/>
    </w:p>
    <w:p>
      <w:pPr>
        <w:pStyle w:val="BookText"/>
        <w:rPr/>
      </w:pPr>
      <w:r>
        <w:rPr>
          <w:rFonts w:ascii="IRNazanin" w:hAnsi="IRNazanin" w:eastAsia="IRNazanin"/>
          <w:color w:val="111111"/>
          <w:sz w:val="28"/>
          <w:sz w:val="28"/>
          <w:szCs w:val="28"/>
          <w:rtl w:val="true"/>
          <w:lang w:bidi="fa-IR"/>
        </w:rPr>
        <w:t>الإنسان یحتاج إلی الموعظة</w:t>
      </w:r>
      <w:r>
        <w:rPr>
          <w:rStyle w:val="FootnoteAnchor"/>
          <w:rtl w:val="true"/>
        </w:rPr>
        <w:footnoteReference w:id="1809"/>
      </w:r>
      <w:r>
        <w:rPr>
          <w:rFonts w:ascii="IRNazanin" w:hAnsi="IRNazanin" w:eastAsia="IRNazanin"/>
          <w:color w:val="111111"/>
          <w:sz w:val="28"/>
          <w:sz w:val="28"/>
          <w:szCs w:val="28"/>
          <w:rtl w:val="true"/>
          <w:lang w:bidi="fa-IR"/>
        </w:rPr>
        <w:t>فی کلّ أدوار عمره سیّما فی سنّ الصبا، إذ هو لا یزال فی معرض الغفلة و القساوة، و الموعظة یوجب إحیاء القلوب و جلاءها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أهمّ وسائل التربیة المؤثّرة فی تکوین الولد إیمانیّاً، و إعداده خُلقیّاً و نفسیّاً و اجتماعیّاً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تربیته بالموعظة، و تذکیره بالنصیحة؛ لما للموعظة و النصیحة من أثر کبیر فی تبصیر الولد حقائق الأشیاء، و دفعه إلی معالی الاُمور، و تحلّیه بمکارم الأخلاق، و توعیته بمبادئ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الکریم ملیء بالآیات التی تتّخذ اسلوب الوعظ أساساً لمنهج الدعوة، و طریقاً إلی الوصول لإصلاح الأفراد، و هدایة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استعرض صفحات القرآن الکریم یجد ظاهرة الاُسلوب الوعظی حقیقة ملموسة فی کثیر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بالتذکیر بالتقوی، و اخری بالتنویه بالتذکرة، و ثالثة بالتعبیر بالموعظة، و رابعة بالحضّ علی النصح، و خامسة باتّباع سبیل الرشاد، و سادسة بالإغراء بالترغیب، و سابعة باستعمال اسلوب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یجد القارئ ظاهرة الوعظ مناسبة فی ألفاظ القرآن الکریم و معانیه بقوالب متعدّدة و أسالیب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یؤکّد لکلّ ذی بصر و بصیرة أنّ للوعظ فی القرآن الکریم أهمّیة بالغة</w:t>
      </w:r>
    </w:p>
    <w:p>
      <w:pPr>
        <w:pStyle w:val="BookText"/>
        <w:rPr/>
      </w:pPr>
      <w:r>
        <w:rPr>
          <w:rFonts w:ascii="IRNazanin" w:hAnsi="IRNazanin" w:eastAsia="IRNazanin"/>
          <w:color w:val="111111"/>
          <w:sz w:val="28"/>
          <w:sz w:val="28"/>
          <w:szCs w:val="28"/>
          <w:rtl w:val="true"/>
          <w:lang w:bidi="fa-IR"/>
        </w:rPr>
        <w:t>فی تربیة النفوس علی الخیر، و حملها علی الحقّ، و استجابتها للهدی</w:t>
      </w:r>
      <w:r>
        <w:rPr>
          <w:rFonts w:eastAsia="IRNazanin" w:cs="IRNazanin"/>
          <w:color w:val="111111"/>
          <w:sz w:val="28"/>
          <w:szCs w:val="28"/>
          <w:rtl w:val="true"/>
          <w:lang w:bidi="fa-IR"/>
        </w:rPr>
        <w:t>»</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إلیک بعض النماذج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قَدْ جاءَتْکُمْ مَوْعِظَةٌ مِنْ رَبِّکُمْ وَ شِفاءٌ لِما فِی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نُصْحِی إِنْ أَرَدْتُ أَنْ أَنْصَحَ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ذلِکُمْ یُوعَظُ بِهِ مَنْ کانَ یُؤْمِنُ بِاللّهِ وَ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ورد فی النصوص الکثیرة مواعظ الأئمة علیهم السلام لأبنائهم و أصحابهم</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الموعظة علی حدّ کان أولیاء اللّه قد یطلبونها من أصحابهم، کما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عش ما شئت فإنّک میّت،</w:t>
      </w:r>
      <w:bookmarkStart w:id="1016" w:name="pg11754_113190"/>
    </w:p>
    <w:p>
      <w:pPr>
        <w:pStyle w:val="BookText"/>
        <w:rPr/>
      </w:pPr>
      <w:bookmarkEnd w:id="1016"/>
      <w:r>
        <w:rPr>
          <w:rFonts w:ascii="IRNazanin" w:hAnsi="IRNazanin" w:eastAsia="IRNazanin"/>
          <w:color w:val="111111"/>
          <w:sz w:val="28"/>
          <w:sz w:val="28"/>
          <w:szCs w:val="28"/>
          <w:rtl w:val="true"/>
          <w:lang w:bidi="fa-IR"/>
        </w:rPr>
        <w:t>و أحبب ما شئت فإنّک مفارقه، و اعمل ما شئت فإنّک ملاقیه، شرف المؤمن صلاته باللیل، و عزّه کفّه عن أعراض الناس</w:t>
      </w:r>
      <w:r>
        <w:rPr>
          <w:rFonts w:eastAsia="IRNazanin" w:cs="IRNazanin"/>
          <w:color w:val="111111"/>
          <w:sz w:val="28"/>
          <w:szCs w:val="28"/>
          <w:rtl w:val="true"/>
          <w:lang w:bidi="fa-IR"/>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أیضاً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أتانی جبرئیل قطّ إلاّ وعظنی</w:t>
      </w:r>
      <w:r>
        <w:rPr>
          <w:rFonts w:eastAsia="IRNazanin" w:cs="IRNazanin"/>
          <w:color w:val="111111"/>
          <w:sz w:val="28"/>
          <w:szCs w:val="28"/>
          <w:rtl w:val="true"/>
          <w:lang w:bidi="fa-IR"/>
        </w:rPr>
        <w:t>»</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9531191_73709187"/>
      <w:bookmarkStart w:id="1018" w:name="_Toc398"/>
      <w:bookmarkEnd w:id="1017"/>
      <w:r>
        <w:rPr>
          <w:rtl w:val="true"/>
        </w:rPr>
        <w:t>مواعظ لقمان لابنه</w:t>
      </w:r>
      <w:bookmarkEnd w:id="1018"/>
    </w:p>
    <w:p>
      <w:pPr>
        <w:pStyle w:val="BookText"/>
        <w:rPr/>
      </w:pPr>
      <w:r>
        <w:rPr>
          <w:rFonts w:ascii="IRNazanin" w:hAnsi="IRNazanin" w:eastAsia="IRNazanin"/>
          <w:color w:val="111111"/>
          <w:sz w:val="28"/>
          <w:sz w:val="28"/>
          <w:szCs w:val="28"/>
          <w:rtl w:val="true"/>
          <w:lang w:bidi="fa-IR"/>
        </w:rPr>
        <w:t>وعظ لقمان فی مقام التربیة و التعلیم ابنه موعظة جامعة، و کفی لأهمّیة هذه الموعظة فی أمر التربیة و التعلیم ذکرها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یحکی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وعظ ابنه أوّلاً بأکبر المسائل الاعتقادیّة و هو التوحید؛ إذ أساس التربیة و تزکیة الفرد هو التوحید و إخلاص العقیدة، و ذکر علّة موعظة ابنه بالتوحید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عظمة کلّ عمل بعظمة أثره، و عظمة المعصیة بعظمة المعصی، فإنّ مؤاخذة العظیم عظیمة، فأعظم المعاصی معصیة اللّه؛ لعظمته و کبریائه فوق کلّ عظمة و کبریاء، بأنّه اللّه لا شریک له، و أعظم معاصیه معصیته فی أنّه اللّه لا شریک له</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ثمّ وعظه بالمعاد الذی کان من أعظم المسائل الاعتقادیّة بعد التوحید،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نبّه فی هذه الموعظة ابنه بدقّة الحساب فی یوم القیامة، و ذکر المفسرون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للخصلة، للخیر و الشرّ، لدلالة السیاق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تکن الخصلة التی عملت من خیر أو شرّ أخفّ الأشیاء و أدقّها کمثقال حبّة من خردل، فتکن تلک الخصلة الصغیرة مستقرّة فی جوف صخرة أو فی أیّ مکان من السماوات و الأرض، یأتِ بها اللّه للحساب و الجزاء؛ لأنّ اللّه لطیف ینفذ علمه فی أعماق الأشیاء، و یصل إلی کلّ خفیّ، خبیر یعلم کنه الموجودات</w:t>
      </w:r>
      <w:r>
        <w:rPr>
          <w:rFonts w:eastAsia="IRNazanin" w:cs="IRNazanin"/>
          <w:color w:val="111111"/>
          <w:sz w:val="28"/>
          <w:szCs w:val="28"/>
          <w:rtl w:val="true"/>
          <w:lang w:bidi="fa-IR"/>
        </w:rPr>
        <w:t>»</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وعظه بالصلاة التی هی أفضل الأعمال و عمود الدین و معراج المؤمن، فقد</w:t>
      </w:r>
    </w:p>
    <w:p>
      <w:pPr>
        <w:pStyle w:val="BookText"/>
        <w:rPr/>
      </w:pPr>
      <w:r>
        <w:rPr>
          <w:rFonts w:ascii="Amiri" w:hAnsi="Amiri" w:eastAsia="Amiri" w:cs="Amiri"/>
          <w:color w:val="111111"/>
          <w:sz w:val="28"/>
          <w:sz w:val="28"/>
          <w:szCs w:val="28"/>
          <w:rtl w:val="true"/>
          <w:lang w:bidi="ar-SA"/>
        </w:rPr>
        <w:t>روی فی الکافی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أفضل ما یتقرّب به العباد إلی ربّهم و أحبّ ذلک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 شیئاً بعد المعرفة أفضل من هذه الصلاة، أ لا تری أنّ العبد الصالح عیسی بن مریم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وعظه بعد الصلاة بالأمر بالمعروف و النهی عن المنکر اللذین هما عاملان</w:t>
      </w:r>
      <w:bookmarkStart w:id="1019" w:name="pg11754_113192"/>
    </w:p>
    <w:p>
      <w:pPr>
        <w:pStyle w:val="BookText"/>
        <w:rPr/>
      </w:pPr>
      <w:bookmarkEnd w:id="1019"/>
      <w:r>
        <w:rPr>
          <w:rFonts w:ascii="IRNazanin" w:hAnsi="IRNazanin" w:eastAsia="IRNazanin"/>
          <w:color w:val="111111"/>
          <w:sz w:val="28"/>
          <w:sz w:val="28"/>
          <w:szCs w:val="28"/>
          <w:rtl w:val="true"/>
          <w:lang w:bidi="fa-IR"/>
        </w:rPr>
        <w:t>لتزکیة الناس و فلاحهم، و بأهمّ المسائل الأخلاقیّة؛ أی الصبر الذی هو الأساس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وعظه باجتنابه عن مساوئ الأخلاق و علی رأسها التکبّر و العجب،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تعرض بوجهک عن الناس تکبّراً و لا تمشِ فی الأرض مشیة من اشتدّ فرحه، إنّ اللّه لا یحبّ کلّ من تأخذه الخیلاءُ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التکبّر بتخیّل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من الفخر</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نهاه عن الخلق الذمیم رسم له الخلق الکریم الذی ینبغی أن یستعمله،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توسّط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اغْضُضْ مِنْ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انقص منه و لا تتکلّف رفع الصوت، و خذ منه ما تحتاج إلیه؛ فإنّ الجهر بأکثر من الحاجة تکلّف یؤذی، و المراد بذلک کلّه التواضع</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9531193_73709187"/>
      <w:bookmarkStart w:id="1021" w:name="_Toc399"/>
      <w:bookmarkEnd w:id="1020"/>
      <w:r>
        <w:rPr>
          <w:rtl w:val="true"/>
        </w:rPr>
        <w:t>نماذج من مواعظ المعصومین علیهم السلام أبناءهم</w:t>
      </w:r>
      <w:bookmarkEnd w:id="102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المعصومین علیهم السلام سلکوا لإصلاح أبنائهم و هدایة الناس طرقاً کثیرة، و لعلّ من أهمّها هی الموعظة، فمن استعرض الروایات الواردة منهم یجد</w:t>
      </w:r>
    </w:p>
    <w:p>
      <w:pPr>
        <w:pStyle w:val="BookText"/>
        <w:rPr/>
      </w:pPr>
      <w:r>
        <w:rPr>
          <w:rFonts w:ascii="IRNazanin" w:hAnsi="IRNazanin" w:eastAsia="IRNazanin"/>
          <w:color w:val="111111"/>
          <w:sz w:val="28"/>
          <w:sz w:val="28"/>
          <w:szCs w:val="28"/>
          <w:rtl w:val="true"/>
          <w:lang w:bidi="fa-IR"/>
        </w:rPr>
        <w:t>الاُسلوب الموعظة حقیقة ملموسة فی کلماتهم فی موارد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مواعظ أمیر المؤمنین علیه السلام لابنیه الحسن و الحسین علیهما السلام علی نحو المثال کقوله لابنه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اوصیک بتقوی اللّه أی بُنیّ، و لزوم أمره، و عمارة قلبک بذکره، و الاعتصام بحبله، و أیّ سبب أوثق من سبب بینک و بین اللّه جلّ جلاله، إن أنت أخذت به، أحیِ قلبک بالموعظة، و موّته بالزهد، و قوِّه بالیقین، و ذلّله بالموت، و قرِّره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نفسک میزاناً فیما بینک و بین غیرک، فأحبِبْ لغیرکَ ما تُحِبّ لنفسک و اکره له ما تکره لنفسک، و لا تظلم کما لا تُحبّ أن تظلم، و أحسن کما تُحبّ أن یُحسَن إلیک، و استقبح من نفسک ما تستقبح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إنّ أمامک طریقاً ذا مشقّة بعیدة، و أهوال شدیدة، و أنّه لا غنی بک فیه عن حسن الارتیاد، و قدر بلاغک من الزاد مع خفّة الظهر، فلا تحملنّ علی ظهرک فوق بلاغک فیکون ثقیلاً و وبالاً علیک، و إذا وجدت من أهل الحاجة من یحمل لک زادک فیوافیک به حیث تحتاج إلیه فاغتنمه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الذی بیده ملکوت خزائن الدنیا و الآخرة قد أذن بدعائک، و تکفّل لإجابتک، و أمرک أن تسأله لیعطیک، و هو رحیم، لم یجعل بینک و بینه ترجماناً، و لم یحجبک عنه، و لم یلجئک إلی من یشفع لک إلیه، و لم یمنعک إن أسأت التوبة، و لم یُعیّرک بالإنابة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بیدک مفاتیح خزائنه فألحِح علیه فی المسألة یفتح لک باب الرحمة بما أذن لک فیه من مسألته، فمتی شئت استفتحت بالدّعاء أبواب خزائنه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ینجو منه هاربه، و لا بدّ أنّه یدرکک یوماً، فکن منه علی حذر أن یدرکک علی حال سیّئةٍ قد کنت تحدّث نفسک فیها بالتوبة، فیحول بینک و بین ذلک، فإذاً أنت قد أهلکت نفسک</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لابنه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أوصیک بتقوی اللّه فی الغنی و الفقر، و کلمة الحقّ فی الرضی و الغضب، و القصد فی الغنی و الفقر، و بالعدل علی الصدیق و العدوّ، و بالعمل فی النشاط و الکسل، و الرضی عن اللّه فی الشدّة 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 بُنیّ أنّه من أبصر عیب نفسه شغل عن عیب غیره، و مَن تعرّی من لباس التقوی لم یستتر بشیءٍ من اللباس، و مَن رضی بقسم اللّه لم یحزن علی ما فاته، و من سلَّ سیف البغی قُتِل به، و مَن حفر بئراً لأخیه وقع فیها، و من هتک حجاب غیره انکشفت عورات بیته، و مَن نسی خطیئته استعظم خطیئة غیره، و من کابد</w:t>
      </w:r>
      <w:r>
        <w:rPr>
          <w:rStyle w:val="FootnoteAnchor"/>
          <w:rtl w:val="true"/>
        </w:rPr>
        <w:footnoteReference w:id="1820"/>
      </w:r>
      <w:r>
        <w:rPr>
          <w:rFonts w:ascii="Amiri" w:hAnsi="Amiri" w:eastAsia="Amiri" w:cs="Amiri"/>
          <w:color w:val="111111"/>
          <w:sz w:val="28"/>
          <w:sz w:val="28"/>
          <w:szCs w:val="28"/>
          <w:rtl w:val="true"/>
          <w:lang w:bidi="ar-SA"/>
        </w:rPr>
        <w:t>الاُمور عطب، و من اقتحم الغمرات غرق، و من أُعجب برأیه ضلّ، و من استغنی بعقله زلَّ، و من تکبّر علی الناس ذلّ، و من خالط العلماء وُقِّر، و من خالط الأنذال حُقِّر، و من سفِه علی الناس 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کثر کلامه کثر خطؤه، و من کثر خطؤه قلَّ حیاؤه، و من قلّ حیاؤه قلّ ورعه، و من قلّ ورعه مات قلبه، و من مات قلبه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بُنیّ من نظر فی عیوب الناس و رضی لنفسه بها فذاک الأحمق بعینه، و من تفکّر اعتبر، و من اعتبر اعتزل، و من اعتزل سلم، و من ترک الشهوات کان حرّاً، و من ترک الحسد کانت له المحبّة عند الناس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بُنیّ عزّ المؤمن غناه عن الناس، و القناعة مالٌ لا ینفد، و من أکثر ذکر</w:t>
      </w:r>
      <w:bookmarkStart w:id="1022" w:name="pg11754_113195"/>
    </w:p>
    <w:p>
      <w:pPr>
        <w:pStyle w:val="BookText"/>
        <w:rPr/>
      </w:pPr>
      <w:bookmarkEnd w:id="1022"/>
      <w:r>
        <w:rPr>
          <w:rFonts w:ascii="IRNazanin" w:hAnsi="IRNazanin" w:eastAsia="IRNazanin"/>
          <w:color w:val="111111"/>
          <w:sz w:val="28"/>
          <w:sz w:val="28"/>
          <w:szCs w:val="28"/>
          <w:rtl w:val="true"/>
          <w:lang w:bidi="fa-IR"/>
        </w:rPr>
        <w:t>الموت رضی من الدنیا بالیسیر، و من علم أنّ کلامه من عمله قلَّ کلامه إلاّ فیما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رأس العلم الرفق، و آفته الخرق</w:t>
      </w:r>
      <w:r>
        <w:rPr>
          <w:rStyle w:val="FootnoteAnchor"/>
          <w:rtl w:val="true"/>
        </w:rPr>
        <w:footnoteReference w:id="1821"/>
      </w:r>
      <w:r>
        <w:rPr>
          <w:rFonts w:ascii="IRNazanin" w:hAnsi="IRNazanin" w:eastAsia="IRNazanin"/>
          <w:color w:val="111111"/>
          <w:sz w:val="28"/>
          <w:sz w:val="28"/>
          <w:szCs w:val="28"/>
          <w:rtl w:val="true"/>
          <w:lang w:bidi="fa-IR"/>
        </w:rPr>
        <w:t>، و من کنوز الإیمان الصبر علی المصائب، و العفاف زینة الفقر، و الشکر زینةُ الغنی، کثرة الزیارة تورث الملالة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إعجاب المرء بنفسه یدلّ علی ضعف عقله، أی بُنیّ کم نظرة جلبت حسرة و کم من کلمةٍ سلبت نعمةً</w:t>
      </w:r>
      <w:r>
        <w:rPr>
          <w:rFonts w:eastAsia="IRNazanin" w:cs="IRNazanin"/>
          <w:color w:val="111111"/>
          <w:sz w:val="28"/>
          <w:szCs w:val="28"/>
          <w:rtl w:val="true"/>
          <w:lang w:bidi="fa-IR"/>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9531195_73709187"/>
      <w:bookmarkStart w:id="1024" w:name="_Toc400"/>
      <w:bookmarkEnd w:id="1023"/>
      <w:r>
        <w:rPr>
          <w:rtl w:val="true"/>
        </w:rPr>
        <w:t>آداب الموعظة</w:t>
      </w:r>
      <w:bookmarkEnd w:id="1024"/>
    </w:p>
    <w:p>
      <w:pPr>
        <w:pStyle w:val="Heading6"/>
        <w:numPr>
          <w:ilvl w:val="5"/>
          <w:numId w:val="1"/>
        </w:numPr>
        <w:rPr/>
      </w:pPr>
      <w:bookmarkStart w:id="1025" w:name="__RefHeading___Toc9531197_73709187"/>
      <w:bookmarkStart w:id="1026" w:name="_Toc401"/>
      <w:bookmarkEnd w:id="1025"/>
      <w:r>
        <w:rPr>
          <w:rtl w:val="true"/>
        </w:rPr>
        <w:t>اشارة</w:t>
      </w:r>
      <w:bookmarkEnd w:id="1026"/>
    </w:p>
    <w:p>
      <w:pPr>
        <w:pStyle w:val="BookText"/>
        <w:rPr/>
      </w:pPr>
      <w:r>
        <w:rPr>
          <w:rFonts w:ascii="IRNazanin" w:hAnsi="IRNazanin" w:eastAsia="IRNazanin"/>
          <w:color w:val="111111"/>
          <w:sz w:val="28"/>
          <w:sz w:val="28"/>
          <w:szCs w:val="28"/>
          <w:rtl w:val="true"/>
          <w:lang w:bidi="fa-IR"/>
        </w:rPr>
        <w:t>ذکر علماء الأخلاق فی کتبهم لبعض أقسام الموعظة آداب، و حیث إنّ رعایتها مؤثّرة فی تربیة الأطفال نذکرها فیما یلی</w:t>
      </w:r>
      <w:r>
        <w:rPr>
          <w:rFonts w:eastAsia="IRNazanin" w:cs="IRNazanin"/>
          <w:color w:val="111111"/>
          <w:sz w:val="28"/>
          <w:szCs w:val="28"/>
          <w:rtl w:val="true"/>
          <w:lang w:bidi="fa-IR"/>
        </w:rPr>
        <w:t>:</w:t>
      </w:r>
    </w:p>
    <w:p>
      <w:pPr>
        <w:pStyle w:val="Heading6"/>
        <w:numPr>
          <w:ilvl w:val="5"/>
          <w:numId w:val="1"/>
        </w:numPr>
        <w:rPr/>
      </w:pPr>
      <w:bookmarkStart w:id="1027" w:name="__RefHeading___Toc9531199_73709187"/>
      <w:bookmarkStart w:id="1028" w:name="_Toc402"/>
      <w:bookmarkEnd w:id="1027"/>
      <w:r>
        <w:rPr>
          <w:rtl w:val="true"/>
        </w:rPr>
        <w:t>الأوّل</w:t>
      </w:r>
      <w:r>
        <w:rPr>
          <w:rtl w:val="true"/>
        </w:rPr>
        <w:t xml:space="preserve">: </w:t>
      </w:r>
      <w:r>
        <w:rPr>
          <w:rtl w:val="true"/>
        </w:rPr>
        <w:t>أن یکون الوعظ سرّاً</w:t>
      </w:r>
      <w:bookmarkEnd w:id="1028"/>
    </w:p>
    <w:p>
      <w:pPr>
        <w:pStyle w:val="BookText"/>
        <w:rPr/>
      </w:pPr>
      <w:r>
        <w:rPr>
          <w:rFonts w:ascii="IRNazanin" w:hAnsi="IRNazanin" w:eastAsia="IRNazanin"/>
          <w:color w:val="111111"/>
          <w:sz w:val="28"/>
          <w:sz w:val="28"/>
          <w:szCs w:val="28"/>
          <w:rtl w:val="true"/>
          <w:lang w:bidi="fa-IR"/>
        </w:rPr>
        <w:t>؛ إذ الموعظة فی العلانیة و فی حضور الناس یوجب قصم شخصیّة الطفل، مضافاً إلی أنّه لو کان الوعظ لخطاء صدر من الطفل، اطّلع الناس علی عیوبه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w:t>
      </w:r>
    </w:p>
    <w:p>
      <w:pPr>
        <w:pStyle w:val="BookText"/>
        <w:rPr/>
      </w:pPr>
      <w:r>
        <w:rPr>
          <w:rFonts w:ascii="IRNazanin" w:hAnsi="IRNazanin" w:eastAsia="IRNazanin"/>
          <w:color w:val="111111"/>
          <w:sz w:val="28"/>
          <w:sz w:val="28"/>
          <w:szCs w:val="28"/>
          <w:rtl w:val="true"/>
          <w:lang w:bidi="fa-IR"/>
        </w:rPr>
        <w:t>ما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نصحک بین الملأ تقریع</w:t>
      </w:r>
      <w:r>
        <w:rPr>
          <w:rFonts w:eastAsia="IRNazanin" w:cs="IRNazanin"/>
          <w:color w:val="111111"/>
          <w:sz w:val="28"/>
          <w:szCs w:val="28"/>
          <w:rtl w:val="true"/>
          <w:lang w:bidi="fa-IR"/>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ورد عن مولانا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علانیة فقد شانه</w:t>
      </w:r>
      <w:r>
        <w:rPr>
          <w:rFonts w:eastAsia="IRNazanin" w:cs="IRNazanin"/>
          <w:color w:val="111111"/>
          <w:sz w:val="28"/>
          <w:szCs w:val="28"/>
          <w:rtl w:val="true"/>
          <w:lang w:bidi="fa-IR"/>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9531201_73709187"/>
      <w:bookmarkStart w:id="1030" w:name="_Toc403"/>
      <w:bookmarkEnd w:id="1029"/>
      <w:r>
        <w:rPr>
          <w:rtl w:val="true"/>
        </w:rPr>
        <w:t>الثانی</w:t>
      </w:r>
      <w:r>
        <w:rPr>
          <w:rtl w:val="true"/>
        </w:rPr>
        <w:t xml:space="preserve">: </w:t>
      </w:r>
      <w:r>
        <w:rPr>
          <w:rtl w:val="true"/>
        </w:rPr>
        <w:t>أن تکون الموعظة حسنة</w:t>
      </w:r>
      <w:bookmarkEnd w:id="10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لا یکون فیها الخشونة و التحقیر،</w:t>
      </w:r>
      <w:bookmarkStart w:id="1031" w:name="pg11754_113196"/>
    </w:p>
    <w:p>
      <w:pPr>
        <w:pStyle w:val="BookText"/>
        <w:rPr/>
      </w:pPr>
      <w:bookmarkEnd w:id="1031"/>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الوعظ الحسن، و هو الصرف عن القبیح علی وجه الترغیب فی ترکه، و التزهید فی فعله، و فی ذلک تلیین القلوب بما یوجب الخشوع</w:t>
      </w:r>
      <w:r>
        <w:rPr>
          <w:rFonts w:eastAsia="IRNazanin" w:cs="IRNazanin"/>
          <w:color w:val="111111"/>
          <w:sz w:val="28"/>
          <w:szCs w:val="28"/>
          <w:rtl w:val="true"/>
          <w:lang w:bidi="fa-IR"/>
        </w:rPr>
        <w:t>»</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منقسمة إلی حسنة و غیر حسنة، و حسن الموعظة إنّما هی من حیث حسن أثره فی الحقّ الذی یراد به؛ بأن یکون الواعظ نفسه متّعظاً بما یعظ، و یستعمل فیها من الخُلق الحسن ما یزید فی وقوعها فی قلب السامع موقع القبول، فیرقّ له القلب و یقشعرّ به الجلد، و یعیه السمع و یخشع له البصر</w:t>
      </w:r>
      <w:r>
        <w:rPr>
          <w:rFonts w:eastAsia="IRNazanin" w:cs="IRNazanin"/>
          <w:color w:val="111111"/>
          <w:sz w:val="28"/>
          <w:szCs w:val="28"/>
          <w:rtl w:val="true"/>
          <w:lang w:bidi="fa-IR"/>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2" w:name="__RefHeading___Toc9531203_73709187"/>
      <w:bookmarkStart w:id="1033" w:name="_Toc404"/>
      <w:bookmarkEnd w:id="1032"/>
      <w:r>
        <w:rPr>
          <w:rtl w:val="true"/>
        </w:rPr>
        <w:t>الثالث</w:t>
      </w:r>
      <w:r>
        <w:rPr>
          <w:rtl w:val="true"/>
        </w:rPr>
        <w:t xml:space="preserve">: </w:t>
      </w:r>
      <w:r>
        <w:rPr>
          <w:rtl w:val="true"/>
        </w:rPr>
        <w:t>أن تکون خلیطاً مع تذکّر النعمة</w:t>
      </w:r>
      <w:bookmarkEnd w:id="1033"/>
    </w:p>
    <w:p>
      <w:pPr>
        <w:pStyle w:val="BookText"/>
        <w:rPr/>
      </w:pPr>
      <w:r>
        <w:rPr>
          <w:rFonts w:ascii="Amiri" w:hAnsi="Amiri" w:eastAsia="Amiri" w:cs="Amiri"/>
          <w:color w:val="111111"/>
          <w:sz w:val="28"/>
          <w:sz w:val="28"/>
          <w:szCs w:val="28"/>
          <w:rtl w:val="true"/>
          <w:lang w:bidi="ar-SA"/>
        </w:rPr>
        <w:t xml:space="preserve">، یستفاد هذا أیضاً من القرآن؛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النعم التی أنعم بها رسوله صلی الله علیه و آله، ثمّ وعظه و أوصاه،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صلی الله علیه و آله بعض نعمه العظام التی منّ علیه من قبل، و من تلک النعم أنّه صلی الله علیه و آله کان یتیماً حیث مات أبوه و هو فی بطن امّه، ثمّ ماتت امّه و هو ابن سنتین، ثمّ مات جدّه الکفیل له و هو ابن 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شملته العنایة الإلهیّة بإتمام العقل و الهدایة،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مال له فکان فقیراً فأغناه اللّه، ثمّ بعد هذا</w:t>
      </w:r>
      <w:bookmarkStart w:id="1034" w:name="pg11754_113197"/>
    </w:p>
    <w:p>
      <w:pPr>
        <w:pStyle w:val="BookText"/>
        <w:rPr/>
      </w:pPr>
      <w:bookmarkEnd w:id="1034"/>
      <w:r>
        <w:rPr>
          <w:rFonts w:ascii="IRNazanin" w:hAnsi="IRNazanin" w:eastAsia="IRNazanin"/>
          <w:color w:val="111111"/>
          <w:sz w:val="28"/>
          <w:sz w:val="28"/>
          <w:szCs w:val="28"/>
          <w:rtl w:val="true"/>
          <w:lang w:bidi="fa-IR"/>
        </w:rPr>
        <w:t>أمره بأن لا تقهر الیتیم باستذلاله فی نفسه أو ماله، و لا تزجر سائلاً یسألک رفع حاجته إلی هدی أو معاش</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5" w:name="__RefHeading___Toc9531205_73709187"/>
      <w:bookmarkStart w:id="1036" w:name="_Toc405"/>
      <w:bookmarkEnd w:id="1035"/>
      <w:r>
        <w:rPr>
          <w:rtl w:val="true"/>
        </w:rPr>
        <w:t>الرابع</w:t>
      </w:r>
      <w:r>
        <w:rPr>
          <w:rtl w:val="true"/>
        </w:rPr>
        <w:t xml:space="preserve">: </w:t>
      </w:r>
      <w:r>
        <w:rPr>
          <w:rtl w:val="true"/>
        </w:rPr>
        <w:t>عدم التصریح بالفعل</w:t>
      </w:r>
      <w:bookmarkEnd w:id="1036"/>
    </w:p>
    <w:p>
      <w:pPr>
        <w:pStyle w:val="BookText"/>
        <w:rPr/>
      </w:pPr>
      <w:r>
        <w:rPr>
          <w:rFonts w:ascii="IRNazanin" w:hAnsi="IRNazanin" w:eastAsia="IRNazanin"/>
          <w:color w:val="111111"/>
          <w:sz w:val="28"/>
          <w:sz w:val="28"/>
          <w:szCs w:val="28"/>
          <w:rtl w:val="true"/>
          <w:lang w:bidi="fa-IR"/>
        </w:rPr>
        <w:t>، و من جملة آدابها سیّما إذا صدرت لأجل فعل قبیح صدر عن الصبیّ، عدم التصریح بالفعل، و ینبغی أن تکون بالکنایة و التلویح؛ فإنّ الکنایة غالباً أبلغ و أنفع من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ضرب الصبیّ أخاه الصغیر أو شتم، و صرّح الوالدان بخطئه، و وبّخاه علی ذلک الفعل یوجب هذا التصریح هتک حیثیّته و کسر شخصیّته، و یکون سبباً لجرأته علی تکرار الفعل سیّما إذا کان بمرأی الآخرین، بل ینبغی تظاهر الوالدین بعدم اطّلاعهما علی 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معرض تعداد آداب المعلّم مع طلبته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یزجره عن سوء الأخلاق و ارتکاب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التعریض ما أمکن لا بطریق التصریح مع الغنی عنه، و بطریق الرحمة لا بطریق التوبیخ؛ فإنّ التصریح یهتک حجاب الهیبة، و یُورث الجرأة علی الهجوم بالخلاف، و یهیّج الحرص علی الإصرار، و قد ورد لو منع الناس من فتأمل البعر لفتوه</w:t>
      </w:r>
      <w:r>
        <w:rPr>
          <w:rFonts w:eastAsia="IRNazanin" w:cs="IRNazanin"/>
          <w:color w:val="111111"/>
          <w:sz w:val="28"/>
          <w:szCs w:val="28"/>
          <w:rtl w:val="true"/>
          <w:lang w:bidi="fa-IR"/>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فی المحجّة البیضاء و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التعریض أیضاً یمیل النفوس الفاضلة و الأذهان الزکیّة إلی استنباط معانی ذلک، فیفید فرح التفطّن لمعناه رغبة فی العمل به لیعلم أنّ ذلک ممّا لا یعزب عن فتنةٍ</w:t>
      </w:r>
      <w:r>
        <w:rPr>
          <w:rFonts w:eastAsia="IRNazanin" w:cs="IRNazanin"/>
          <w:color w:val="111111"/>
          <w:sz w:val="28"/>
          <w:szCs w:val="28"/>
          <w:rtl w:val="true"/>
          <w:lang w:bidi="fa-IR"/>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رواه فی الغرر عن أمیر المؤمنین علیه السلام أنّه 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زلّة العاقل له</w:t>
      </w:r>
      <w:bookmarkStart w:id="1037" w:name="pg11754_113198"/>
    </w:p>
    <w:p>
      <w:pPr>
        <w:pStyle w:val="BookText"/>
        <w:rPr/>
      </w:pPr>
      <w:bookmarkEnd w:id="1037"/>
      <w:r>
        <w:rPr>
          <w:rFonts w:ascii="IRNazanin" w:hAnsi="IRNazanin" w:eastAsia="IRNazanin"/>
          <w:color w:val="111111"/>
          <w:sz w:val="28"/>
          <w:sz w:val="28"/>
          <w:szCs w:val="28"/>
          <w:rtl w:val="true"/>
          <w:lang w:bidi="fa-IR"/>
        </w:rPr>
        <w:t>أمضّ من عتابه</w:t>
      </w:r>
      <w:r>
        <w:rPr>
          <w:rFonts w:eastAsia="IRNazanin" w:cs="IRNazanin"/>
          <w:color w:val="111111"/>
          <w:sz w:val="28"/>
          <w:szCs w:val="28"/>
          <w:rtl w:val="true"/>
          <w:lang w:bidi="fa-IR"/>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فی المناقب عن الشقرانی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العطاء أیّام أبی جعفر و ما لی شفیع، فبقیت علی الباب متحیّراً و إذا أنا بجعفر الصادق علیه السلام، فقمت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أنا مولاک الشقرانی، فرحّب بی و ذکرت له حاجتی، فنزل و دخل و خرج و أعطانی من کمّه فصبّه فی کمّی،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شقرانی إنّ الحسن من کلّ أحد حسن و أنّه منک أحسن لمکانک منّا، و إنّ القبیح من کلّ أحد قبیح و أنّه منک أقبح</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بعد نقل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وعظه علی جهة التعریض؛ لأنّه کان یشرب</w:t>
      </w:r>
      <w:r>
        <w:rPr>
          <w:rFonts w:eastAsia="IRNazanin" w:cs="IRNazanin"/>
          <w:color w:val="111111"/>
          <w:sz w:val="28"/>
          <w:szCs w:val="28"/>
          <w:rtl w:val="true"/>
          <w:lang w:bidi="fa-IR"/>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9531207_73709187"/>
      <w:bookmarkStart w:id="1039" w:name="_Toc406"/>
      <w:bookmarkEnd w:id="1038"/>
      <w:r>
        <w:rPr>
          <w:rtl w:val="true"/>
        </w:rPr>
        <w:t>الخامس</w:t>
      </w:r>
      <w:r>
        <w:rPr>
          <w:rtl w:val="true"/>
        </w:rPr>
        <w:t xml:space="preserve">: </w:t>
      </w:r>
      <w:r>
        <w:rPr>
          <w:rtl w:val="true"/>
        </w:rPr>
        <w:t>أن یکون الواعظ متّعظاً،</w:t>
      </w:r>
      <w:bookmarkEnd w:id="1039"/>
    </w:p>
    <w:p>
      <w:pPr>
        <w:pStyle w:val="BookText"/>
        <w:rPr/>
      </w:pPr>
      <w:r>
        <w:rPr>
          <w:rFonts w:ascii="Amiri" w:hAnsi="Amiri" w:eastAsia="Amiri" w:cs="Amiri"/>
          <w:color w:val="111111"/>
          <w:sz w:val="28"/>
          <w:sz w:val="28"/>
          <w:szCs w:val="28"/>
          <w:rtl w:val="true"/>
          <w:lang w:bidi="ar-SA"/>
        </w:rPr>
        <w:t xml:space="preserve">و من جملة آدابها أن یکون الواعظ متّعظاً و عاملاً بما وعظ الغیر به، و قد ذمّ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غیر المتّعظ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مسوق للتوبیخ، ففیه توبیخ المؤمنین علی قولهم ما لا یفعلون</w:t>
      </w:r>
      <w:r>
        <w:rPr>
          <w:rFonts w:eastAsia="IRNazanin" w:cs="IRNazanin"/>
          <w:color w:val="111111"/>
          <w:sz w:val="28"/>
          <w:szCs w:val="28"/>
          <w:rtl w:val="true"/>
          <w:lang w:bidi="fa-IR"/>
        </w:rPr>
        <w:t>.»</w:t>
      </w:r>
      <w:r>
        <w:rPr>
          <w:rStyle w:val="FootnoteAnchor"/>
          <w:rtl w:val="true"/>
        </w:rPr>
        <w:footnoteReference w:id="183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توجب علی کلّ من ألزم نفسه عملاً فیه طاعة أن یفی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استفهام علی جهة الإنکار و التوبیخ علی أن یقول الإنسان</w:t>
      </w:r>
    </w:p>
    <w:p>
      <w:pPr>
        <w:pStyle w:val="BookText"/>
        <w:rPr/>
      </w:pPr>
      <w:r>
        <w:rPr>
          <w:rFonts w:ascii="IRNazanin" w:hAnsi="IRNazanin" w:eastAsia="IRNazanin"/>
          <w:color w:val="111111"/>
          <w:sz w:val="28"/>
          <w:sz w:val="28"/>
          <w:szCs w:val="28"/>
          <w:rtl w:val="true"/>
          <w:lang w:bidi="fa-IR"/>
        </w:rPr>
        <w:t>عن نفسه من الخیر ما 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الماضی فیکون کذباً، و أمّا فی المستقبل فیکون خلفاً، و کلاهما مذموم</w:t>
      </w:r>
      <w:r>
        <w:rPr>
          <w:rFonts w:eastAsia="IRNazanin" w:cs="IRNazanin"/>
          <w:color w:val="111111"/>
          <w:sz w:val="28"/>
          <w:szCs w:val="28"/>
          <w:rtl w:val="true"/>
          <w:lang w:bidi="fa-IR"/>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الخطاب و إن کان موجّهاً إلی بنی إسرائیل؛ لکنّه عامّ یشمل الجمیع و أشدّ معاتبةً الآمرون بالمعروف التارکون له، و الناهون عن المنکر الفاعلون له، حتّی نفی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العقل بلسان التوبیخ و التأنیب، و هو کذلک؛ لأنّ من أوّل مرتبة العقل و الکمال العقلی هو مطابقة القول للفعل، بل یُعدّ ذلک من الاُمور النظامیّة الاجتماعیّة؛ فإنّ نظام المجتمع یقوم بالقانون و العمل به، و بدونه یکون خرقاً للنظام و إشاعة للفساد</w:t>
      </w:r>
      <w:r>
        <w:rPr>
          <w:rFonts w:eastAsia="IRNazanin" w:cs="IRNazanin"/>
          <w:color w:val="111111"/>
          <w:sz w:val="28"/>
          <w:szCs w:val="28"/>
          <w:rtl w:val="true"/>
          <w:lang w:bidi="fa-IR"/>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هذا الأدب من الروایات أیضاً، کما</w:t>
      </w:r>
    </w:p>
    <w:p>
      <w:pPr>
        <w:pStyle w:val="BookText"/>
        <w:rPr/>
      </w:pPr>
      <w:r>
        <w:rPr>
          <w:rFonts w:ascii="IRNazanin" w:hAnsi="IRNazanin" w:eastAsia="IRNazanin"/>
          <w:color w:val="111111"/>
          <w:sz w:val="28"/>
          <w:sz w:val="28"/>
          <w:szCs w:val="28"/>
          <w:rtl w:val="true"/>
          <w:lang w:bidi="fa-IR"/>
        </w:rPr>
        <w:t>ورد عن مولانا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ممّن یبالغ فی الموعظة و لا یتّعظ، فهو بالقول مدلّ و من العمل مقلّ، ینافس فیما یفنی و یسامح فیما یبقی، یری الغنم مغرماً و الغرم مغنماً</w:t>
      </w:r>
      <w:r>
        <w:rPr>
          <w:rFonts w:eastAsia="IRNazanin" w:cs="IRNazanin"/>
          <w:color w:val="111111"/>
          <w:sz w:val="28"/>
          <w:szCs w:val="28"/>
          <w:rtl w:val="true"/>
          <w:lang w:bidi="fa-IR"/>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مؤدّبهم</w:t>
      </w:r>
      <w:r>
        <w:rPr>
          <w:rFonts w:eastAsia="IRNazanin" w:cs="IRNazanin"/>
          <w:color w:val="111111"/>
          <w:sz w:val="28"/>
          <w:szCs w:val="28"/>
          <w:rtl w:val="true"/>
          <w:lang w:bidi="fa-IR"/>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یعمل بعلمه</w:t>
      </w:r>
      <w:bookmarkStart w:id="1040" w:name="pg11754_113200"/>
    </w:p>
    <w:p>
      <w:pPr>
        <w:pStyle w:val="BookText"/>
        <w:rPr/>
      </w:pPr>
      <w:bookmarkEnd w:id="1040"/>
      <w:r>
        <w:rPr>
          <w:rFonts w:ascii="IRNazanin" w:hAnsi="IRNazanin" w:eastAsia="IRNazanin"/>
          <w:color w:val="111111"/>
          <w:sz w:val="28"/>
          <w:sz w:val="28"/>
          <w:szCs w:val="28"/>
          <w:rtl w:val="true"/>
          <w:lang w:bidi="fa-IR"/>
        </w:rPr>
        <w:t>زلّت موعظته عن القلوب، کما یزلّ المطر عن الصفا</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9531209_73709187"/>
      <w:bookmarkStart w:id="1042" w:name="_Toc407"/>
      <w:bookmarkEnd w:id="1041"/>
      <w:r>
        <w:rPr>
          <w:rtl w:val="true"/>
        </w:rPr>
        <w:t>السادس</w:t>
      </w:r>
      <w:r>
        <w:rPr>
          <w:rtl w:val="true"/>
        </w:rPr>
        <w:t xml:space="preserve">: </w:t>
      </w:r>
      <w:r>
        <w:rPr>
          <w:rtl w:val="true"/>
        </w:rPr>
        <w:t>أن تکون الموعظة ساذجة</w:t>
      </w:r>
      <w:bookmarkEnd w:id="1042"/>
    </w:p>
    <w:p>
      <w:pPr>
        <w:pStyle w:val="BookText"/>
        <w:rPr/>
      </w:pPr>
      <w:r>
        <w:rPr>
          <w:rFonts w:ascii="IRNazanin" w:hAnsi="IRNazanin" w:eastAsia="IRNazanin"/>
          <w:color w:val="111111"/>
          <w:sz w:val="28"/>
          <w:sz w:val="28"/>
          <w:szCs w:val="28"/>
          <w:rtl w:val="true"/>
          <w:lang w:bidi="fa-IR"/>
        </w:rPr>
        <w:t>؛ لأنّها لو کانت ثقیلة و خارجاً عن فهم الطفل لا یحصل المقصود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المحجّة البیضاء فی بیان وظائف المرشد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یقتصر بالمتعلّم علی قدر فهمه، فلا یلقی إلیه ما لا یبلغه عقله فینفره أو یخبط علیه عقله</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فی الکافی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 صلی الله علیه و آله العباد بکنه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امرنا أن نکلّم الناس علی قدر عقولهم</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3" w:name="__RefHeading___Toc9531211_73709187"/>
      <w:bookmarkStart w:id="1044" w:name="_Toc408"/>
      <w:bookmarkEnd w:id="1043"/>
      <w:r>
        <w:rPr>
          <w:rtl w:val="true"/>
        </w:rPr>
        <w:t>السابع</w:t>
      </w:r>
      <w:r>
        <w:rPr>
          <w:rtl w:val="true"/>
        </w:rPr>
        <w:t xml:space="preserve">: </w:t>
      </w:r>
      <w:r>
        <w:rPr>
          <w:rtl w:val="true"/>
        </w:rPr>
        <w:t>أن تکون الموعظة مع اللین و التلطّف</w:t>
      </w:r>
      <w:bookmarkEnd w:id="1044"/>
    </w:p>
    <w:p>
      <w:pPr>
        <w:pStyle w:val="BookText"/>
        <w:rPr/>
      </w:pP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به یفترق عن الأمر بالمعروف و النهی عن المنکر؛ لأنّها إذا کانت مع الغلظة و الخشونة قلّ أثرها، و یدلّ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أمر اللّه تعالی نبیّه موسی علیه السلام و أخاه هارون بموعظة فرعون مع اللین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أنّ لینک لهم ممّا یوجب دخولهم فی الدین؛ لأنّک</w:t>
      </w:r>
    </w:p>
    <w:p>
      <w:pPr>
        <w:pStyle w:val="BookText"/>
        <w:rPr/>
      </w:pPr>
      <w:r>
        <w:rPr>
          <w:rFonts w:ascii="Amiri" w:hAnsi="Amiri" w:eastAsia="Amiri" w:cs="Amiri"/>
          <w:color w:val="111111"/>
          <w:sz w:val="28"/>
          <w:sz w:val="28"/>
          <w:szCs w:val="28"/>
          <w:rtl w:val="true"/>
          <w:lang w:bidi="ar-SA"/>
        </w:rPr>
        <w:t xml:space="preserve">تأتیهم مع سماحة أخلاقک و کرم سجیّتک بالحجج و البراهین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جافیاً سیّئ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غَلِیظَ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قاسی الفؤاد غیر ذی رحمة و لا 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لاَنْفَضُّوا مِنْ حَوْلِکَ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أیضاً</w:t>
      </w:r>
    </w:p>
    <w:p>
      <w:pPr>
        <w:pStyle w:val="BookText"/>
        <w:rPr/>
      </w:pPr>
      <w:r>
        <w:rPr>
          <w:rFonts w:ascii="IRNazanin" w:hAnsi="IRNazanin" w:eastAsia="IRNazanin"/>
          <w:color w:val="111111"/>
          <w:sz w:val="28"/>
          <w:sz w:val="28"/>
          <w:szCs w:val="28"/>
          <w:rtl w:val="true"/>
          <w:lang w:bidi="fa-IR"/>
        </w:rPr>
        <w:t>ما 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عمل أحبّ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رسوله صلی الله علیه و آله من الإیمان باللّه، و الرفق بعباده، و ما من عمل أبغض إلی اللّه تعالی من الإشراک باللّه تعالی، و العنف علی عباده</w:t>
      </w:r>
      <w:r>
        <w:rPr>
          <w:rFonts w:eastAsia="IRNazanin" w:cs="IRNazanin"/>
          <w:color w:val="111111"/>
          <w:sz w:val="28"/>
          <w:szCs w:val="28"/>
          <w:rtl w:val="true"/>
          <w:lang w:bidi="fa-IR"/>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مسلم عن النّبی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الرِّفق حُرِمَ الخیر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یحرم الرفق یحرم الخیر</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عائشة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إنّ اللّه رفیق یحبّ الرّفق، و یُعطی علی الرفق ما لا یعطی علی العنف و ما لا یعطی علی ما سواه</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عنها أیضاً،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لا یکون فی شیء إلاّ زانه، و لا ینزع من شیء إلاّ شأنه</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bookmarkStart w:id="1045" w:name="pg11754_113202"/>
    </w:p>
    <w:p>
      <w:pPr>
        <w:pStyle w:val="Heading4"/>
        <w:numPr>
          <w:ilvl w:val="3"/>
          <w:numId w:val="1"/>
        </w:numPr>
        <w:rPr/>
      </w:pPr>
      <w:bookmarkStart w:id="1046" w:name="__RefHeading___Toc9531213_73709187"/>
      <w:bookmarkStart w:id="1047" w:name="_Toc409"/>
      <w:bookmarkEnd w:id="1045"/>
      <w:bookmarkEnd w:id="1046"/>
      <w:r>
        <w:rPr>
          <w:rtl w:val="true"/>
        </w:rPr>
        <w:t>المبحث السادس</w:t>
      </w:r>
      <w:r>
        <w:rPr>
          <w:rtl w:val="true"/>
        </w:rPr>
        <w:t xml:space="preserve">: </w:t>
      </w:r>
      <w:r>
        <w:rPr>
          <w:rtl w:val="true"/>
        </w:rPr>
        <w:t>التربیة من طریق التشویق و التمجید</w:t>
      </w:r>
      <w:bookmarkEnd w:id="1047"/>
    </w:p>
    <w:p>
      <w:pPr>
        <w:pStyle w:val="Heading5"/>
        <w:numPr>
          <w:ilvl w:val="4"/>
          <w:numId w:val="1"/>
        </w:numPr>
        <w:rPr/>
      </w:pPr>
      <w:bookmarkStart w:id="1048" w:name="__RefHeading___Toc9531215_73709187"/>
      <w:bookmarkStart w:id="1049" w:name="_Toc410"/>
      <w:bookmarkEnd w:id="1048"/>
      <w:r>
        <w:rPr>
          <w:rtl w:val="true"/>
        </w:rPr>
        <w:t>أهمّیة هذا الطریق</w:t>
      </w:r>
      <w:bookmarkEnd w:id="1049"/>
    </w:p>
    <w:p>
      <w:pPr>
        <w:pStyle w:val="BookText"/>
        <w:rPr/>
      </w:pPr>
      <w:r>
        <w:rPr>
          <w:rFonts w:ascii="IRNazanin" w:hAnsi="IRNazanin" w:eastAsia="IRNazanin"/>
          <w:color w:val="111111"/>
          <w:sz w:val="28"/>
          <w:sz w:val="28"/>
          <w:szCs w:val="28"/>
          <w:rtl w:val="true"/>
          <w:lang w:bidi="fa-IR"/>
        </w:rPr>
        <w:t>من جملة التمایلات فی الإنسان المیل إلی التشویق و التمجید، و یکون سبباً للنشاط و عاملاً للحرکة نحو المقصود، فینبغی للوالدین سلوک هذا الطریق لتربیة أولادهم و نیلهم السعادة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ملیء بالآیات التی تتّخذ اسلوب التشویق و التمجید لمنهج الدعوة، و طریقاً إلی الوصول لإصلاح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 نصّ بعض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صلی الله علیه و آله بتشویق المؤمنین و تحریضهم علی القتال و الجهاد، و وعدهم بأنّ واحداً من المؤمنین لو استقاموا یغلبوا علی العشرة من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اللّه المؤمنین و المهاجرین و المجاهدین بأنّ لهم عند اللّه أعظم درجة،</w:t>
      </w:r>
    </w:p>
    <w:p>
      <w:pPr>
        <w:pStyle w:val="BookText"/>
        <w:rPr/>
      </w:pPr>
      <w:r>
        <w:rPr>
          <w:rFonts w:ascii="IRNazanin" w:hAnsi="IRNazanin" w:eastAsia="IRNazanin"/>
          <w:color w:val="111111"/>
          <w:sz w:val="28"/>
          <w:sz w:val="28"/>
          <w:szCs w:val="28"/>
          <w:rtl w:val="true"/>
          <w:lang w:bidi="fa-IR"/>
        </w:rPr>
        <w:t>و أنّهم هم الفائزون و یبشّرهم بأنّ لهم أنواع النعیم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الکثیرة التی شوّقت المؤمنین و المطیعین للّه و لرسوله،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التی مجّد اللّه فیها بعض أنبیائه علیهم السلام؛ کقوله فی تمجید نبیّنا 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تمجید یحیی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تمجید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فی حقّ أیوب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مجّد اللّه إدریس بقوله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حقّ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المعلوم أنّ تمجید اللّه الأنبیاء یوجب تشویق المؤمنین باتّصافهم بالصفات التی کانت سبباً لتمجید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 وَ صَلِّ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أمر اللّه تعالی نبیّه بتشویق مؤدّی الزکاة و الصلاة علیه، و هذا حاکٍ عن أنّ الإسلام اهتمّ بأمر تشویق المحسن کمال الاهتمام، و لا ینبغی ترکه حتّی بالنسبة إلی فعل الواجب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کان إذا أتاه قوم بصدقتهم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هذا المعنی عن طریق أهل السنّة أیضاً</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حثّ الأئمّة المعصومون علیهم السلام شیعتهم بالتشویق و حسن الثناء علی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مولانا أمیر المؤمنین علیه السلام الذی کتبه للأشتر النخعی لمّا ولاّه علی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واصل فی حسن الثناء علیهم، و تعدید ما أبلی ذوو البلاء منهم؛ فإنّ کثرة الذکر لحسن أفعالهم تهزّ الشجاع و تحرّض الناکل إن شاء اللّه</w:t>
      </w:r>
      <w:r>
        <w:rPr>
          <w:rFonts w:eastAsia="IRNazanin" w:cs="IRNazanin"/>
          <w:color w:val="111111"/>
          <w:sz w:val="28"/>
          <w:szCs w:val="28"/>
          <w:rtl w:val="true"/>
          <w:lang w:bidi="fa-IR"/>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أزجر المسیء بثواب المحسن</w:t>
      </w:r>
      <w:r>
        <w:rPr>
          <w:rFonts w:eastAsia="IRNazanin" w:cs="IRNazanin"/>
          <w:color w:val="111111"/>
          <w:sz w:val="28"/>
          <w:szCs w:val="28"/>
          <w:rtl w:val="true"/>
          <w:lang w:bidi="fa-IR"/>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bookmarkStart w:id="1050" w:name="pg11754_113205"/>
    </w:p>
    <w:p>
      <w:pPr>
        <w:pStyle w:val="BookText"/>
        <w:rPr/>
      </w:pPr>
      <w:bookmarkEnd w:id="1050"/>
      <w:r>
        <w:rPr>
          <w:rFonts w:ascii="IRNazanin" w:hAnsi="IRNazanin" w:eastAsia="IRNazanin"/>
          <w:color w:val="111111"/>
          <w:sz w:val="28"/>
          <w:sz w:val="28"/>
          <w:szCs w:val="28"/>
          <w:rtl w:val="true"/>
          <w:lang w:bidi="fa-IR"/>
        </w:rPr>
        <w:t>أی إذا کافأت المحسن علی إحسانه اقلع المسیء عن إساءته طلباً للمکافأة</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تحف العقول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تجب علی السلطان للخاصّة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مکافأة المحسن بالإحسان لیزدادوا رغبة فیه، و تغمّد ذنوب المسیء لیتوب و یرجع عن غیّه، و تألّفهم جمیعاً بالإحسان و الإنصاف</w:t>
      </w:r>
      <w:r>
        <w:rPr>
          <w:rFonts w:eastAsia="IRNazanin" w:cs="IRNazanin"/>
          <w:color w:val="111111"/>
          <w:sz w:val="28"/>
          <w:szCs w:val="28"/>
          <w:rtl w:val="true"/>
          <w:lang w:bidi="fa-IR"/>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9531217_73709187"/>
      <w:bookmarkStart w:id="1052" w:name="_Toc411"/>
      <w:bookmarkEnd w:id="1051"/>
      <w:r>
        <w:rPr>
          <w:rtl w:val="true"/>
        </w:rPr>
        <w:t>تربیة النبیّ صلی الله علیه و آله و الأئمّة علیهم السلام أولادهم عن طریق التشویق</w:t>
      </w:r>
      <w:bookmarkEnd w:id="1052"/>
    </w:p>
    <w:p>
      <w:pPr>
        <w:pStyle w:val="BookText"/>
        <w:rPr/>
      </w:pPr>
      <w:r>
        <w:rPr>
          <w:rFonts w:ascii="IRNazanin" w:hAnsi="IRNazanin" w:eastAsia="IRNazanin"/>
          <w:color w:val="111111"/>
          <w:sz w:val="28"/>
          <w:sz w:val="28"/>
          <w:szCs w:val="28"/>
          <w:rtl w:val="true"/>
          <w:lang w:bidi="fa-IR"/>
        </w:rPr>
        <w:t xml:space="preserve">ورد فی روایات کثیرة أنّ النبیّ صلی الله علیه و آله و الأئمّة المعصومین علیهم السلام سلکوا لتربیة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التشویق و الترغیب، فإلیک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الطوسی فی الأمالی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اصطرع</w:t>
      </w:r>
      <w:r>
        <w:rPr>
          <w:rStyle w:val="FootnoteAnchor"/>
          <w:rtl w:val="true"/>
        </w:rPr>
        <w:footnoteReference w:id="1852"/>
      </w:r>
      <w:r>
        <w:rPr>
          <w:rFonts w:ascii="IRNazanin" w:hAnsi="IRNazanin" w:eastAsia="IRNazanin"/>
          <w:color w:val="111111"/>
          <w:sz w:val="28"/>
          <w:sz w:val="28"/>
          <w:szCs w:val="28"/>
          <w:rtl w:val="true"/>
          <w:lang w:bidi="fa-IR"/>
        </w:rPr>
        <w:t>الحسن و الحسین علیهما السلام،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w:t>
      </w:r>
      <w:r>
        <w:rPr>
          <w:rStyle w:val="FootnoteAnchor"/>
          <w:rtl w:val="true"/>
        </w:rPr>
        <w:footnoteReference w:id="1853"/>
      </w:r>
      <w:r>
        <w:rPr>
          <w:rFonts w:ascii="IRNazanin" w:hAnsi="IRNazanin" w:eastAsia="IRNazanin"/>
          <w:color w:val="111111"/>
          <w:sz w:val="28"/>
          <w:sz w:val="28"/>
          <w:szCs w:val="28"/>
          <w:rtl w:val="true"/>
          <w:lang w:bidi="fa-IR"/>
        </w:rPr>
        <w:t>حسن،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حسن و هو أکبر الغلامین، فقال رسول اللّه صلی الله علیه و آله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حسن و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حسین</w:t>
      </w:r>
      <w:r>
        <w:rPr>
          <w:rFonts w:eastAsia="IRNazanin" w:cs="IRNazanin"/>
          <w:color w:val="111111"/>
          <w:sz w:val="28"/>
          <w:szCs w:val="28"/>
          <w:rtl w:val="true"/>
          <w:lang w:bidi="fa-IR"/>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أنّ فی مورد التسابق ینبغی تشویق طرفی السبق لا الفرد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لمّا نصب علیّاً علیه السلام یوم الغدیر للناس علماً</w:t>
      </w:r>
    </w:p>
    <w:p>
      <w:pPr>
        <w:pStyle w:val="BookText"/>
        <w:rPr/>
      </w:pPr>
      <w:r>
        <w:rPr>
          <w:rFonts w:ascii="IRNazanin" w:hAnsi="IRNazanin" w:eastAsia="IRNazanin"/>
          <w:color w:val="111111"/>
          <w:sz w:val="28"/>
          <w:sz w:val="28"/>
          <w:szCs w:val="28"/>
          <w:rtl w:val="true"/>
          <w:lang w:bidi="fa-IR"/>
        </w:rPr>
        <w:t>و هادیاً و قال فیه ما قال، استأذنه حسّان بن ثابت فی أن یقول شعراً،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 أسمع بالنبیّ منادیاً</w:t>
      </w:r>
    </w:p>
    <w:p>
      <w:pPr>
        <w:pStyle w:val="BookText"/>
        <w:rPr/>
      </w:pPr>
      <w:r>
        <w:rPr>
          <w:rFonts w:ascii="IRNazanin" w:hAnsi="IRNazanin" w:eastAsia="IRNazanin"/>
          <w:color w:val="111111"/>
          <w:sz w:val="28"/>
          <w:sz w:val="28"/>
          <w:szCs w:val="28"/>
          <w:rtl w:val="true"/>
          <w:lang w:bidi="fa-IR"/>
        </w:rPr>
        <w:t>فلمّا فرغ من هذا القول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رأی النبی صلی الله علیه و آله أعرابیّاً یدعو فی صلاته، و یتزلّف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 عمیقة و مضامین عالیة، لقد أثّرت کلماته المتینة و عباراته المشیرة إلی وعی صاحبها، و الکاشفة عن درجة الإیمان و الکمال التی هو علیها فی النبی صلی الله علیه و آله، فعیّن شخصاً لانتظار الأعرابی حتّی یفرغ من صلاته فیأتی به إلیه، و ما أن فرغ الأعرابی حتّی مثل بین یدیه فأهداه النبی صلی الله علیه و آله قطعة من الذهب ثمّ سأله 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لما ذا أعطیتک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بیننا من القرابة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للرحم حقّاً و لکن وهبته لک لحسن ثنائک علی اللّه عزّ و جلّ‌</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علی علیهما السلام کان یحضر مجلس رسول اللّه صلی الله علیه و آله و هو ابن سبع سنین، فیسمع الوحی فیحفظه، فیأتی امّه فیلقی إلیها ما حفظه کلّما دخل علی علیه السلام وجد عندها علماً بالتنزیل، فیسألها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الحسن، فتخفّی یوماً فی الدار، و قد دخل الحسن و قد سمع الوحی، فأراد أن یلقیه، إلیها، فارتج</w:t>
      </w:r>
      <w:r>
        <w:rPr>
          <w:rStyle w:val="FootnoteAnchor"/>
          <w:rtl w:val="true"/>
        </w:rPr>
        <w:footnoteReference w:id="1857"/>
      </w:r>
      <w:r>
        <w:rPr>
          <w:rFonts w:ascii="IRNazanin" w:hAnsi="IRNazanin" w:eastAsia="IRNazanin"/>
          <w:color w:val="111111"/>
          <w:sz w:val="28"/>
          <w:sz w:val="28"/>
          <w:szCs w:val="28"/>
          <w:rtl w:val="true"/>
          <w:lang w:bidi="fa-IR"/>
        </w:rPr>
        <w:t>علیه، فعجبت امّه من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تعجبین یا امّاه فإنّ کبیراً یسمعنی، فاستماعه قد أوقفنی، فخرج علی علیه السلام فقبّله،</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امّاه قلّ بیانی و کلّ لسانی لعلّ سیّداً یرعانی</w:t>
      </w:r>
      <w:r>
        <w:rPr>
          <w:rFonts w:eastAsia="Amiri" w:cs="Amiri" w:ascii="Amiri" w:hAnsi="Amiri"/>
          <w:color w:val="111111"/>
          <w:sz w:val="28"/>
          <w:szCs w:val="28"/>
          <w:rtl w:val="true"/>
          <w:lang w:bidi="ar-SA"/>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رواه فی تفسیر فرات بن إبراهیم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الیوم خطیباً، و قال لاُمّهات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فاسمعن خطبة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علی النبیّ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یقول،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فی باب و منزل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فقام علی علیه السلام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 فی المستدرک أنّه لمّا کان العباس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صغیرین، قال علی علیه السلام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أستحی أن أقول باللسان الذی قلت واحد اثنان، فقبّل علی علیه السلام عینیه، ثمّ التفت إلی زینب، و کانت علی یساره و العباس عن یمینه،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 تحبّنا؟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بنیّ، أولادنا أکبادنا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حبّان لا یجتمعان فی قلب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 حبّ الأولاد، و إن کان لا بدّ لنا فالشفقة لنا و الحبّ للّه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علی علیه السلام بهما حبّاً،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القائل الحسین علیه السلام</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الصدوق عن أبی عاصم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 بن جعفر علیهما السلام تکلّم یوماً بین یدی أبیه علیه السلام فأحسن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الحمد للّه الذی جعلک خلفاً من الآباء، و سروراً من الأبناء، و عوضاً عن الأصدقاء</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علی بن إبراهیم مرفوعاً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ابنک موسی یصلّی و الناس یمرّون بین یدیه</w:t>
      </w:r>
      <w:bookmarkStart w:id="1053" w:name="pg11754_113208"/>
    </w:p>
    <w:p>
      <w:pPr>
        <w:pStyle w:val="BookText"/>
        <w:rPr/>
      </w:pPr>
      <w:bookmarkEnd w:id="1053"/>
      <w:r>
        <w:rPr>
          <w:rFonts w:ascii="IRNazanin" w:hAnsi="IRNazanin" w:eastAsia="IRNazanin"/>
          <w:color w:val="111111"/>
          <w:sz w:val="28"/>
          <w:sz w:val="28"/>
          <w:szCs w:val="28"/>
          <w:rtl w:val="true"/>
          <w:lang w:bidi="fa-IR"/>
        </w:rPr>
        <w:t>فلا ینهاهم و فیه ما فیه،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موسی فدعی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أبا حنیفة یذکر أنّک کنت صلّیت و الناس یمرّون بین یدیک، فلم تنههم،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یا أبه إنّ الذی کنت اصلّی له کان أقرب إلیّ منهم،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18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أبو عبد اللّه علیه السلام إلی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بأبی أنت و امّی یا مستودع الأسرار</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9531219_73709187"/>
      <w:bookmarkStart w:id="1055" w:name="_Toc412"/>
      <w:bookmarkEnd w:id="1054"/>
      <w:r>
        <w:rPr>
          <w:rtl w:val="true"/>
        </w:rPr>
        <w:t>ثمرات التشویق</w:t>
      </w:r>
      <w:bookmarkEnd w:id="1055"/>
    </w:p>
    <w:p>
      <w:pPr>
        <w:pStyle w:val="BookText"/>
        <w:rPr/>
      </w:pPr>
      <w:r>
        <w:rPr>
          <w:rFonts w:ascii="IRNazanin" w:hAnsi="IRNazanin" w:eastAsia="IRNazanin"/>
          <w:color w:val="111111"/>
          <w:sz w:val="28"/>
          <w:sz w:val="28"/>
          <w:szCs w:val="28"/>
          <w:rtl w:val="true"/>
          <w:lang w:bidi="fa-IR"/>
        </w:rPr>
        <w:t>مع التدبّر فی النصوص المتقدّمة و غیرها یستفاد منها أنّ للتشویق ثمرات لا بأس بذکرها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التشویق عامل لحرکة المشوَّق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فتح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جهة الکمال و الأعمال الحسنة، مثلاً الصبیّ الذی شوّقه أبوه أو المعلّم لکتابته بخطّ حسن، یتحرّک نحو المقصود و یجتهد فی فعله کمال الاجتهاد فی موارد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التشویق یوجب اعتماد النفس، فالصبیّ الذی یُشوَّق من طرف الوالدین أو المربّی یعتمد علی نفسه و یعتقد بأنّه قادر علی العمل بشوق، و لذا یسعی کمال السعی لینجز عملاً متقناً و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التشویق یوجب إزالة الیأس من الصبیّ، فربّ صبیّ لم یبادر ببعض الأعمال لیأسه عن موفّقیته فیها، لکنّ التشویق یحرّکه إلی العمل و یزیل یأسه و حرمانه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التشویق یوجب علوّ منزلة الصبیّ عند الآخرین، و لذا یلزم أن یکون</w:t>
      </w:r>
      <w:bookmarkStart w:id="1056" w:name="pg11754_113209"/>
    </w:p>
    <w:p>
      <w:pPr>
        <w:pStyle w:val="BookText"/>
        <w:rPr/>
      </w:pPr>
      <w:bookmarkEnd w:id="1056"/>
      <w:r>
        <w:rPr>
          <w:rFonts w:ascii="IRNazanin" w:hAnsi="IRNazanin" w:eastAsia="IRNazanin"/>
          <w:color w:val="111111"/>
          <w:sz w:val="28"/>
          <w:sz w:val="28"/>
          <w:szCs w:val="28"/>
          <w:rtl w:val="true"/>
          <w:lang w:bidi="fa-IR"/>
        </w:rPr>
        <w:t>بمرأی جمع من الناس، و یوجب حرکة الصبیان الآخرین الذین رأوا تشویق ذلک الصبیّ نحو العمل الحسن</w:t>
      </w:r>
      <w:r>
        <w:rPr>
          <w:rFonts w:eastAsia="IRNazanin" w:cs="IRNazanin"/>
          <w:color w:val="111111"/>
          <w:sz w:val="28"/>
          <w:szCs w:val="28"/>
          <w:rtl w:val="true"/>
          <w:lang w:bidi="fa-IR"/>
        </w:rPr>
        <w:t>.</w:t>
      </w:r>
    </w:p>
    <w:p>
      <w:pPr>
        <w:pStyle w:val="Heading5"/>
        <w:numPr>
          <w:ilvl w:val="4"/>
          <w:numId w:val="1"/>
        </w:numPr>
        <w:rPr/>
      </w:pPr>
      <w:bookmarkStart w:id="1057" w:name="__RefHeading___Toc9531221_73709187"/>
      <w:bookmarkStart w:id="1058" w:name="_Toc413"/>
      <w:bookmarkEnd w:id="1057"/>
      <w:r>
        <w:rPr>
          <w:rtl w:val="true"/>
        </w:rPr>
        <w:t>آداب التشویق</w:t>
      </w:r>
      <w:bookmarkEnd w:id="1058"/>
    </w:p>
    <w:p>
      <w:pPr>
        <w:pStyle w:val="BookText"/>
        <w:rPr/>
      </w:pPr>
      <w:r>
        <w:rPr>
          <w:rFonts w:ascii="IRNazanin" w:hAnsi="IRNazanin" w:eastAsia="IRNazanin"/>
          <w:color w:val="111111"/>
          <w:sz w:val="28"/>
          <w:sz w:val="28"/>
          <w:szCs w:val="28"/>
          <w:rtl w:val="true"/>
          <w:lang w:bidi="fa-IR"/>
        </w:rPr>
        <w:t>التشویق و الترغیب إذا اقترنا مع امور یکون تأثیرهما فی دفع المشوّق منه نحو المقصود آکد و أسرع، بل فی فقدها لا تأثیر لهما إلاّ قلیلاً، فینبغی للوالدین رعایتها، و لا بأس أن نسمّیها آداب التشویق،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یحمد المربّی فعل الصبیّ و عمله لا شخصیّته؛ لأن تشویق الشخص یوجب العجب و الفخر، مضافاً إلی أنّ تشویق الشخص لا یؤثّر بالنسبة إلی سائر الصبیان، أمّا تشویق الفعل فیوجب رغبتهم بذلک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شوّق الأب أو المعلّم صبیّاً؛ سواء کان قولیّاً؛ بأن مدحه و مجّده بکلمات، أو فعلیّاً؛ بأن قبّله أو أهداه هدیّة، و کان هذا التشویق للفعل الجمیل الذی صدر عن ذاک الصبیّ یوجب ذلک أن یسارع الصبیّ فی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ذلک الآیات المتقدّمة التی شوّق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أنبیاءه و ذکر الفعل الذی یدعو لتشویقهم و تمجیدهم، کتشویق نبیّنا محمّد صلی الله علیه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فی مورد أیّوب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شوّق النبیّ صلی الله علیه و آله فی الروایة المتقدّمة أعرابیّاً، و ذکر الفعل الذی کان سبباً لتشویقه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وهبته لک لحسن ثنائک علی اللّه عزّ و جلّ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تجاوز التشویق عن الحدّ اللازم؛ فإنّ الإفراط و المبالغة فیه یبطل أثره، إذ التشویق لو کان قولیّاً ینجرّ إلی التملّق و الکذب، و حیث إنّ الصبیّ عالم بحال</w:t>
      </w:r>
    </w:p>
    <w:p>
      <w:pPr>
        <w:pStyle w:val="BookText"/>
        <w:rPr/>
      </w:pPr>
      <w:r>
        <w:rPr>
          <w:rFonts w:ascii="IRNazanin" w:hAnsi="IRNazanin" w:eastAsia="IRNazanin"/>
          <w:color w:val="111111"/>
          <w:sz w:val="28"/>
          <w:sz w:val="28"/>
          <w:szCs w:val="28"/>
          <w:rtl w:val="true"/>
          <w:lang w:bidi="fa-IR"/>
        </w:rPr>
        <w:t>نفسه فالثناء عنه بأکثر ممّا یستحقّه یوجب سوء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بأکثر من الاستحقاق ملق</w:t>
      </w:r>
      <w:r>
        <w:rPr>
          <w:rStyle w:val="FootnoteAnchor"/>
          <w:rtl w:val="true"/>
        </w:rPr>
        <w:footnoteReference w:id="18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التقصیر عن الاستحقاق عیٌّ أو حسد</w:t>
      </w:r>
      <w:r>
        <w:rPr>
          <w:rFonts w:eastAsia="IRNazanin" w:cs="IRNazanin"/>
          <w:color w:val="111111"/>
          <w:sz w:val="28"/>
          <w:szCs w:val="28"/>
          <w:rtl w:val="true"/>
          <w:lang w:bidi="fa-IR"/>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مقایسة الصبیّ فی مقام التشویق مع صبیّ آخر؛ فإنّ هذا الأمر یوجب تحقیر الصبیّ الآخر الذی قاس هذا الصبیّ به، و هو غیر جائز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التشویق طوعاً مع الوعد یلزم علی المشوّق العمل به، إذ خلف الوعد یوجب سلب اعتماد الصبیّ عن المربّی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خلف الوعد یوجب ترک الصبیّ العمل الّذی صارت مستحقّاً للتشویق، أو فعله العمل الذی صار مستحقّاً للتشویق لترک ذاک الفعل، هذا أوّلاً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خلف الوعد معصیة لا ینبغی صدورها عن أحد، سیّما عن الوالدین أو المربّی الذین کانوا فی مقام تربیة الصبی؛ فإنّهم کانوا قدوة و اسوة للصبی، و صدور المعصیة منهم یوجب تعوید الصبیّ بهذا الذنب</w:t>
      </w:r>
      <w:r>
        <w:rPr>
          <w:rFonts w:eastAsia="IRNazanin" w:cs="IRNazanin"/>
          <w:color w:val="111111"/>
          <w:sz w:val="28"/>
          <w:szCs w:val="28"/>
          <w:rtl w:val="true"/>
          <w:lang w:bidi="fa-IR"/>
        </w:rPr>
        <w:t>.</w:t>
      </w:r>
      <w:bookmarkStart w:id="1059" w:name="pg11754_113211"/>
    </w:p>
    <w:p>
      <w:pPr>
        <w:pStyle w:val="Heading4"/>
        <w:numPr>
          <w:ilvl w:val="3"/>
          <w:numId w:val="1"/>
        </w:numPr>
        <w:rPr/>
      </w:pPr>
      <w:bookmarkStart w:id="1060" w:name="__RefHeading___Toc9531223_73709187"/>
      <w:bookmarkStart w:id="1061" w:name="_Toc414"/>
      <w:bookmarkEnd w:id="1059"/>
      <w:bookmarkEnd w:id="1060"/>
      <w:r>
        <w:rPr>
          <w:rtl w:val="true"/>
        </w:rPr>
        <w:t>المبحث السابع</w:t>
      </w:r>
      <w:r>
        <w:rPr>
          <w:rtl w:val="true"/>
        </w:rPr>
        <w:t xml:space="preserve">: </w:t>
      </w:r>
      <w:r>
        <w:rPr>
          <w:rtl w:val="true"/>
        </w:rPr>
        <w:t>التربیة من طریق القصّة</w:t>
      </w:r>
      <w:bookmarkEnd w:id="1061"/>
    </w:p>
    <w:p>
      <w:pPr>
        <w:pStyle w:val="Heading5"/>
        <w:numPr>
          <w:ilvl w:val="4"/>
          <w:numId w:val="1"/>
        </w:numPr>
        <w:rPr/>
      </w:pPr>
      <w:bookmarkStart w:id="1062" w:name="__RefHeading___Toc9531225_73709187"/>
      <w:bookmarkStart w:id="1063" w:name="_Toc415"/>
      <w:bookmarkEnd w:id="1062"/>
      <w:r>
        <w:rPr>
          <w:rtl w:val="true"/>
        </w:rPr>
        <w:t>اهتمام القرآن فی منهج تربیته بالقصّة</w:t>
      </w:r>
      <w:bookmarkEnd w:id="1063"/>
    </w:p>
    <w:p>
      <w:pPr>
        <w:pStyle w:val="BookText"/>
        <w:rPr/>
      </w:pPr>
      <w:r>
        <w:rPr>
          <w:rFonts w:ascii="IRNazanin" w:hAnsi="IRNazanin" w:eastAsia="IRNazanin"/>
          <w:color w:val="111111"/>
          <w:sz w:val="28"/>
          <w:sz w:val="28"/>
          <w:szCs w:val="28"/>
          <w:rtl w:val="true"/>
          <w:lang w:bidi="fa-IR"/>
        </w:rPr>
        <w:t>لا شکّ فی أنّ القرآن الکریم نزل محرّراً للعقول الإنسانیّة من ظلمات التقلید و التبعیّة و الکهانة، و دعاها إلی التفکیر السلیم، و التدبّر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دعوة القرآن إلی استخدام العقل استخداماً جیّداً لکلّ عملیات التفکیر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و انتباه، و حفظ و تذکّر، و تخیّل</w:t>
      </w:r>
      <w:r>
        <w:rPr>
          <w:rStyle w:val="FootnoteAnchor"/>
          <w:rtl w:val="true"/>
        </w:rPr>
        <w:footnoteReference w:id="1866"/>
      </w:r>
      <w:r>
        <w:rPr>
          <w:rFonts w:ascii="IRNazanin" w:hAnsi="IRNazanin" w:eastAsia="IRNazanin"/>
          <w:color w:val="111111"/>
          <w:sz w:val="28"/>
          <w:sz w:val="28"/>
          <w:szCs w:val="28"/>
          <w:rtl w:val="true"/>
          <w:lang w:bidi="fa-IR"/>
        </w:rPr>
        <w:t>؛ لأنّ فی القصّة سحر یسحر النفوس، و الإسلام یدرک میل الفطری إلی القصّة، و یدرک مالها من تأثیر ساحر علی القلوب، فیستعملها لتکون وسیلة من وسائل التربیة و التقویم</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المحاورة التی اعتمدها القرآن للتربیة متنوّعة، و من أهمّها القصّة، و فیه عدد کبیر من القصص القصیر الذی یشبه الومضة إلی الطویل الذی یستغرق سورة 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وردت الألفاظ الدالّة علی القصّة، و القصص فی کتاب اللّه مرّات کثیرة جدّاً، و فی عدد کبیر من السور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الأنعام، الأعراف، هود، یوسف، الکهف، طه، النمل، القصص، غافر و</w:t>
      </w:r>
      <w:r>
        <w:rPr>
          <w:rFonts w:eastAsia="IRNazanin" w:cs="IRNazanin"/>
          <w:color w:val="111111"/>
          <w:sz w:val="28"/>
          <w:szCs w:val="28"/>
          <w:rtl w:val="true"/>
          <w:lang w:bidi="fa-IR"/>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قریب من ثلث القرآن فیه قصص عن الأنبیاء و الرسل علیهم السلام و الاُمم الماضیة، و قد أمر اللّه نبیّه صلی الله علیه و آله بذکر القصص للناس و لا سیّما قصص الأنبیاء، لعلّهم یعتبرون و یتفکّرون فی سبب هلاک قوم فیحذرون عنه، و فی سبب فوز و فلاح قوم آخرون فیسلکون 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نحو المثال نلاحظ فی قصّة یوسف علیه السلام التی هی أحسن القصص فی القرآن عدّة نقاط تربویّة ینبغی أن نتدبّرها،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قدّم رضا اللّه علی النفس؛ لأنّه اختار السجن لیحفظ نفسه من الذنب،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من أهل العفو و المغفرة، فإنّ إخوته ظلموه و ألقوه فی غیابت الجبّ، لکن عفی عنهم عند تمکّنه منهم،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علیه السلام من أهل الصبر و الاستقامة، و صبر علی ما أذی إخوته، و وطّن نفسه فی مقابل وساوس الشیطان، و ما دعت له زلیخا من متابعة هواها، و کان ثمرة صبره و استقامته عزّة الدارین،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یَتَّقِ وَ یَصْبِرْ فَإِنَّ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مخلصاً فی عبودیّة اللّه کما أخبر تعالی بذلک،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کان إخلاصه علیه السلام سبباً لاجتبائه و اختصاصه برحمة اللّه و کرامته؛ إذ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کذلک نلاحظ فی قصّة نوح علیه السلام مع قومه عدّة نقاط، و 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العقیدة، حیث دعا النبیّ صلی الله علیه و آله قومه إلی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بلا شریک، و لا نظیر، و هی عقیدة واضحة تتجاوب مع الفطرة السلیمة، و تتلاءم مع</w:t>
      </w:r>
    </w:p>
    <w:p>
      <w:pPr>
        <w:pStyle w:val="BookText"/>
        <w:rPr/>
      </w:pPr>
      <w:r>
        <w:rPr>
          <w:rFonts w:ascii="IRNazanin" w:hAnsi="IRNazanin" w:eastAsia="IRNazanin"/>
          <w:color w:val="111111"/>
          <w:sz w:val="28"/>
          <w:sz w:val="28"/>
          <w:szCs w:val="28"/>
          <w:rtl w:val="true"/>
          <w:lang w:bidi="fa-IR"/>
        </w:rPr>
        <w:t>المنطق السدید، و التفکیر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التبلیغ، فبدا نوح علیه السلام أخاً مشفقاً، و ناصحاً أمیناً، و رائداً لا یکذب أهله، یبیّن لقومه منهج اللّه و عقیدة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استقبال القوم لدعوة النبیّ صلی الله علیه و آله، و تتّسم بتحکیم الهوی، و انحراف الضوابط و الردّ السیّئ، و الغلظة، و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ردّ الأنبیاء، التی تؤکّد ربّانیّة التشریع، و قیام النبیّ صلی الله علیه و آله بتبلیغ الرسالة بدقّة و أمانة، و أنّه لم یبتدع شیئاً من لدنه و ما هو بضالّ، و تنحصر مهمّته فی دعوة الناس إلی تقوی اللّه عزّ و جلّ، و إنذارهم ناراً تلظّی إن خالفوا و عصوا، و تبشیرهم بالجنّة إن آمنوا، و سلکوا طریق الصحیح</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سرد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نوح علیه السلام فی عدّة سور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جاء فی سورة الأعراف،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فَأَنْجَیْناهُ وَ الَّذِینَ مَعَهُ فِی الْفُلْکِ وَ أَغْرَقْنَا الَّذِینَ کَذَّبُوا بِآیاتِنا إِنَّهُمْ کانُوا قَوْماً عَمِینَ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الأبوین و المعلّمین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یبیّنوا للأطفال و المتعلّمین بطریق القصّة أهمّیة الإیمان و ضرورته، و محبّة الأنبیاء الذین دعوا الناس إلی توحید اللّه عزّ و جلّ و طاعته، و کانوا الاُسوة الحسنة، و النموذج الأمثل فی التطبیق العملی للدعوة إلی</w:t>
      </w:r>
      <w:bookmarkStart w:id="1064" w:name="pg11754_113214"/>
    </w:p>
    <w:p>
      <w:pPr>
        <w:pStyle w:val="BookText"/>
        <w:rPr/>
      </w:pPr>
      <w:bookmarkEnd w:id="1064"/>
      <w:r>
        <w:rPr>
          <w:rFonts w:ascii="IRNazanin" w:hAnsi="IRNazanin" w:eastAsia="IRNazanin"/>
          <w:color w:val="111111"/>
          <w:sz w:val="28"/>
          <w:sz w:val="28"/>
          <w:szCs w:val="28"/>
          <w:rtl w:val="true"/>
          <w:lang w:bidi="fa-IR"/>
        </w:rPr>
        <w:t>اللّه، و لکلّ ما جاءوا به من العبادات و التشریعات و الآداب و الأخلاق، و من هنا یدرک المتعلّم أهمّیة الإصلاح فی تنویر العقل، و إثارة الهمم للأمر بالمعروف و النهی عن المنکر، و نصیحة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محبّة الخیر لکلّ الناس</w:t>
      </w:r>
      <w:r>
        <w:rPr>
          <w:rFonts w:eastAsia="IRNazanin" w:cs="IRNazanin"/>
          <w:color w:val="111111"/>
          <w:sz w:val="28"/>
          <w:szCs w:val="28"/>
          <w:rtl w:val="true"/>
          <w:lang w:bidi="fa-IR"/>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9531227_73709187"/>
      <w:bookmarkStart w:id="1066" w:name="_Toc416"/>
      <w:bookmarkEnd w:id="1065"/>
      <w:r>
        <w:rPr>
          <w:rtl w:val="true"/>
        </w:rPr>
        <w:t>القصّة محبّبة للأطفال</w:t>
      </w:r>
      <w:bookmarkEnd w:id="10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القصّة من العوامل التربویّة و الأشکال الفنیّة المحبّبة للأطفال؛ لأنّها تتمیّز بالمتعة و التشویق مع السهولة و الوضوح، و لها أهداف کثیرة عقدیّة و تربویّة، تعلیمیّة،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ینحصر تأثیرها فی نفوس الأطفال من خلال سردها أو قراءتها، بل إنّهم کثیراً ما یقلّدون أقوال ما یجری فی القصّة و ما فیها من أحداث و سلوک و أخلاق، و القصّة تحرّر السامع من واقعه و حدوده إلی عوالم اخری فسیحة، یری و یسمع و یشاهد بیئات و صنوفاً کثیرة من الناس، الذین یری الطفل فیهم المثل و القدوة، فمثلاً یمکنه بواسطة القصّة الناجحة أن یعیش مجالس النبوّة، و یحضر أحداث السیرة</w:t>
      </w:r>
      <w:r>
        <w:rPr>
          <w:rStyle w:val="FootnoteAnchor"/>
          <w:rtl w:val="true"/>
        </w:rPr>
        <w:footnoteReference w:id="1871"/>
      </w:r>
      <w:bookmarkStart w:id="1067" w:name="pg11754_113215"/>
    </w:p>
    <w:p>
      <w:pPr>
        <w:pStyle w:val="Heading4"/>
        <w:numPr>
          <w:ilvl w:val="3"/>
          <w:numId w:val="1"/>
        </w:numPr>
        <w:rPr/>
      </w:pPr>
      <w:bookmarkStart w:id="1068" w:name="__RefHeading___Toc9531229_73709187"/>
      <w:bookmarkStart w:id="1069" w:name="_Toc417"/>
      <w:bookmarkEnd w:id="1067"/>
      <w:bookmarkEnd w:id="1068"/>
      <w:r>
        <w:rPr>
          <w:rtl w:val="true"/>
        </w:rPr>
        <w:t>المبحث الثامن</w:t>
      </w:r>
      <w:r>
        <w:rPr>
          <w:rtl w:val="true"/>
        </w:rPr>
        <w:t xml:space="preserve">: </w:t>
      </w:r>
      <w:r>
        <w:rPr>
          <w:rtl w:val="true"/>
        </w:rPr>
        <w:t>عدّة طرق اخری للتربیة</w:t>
      </w:r>
      <w:bookmarkEnd w:id="1069"/>
    </w:p>
    <w:p>
      <w:pPr>
        <w:pStyle w:val="Heading5"/>
        <w:numPr>
          <w:ilvl w:val="4"/>
          <w:numId w:val="1"/>
        </w:numPr>
        <w:rPr/>
      </w:pPr>
      <w:bookmarkStart w:id="1070" w:name="__RefHeading___Toc9531231_73709187"/>
      <w:bookmarkStart w:id="1071" w:name="_Toc418"/>
      <w:bookmarkEnd w:id="1070"/>
      <w:r>
        <w:rPr>
          <w:rtl w:val="true"/>
        </w:rPr>
        <w:t xml:space="preserve">أ </w:t>
      </w:r>
      <w:r>
        <w:rPr>
          <w:rtl w:val="true"/>
        </w:rPr>
        <w:t xml:space="preserve">- </w:t>
      </w:r>
      <w:r>
        <w:rPr>
          <w:rtl w:val="true"/>
        </w:rPr>
        <w:t>التربیة عن طریق المسابقة بین الأطفال</w:t>
      </w:r>
      <w:bookmarkEnd w:id="1071"/>
    </w:p>
    <w:p>
      <w:pPr>
        <w:pStyle w:val="BookText"/>
        <w:rPr/>
      </w:pPr>
      <w:r>
        <w:rPr>
          <w:rFonts w:ascii="IRNazanin" w:hAnsi="IRNazanin" w:eastAsia="IRNazanin"/>
          <w:color w:val="111111"/>
          <w:sz w:val="28"/>
          <w:sz w:val="28"/>
          <w:szCs w:val="28"/>
          <w:rtl w:val="true"/>
          <w:lang w:bidi="fa-IR"/>
        </w:rPr>
        <w:t>من جملة طرق المؤثّرة فی تربیة الأطفال، المسابقة و التنافس بینهم؛ فإنّ التنافس بینهم توجب تحریک الطفل نحو المقصود، فالطفل الذی یتسامح فی التعلیم أو أداء المستحبّات مثل الصلاة مثلاً، یمکن تحریکه و ترغیبه بإیجاد التنافس بینه و بین طفل آخر، لکن ینبغی أن تکون المنافسة سلیمة، و فی الأعمال الصالحات؛ لأنّها لو کانت غیر سلیمة یترتّب علیها المفاسد، و تنتج خلاف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روی فی المراسیل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الحسن و الحسین علیهما السلام کانا یکتبان، فقال الحسن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أحسن من 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خطّی أحسن من 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احکمی بیننا، فکرهت فاطمة أن تؤذی أحدهما،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أباکما فسألاه، فکره أن یؤذی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جدّکما رسول اللّه صلی الله علیه و آله،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بینکما حتّی أسأل جبرئیل، فلمّا جاء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أحکم بینهما، و لکن إسرافیل یحکم بینهما، فقال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أحکم بینهما، و لکن أسأل اللّه أن یحکم بینهما، فسأل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 تعالی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أحکم بینهما، و لکن أُمّهما فاطمة تحکم بینهما</w:t>
      </w:r>
      <w:r>
        <w:rPr>
          <w:rFonts w:eastAsia="IRNazanin" w:cs="IRNazanin"/>
          <w:color w:val="111111"/>
          <w:sz w:val="28"/>
          <w:szCs w:val="28"/>
          <w:rtl w:val="true"/>
          <w:lang w:bidi="fa-IR"/>
        </w:rPr>
        <w:t>.</w:t>
      </w:r>
      <w:bookmarkStart w:id="1072" w:name="pg11754_113216"/>
    </w:p>
    <w:p>
      <w:pPr>
        <w:pStyle w:val="BookText"/>
        <w:rPr/>
      </w:pPr>
      <w:bookmarkEnd w:id="1072"/>
      <w:r>
        <w:rPr>
          <w:rFonts w:ascii="IRNazanin" w:hAnsi="IRNazanin" w:eastAsia="IRNazanin"/>
          <w:color w:val="111111"/>
          <w:sz w:val="28"/>
          <w:sz w:val="28"/>
          <w:szCs w:val="28"/>
          <w:rtl w:val="true"/>
          <w:lang w:bidi="fa-IR"/>
        </w:rPr>
        <w:t>لهما و تعظیماً</w:t>
      </w:r>
      <w:r>
        <w:rPr>
          <w:rFonts w:eastAsia="IRNazanin" w:cs="IRNazanin"/>
          <w:color w:val="111111"/>
          <w:sz w:val="28"/>
          <w:szCs w:val="28"/>
          <w:rtl w:val="true"/>
          <w:lang w:bidi="fa-IR"/>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9531233_73709187"/>
      <w:bookmarkStart w:id="1074" w:name="_Toc419"/>
      <w:bookmarkEnd w:id="1073"/>
      <w:r>
        <w:rPr>
          <w:rtl w:val="true"/>
        </w:rPr>
        <w:t xml:space="preserve">ب </w:t>
      </w:r>
      <w:r>
        <w:rPr>
          <w:rtl w:val="true"/>
        </w:rPr>
        <w:t xml:space="preserve">- </w:t>
      </w:r>
      <w:r>
        <w:rPr>
          <w:rtl w:val="true"/>
        </w:rPr>
        <w:t>التربیة بالملازمة و الأمر و النهی</w:t>
      </w:r>
      <w:bookmarkEnd w:id="1074"/>
    </w:p>
    <w:p>
      <w:pPr>
        <w:pStyle w:val="BookText"/>
        <w:rPr/>
      </w:pPr>
      <w:r>
        <w:rPr>
          <w:rFonts w:ascii="IRNazanin" w:hAnsi="IRNazanin" w:eastAsia="IRNazanin"/>
          <w:color w:val="111111"/>
          <w:sz w:val="28"/>
          <w:sz w:val="28"/>
          <w:szCs w:val="28"/>
          <w:rtl w:val="true"/>
          <w:lang w:bidi="fa-IR"/>
        </w:rPr>
        <w:t>المقصود من التربیة بالملازمة، ملاحقة الولد و ملازمته فی التکوین العقیدی و الأخلاقی، و مراقبته و ملاحظته فی الإعداد النفسی و الاجتماعی، و السؤال المستمرّ عن وضعه فی تربیته الجسمیّة و الأخلاقیة، و تحصیله العلمی،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هذه التربیة تُعدّ من أقوی الاُسس فی إیجاد الإنسان المتوازن المتکامل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التی لا یختلف فیها اثنان، أنّ ملاحظة الولد و مراقبته من قبل المربّی هی من أفضل اسس التربیة و أظهرها، ذلک لأنّ الولد دائماً موضوع تحت مجهر الملاحظة و الملازمة، حیث إنّ المربّی یرصد علیه جمیع تحرّکاته و أقواله و أفعاله و اتّجاهاته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 خیراً أکرمه و شجّعه علیه، و إن رأی منه شرّاً نهاه عنه و حذّره منه، و بیّن له عواقبه الوخیمة و نتائجه الخطیرة، و بمجرّد أن یغفل المربّی أو یتغافل عن الولد، فإنّه سینزع لا محالة إلی الانحراف، و یتوجّه نحو الزیغ و الانحلال</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بل یدلّ علیه فی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الآیات،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 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بالتقریب المتقدّم</w:t>
      </w:r>
      <w:r>
        <w:rPr>
          <w:rStyle w:val="FootnoteAnchor"/>
          <w:rtl w:val="true"/>
        </w:rPr>
        <w:footnoteReference w:id="1874"/>
      </w:r>
      <w:r>
        <w:rPr>
          <w:rFonts w:ascii="IRNazanin" w:hAnsi="IRNazanin" w:eastAsia="IRNazanin"/>
          <w:color w:val="111111"/>
          <w:sz w:val="28"/>
          <w:sz w:val="28"/>
          <w:szCs w:val="28"/>
          <w:rtl w:val="true"/>
          <w:lang w:bidi="fa-IR"/>
        </w:rPr>
        <w:t>،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 الآباء و الاُمّهات وقایة أولادهم ممّا یوجب سخط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عذابه، و لا یمکن هذا إلاّ بأن یراقبهم و یلاحظهم و یأمرهم و ینهاهم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یدلّ علیه فی الجملة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الحلبی المتقدّمة</w:t>
      </w:r>
    </w:p>
    <w:p>
      <w:pPr>
        <w:pStyle w:val="BookText"/>
        <w:rPr/>
      </w:pPr>
      <w:r>
        <w:rPr>
          <w:rFonts w:ascii="IRNazanin" w:hAnsi="IRNazanin" w:eastAsia="IRNazanin"/>
          <w:color w:val="111111"/>
          <w:sz w:val="28"/>
          <w:sz w:val="28"/>
          <w:szCs w:val="28"/>
          <w:rtl w:val="true"/>
          <w:lang w:bidi="fa-IR"/>
        </w:rPr>
        <w:t>عن أبی عبد اللّه علیه 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اخری له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 إذا کانوا بنی سبع سنین بما أطاقوا من صیام الیوم، فإن کان إلی نصف النهار أو أکثر من ذلک أو أقلّ، فإذا غلبهم العطش و الغرث أفطروا حتّی یتعوّدوا الصوم و یطیقوه، فمروا صبیانکم إذا کانوا بنی تسع سنین بالصوم ما أطاقوا من صیام، فإذا غلبهم العطش أفطروا</w:t>
      </w:r>
      <w:r>
        <w:rPr>
          <w:rFonts w:eastAsia="IRNazanin" w:cs="IRNazanin"/>
          <w:color w:val="111111"/>
          <w:sz w:val="28"/>
          <w:szCs w:val="28"/>
          <w:rtl w:val="true"/>
          <w:lang w:bidi="fa-IR"/>
        </w:rPr>
        <w:t>»</w:t>
      </w:r>
      <w:r>
        <w:rPr>
          <w:rStyle w:val="FootnoteAnchor"/>
          <w:rtl w:val="true"/>
        </w:rPr>
        <w:footnoteReference w:id="1877"/>
      </w:r>
      <w:r>
        <w:rPr>
          <w:rFonts w:ascii="IRNazanin" w:hAnsi="IRNazanin" w:eastAsia="IRNazanin"/>
          <w:color w:val="111111"/>
          <w:sz w:val="28"/>
          <w:sz w:val="28"/>
          <w:szCs w:val="28"/>
          <w:rtl w:val="true"/>
          <w:lang w:bidi="fa-IR"/>
        </w:rPr>
        <w:t>، و غیرها</w:t>
      </w:r>
      <w:r>
        <w:rPr>
          <w:rStyle w:val="FootnoteAnchor"/>
          <w:rtl w:val="true"/>
        </w:rPr>
        <w:footnoteReference w:id="1878"/>
      </w:r>
      <w:bookmarkStart w:id="1075" w:name="pg11754_113218"/>
    </w:p>
    <w:p>
      <w:pPr>
        <w:pStyle w:val="Heading5"/>
        <w:numPr>
          <w:ilvl w:val="4"/>
          <w:numId w:val="1"/>
        </w:numPr>
        <w:rPr/>
      </w:pPr>
      <w:bookmarkStart w:id="1076" w:name="__RefHeading___Toc9531235_73709187"/>
      <w:bookmarkStart w:id="1077" w:name="_Toc420"/>
      <w:bookmarkEnd w:id="1075"/>
      <w:bookmarkEnd w:id="1076"/>
      <w:r>
        <w:rPr>
          <w:rtl w:val="true"/>
        </w:rPr>
        <w:t xml:space="preserve">ج </w:t>
      </w:r>
      <w:r>
        <w:rPr>
          <w:rtl w:val="true"/>
        </w:rPr>
        <w:t xml:space="preserve">- </w:t>
      </w:r>
      <w:r>
        <w:rPr>
          <w:rtl w:val="true"/>
        </w:rPr>
        <w:t>التربیة من طریق الهجر</w:t>
      </w:r>
      <w:bookmarkEnd w:id="1077"/>
    </w:p>
    <w:p>
      <w:pPr>
        <w:pStyle w:val="BookText"/>
        <w:rPr/>
      </w:pPr>
      <w:r>
        <w:rPr>
          <w:rFonts w:ascii="IRNazanin" w:hAnsi="IRNazanin" w:eastAsia="IRNazanin"/>
          <w:color w:val="111111"/>
          <w:sz w:val="28"/>
          <w:sz w:val="28"/>
          <w:szCs w:val="28"/>
          <w:rtl w:val="true"/>
          <w:lang w:bidi="fa-IR"/>
        </w:rPr>
        <w:t>و من أسالیب و مناهج التربیة هو الهجر، بأن یعتزل الوالدان أو أحدهما عن الطفل فی برهة قلیلة من الزمان، و هذا قد یکون بعدم التکلّم معه، أو بعدم إجازة وروده فی المجلس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للهجر تأثیراً وافراً لتنبیه الطفل و تربیته و إصلاحه،</w:t>
      </w:r>
    </w:p>
    <w:p>
      <w:pPr>
        <w:pStyle w:val="BookText"/>
        <w:rPr/>
      </w:pPr>
      <w:r>
        <w:rPr>
          <w:rFonts w:ascii="IRNazanin" w:hAnsi="IRNazanin" w:eastAsia="IRNazanin"/>
          <w:color w:val="111111"/>
          <w:sz w:val="28"/>
          <w:sz w:val="28"/>
          <w:szCs w:val="28"/>
          <w:rtl w:val="true"/>
          <w:lang w:bidi="fa-IR"/>
        </w:rPr>
        <w:t>فقد ورد أنّ رجلاً من أصحاب الکاظم علیه السلام جاء إلیه و شکی من سوء أخلاق ولده،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 و اهجره و لا تُطل</w:t>
      </w:r>
      <w:r>
        <w:rPr>
          <w:rFonts w:eastAsia="IRNazanin" w:cs="IRNazanin"/>
          <w:color w:val="111111"/>
          <w:sz w:val="28"/>
          <w:szCs w:val="28"/>
          <w:rtl w:val="true"/>
          <w:lang w:bidi="fa-IR"/>
        </w:rPr>
        <w:t>»</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الهجر کان من مراتب التأدیب و الأمر بالمعروف و النهی عن المنکر، و قد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بإعمال هذا الطریق للتنبیه و تربیة المرأة الناشزة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 وَ اهْجُرُوهُنَّ فِی الْمَضاجِعِ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یستفاد منها جواز الهجر بخوف النشوز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ظهر من الزوجة أمارته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تقطب فی وجهه، أو تتبرّم بحوائجه، أو تغیّر عادتها فی آدابها، جاز له هجرها فی المضجع بعد عظتها، و صورة الهجر أن یحوّل إلیها ظهره فی الفراش</w:t>
      </w:r>
      <w:r>
        <w:rPr>
          <w:rFonts w:eastAsia="IRNazanin" w:cs="IRNazanin"/>
          <w:color w:val="111111"/>
          <w:sz w:val="28"/>
          <w:szCs w:val="28"/>
          <w:rtl w:val="true"/>
          <w:lang w:bidi="fa-IR"/>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یأتی تفصیل الکلام فی الهجر عن الطفل فی الباب الذی نبحث عن تأدیب الطفل إن شاء اللّه</w:t>
      </w:r>
      <w:r>
        <w:rPr>
          <w:rFonts w:eastAsia="IRNazanin" w:cs="IRNazanin"/>
          <w:color w:val="111111"/>
          <w:sz w:val="28"/>
          <w:szCs w:val="28"/>
          <w:rtl w:val="true"/>
          <w:lang w:bidi="fa-IR"/>
        </w:rPr>
        <w:t>.</w:t>
      </w:r>
    </w:p>
    <w:p>
      <w:pPr>
        <w:pStyle w:val="Heading5"/>
        <w:numPr>
          <w:ilvl w:val="4"/>
          <w:numId w:val="1"/>
        </w:numPr>
        <w:rPr/>
      </w:pPr>
      <w:bookmarkStart w:id="1078" w:name="__RefHeading___Toc9531237_73709187"/>
      <w:bookmarkStart w:id="1079" w:name="_Toc421"/>
      <w:bookmarkEnd w:id="1078"/>
      <w:r>
        <w:rPr>
          <w:rtl w:val="true"/>
        </w:rPr>
        <w:t xml:space="preserve">د </w:t>
      </w:r>
      <w:r>
        <w:rPr>
          <w:rtl w:val="true"/>
        </w:rPr>
        <w:t xml:space="preserve">- </w:t>
      </w:r>
      <w:r>
        <w:rPr>
          <w:rtl w:val="true"/>
        </w:rPr>
        <w:t>التربیة من طریق التأدیب و الضرب</w:t>
      </w:r>
      <w:bookmarkEnd w:id="107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مرحلة من مراحل التربیة، فیجدر بالأبوین و المربّین ألاّ یترکوا</w:t>
      </w:r>
    </w:p>
    <w:p>
      <w:pPr>
        <w:pStyle w:val="BookText"/>
        <w:rPr/>
      </w:pPr>
      <w:r>
        <w:rPr>
          <w:rFonts w:ascii="IRNazanin" w:hAnsi="IRNazanin" w:eastAsia="IRNazanin"/>
          <w:color w:val="111111"/>
          <w:sz w:val="28"/>
          <w:sz w:val="28"/>
          <w:szCs w:val="28"/>
          <w:rtl w:val="true"/>
          <w:lang w:bidi="fa-IR"/>
        </w:rPr>
        <w:t>وسیلة من وسائل الاصلاح إلاّ سلکوها، و لا طریقة فی تقویم اعوجاجه و تهذیب وجدانه و أخلاقه إلاّ نهجوها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للإسلام طریقته الخاصّة فی إصلاح الولد و تربیته، فإن کان ینفع مع الولد الملاطفة بالوعظ، فلا یجوز للمربّی أن یلجأ إلی الهجر، و إن کان ینفع الهجر أو الزجر فلا یجوز له أن یلجأ إلی الضرب و التأدیب، و إذا عجز عن جمیع الوسائل الإصلاحیّة ملاطفة و وعظاً، فلا بأس بعد هذا أن یلجأ إلی التأدیب و الضرب حفظاً لرعایة الشرائط التی نذکرها فی الباب التی عقدنا للبحث عن تأدیب الطفل خاصاً، و سیأتی إن شاء اللّه تعالی</w:t>
      </w:r>
      <w:r>
        <w:rPr>
          <w:rFonts w:eastAsia="IRNazanin" w:cs="IRNazanin"/>
          <w:color w:val="111111"/>
          <w:sz w:val="28"/>
          <w:szCs w:val="28"/>
          <w:rtl w:val="true"/>
          <w:lang w:bidi="fa-IR"/>
        </w:rPr>
        <w:t>.</w:t>
      </w:r>
      <w:bookmarkStart w:id="1080" w:name="pg11754_113220"/>
    </w:p>
    <w:p>
      <w:pPr>
        <w:pStyle w:val="Heading3"/>
        <w:numPr>
          <w:ilvl w:val="2"/>
          <w:numId w:val="1"/>
        </w:numPr>
        <w:rPr/>
      </w:pPr>
      <w:bookmarkStart w:id="1081" w:name="__RefHeading___Toc9531239_73709187"/>
      <w:bookmarkStart w:id="1082" w:name="_Toc422"/>
      <w:bookmarkEnd w:id="1080"/>
      <w:bookmarkEnd w:id="1081"/>
      <w:r>
        <w:rPr>
          <w:rtl w:val="true"/>
        </w:rPr>
        <w:t>الفصل الثالث</w:t>
      </w:r>
      <w:r>
        <w:rPr>
          <w:rtl w:val="true"/>
        </w:rPr>
        <w:t xml:space="preserve">: </w:t>
      </w:r>
      <w:r>
        <w:rPr>
          <w:rtl w:val="true"/>
        </w:rPr>
        <w:t>ذکر الاُمور التی أُمر بها الأولیاء لتربیة الأطفال</w:t>
      </w:r>
      <w:bookmarkEnd w:id="1082"/>
    </w:p>
    <w:p>
      <w:pPr>
        <w:pStyle w:val="Heading4"/>
        <w:numPr>
          <w:ilvl w:val="3"/>
          <w:numId w:val="1"/>
        </w:numPr>
        <w:rPr/>
      </w:pPr>
      <w:bookmarkStart w:id="1083" w:name="__RefHeading___Toc9531241_73709187"/>
      <w:bookmarkStart w:id="1084" w:name="_Toc423"/>
      <w:bookmarkEnd w:id="1083"/>
      <w:r>
        <w:rPr>
          <w:rtl w:val="true"/>
        </w:rPr>
        <w:t>اشارة</w:t>
      </w:r>
      <w:bookmarkEnd w:id="1084"/>
    </w:p>
    <w:p>
      <w:pPr>
        <w:pStyle w:val="BookText"/>
        <w:rPr/>
      </w:pPr>
      <w:r>
        <w:rPr>
          <w:rFonts w:ascii="IRNazanin" w:hAnsi="IRNazanin" w:eastAsia="IRNazanin"/>
          <w:color w:val="111111"/>
          <w:sz w:val="28"/>
          <w:sz w:val="28"/>
          <w:szCs w:val="28"/>
          <w:rtl w:val="true"/>
          <w:lang w:bidi="fa-IR"/>
        </w:rPr>
        <w:t>قد ذکرنا فی بیان حکم التربیة و التعلیم أنّه یجب علی الأولیاء تربیة الأطفال و ربطهم بالأمور التی کانت من مهمّات الدین، و اهتمّ بها الشارع کمال الاهتمام، و کانت فیها مصلحة ملزمة لهم، و کذا یجب علیهم تربیتهم بالاجتناب عن المحرّمات و الرذائل التی لم یرضَ الشارع فعلها من أیّ فاعل، حتّی من غیر المکلّفین، کالسرقة و الزنا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لهم تربیتهم و تعلیمهم الاُمور التی لم تکن بهذه الأهمّیة؛ کآداب المعاشرة، و أدب السلام، و الحضور فی الجمعة و الجماعات، و تعلیم الأدعیة المأثورة و الصناعات و غیرها، و أقمنا الدلیل علی هذا المدّعی بشکل مبسوط، إلاّ أنّه یستفاد من بعض الآیات، و کذا من النصوص الکثیرة أنّه یلزم علی الأولیاء تربیة الأطفال و تعویدهم ببعض الاُمور، أو منعهم عن بعض آخر بخصوصها، و یستفاد منها أهمّیة هذا الاُمور فی مسائل التربوی و سوق الأطفال إلی الخیر و الصلاح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معرفة الأولیاء بها کانت مؤثّرة فی تربیة الأطفال، لهذا عقدنا هذا الفصل لذکر هذه الاُمور، و فیها مباحث</w:t>
      </w:r>
      <w:r>
        <w:rPr>
          <w:rFonts w:eastAsia="IRNazanin" w:cs="IRNazanin"/>
          <w:color w:val="111111"/>
          <w:sz w:val="28"/>
          <w:szCs w:val="28"/>
          <w:rtl w:val="true"/>
          <w:lang w:bidi="fa-IR"/>
        </w:rPr>
        <w:t>:</w:t>
      </w:r>
      <w:bookmarkStart w:id="1085" w:name="pg11754_113221"/>
    </w:p>
    <w:p>
      <w:pPr>
        <w:pStyle w:val="Heading4"/>
        <w:numPr>
          <w:ilvl w:val="3"/>
          <w:numId w:val="1"/>
        </w:numPr>
        <w:rPr/>
      </w:pPr>
      <w:bookmarkStart w:id="1086" w:name="__RefHeading___Toc9531243_73709187"/>
      <w:bookmarkStart w:id="1087" w:name="_Toc424"/>
      <w:bookmarkEnd w:id="1085"/>
      <w:bookmarkEnd w:id="1086"/>
      <w:r>
        <w:rPr>
          <w:rtl w:val="true"/>
        </w:rPr>
        <w:t>المبحث الأوّل</w:t>
      </w:r>
      <w:r>
        <w:rPr>
          <w:rtl w:val="true"/>
        </w:rPr>
        <w:t xml:space="preserve">: </w:t>
      </w:r>
      <w:r>
        <w:rPr>
          <w:rtl w:val="true"/>
        </w:rPr>
        <w:t>ربط الأطفال بالاُمور الاعتقادیة</w:t>
      </w:r>
      <w:bookmarkEnd w:id="1087"/>
    </w:p>
    <w:p>
      <w:pPr>
        <w:pStyle w:val="Heading5"/>
        <w:numPr>
          <w:ilvl w:val="4"/>
          <w:numId w:val="1"/>
        </w:numPr>
        <w:rPr/>
      </w:pPr>
      <w:bookmarkStart w:id="1088" w:name="__RefHeading___Toc9531245_73709187"/>
      <w:bookmarkStart w:id="1089" w:name="_Toc425"/>
      <w:bookmarkEnd w:id="1088"/>
      <w:r>
        <w:rPr>
          <w:rtl w:val="true"/>
        </w:rPr>
        <w:t>اشارة</w:t>
      </w:r>
      <w:bookmarkEnd w:id="1089"/>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5"/>
        <w:numPr>
          <w:ilvl w:val="4"/>
          <w:numId w:val="1"/>
        </w:numPr>
        <w:rPr/>
      </w:pPr>
      <w:bookmarkStart w:id="1090" w:name="__RefHeading___Toc9531247_73709187"/>
      <w:bookmarkStart w:id="1091" w:name="_Toc426"/>
      <w:bookmarkEnd w:id="1090"/>
      <w:r>
        <w:rPr>
          <w:rtl w:val="true"/>
        </w:rPr>
        <w:t>المطلب الأوّل</w:t>
      </w:r>
      <w:r>
        <w:rPr>
          <w:rtl w:val="true"/>
        </w:rPr>
        <w:t xml:space="preserve">: </w:t>
      </w:r>
      <w:r>
        <w:rPr>
          <w:rtl w:val="true"/>
        </w:rPr>
        <w:t>وجوب ربط الطفل بالإیمان باللّه تعالی و حبّه</w:t>
      </w:r>
      <w:bookmarkEnd w:id="1091"/>
    </w:p>
    <w:p>
      <w:pPr>
        <w:pStyle w:val="Heading6"/>
        <w:numPr>
          <w:ilvl w:val="5"/>
          <w:numId w:val="1"/>
        </w:numPr>
        <w:rPr/>
      </w:pPr>
      <w:bookmarkStart w:id="1092" w:name="__RefHeading___Toc9531249_73709187"/>
      <w:bookmarkStart w:id="1093" w:name="_Toc427"/>
      <w:bookmarkEnd w:id="1092"/>
      <w:r>
        <w:rPr>
          <w:rtl w:val="true"/>
        </w:rPr>
        <w:t>اشارة</w:t>
      </w:r>
      <w:bookmarkEnd w:id="1093"/>
    </w:p>
    <w:p>
      <w:pPr>
        <w:pStyle w:val="BookText"/>
        <w:rPr/>
      </w:pPr>
      <w:r>
        <w:rPr>
          <w:rFonts w:ascii="IRNazanin" w:hAnsi="IRNazanin" w:eastAsia="IRNazanin"/>
          <w:color w:val="111111"/>
          <w:sz w:val="28"/>
          <w:sz w:val="28"/>
          <w:szCs w:val="28"/>
          <w:rtl w:val="true"/>
          <w:lang w:bidi="fa-IR"/>
        </w:rPr>
        <w:t>تبرز الفطرة التوحیدیّة و المشاعر الخلقیّة فی ضمیر الطفل قبل أن یکمل عقله و ینضج لاستیعاب المسائل العلمیّة، و یکون مستعدّاً لتقبّل الأسالیب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الوالدین أن یهتمّا بقیمة هذه الفرصة المناسبة و یستغلاّ تفتّح مشاعر الطفل و یقظة فطرته الإیمانیّة، فیعملا منذ الطفولة علی تنمیة الإیمان باللّه فی نفسه، هذا الأمر یجعل الطفل متّجهاً فی طریق الطهارة و الإیمان قبل أن یتفتّح عقله و ینضج لاستیعاب الحقائق العقلانیّة، و إدراک المسائل العلمیّة</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تقتصر الفطرة علی الإقرار و الإیمان باللّه فحسب، بل تمیل بطبعها إلی الخیر و تحبّه و تبغض الشرّ و ترفضه، و إذا کان الأمر علی هذه الشاکلة؛ فإنّه من السهل توجیه الطفل، و ترکیز و تأصیل ذلک المفهوم الحسن فی نفسه، فیتأکّد عنده بأنّ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خلقنا و رزقنا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الطفل یکون مستجیباً بدافع فطرته إلی کلّ هذه المعانی الحسنة، و عندها یعمل الأب علی ترکیزها فی نفسه، و ربطها فی واقع حیاته</w:t>
      </w:r>
      <w:r>
        <w:rPr>
          <w:rFonts w:eastAsia="IRNazanin" w:cs="IRNazanin"/>
          <w:color w:val="111111"/>
          <w:sz w:val="28"/>
          <w:szCs w:val="28"/>
          <w:rtl w:val="true"/>
          <w:lang w:bidi="fa-IR"/>
        </w:rPr>
        <w:t>»</w:t>
      </w:r>
      <w:r>
        <w:rPr>
          <w:rStyle w:val="FootnoteAnchor"/>
          <w:rtl w:val="true"/>
        </w:rPr>
        <w:footnoteReference w:id="1882"/>
      </w:r>
      <w:bookmarkStart w:id="1094" w:name="pg11754_113222"/>
    </w:p>
    <w:p>
      <w:pPr>
        <w:pStyle w:val="Heading6"/>
        <w:numPr>
          <w:ilvl w:val="5"/>
          <w:numId w:val="1"/>
        </w:numPr>
        <w:rPr/>
      </w:pPr>
      <w:bookmarkStart w:id="1095" w:name="__RefHeading___Toc9531251_73709187"/>
      <w:bookmarkStart w:id="1096" w:name="_Toc428"/>
      <w:bookmarkEnd w:id="1094"/>
      <w:bookmarkEnd w:id="1095"/>
      <w:r>
        <w:rPr>
          <w:rtl w:val="true"/>
        </w:rPr>
        <w:t>أدلّة وجوب ربط الطفل باللّه تعالی</w:t>
      </w:r>
      <w:bookmarkEnd w:id="1096"/>
    </w:p>
    <w:p>
      <w:pPr>
        <w:pStyle w:val="BookText"/>
        <w:rPr/>
      </w:pPr>
      <w:r>
        <w:rPr>
          <w:rFonts w:ascii="IRNazanin" w:hAnsi="IRNazanin" w:eastAsia="IRNazanin"/>
          <w:color w:val="111111"/>
          <w:sz w:val="28"/>
          <w:sz w:val="28"/>
          <w:szCs w:val="28"/>
          <w:rtl w:val="true"/>
          <w:lang w:bidi="fa-IR"/>
        </w:rPr>
        <w:t xml:space="preserve">من الضروریّات الدینیّة التی یجب علی أولیاء الطفل ربطه باللّه تعالی، و هو مسئولیّة التی لم یختلف فیها اثنان، و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الأدلّة التی تدلُّ علی وجوب التربیة و التعلّم بعمومها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الأدلة علی وجه الخصوص،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w:t>
      </w:r>
      <w:r>
        <w:rPr>
          <w:rStyle w:val="FootnoteAnchor"/>
          <w:rtl w:val="true"/>
        </w:rPr>
        <w:footnoteReference w:id="1883"/>
      </w:r>
      <w:r>
        <w:rPr>
          <w:rFonts w:ascii="IRNazanin" w:hAnsi="IRNazanin" w:eastAsia="IRNazanin"/>
          <w:color w:val="111111"/>
          <w:sz w:val="28"/>
          <w:sz w:val="28"/>
          <w:szCs w:val="28"/>
          <w:rtl w:val="true"/>
          <w:lang w:bidi="fa-IR"/>
        </w:rPr>
        <w:t xml:space="preserve">؛ فإنّ عدم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توجب الکفر ممّا أوعد اللّه علیه العذاب قطعاً، فیجب علی الأبوین وقایة أطفالهم عنه، و هو عبارة اخری عن وجوب ربطهم بالإیمان باللّه تعالی، کما لا 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بالتقریب المتقدّم أیضاً</w:t>
      </w:r>
      <w:r>
        <w:rPr>
          <w:rStyle w:val="FootnoteAnchor"/>
          <w:rtl w:val="true"/>
        </w:rPr>
        <w:footnoteReference w:id="1884"/>
      </w:r>
      <w:r>
        <w:rPr>
          <w:rFonts w:ascii="IRNazanin" w:hAnsi="IRNazanin" w:eastAsia="IRNazanin"/>
          <w:color w:val="111111"/>
          <w:sz w:val="28"/>
          <w:sz w:val="28"/>
          <w:szCs w:val="28"/>
          <w:rtl w:val="true"/>
          <w:lang w:bidi="fa-IR"/>
        </w:rPr>
        <w:t>؛ فإنّه تعالی تذکّرنا بأهمّ ما نغرس من خُلق قویم و عقیدة صحیحة فی نفس الطفل، و هو حقّ اللّه عزّ و جلّ؛ لأنّه أعظم الحقوق و أجلّها، و هو مفتاح الخیر بل کلّ الخیر، فأمر بإخلاص العبادة للّه عزّ و جلّ؛ و نهی عن الشرک الذی هو أعظم الذنوب و أکبرها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من کلام الإمام زین العابدین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مسئول عمّا ولّیته به من حسن الأدب، و الدلالة علی ربّه</w:t>
      </w:r>
      <w:r>
        <w:rPr>
          <w:rFonts w:eastAsia="IRNazanin" w:cs="IRNazanin"/>
          <w:color w:val="111111"/>
          <w:sz w:val="28"/>
          <w:szCs w:val="28"/>
          <w:rtl w:val="true"/>
          <w:lang w:bidi="fa-IR"/>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مسئول عن</w:t>
      </w:r>
      <w:bookmarkStart w:id="1097" w:name="pg11754_113223"/>
    </w:p>
    <w:p>
      <w:pPr>
        <w:pStyle w:val="BookText"/>
        <w:rPr/>
      </w:pPr>
      <w:bookmarkEnd w:id="1097"/>
      <w:r>
        <w:rPr>
          <w:rFonts w:ascii="IRNazanin" w:hAnsi="IRNazanin" w:eastAsia="IRNazanin"/>
          <w:color w:val="111111"/>
          <w:sz w:val="28"/>
          <w:sz w:val="28"/>
          <w:szCs w:val="28"/>
          <w:rtl w:val="true"/>
          <w:lang w:bidi="fa-IR"/>
        </w:rPr>
        <w:t>رعیّته، فالأمیر علی الناس راعٍ و هو مسئول عن رعیّته، و الرجل راعٍ علی أهل بیته و هو مسئول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فکلّکم راع و کلّکم مسئول عن رعیّته</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عنه صلی الله علیه و آله عن طریق أهل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افتحوا علی صبیانکم أوّل کلمة لا إله إلاّ اللّه، و لقّنوهم عند الموت لا إله إلاّ اللّه</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قوله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ربّی صغیراً حتّی یقول لا إله إلاّ اللّه لم یحاسبه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تدلُّ علی هذا المعنی أیضاً ما سنذکرها فی ذیل العنوان القادم</w:t>
      </w:r>
      <w:r>
        <w:rPr>
          <w:rFonts w:eastAsia="IRNazanin" w:cs="IRNazanin"/>
          <w:color w:val="111111"/>
          <w:sz w:val="28"/>
          <w:szCs w:val="28"/>
          <w:rtl w:val="true"/>
          <w:lang w:bidi="fa-IR"/>
        </w:rPr>
        <w:t>.</w:t>
      </w:r>
    </w:p>
    <w:p>
      <w:pPr>
        <w:pStyle w:val="Heading6"/>
        <w:numPr>
          <w:ilvl w:val="5"/>
          <w:numId w:val="1"/>
        </w:numPr>
        <w:rPr/>
      </w:pPr>
      <w:bookmarkStart w:id="1098" w:name="__RefHeading___Toc9531253_73709187"/>
      <w:bookmarkStart w:id="1099" w:name="_Toc429"/>
      <w:bookmarkEnd w:id="1098"/>
      <w:r>
        <w:rPr>
          <w:rtl w:val="true"/>
        </w:rPr>
        <w:t>نماذج من کلمات الأنبیاء و الأئمّة علیهم السلام فی ربط أولادهم باللّه تعالی و نعمه</w:t>
      </w:r>
      <w:bookmarkEnd w:id="1099"/>
    </w:p>
    <w:p>
      <w:pPr>
        <w:pStyle w:val="BookText"/>
        <w:rPr/>
      </w:pPr>
      <w:r>
        <w:rPr>
          <w:rFonts w:ascii="IRNazanin" w:hAnsi="IRNazanin" w:eastAsia="IRNazanin"/>
          <w:color w:val="111111"/>
          <w:sz w:val="28"/>
          <w:sz w:val="28"/>
          <w:szCs w:val="28"/>
          <w:rtl w:val="true"/>
          <w:lang w:bidi="fa-IR"/>
        </w:rPr>
        <w:t xml:space="preserve">یستفاد من النصوص الکثیرة أنّه کان من سیرة الأنبیاء و الأئمّة علیهم السلام و دأبهم فی تربیة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مسائل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یربطوهم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التفکّر فی بیان أوصافه تعالی، و مخلوقاته، و ذکر نِعَمه، أو تخویفهم من عذاب اللّه و غیر ذلک، فنذکر نماذج من کلماتهم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لقمان الحکیم قال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أقلّ الکلام، و اذکر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مکان؛ فإنّه قد أنذرک و حذّرک و بصّرک و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ذا الذی عبد اللّه فخذله، و من ذا الذی ابتغاه فلم یجده، یا بنیّ و من ذا الذی ذکره فلم یذکره، و من ذا الذی توکّل علی اللّه فوکله إلی غیره، و من ذا الذی تضرّع إلیه جلّ ذکره فلم یرحمه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 اللّه مخافة لا تیأس من رحمته، و ارجه رجاءً لا تأمن من مکره</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الحارث بن المغیرة أو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الأعاجیب، و کان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خیفة لو جئته ببرّ الثقلین لعذّبک، و ارجُ اللّه رجاء لو 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 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 یزد علی هذا، و لو وزن هذا لم یزد علی هذا</w:t>
      </w:r>
      <w:r>
        <w:rPr>
          <w:rFonts w:eastAsia="IRNazanin" w:cs="IRNazanin"/>
          <w:color w:val="111111"/>
          <w:sz w:val="28"/>
          <w:szCs w:val="28"/>
          <w:rtl w:val="true"/>
          <w:lang w:bidi="fa-IR"/>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الأوزاعی عن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سلیمان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علیک بخشیة اللّه عزّ و جلّ؛ فإنّها غلبت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علیک بالحبیب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الآخر لا یعدله</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وصایا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إنّ أحبّ ما أنت آخذ به إلیّ من وصیّتی تقوی اللّه، و الاقتصار علی ما افترض علیک، و الأخذ بما مضی علیه الأوّلون من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یا بنیّ أنّه لو کان لربّک شریک لأتتک رسله، و لرأیت آثار ملکه و سلطانه، و لعرفت صفته و فعاله، و لکنّه إله واحد کما وصف نفسه، لا یضادّه فی ذلک أحد و لا یحاجّه، و أنّه خالق کلّ شیء، و أنّه أجلّ من أن یثبت لربوبیّته بالإحاطة قلب أو بصر، و إذا أنت عرفت ذلک فافعل کما ینبغی لمثلک فی صغر خطرک، و قلّة مقدرتک، و عظم حاجتک إلیه أن یفعل مثله فی طلب طاعته، و الرهبة له، و الشفقة من سخطه؛ فإنّه لم یأمرک إلاّ بحسن، و لم ینهک إلاّ عن قبیح</w:t>
      </w:r>
      <w:r>
        <w:rPr>
          <w:rFonts w:eastAsia="IRNazanin" w:cs="IRNazanin"/>
          <w:color w:val="111111"/>
          <w:sz w:val="28"/>
          <w:szCs w:val="28"/>
          <w:rtl w:val="true"/>
          <w:lang w:bidi="fa-IR"/>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bookmarkStart w:id="1100" w:name="pg11754_113225"/>
    </w:p>
    <w:p>
      <w:pPr>
        <w:pStyle w:val="BookText"/>
        <w:rPr/>
      </w:pPr>
      <w:bookmarkEnd w:id="1100"/>
      <w:r>
        <w:rPr>
          <w:rFonts w:ascii="IRNazanin" w:hAnsi="IRNazanin" w:eastAsia="IRNazanin"/>
          <w:color w:val="111111"/>
          <w:sz w:val="28"/>
          <w:sz w:val="28"/>
          <w:szCs w:val="28"/>
          <w:rtl w:val="true"/>
          <w:lang w:bidi="fa-IR"/>
        </w:rPr>
        <w:t>و قال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سبب أوثق من سبب بینک و بین اللّه جلّ جلاله إن أخذت به</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وصایاه لابنه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أوصیک بتقوی اللّه فی الغنی و الفقر، و کلمة الحقّ فی الرضی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العجب ممّن یخاف العقاب فلم یکفّ، و رجا الثواب فلم یتب و یعمل</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 لابنه محمّد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إذا قویت فاقو علی طاعة اللّه، و إنْ ضعفت فاضعف عن معصیة اللّه</w:t>
      </w:r>
      <w:r>
        <w:rPr>
          <w:rFonts w:eastAsia="IRNazanin" w:cs="IRNazanin"/>
          <w:color w:val="111111"/>
          <w:sz w:val="28"/>
          <w:szCs w:val="28"/>
          <w:rtl w:val="true"/>
          <w:lang w:bidi="fa-IR"/>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سعد بن أبی خلف، عن أبی الحسن موسی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علیک بالجدّ لا تخرجنّ نفسک من حدّ التقصیر فی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 فإنّ اللّه لا یعبد حقّ عبادته</w:t>
      </w:r>
      <w:r>
        <w:rPr>
          <w:rFonts w:eastAsia="IRNazanin" w:cs="IRNazanin"/>
          <w:color w:val="111111"/>
          <w:sz w:val="28"/>
          <w:szCs w:val="28"/>
          <w:rtl w:val="true"/>
          <w:lang w:bidi="fa-IR"/>
        </w:rPr>
        <w:t>»</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1" w:name="__RefHeading___Toc9531255_73709187"/>
      <w:bookmarkStart w:id="1102" w:name="_Toc430"/>
      <w:bookmarkEnd w:id="1101"/>
      <w:r>
        <w:rPr>
          <w:rtl w:val="true"/>
        </w:rPr>
        <w:t>أثر الإیمان باللّه تعالی و حبّه فی الطفل</w:t>
      </w:r>
      <w:bookmarkEnd w:id="1102"/>
    </w:p>
    <w:p>
      <w:pPr>
        <w:pStyle w:val="BookText"/>
        <w:rPr/>
      </w:pPr>
      <w:r>
        <w:rPr>
          <w:rFonts w:ascii="IRNazanin" w:hAnsi="IRNazanin" w:eastAsia="IRNazanin"/>
          <w:color w:val="111111"/>
          <w:sz w:val="28"/>
          <w:sz w:val="28"/>
          <w:szCs w:val="28"/>
          <w:rtl w:val="true"/>
          <w:lang w:bidi="fa-IR"/>
        </w:rPr>
        <w:t>إنّ الإنسان إذا عرف نعم اللّه علیه، و أدرک أنّ اللّه عزّ و جلّ قد أسبغ علیه نعمه؛ فإنّه یحسّ بالحیاء من اللّه، لما یراه فی نفسه من التقصیر فی حقّه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القرآن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w:t>
      </w:r>
    </w:p>
    <w:p>
      <w:pPr>
        <w:pStyle w:val="BookText"/>
        <w:rPr/>
      </w:pPr>
      <w:r>
        <w:rPr>
          <w:rFonts w:ascii="Amiri" w:hAnsi="Amiri" w:eastAsia="Amiri" w:cs="Amiri"/>
          <w:color w:val="111111"/>
          <w:sz w:val="28"/>
          <w:sz w:val="28"/>
          <w:szCs w:val="28"/>
          <w:rtl w:val="true"/>
          <w:lang w:bidi="ar-SA"/>
        </w:rPr>
        <w:t>عَلَیْکُمْ نِعَمَهُ ظاهِرَةً وَ 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هاهنا یستطیع الأب أن یستغلّ هذه الطبیعة البشریّة، فیبیّن فضل اللّه و نعمه علی الطفل، و ما سخّره له من طعام و شراب، و مرکب و ملبس و مسکن، و ما وهبه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نعمة السمع و البصر و سائر الحواس، و من ثمّ یحدّث الطفل عن فوائد هذه النِّعم، و یقرّب إلی تصوّره الصعوبة، و الشقاء الذی یمکن أن یحدث إذا ما فقدت نعمة أو أکثر من هذه النعم</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الطفل الذی یتربّی علی أساس الإیمان باللّه منذ البدایة یمتاز بإرادة قویّة و روح متطامنة، تظهر علیه أمارات الشهامة و النبل منذ الصغر، و تطفح کلماته و عباراته بحقائق ناصعة و صریحة</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الأمثلة علی ذلک کثیرة کما فی قصة الرسول الأعظم صلی الله علیه و آله مع مرضعته حلیمة السعدیّة،</w:t>
      </w:r>
    </w:p>
    <w:p>
      <w:pPr>
        <w:pStyle w:val="BookText"/>
        <w:rPr/>
      </w:pPr>
      <w:r>
        <w:rPr>
          <w:rFonts w:ascii="IRNazanin" w:hAnsi="IRNazanin" w:eastAsia="IRNazanin"/>
          <w:color w:val="111111"/>
          <w:sz w:val="28"/>
          <w:sz w:val="28"/>
          <w:szCs w:val="28"/>
          <w:rtl w:val="true"/>
          <w:lang w:bidi="fa-IR"/>
        </w:rPr>
        <w:t>تقول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محمّد صلی الله علیه و آله الثالثة من عمره الشریف قال لی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امّاه ما لی لا أری أخوی</w:t>
      </w:r>
      <w:r>
        <w:rPr>
          <w:rStyle w:val="FootnoteAnchor"/>
          <w:rtl w:val="true"/>
        </w:rPr>
        <w:footnoteReference w:id="1898"/>
      </w:r>
      <w:r>
        <w:rPr>
          <w:rFonts w:ascii="IRNazanin" w:hAnsi="IRNazanin" w:eastAsia="IRNazanin"/>
          <w:color w:val="111111"/>
          <w:sz w:val="28"/>
          <w:sz w:val="28"/>
          <w:szCs w:val="28"/>
          <w:rtl w:val="true"/>
          <w:lang w:bidi="fa-IR"/>
        </w:rPr>
        <w:t>بالنهار؟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إنّهما یرعیان غنیمات،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 لا أخرج معهما؟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أصبح دهّنته و کحّلته و علّقت فی عنقه خیطاً فیه جزع یمانیّة، فنزعها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امّاه؛ فإنّ معی من یحفظنی</w:t>
      </w:r>
      <w:r>
        <w:rPr>
          <w:rFonts w:eastAsia="IRNazanin" w:cs="IRNazanin"/>
          <w:color w:val="111111"/>
          <w:sz w:val="28"/>
          <w:szCs w:val="28"/>
          <w:rtl w:val="true"/>
          <w:lang w:bidi="fa-IR"/>
        </w:rPr>
        <w:t>»</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الإیمان باللّه هو الذی یجعل الطفل فی الثالثة حرّاً و قویّ الإرادة بهذه الصورة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نجد ذلک فی قصّة یوسف الصدّیق علیه السلام، حیث تلقّی درس الإیمان باللّه من</w:t>
      </w:r>
    </w:p>
    <w:p>
      <w:pPr>
        <w:pStyle w:val="BookText"/>
        <w:rPr/>
      </w:pPr>
      <w:r>
        <w:rPr>
          <w:rFonts w:ascii="IRNazanin" w:hAnsi="IRNazanin" w:eastAsia="IRNazanin"/>
          <w:color w:val="111111"/>
          <w:sz w:val="28"/>
          <w:sz w:val="28"/>
          <w:szCs w:val="28"/>
          <w:rtl w:val="true"/>
          <w:lang w:bidi="fa-IR"/>
        </w:rPr>
        <w:t>أبیه العظیم، و نشأ طفلاً مؤمناً فی حجر یعقوب علیه السلام، لقد نقم إخوته الکبار منه و صمّموا علی إیذائه حتّی ألقوه فی غیابت الجبّ، و کانت النتیجة أن بیع الطفل إلی قافلةٍ مصریّة،</w:t>
      </w:r>
    </w:p>
    <w:p>
      <w:pPr>
        <w:pStyle w:val="BookText"/>
        <w:rPr/>
      </w:pPr>
      <w:r>
        <w:rPr>
          <w:rFonts w:ascii="IRNazanin" w:hAnsi="IRNazanin" w:eastAsia="IRNazanin"/>
          <w:color w:val="111111"/>
          <w:sz w:val="28"/>
          <w:sz w:val="28"/>
          <w:szCs w:val="28"/>
          <w:rtl w:val="true"/>
          <w:lang w:bidi="fa-IR"/>
        </w:rPr>
        <w:t>یقول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 کان یوسف یوم ألقوه فی الجبّ؟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تسع سنین</w:t>
      </w:r>
      <w:r>
        <w:rPr>
          <w:rFonts w:eastAsia="IRNazanin" w:cs="IRNazanin"/>
          <w:color w:val="111111"/>
          <w:sz w:val="28"/>
          <w:szCs w:val="28"/>
          <w:rtl w:val="true"/>
          <w:lang w:bidi="fa-IR"/>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ذا یتوقّع من طفل لا یتجاوز عمره التسع سنوات فی مثل هذه الظروف الحرجة و المؤلمة؟ أ لیس الجواب هو الجزع و الاضطراب؟ فی حین أنّ قوة الإیمان کانت قد منحت یوسف حینذاک مقدرة عجیبة و تطامناً فائقاً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یوسف من الجبّ و اشتری قال لهم قائل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استوصوا بهذا الغریب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 اللّه فلیس له غربة</w:t>
      </w:r>
      <w:r>
        <w:rPr>
          <w:rFonts w:eastAsia="IRNazanin" w:cs="IRNazanin"/>
          <w:color w:val="111111"/>
          <w:sz w:val="28"/>
          <w:szCs w:val="28"/>
          <w:rtl w:val="true"/>
          <w:lang w:bidi="fa-IR"/>
        </w:rPr>
        <w:t>»</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bookmarkStart w:id="1103" w:name="pg11754_113228"/>
    </w:p>
    <w:p>
      <w:pPr>
        <w:pStyle w:val="Heading5"/>
        <w:numPr>
          <w:ilvl w:val="4"/>
          <w:numId w:val="1"/>
        </w:numPr>
        <w:rPr/>
      </w:pPr>
      <w:bookmarkStart w:id="1104" w:name="__RefHeading___Toc9531257_73709187"/>
      <w:bookmarkStart w:id="1105" w:name="_Toc431"/>
      <w:bookmarkEnd w:id="1103"/>
      <w:bookmarkEnd w:id="1104"/>
      <w:r>
        <w:rPr>
          <w:rtl w:val="true"/>
        </w:rPr>
        <w:t>المطلب الثانی</w:t>
      </w:r>
      <w:r>
        <w:rPr>
          <w:rtl w:val="true"/>
        </w:rPr>
        <w:t xml:space="preserve">: </w:t>
      </w:r>
      <w:r>
        <w:rPr>
          <w:rtl w:val="true"/>
        </w:rPr>
        <w:t>ربط الطفل بحبّ النبیّ و أهل بیته علیهم السلام</w:t>
      </w:r>
      <w:bookmarkEnd w:id="1105"/>
    </w:p>
    <w:p>
      <w:pPr>
        <w:pStyle w:val="Heading6"/>
        <w:numPr>
          <w:ilvl w:val="5"/>
          <w:numId w:val="1"/>
        </w:numPr>
        <w:rPr/>
      </w:pPr>
      <w:bookmarkStart w:id="1106" w:name="__RefHeading___Toc9531259_73709187"/>
      <w:bookmarkStart w:id="1107" w:name="_Toc432"/>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 xml:space="preserve">إنّ حبّ النبیّ صلی الله علیه و آله و أهل بیته علیهم السلام علامة للإیمان، و یستفاد من الروایات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من طریق الشیعة و أهل السنّة و کانت علی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النبیّ و أهل بیته أفضل العبادة و علامة الإیمان؛ لأنّهم أفضل الناس و أشرفهم و أعزّهم عند اللّه، و حبّهم سبب للفوز و الفلاح، و تقرّب العبد للّه تعالی، و بحبّهم تقبل الأعمال و تزکّی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الرسول صلی الله علیه و آله و أهل بیته علیهم السلام فیها الطمأنینة و الاُنس و السرور، فمن لم یسعَ إلاّ فی طریق الإسلام، و لم یسلک إلاّ ما یوافق شریعة النبی صلی الله علیه و آله، فقد خلصت حلاوة الإیمان إلی قلبه، و ذاق طعمه، فصحّ إیمانه و سکنت نفسه؛ لأنّ الرضا باللّه ربّاً، و بالرسول محمّد صلی الله علیه و آله نبیّاً، و أهل بیته أئمّة، دلیل علی ثبوت المعرفة، و من رضی عنهم سهل علیه اتّباعهم و إطاعة أوامرهم، لأنّ حقیقة المحبّة تتلخّص فی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فنذکر شطراً من الروایات التی تدلُّ علی هذا المعنی،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علل الشرائع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تکون عترتی إلیه أعزّ من عترته، و یکون أهلی أحبّ إلیه من أهله، و تکون ذاتی أحبّ إلیه من ذاته</w:t>
      </w:r>
      <w:r>
        <w:rPr>
          <w:rFonts w:eastAsia="IRNazanin" w:cs="IRNazanin"/>
          <w:color w:val="111111"/>
          <w:sz w:val="28"/>
          <w:szCs w:val="28"/>
          <w:rtl w:val="true"/>
          <w:lang w:bidi="fa-IR"/>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المعنی عن طریق أهل السنّة أیضاً</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الإسلام عُریان لباسُهُ التقوی</w:t>
      </w:r>
    </w:p>
    <w:p>
      <w:pPr>
        <w:pStyle w:val="BookText"/>
        <w:rPr/>
      </w:pPr>
      <w:r>
        <w:rPr>
          <w:rFonts w:ascii="IRNazanin" w:hAnsi="IRNazanin" w:eastAsia="IRNazanin"/>
          <w:color w:val="111111"/>
          <w:sz w:val="28"/>
          <w:sz w:val="28"/>
          <w:szCs w:val="28"/>
          <w:rtl w:val="true"/>
          <w:lang w:bidi="fa-IR"/>
        </w:rPr>
        <w:t>و ریاشُه الهدی، و زینته الحیاء، و عماده الورع، و ملاکه العمل الصالح، و أساسُ الإسلام حُبّی و حبّ أهل بیتی</w:t>
      </w:r>
      <w:r>
        <w:rPr>
          <w:rFonts w:eastAsia="IRNazanin" w:cs="IRNazanin"/>
          <w:color w:val="111111"/>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و قریب منه ما فی أمالی الطوسی</w:t>
      </w:r>
      <w:r>
        <w:rPr>
          <w:rStyle w:val="FootnoteAnchor"/>
          <w:rtl w:val="true"/>
        </w:rPr>
        <w:footnoteReference w:id="1905"/>
      </w:r>
      <w:r>
        <w:rPr>
          <w:rFonts w:ascii="IRNazanin" w:hAnsi="IRNazanin" w:eastAsia="IRNazanin"/>
          <w:color w:val="111111"/>
          <w:sz w:val="28"/>
          <w:sz w:val="28"/>
          <w:szCs w:val="28"/>
          <w:rtl w:val="true"/>
          <w:lang w:bidi="fa-IR"/>
        </w:rPr>
        <w:t>و البحار</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روی الطبرسی رحمة اللّه علیه عن الحاکم أبی القاسم فی کتاب 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خلق الأنبیاء من أشجار شتّی، و خُلقت أنا و علی من شجرة واحدة، فأنا أصلها، و علی فرعها، و فاطمة لقاحها، و الحسن و الحسین ثمارها، و أشیاعنا أوراقها، فمن تعلّق بغصن من أغصانها نجا، و من زاغ عنها هوی، و لو أنّ عبداً عَبَد اللّه بین الصفا و المروة ألف عام، ثمّ ألف عام، ثمّ ألف عام، حتّی یصیر کالشنّ البالی، ثمّ لم یدرک محبّتنا، کبّه اللّه علی منخریه فی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907"/>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الزمخشری فی تفسیره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صلی الله علیه و آله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فُتح له فی قبره بابان إلی الجنّة، ألا و من مات علی حُبّ آل محمّد جعل اللّه</w:t>
      </w:r>
    </w:p>
    <w:p>
      <w:pPr>
        <w:pStyle w:val="BookText"/>
        <w:rPr/>
      </w:pPr>
      <w:r>
        <w:rPr>
          <w:rFonts w:ascii="IRNazanin" w:hAnsi="IRNazanin" w:eastAsia="IRNazanin"/>
          <w:color w:val="111111"/>
          <w:sz w:val="28"/>
          <w:sz w:val="28"/>
          <w:szCs w:val="28"/>
          <w:rtl w:val="true"/>
          <w:lang w:bidi="fa-IR"/>
        </w:rPr>
        <w:t>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قیام الساعة؟ فحضرت الصلاة، فلمّا قضی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السائل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أعددت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أعددت لها من کثیر عمل لا صلاة و لا صوم إلاّ أنّی احب اللّه و رسوله، فقال له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رأیت المسلمین فرحوا بعد الإسلام بشیء أشدّ من فرحهم بهذا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ابن ماجة فی سننه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 النبیّ الاُمّی صلی الله علیه و آله أنّه لا یحبّنی إلاّ مؤمن، و لا یبغضنی إلاّ منافق</w:t>
      </w:r>
      <w:r>
        <w:rPr>
          <w:rFonts w:eastAsia="IRNazanin" w:cs="IRNazanin"/>
          <w:color w:val="111111"/>
          <w:sz w:val="28"/>
          <w:szCs w:val="28"/>
          <w:rtl w:val="true"/>
          <w:lang w:bidi="fa-IR"/>
        </w:rPr>
        <w:t>»</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أیضاً مسلم فی صحیحه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فلق الحبّة و برأ النسمة أنّه لعهد النبیّ الاُمّی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یحبّنی إلاّ مؤمن و لا یبغضنی إلاّ منافق</w:t>
      </w:r>
      <w:r>
        <w:rPr>
          <w:rFonts w:eastAsia="IRNazanin" w:cs="IRNazanin"/>
          <w:color w:val="111111"/>
          <w:sz w:val="28"/>
          <w:szCs w:val="28"/>
          <w:rtl w:val="true"/>
          <w:lang w:bidi="fa-IR"/>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یستفاد من الروایات الکثیرة أنّ حبّ أهل البیت علیهم السلام علامة لطیب الولادة و طهارة المولد</w:t>
      </w:r>
      <w:r>
        <w:rPr>
          <w:rFonts w:eastAsia="IRNazanin" w:cs="IRNazanin"/>
          <w:color w:val="111111"/>
          <w:sz w:val="28"/>
          <w:szCs w:val="28"/>
          <w:rtl w:val="true"/>
          <w:lang w:bidi="fa-IR"/>
        </w:rPr>
        <w:t>.</w:t>
      </w:r>
      <w:bookmarkStart w:id="1108" w:name="pg11754_113231"/>
    </w:p>
    <w:p>
      <w:pPr>
        <w:pStyle w:val="BookText"/>
        <w:rPr/>
      </w:pPr>
      <w:bookmarkEnd w:id="1108"/>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رواه فی العلل عن عبید اللّه بن صالح، عن زید بن علی، عن أبیه علی بن الحسین، عن أبیه الحسین بن علی، عن أبیه أمیر المؤمنین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أحبّنی و أحبّک و أحبّ الأئمّة من ولدک فلیحمد اللّه علی طیب مولده؛ فإنّه لا یحبّنا إلاّ مؤمن طابت ولادته، و لا یبغضنا إلاّ من خبثت ولادته</w:t>
      </w:r>
      <w:r>
        <w:rPr>
          <w:rFonts w:eastAsia="IRNazanin" w:cs="IRNazanin"/>
          <w:color w:val="111111"/>
          <w:sz w:val="28"/>
          <w:szCs w:val="28"/>
          <w:rtl w:val="true"/>
          <w:lang w:bidi="fa-IR"/>
        </w:rPr>
        <w:t>»</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أیضاً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فلیحمد اللّه علی أوّل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 لا یحبّنا إلاّ مؤمن طابت ولادته</w:t>
      </w:r>
      <w:r>
        <w:rPr>
          <w:rFonts w:eastAsia="IRNazanin" w:cs="IRNazanin"/>
          <w:color w:val="111111"/>
          <w:sz w:val="28"/>
          <w:szCs w:val="28"/>
          <w:rtl w:val="true"/>
          <w:lang w:bidi="fa-IR"/>
        </w:rPr>
        <w:t>»</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9" w:name="__RefHeading___Toc9531261_73709187"/>
      <w:bookmarkStart w:id="1110" w:name="_Toc433"/>
      <w:bookmarkEnd w:id="1109"/>
      <w:r>
        <w:rPr>
          <w:rtl w:val="true"/>
        </w:rPr>
        <w:t>حبّ النبی و أهل بیته علیهم السلام واجب علی المؤمنین</w:t>
      </w:r>
      <w:bookmarkEnd w:id="1110"/>
    </w:p>
    <w:p>
      <w:pPr>
        <w:pStyle w:val="BookText"/>
        <w:rPr/>
      </w:pPr>
      <w:r>
        <w:rPr>
          <w:rFonts w:ascii="IRNazanin" w:hAnsi="IRNazanin" w:eastAsia="IRNazanin"/>
          <w:color w:val="111111"/>
          <w:sz w:val="28"/>
          <w:sz w:val="28"/>
          <w:szCs w:val="28"/>
          <w:rtl w:val="true"/>
          <w:lang w:bidi="fa-IR"/>
        </w:rPr>
        <w:t>یستفاد من الآیات و الروایات الکثیرة وجوب حبّ النبی صلی الله علیه و آله و أهل بیته علیهم السلام علی المؤمنین، فمن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مجمع البیان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آثر من نفوسکم، و أقرب إلی قلوبکم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من طاعة اللّه و طاعة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جِهادٍ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و من جهاد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انتظروا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بحکمه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بعقوبتکم علی اختیارکم هذه الأشیاء علی الجهاد و طاعة اللّه</w:t>
      </w:r>
      <w:r>
        <w:rPr>
          <w:rFonts w:eastAsia="IRNazanin" w:cs="IRNazanin"/>
          <w:color w:val="111111"/>
          <w:sz w:val="28"/>
          <w:szCs w:val="28"/>
          <w:rtl w:val="true"/>
          <w:lang w:bidi="fa-IR"/>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اتّخذتم هؤلاء أولیاء، و استنکفتم عن إطاعة اللّه و رسوله، و الجهاد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حَتّی یَأْتِیَ اللّهُ بِأَمْرِهِ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الآیة دلیل علی وجوب حبّ اللّه و رسوله، و لا خلاف فی ذلک بین الاُمّة و أنّ ذلک مقدّم علی کلّ محبوب</w:t>
      </w:r>
      <w:r>
        <w:rPr>
          <w:rFonts w:eastAsia="IRNazanin" w:cs="IRNazanin"/>
          <w:color w:val="111111"/>
          <w:sz w:val="28"/>
          <w:szCs w:val="28"/>
          <w:rtl w:val="true"/>
          <w:lang w:bidi="fa-IR"/>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الحبّ، الحبّ الاختیاری دون الطبیعی؛ فإنّه لا یدخل تحت التکلیف فی التحفّظ عنه، کما فی کنز الدقائق</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ذکر الطبرسی فی معناه ثلاثة أقوال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أسألکم علی تبلیغ الرسالة و تعلیم الشریعة أجراً إلاّ أن تودّوا قرابتی و عترتی، و تحفظونی فیهم</w:t>
      </w:r>
      <w:r>
        <w:rPr>
          <w:rFonts w:eastAsia="IRNazanin" w:cs="IRNazanin"/>
          <w:color w:val="111111"/>
          <w:sz w:val="28"/>
          <w:szCs w:val="28"/>
          <w:rtl w:val="true"/>
          <w:lang w:bidi="fa-IR"/>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أجر رسالته المودّة فی القربی، و من المتیقّن من مضامین سائر الآیات التی فی هذا المعنی أنّ هذه المودّة أمر یرجع إلی استجابة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بالمودّة فی القربی مودّة قرابة النبی صلی الله علیه و آله؛ و هم عترته من أهل بیته علیهم السلام، و قد وردت به روایات من طرق أهل السنّة، و تکاثرت الأخبار من طرق الشیعة علی تفسیر الآیة بمودّتهم و موالاتهم، و یؤیده الأخبار المتواترة من طرق الفریقین علی وجوب موالاة أهل البیت علیهم السلام و محبّتهم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فالآیة</w:t>
      </w:r>
    </w:p>
    <w:p>
      <w:pPr>
        <w:pStyle w:val="BookText"/>
        <w:rPr/>
      </w:pPr>
      <w:r>
        <w:rPr>
          <w:rFonts w:ascii="IRNazanin" w:hAnsi="IRNazanin" w:eastAsia="IRNazanin"/>
          <w:color w:val="111111"/>
          <w:sz w:val="28"/>
          <w:sz w:val="28"/>
          <w:szCs w:val="28"/>
          <w:rtl w:val="true"/>
          <w:lang w:bidi="fa-IR"/>
        </w:rPr>
        <w:t>فی مؤدّاها لا تغایر مؤدّی سائر الآیات النافیة لسؤال الأجر، و یئول معناها إلی أنّی لا أسألکم علیه أجراً، إلاّ أنّ اللّه لمّا أوجب علیکم مودّة عامّة، المؤمنین و من جملتهم قرابتی، فإنّی أحتسب مودّتکم لقرابتی و اعدّها أجراً لرسالتی</w:t>
      </w:r>
      <w:r>
        <w:rPr>
          <w:rFonts w:eastAsia="IRNazanin" w:cs="IRNazanin"/>
          <w:color w:val="111111"/>
          <w:sz w:val="28"/>
          <w:szCs w:val="28"/>
          <w:rtl w:val="true"/>
          <w:lang w:bidi="fa-IR"/>
        </w:rPr>
        <w:t>»</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الزمخشری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p>
    <w:p>
      <w:pPr>
        <w:pStyle w:val="BookText"/>
        <w:rPr/>
      </w:pPr>
      <w:r>
        <w:rPr>
          <w:rFonts w:ascii="IRNazanin" w:hAnsi="IRNazanin" w:eastAsia="IRNazanin"/>
          <w:color w:val="111111"/>
          <w:sz w:val="28"/>
          <w:sz w:val="28"/>
          <w:szCs w:val="28"/>
          <w:rtl w:val="true"/>
          <w:lang w:bidi="fa-IR"/>
        </w:rPr>
        <w:t>ما روی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رسول اللّه صلی الله علیه و آله حسد الناس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 أن تکون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أنا و أنت و الحسن و الحسین علیهم السلام</w:t>
      </w:r>
      <w:r>
        <w:rPr>
          <w:rFonts w:eastAsia="IRNazanin" w:cs="IRNazanin"/>
          <w:color w:val="111111"/>
          <w:sz w:val="28"/>
          <w:szCs w:val="28"/>
          <w:rtl w:val="true"/>
          <w:lang w:bidi="fa-IR"/>
        </w:rPr>
        <w:t>»</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 بعد نقل کلام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 أنّ هؤلاء الأربعة أقارب النبیّ صلی الله علیه و آله، و إذا ثبت هذا وجب أن یکونوا مخصوصین بمزید التعظیم، و یدلُّ علیه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النبیّ صلی الله علیه و آله کان یحبّ فاطمة علیها السلام،</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یؤذینی ما یؤذیها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ثبت بالنقل المتواتر عن رسول اللّه أنّه کان یحبّ علیّاً و الحسن و الحسین علیهم السلام، و إذا ثبت ذلک وجب علی کلّ الاُمّة مثله،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للآل منصب عظیم، و لذلک جعل هذا الدعاء خاتمة التشهد فی الصلاة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التعظیم لم یوجد فی حقّ غیر الآل، فکلّ ذلک یدلُّ علی أنّ حبّ آل محمّد صلی الله علیه و آله واجب</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IRNazanin" w:hAnsi="IRNazanin" w:eastAsia="IRNazanin"/>
          <w:color w:val="111111"/>
          <w:sz w:val="28"/>
          <w:sz w:val="28"/>
          <w:szCs w:val="28"/>
          <w:rtl w:val="true"/>
          <w:lang w:bidi="fa-IR"/>
        </w:rPr>
        <w:t>و قریب من هذا فی تفسیر القرطبی، و روی روایة اخری</w:t>
      </w:r>
    </w:p>
    <w:p>
      <w:pPr>
        <w:pStyle w:val="BookText"/>
        <w:rPr/>
      </w:pP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أهل بیتی و آذانی فی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النصوص التی تدلُّ علی وجوب حبّ النبیّ و أهل بیته علیهم السلام، فالروایات المتقدّمة، مثل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 نفسه، و تکون عترتی أعزّ إلیه من عترته، و یکون أهلی أحبُّ إلیه من أهله، و تکون ذاتی أحبّ إلیه من ذاته</w:t>
      </w:r>
      <w:r>
        <w:rPr>
          <w:rFonts w:eastAsia="IRNazanin" w:cs="IRNazanin"/>
          <w:color w:val="111111"/>
          <w:sz w:val="28"/>
          <w:szCs w:val="28"/>
          <w:rtl w:val="true"/>
          <w:lang w:bidi="fa-IR"/>
        </w:rPr>
        <w:t>»</w:t>
      </w:r>
      <w:r>
        <w:rPr>
          <w:rStyle w:val="FootnoteAnchor"/>
          <w:rtl w:val="true"/>
        </w:rPr>
        <w:footnoteReference w:id="1923"/>
      </w:r>
      <w:r>
        <w:rPr>
          <w:rFonts w:ascii="IRNazanin" w:hAnsi="IRNazanin" w:eastAsia="IRNazanin"/>
          <w:color w:val="111111"/>
          <w:sz w:val="28"/>
          <w:sz w:val="28"/>
          <w:szCs w:val="28"/>
          <w:rtl w:val="true"/>
          <w:lang w:bidi="fa-IR"/>
        </w:rPr>
        <w:t>، و غیرها، و هناک روایات اخری،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روی فی المحاسن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 اللّه فریضة من اللّه علی العباد لمحمّد صلی الله علیه و آله فی أهل بیته</w:t>
      </w:r>
      <w:r>
        <w:rPr>
          <w:rFonts w:eastAsia="Amiri" w:cs="Amiri" w:ascii="Amiri" w:hAnsi="Amiri"/>
          <w:color w:val="111111"/>
          <w:sz w:val="28"/>
          <w:szCs w:val="28"/>
          <w:rtl w:val="true"/>
          <w:lang w:bidi="ar-SA"/>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 طریق أهل السنّة،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 یموت مماتی، و یسکن جنّة عدن التی غرسها ربّی، فلیوالِ علیّاً من بعدی، و لیوالِ ولیّه، و لیقتدِ بأهل بیتی من بعدی؛ فإنّهم عترتی خلقوا من طینتی، و رزقوا فهمی و علمی، فویل للمکذّبین بفضلهم من امّتی،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یدخل قلب امرئ الإیمانُ حتّی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 لقرابتهم منّی</w:t>
      </w:r>
      <w:r>
        <w:rPr>
          <w:rFonts w:eastAsia="IRNazanin" w:cs="IRNazanin"/>
          <w:color w:val="111111"/>
          <w:sz w:val="28"/>
          <w:szCs w:val="28"/>
          <w:rtl w:val="true"/>
          <w:lang w:bidi="fa-IR"/>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هؤلاء فقد أحبّنی، و من أبغضهم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111" w:name="pg11754_113235"/>
    </w:p>
    <w:p>
      <w:pPr>
        <w:pStyle w:val="BookText"/>
        <w:rPr/>
      </w:pPr>
      <w:bookmarkEnd w:id="1111"/>
      <w:r>
        <w:rPr>
          <w:rFonts w:ascii="IRNazanin" w:hAnsi="IRNazanin" w:eastAsia="IRNazanin"/>
          <w:color w:val="111111"/>
          <w:sz w:val="28"/>
          <w:sz w:val="28"/>
          <w:szCs w:val="28"/>
          <w:rtl w:val="true"/>
          <w:lang w:bidi="fa-IR"/>
        </w:rPr>
        <w:t>الحسن و الحسین و فاطمة و علیّاً علیهم السلام</w:t>
      </w:r>
      <w:r>
        <w:rPr>
          <w:rFonts w:eastAsia="IRNazanin" w:cs="IRNazanin"/>
          <w:color w:val="111111"/>
          <w:sz w:val="28"/>
          <w:szCs w:val="28"/>
          <w:rtl w:val="true"/>
          <w:lang w:bidi="fa-IR"/>
        </w:rPr>
        <w:t>»</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العلل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فی حیاتی و بعد موتی کتب اللّه له الأمن و الإیمان ما طلعت الشمس أو غربت، و من أبغضه فی حیاتی و بعد موتی مات میتة جاهلیّة و حوسب بما عمل</w:t>
      </w:r>
      <w:r>
        <w:rPr>
          <w:rFonts w:eastAsia="IRNazanin" w:cs="IRNazanin"/>
          <w:color w:val="111111"/>
          <w:sz w:val="28"/>
          <w:szCs w:val="28"/>
          <w:rtl w:val="true"/>
          <w:lang w:bidi="fa-IR"/>
        </w:rPr>
        <w:t>»</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2" w:name="__RefHeading___Toc9531263_73709187"/>
      <w:bookmarkStart w:id="1113" w:name="_Toc434"/>
      <w:bookmarkEnd w:id="1112"/>
      <w:r>
        <w:rPr>
          <w:rtl w:val="true"/>
        </w:rPr>
        <w:t>ترسیخ حبّ النبیّ صلی الله علیه و آله و أهل بیته علیهم السلام فی نفس الطفل</w:t>
      </w:r>
      <w:bookmarkEnd w:id="1113"/>
    </w:p>
    <w:p>
      <w:pPr>
        <w:pStyle w:val="BookText"/>
        <w:rPr/>
      </w:pPr>
      <w:r>
        <w:rPr>
          <w:rFonts w:ascii="IRNazanin" w:hAnsi="IRNazanin" w:eastAsia="IRNazanin"/>
          <w:color w:val="111111"/>
          <w:sz w:val="28"/>
          <w:sz w:val="28"/>
          <w:szCs w:val="28"/>
          <w:rtl w:val="true"/>
          <w:lang w:bidi="fa-IR"/>
        </w:rPr>
        <w:t>بعد ما ثبت أنّ حبّ النبیّ و ذرّیته صلوات اللّه علیهم شرط للإیمان، و بدونه لا یجد العبد طعم الإیمان، و قد فرض اللّه ذلک علی المسلمین، فاللازم علی الوالدین ترسیخه فی نفوس الأطفال بأیّ وسیلة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ألوان التربیة الخُلقیّة للطفل أن نربطه بمحبّة الرسول صلی الله علیه و آله و سائر الأنبیاء، و علی الأب أو المربّی أن یَعرفَ جانباً من حیاة الرسل، و یغرسَ محبّتهم فی نفوس أطفاله</w:t>
      </w:r>
      <w:r>
        <w:rPr>
          <w:rFonts w:eastAsia="IRNazanin" w:cs="IRNazanin"/>
          <w:color w:val="111111"/>
          <w:sz w:val="28"/>
          <w:szCs w:val="28"/>
          <w:rtl w:val="true"/>
          <w:lang w:bidi="fa-IR"/>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ذلک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إیمان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 النبیّ الخاتم، و بشریعته العظیمة، فضلاً عن محبّته و طاعته و الاقتداء به فی کلّ شئون الحیاة؛ لأنّه المنار الأعلی الذی اختاره اللّه للبشریّة، و القدوة المثلی الذی تجلّت به هذه الرسالة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الغرض یحتاج إلی الطریقة المناسبة للطفل، و الاُسلوب المشوّق الذی یفتح لدیه القلب و العقل معاً، بعیداً عن السرد التاریخی البارد أو الروایة التی لا تصلح إلاّ لدارسی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ذلک کلّه یحتاج إلی المقدرة الحقیقیّة فی عرض ذلک باُسلوب یتلاءم مع قدرات الطفل، و یثیر</w:t>
      </w:r>
    </w:p>
    <w:p>
      <w:pPr>
        <w:pStyle w:val="BookText"/>
        <w:rPr/>
      </w:pPr>
      <w:r>
        <w:rPr>
          <w:rFonts w:ascii="IRNazanin" w:hAnsi="IRNazanin" w:eastAsia="IRNazanin"/>
          <w:color w:val="111111"/>
          <w:sz w:val="28"/>
          <w:sz w:val="28"/>
          <w:szCs w:val="28"/>
          <w:rtl w:val="true"/>
          <w:lang w:bidi="fa-IR"/>
        </w:rPr>
        <w:t>اهتمامه و شوقه</w:t>
      </w:r>
      <w:r>
        <w:rPr>
          <w:rFonts w:eastAsia="IRNazanin" w:cs="IRNazanin"/>
          <w:color w:val="111111"/>
          <w:sz w:val="28"/>
          <w:szCs w:val="28"/>
          <w:rtl w:val="true"/>
          <w:lang w:bidi="fa-IR"/>
        </w:rPr>
        <w:t>»</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هذا الحکم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المتقدّمة التی دلّت علی أنّ محبّة الرسول صلی الله علیه و آله و أهل بیته علیهم السلام شرط للإیمان، و أنّه لا یجد العبد طعم الإیمان حتّی یحبّهم؛ لأنّ ربط الطفل بالإیمان باللّه و رسوله واجب علی الآباء و الاُمّهات،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الخاصّة،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 طریق أهل السنّة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أهل بیته، و قراءة القرآن</w:t>
      </w:r>
      <w:r>
        <w:rPr>
          <w:rFonts w:eastAsia="IRNazanin" w:cs="IRNazanin"/>
          <w:color w:val="111111"/>
          <w:sz w:val="28"/>
          <w:szCs w:val="28"/>
          <w:rtl w:val="true"/>
          <w:lang w:bidi="fa-IR"/>
        </w:rPr>
        <w:t>»</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المجلسی رحمه الله فی روضة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من طرقهم عن عائشة، عن رسول اللّه صلی الله علیه و آله بسبع 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الأنصار أدّبوا أولادکم علی حبّ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قولوا لهم فضائله، و کلّما جئتم بشیء إلیهم ممّا یحبّونه فقولوا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بهذا علیّ بن أبی طالب، و کلّما رفع عنه البلاء فقولوا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به أمیر المؤمنین علی بن أبی طالب علیه السلام حتّی یحبّوه، کما یفعله الخوارج بالعکس، فمن أبی فانظروا فی شأن امّه فإمّا أن یکون ولد الزنا، و إمّا ولد الحیض</w:t>
      </w:r>
      <w:r>
        <w:rPr>
          <w:rFonts w:eastAsia="IRNazanin" w:cs="IRNazanin"/>
          <w:color w:val="111111"/>
          <w:sz w:val="28"/>
          <w:szCs w:val="28"/>
          <w:rtl w:val="true"/>
          <w:lang w:bidi="fa-IR"/>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الفقیه أنّه کان جابر بن عبد اللّه الأنصاری یدور فی سکک الأنصار بالمدینة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خیر البشر، فمن أبی فقد کفر، یا معشر الأنصار أدّبوا أولادکم علی حبّ علیّ، فمن أبی فانظروا فی شأن امّه</w:t>
      </w:r>
      <w:r>
        <w:rPr>
          <w:rFonts w:eastAsia="IRNazanin" w:cs="IRNazanin"/>
          <w:color w:val="111111"/>
          <w:sz w:val="28"/>
          <w:szCs w:val="28"/>
          <w:rtl w:val="true"/>
          <w:lang w:bidi="fa-IR"/>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bookmarkStart w:id="1114" w:name="pg11754_113237"/>
    </w:p>
    <w:p>
      <w:pPr>
        <w:pStyle w:val="Heading6"/>
        <w:numPr>
          <w:ilvl w:val="5"/>
          <w:numId w:val="1"/>
        </w:numPr>
        <w:rPr/>
      </w:pPr>
      <w:bookmarkStart w:id="1115" w:name="__RefHeading___Toc9531265_73709187"/>
      <w:bookmarkStart w:id="1116" w:name="_Toc435"/>
      <w:bookmarkEnd w:id="1114"/>
      <w:bookmarkEnd w:id="1115"/>
      <w:r>
        <w:rPr>
          <w:rtl w:val="true"/>
        </w:rPr>
        <w:t>تعلیم أحادیث الرسول صلی الله علیه و آله و أهل بیته علیهم السلام للأطفال</w:t>
      </w:r>
      <w:bookmarkEnd w:id="1116"/>
    </w:p>
    <w:p>
      <w:pPr>
        <w:pStyle w:val="BookText"/>
        <w:rPr/>
      </w:pPr>
      <w:r>
        <w:rPr>
          <w:rFonts w:ascii="IRNazanin" w:hAnsi="IRNazanin" w:eastAsia="IRNazanin"/>
          <w:color w:val="111111"/>
          <w:sz w:val="28"/>
          <w:sz w:val="28"/>
          <w:szCs w:val="28"/>
          <w:rtl w:val="true"/>
          <w:lang w:bidi="fa-IR"/>
        </w:rPr>
        <w:t xml:space="preserve">لا یخفی أنّ خیر ما یوجب صفاء القلب و حیاته بعد کلام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نورٌ و حیاة و جلاء للقلوب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النبیّ صلی الله علیه و آله و الأئمّة المعصومین علیهم السلام، فینبغی للأولیاء و المربّین أن یعلّموه لأطفالهم و یهتمّوا به؛ لأنّ فیه إحیاء لأمر الأئمّة علیهم السلام و یستفاد ذلک من الأحادیث الواردة، بل یستفاد من بعضها وجوب ذلک علی الولیّ، فنذکر أنموذجاً منها،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بسند معتبر عن جمیل بن درّاج، 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أولادکم بالحدیث قبل أن تسبقکم إلیهم المرجئة</w:t>
      </w:r>
      <w:r>
        <w:rPr>
          <w:rFonts w:eastAsia="IRNazanin" w:cs="IRNazanin"/>
          <w:color w:val="111111"/>
          <w:sz w:val="28"/>
          <w:szCs w:val="28"/>
          <w:rtl w:val="true"/>
          <w:lang w:bidi="fa-IR"/>
        </w:rPr>
        <w:t>»</w:t>
      </w:r>
      <w:r>
        <w:rPr>
          <w:rStyle w:val="FootnoteAnchor"/>
          <w:rtl w:val="true"/>
        </w:rPr>
        <w:footnoteReference w:id="1934"/>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بادروا أحداثکم بالحدیث</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الخصال بإسناده عن علی علیه السلام فی حدیث الأربعمائة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صبیانکم من علمنا ما ینفعهم اللّه لا تغلب علیهم المرجئة برأیها</w:t>
      </w:r>
      <w:r>
        <w:rPr>
          <w:rFonts w:eastAsia="IRNazanin" w:cs="IRNazanin"/>
          <w:color w:val="111111"/>
          <w:sz w:val="28"/>
          <w:szCs w:val="28"/>
          <w:rtl w:val="true"/>
          <w:lang w:bidi="fa-IR"/>
        </w:rPr>
        <w:t>»</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المحقّق الکاشانی فی شرح الحدیث</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علّموهم فی شرخ</w:t>
      </w:r>
      <w:r>
        <w:rPr>
          <w:rStyle w:val="FootnoteAnchor"/>
          <w:rtl w:val="true"/>
        </w:rPr>
        <w:footnoteReference w:id="1938"/>
      </w:r>
      <w:r>
        <w:rPr>
          <w:rFonts w:ascii="IRNazanin" w:hAnsi="IRNazanin" w:eastAsia="IRNazanin"/>
          <w:color w:val="111111"/>
          <w:sz w:val="28"/>
          <w:sz w:val="28"/>
          <w:szCs w:val="28"/>
          <w:rtl w:val="true"/>
          <w:lang w:bidi="fa-IR"/>
        </w:rPr>
        <w:t>شبابهم، بل فی أوائل إدراکهم و بلوغهم التمییز من الحدیث ما یهتدون به إلی معرفة الأئمّة علیهم السلام، و التشیع قبل أن یغویهم المخالفون و یدخلهم فی ضلالتهم، فیتعسّر بعد ذلک صرفهم عن ذلک</w:t>
      </w:r>
      <w:r>
        <w:rPr>
          <w:rFonts w:eastAsia="IRNazanin" w:cs="IRNazanin"/>
          <w:color w:val="111111"/>
          <w:sz w:val="28"/>
          <w:szCs w:val="28"/>
          <w:rtl w:val="true"/>
          <w:lang w:bidi="fa-IR"/>
        </w:rPr>
        <w:t>»</w:t>
      </w:r>
      <w:r>
        <w:rPr>
          <w:rStyle w:val="FootnoteAnchor"/>
          <w:rtl w:val="true"/>
        </w:rPr>
        <w:footnoteReference w:id="1939"/>
      </w:r>
      <w:bookmarkStart w:id="1117" w:name="pg11754_113238"/>
    </w:p>
    <w:p>
      <w:pPr>
        <w:pStyle w:val="BookText"/>
        <w:rPr/>
      </w:pPr>
      <w:bookmarkEnd w:id="11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ابن أبی یعفور، عن أبی عبد اللّه علیه السلام أنّ رسول اللّه صلی الله علیه و آله خطب الناس فی مسجد الخیف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مقالتی فوعاها و حفظها و بلّغها من لم یسمعها</w:t>
      </w:r>
      <w:r>
        <w:rPr>
          <w:rFonts w:eastAsia="IRNazanin" w:cs="IRNazanin"/>
          <w:color w:val="111111"/>
          <w:sz w:val="28"/>
          <w:szCs w:val="28"/>
          <w:rtl w:val="true"/>
          <w:lang w:bidi="fa-IR"/>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حدیثین اثنین ینفع بهما نفسه أو یعلّمهما غیره فینتفع بهما، کان خیراً من عبادة ستّین سنة</w:t>
      </w:r>
      <w:r>
        <w:rPr>
          <w:rFonts w:eastAsia="IRNazanin" w:cs="IRNazanin"/>
          <w:color w:val="111111"/>
          <w:sz w:val="28"/>
          <w:szCs w:val="28"/>
          <w:rtl w:val="true"/>
          <w:lang w:bidi="fa-IR"/>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أدّی إلی امّتی حدیثاً یُقام به سنّة، أو یثلم به بدعة فله الجنّة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معانی الأخبار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8" w:name="__RefHeading___Toc9531267_73709187"/>
      <w:bookmarkStart w:id="1119" w:name="_Toc436"/>
      <w:bookmarkEnd w:id="1118"/>
      <w:r>
        <w:rPr>
          <w:rtl w:val="true"/>
        </w:rPr>
        <w:t>فوائد حبّ الرسول صلی الله علیه و آله و أهل بیته علیهم السلام، و فهم کلامهم و طاعتهم</w:t>
      </w:r>
      <w:bookmarkEnd w:id="1119"/>
    </w:p>
    <w:p>
      <w:pPr>
        <w:pStyle w:val="BookText"/>
        <w:rPr/>
      </w:pPr>
      <w:r>
        <w:rPr>
          <w:rFonts w:ascii="IRNazanin" w:hAnsi="IRNazanin" w:eastAsia="IRNazanin"/>
          <w:color w:val="111111"/>
          <w:sz w:val="28"/>
          <w:sz w:val="28"/>
          <w:szCs w:val="28"/>
          <w:rtl w:val="true"/>
          <w:lang w:bidi="fa-IR"/>
        </w:rPr>
        <w:t>لا نستطیع أن نعدّ فوائد حبّ النبیّ صلی الله علیه و آله و أهل بیته علیهم السلام و فهم کلامهم، فقد جاء فی زیارة الجامعة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والاکم فقد والی اللّه، و من عاداکم فقد عاد اللّه، و من أحبّکم فقد أحبّ اللّه، و من أبغضکم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الصراط الأقوم، و شهداء دار الفناء، 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أتاکم نجا و من لم یأتکم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أبداً ما حییت علی موالاتکم و محبّتکم و دینکم، و وفّقنی لطاعتکم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کلامکم نور،</w:t>
      </w:r>
    </w:p>
    <w:p>
      <w:pPr>
        <w:pStyle w:val="BookText"/>
        <w:rPr/>
      </w:pPr>
      <w:r>
        <w:rPr>
          <w:rFonts w:ascii="IRNazanin" w:hAnsi="IRNazanin" w:eastAsia="IRNazanin"/>
          <w:color w:val="111111"/>
          <w:sz w:val="28"/>
          <w:sz w:val="28"/>
          <w:szCs w:val="28"/>
          <w:rtl w:val="true"/>
          <w:lang w:bidi="fa-IR"/>
        </w:rPr>
        <w:t>و أمرکم رشد، و وصیّتکم التقوی، و فعلکم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الخیر کنتم أوّله و أصله و فرعه و معدنه و مأواه و منتهاه</w:t>
      </w:r>
      <w:r>
        <w:rPr>
          <w:rFonts w:eastAsia="IRNazanin" w:cs="IRNazanin"/>
          <w:color w:val="111111"/>
          <w:sz w:val="28"/>
          <w:szCs w:val="28"/>
          <w:rtl w:val="true"/>
          <w:lang w:bidi="fa-IR"/>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حبّهم و طاعتهم و فهم کلامهم فوائد کثیرة و مهمّة فی حیاة الطفل إذا استطاع المربّی أن یعلّمها للطفل بطریقة صحیحة بسیطة، فعند ما یقوم الإنسان بعبادة یقول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یفعل الرسول صلی الله علیه و آله و أهل بیته علیهم السلام، و إذا حدث أمر مخالف لسنّتهم ینبّه الطفل علیه، و بالتالی یشعر الطفل بأهمّیة هذه الأفعال، فیأخذ بالصالح منها و یترک الطالح منها، و تبقی شخصیّة الرسول صلی الله علیه و آله و أهل بیته علیهم السلام هی الاُسوة الحسنة، و القدوة الطیّبة عند الطفل</w:t>
      </w:r>
      <w:r>
        <w:rPr>
          <w:rFonts w:eastAsia="IRNazanin" w:cs="IRNazanin"/>
          <w:color w:val="111111"/>
          <w:sz w:val="28"/>
          <w:szCs w:val="28"/>
          <w:rtl w:val="true"/>
          <w:lang w:bidi="fa-IR"/>
        </w:rPr>
        <w:t>.</w:t>
      </w:r>
      <w:bookmarkStart w:id="1120" w:name="pg11754_113240"/>
    </w:p>
    <w:p>
      <w:pPr>
        <w:pStyle w:val="Heading5"/>
        <w:numPr>
          <w:ilvl w:val="4"/>
          <w:numId w:val="1"/>
        </w:numPr>
        <w:rPr/>
      </w:pPr>
      <w:bookmarkStart w:id="1121" w:name="__RefHeading___Toc9531269_73709187"/>
      <w:bookmarkStart w:id="1122" w:name="_Toc437"/>
      <w:bookmarkEnd w:id="1120"/>
      <w:bookmarkEnd w:id="1121"/>
      <w:r>
        <w:rPr>
          <w:rtl w:val="true"/>
        </w:rPr>
        <w:t>المطلب الثالث</w:t>
      </w:r>
      <w:r>
        <w:rPr>
          <w:rtl w:val="true"/>
        </w:rPr>
        <w:t xml:space="preserve">: </w:t>
      </w:r>
      <w:r>
        <w:rPr>
          <w:rtl w:val="true"/>
        </w:rPr>
        <w:t>ربط الطفل بحبّ القرآن و تعلیمه</w:t>
      </w:r>
      <w:bookmarkEnd w:id="1122"/>
    </w:p>
    <w:p>
      <w:pPr>
        <w:pStyle w:val="Heading6"/>
        <w:numPr>
          <w:ilvl w:val="5"/>
          <w:numId w:val="1"/>
        </w:numPr>
        <w:rPr/>
      </w:pPr>
      <w:bookmarkStart w:id="1123" w:name="__RefHeading___Toc9531271_73709187"/>
      <w:bookmarkStart w:id="1124" w:name="_Toc438"/>
      <w:bookmarkEnd w:id="1123"/>
      <w:r>
        <w:rPr>
          <w:rtl w:val="true"/>
        </w:rPr>
        <w:t>القرآن الکریم هو مصدر العقیدة الإسلامیّة</w:t>
      </w:r>
      <w:bookmarkEnd w:id="1124"/>
    </w:p>
    <w:p>
      <w:pPr>
        <w:pStyle w:val="BookText"/>
        <w:rPr/>
      </w:pPr>
      <w:r>
        <w:rPr>
          <w:rFonts w:ascii="IRNazanin" w:hAnsi="IRNazanin" w:eastAsia="IRNazanin"/>
          <w:color w:val="111111"/>
          <w:sz w:val="28"/>
          <w:sz w:val="28"/>
          <w:szCs w:val="28"/>
          <w:rtl w:val="true"/>
          <w:lang w:bidi="fa-IR"/>
        </w:rPr>
        <w:t>القرآن الکریم کلام اللّه المعجز؛ و هو الکتاب المقدّس فی الإسلام، و المصدر الأوّل و الأساسی لأحکام الشریعة الإسلامیّة، و دستور الاُمّة الإسلامیّة فی جمیع نواحی الحیاة؛ فی العقائد و العبادات و المعاملات فی التربیة و الاقتصاد و الاجتماع، و فی کلّ أمر من امور حیاتها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الاعتماد علی القرآن الکریم فی التربیة الإسلامیّة یرجع فی المقام الأوّل إلی ما وعد به الحقّ تبارک و تعالی فی الحفظ له، و تبیین کلّ شیء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یؤکّد ذلک السیاق القرآنیّ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إضافةً إلی ذلک نجد أنّ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ینتهج فی تربیة الإنسان مناهج یجب تمییزها إجمالاً و تفصیلاً، فقد خاطب العقل، و ناجی العواطف، و حاسب السرائر، و أدّب الحواسّ، و هذّب الملکات</w:t>
      </w:r>
      <w:r>
        <w:rPr>
          <w:rFonts w:eastAsia="IRNazanin" w:cs="IRNazanin"/>
          <w:color w:val="111111"/>
          <w:sz w:val="28"/>
          <w:szCs w:val="28"/>
          <w:rtl w:val="true"/>
          <w:lang w:bidi="fa-IR"/>
        </w:rPr>
        <w:t>»</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ینبغی أن یهتمّ الأبوان و الحکومة الإسلامیّة و المعلّمون فی ربط الأطفال بالقرآن ربطاً صحیحاً، و یجعلون العقیدة الإسلامیّة راسخة فی نفوسهم، حیث إنّ القرآن الکریم هو مصدر العقیدة الإسلامیّة و المذهب الحقّ الاثنی عشریّة منذ نزوله علی نبیّنا محمّد صلی الله علیه و آله إلی ما شاء اللّه عزّ و جلّ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ربط المربّی قلب الطفل به، و غذّاه بمعانیه، و صبّحه و مسّاه؛ فإنّه یحبّه، و یزداد به تمسّکاً و تعلّقاً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مهمّة تحبیب القرآن الکریم إلی الطفل تبدأ منذ مرحلة مبکّرة جدّاً، فعلی المربّی الحصیف أن یعیَ هذا الأمر و یسعی إلیه بکلّ ما یستطیع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فطن علماؤنا الماضون إلی أهمّیة القرآن الکریم بالنسبة للطفل، و لذلک جعلوه نقطة البدایة و أساس التعلیم فی مختلف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تهیّأ الصبیّ للتلقین و وعی سمعه، اخذ فی تعلیم القرآن، و صُوِّرت له حروف الهجاء، و لُقّن معالم الدین</w:t>
      </w:r>
      <w:r>
        <w:rPr>
          <w:rFonts w:eastAsia="IRNazanin" w:cs="IRNazanin"/>
          <w:color w:val="111111"/>
          <w:sz w:val="28"/>
          <w:szCs w:val="28"/>
          <w:rtl w:val="true"/>
          <w:lang w:bidi="fa-IR"/>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الوِلدان للقرآن شعار الدِّین أخذ به أهل الملّة و درجوا علیه فی جمیع أمصارهم، لما یسبق فیه إلی القلوب من رسوخ الإیمان و عقائده من آیات القرآن و بعض متون الأحادیث، و صار القرآن أصل التعلیم الذی ینبنی علیه ما یحصل بعد من الملکات</w:t>
      </w:r>
      <w:r>
        <w:rPr>
          <w:rFonts w:eastAsia="IRNazanin" w:cs="IRNazanin"/>
          <w:color w:val="111111"/>
          <w:sz w:val="28"/>
          <w:szCs w:val="28"/>
          <w:rtl w:val="true"/>
          <w:lang w:bidi="fa-IR"/>
        </w:rPr>
        <w:t>»</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من طریق الشیعة و أهل السنّة روایات فی مضامین مختلفة و علی حدّ التواتر، و تدلّ علی اهتمام الإسلام بتعلیم القرآن و تحبیبه و قراءته و تحفیظه، و أنّه ینبغی للوالدین بل یجب علیهما، ربط قلوب أطفالهم بحبّ القرآن و تعلیمهم إیّاه، و حیث إنّها کثیرة و علی حدّ التواتر نذکر أمثلة منها و نخرجها فی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اهتمام الإسلام بتعلیم القرآن عموماً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الأمالی عن النعمان بن سعد عن علیّ علیه السلام أنّ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روی عن طریق أهل السنّة</w:t>
      </w:r>
      <w:r>
        <w:rPr>
          <w:rStyle w:val="FootnoteAnchor"/>
          <w:rtl w:val="true"/>
        </w:rPr>
        <w:footnoteReference w:id="1948"/>
      </w:r>
      <w:r>
        <w:rPr>
          <w:rFonts w:ascii="IRNazanin" w:hAnsi="IRNazanin" w:eastAsia="IRNazanin"/>
          <w:color w:val="111111"/>
          <w:sz w:val="28"/>
          <w:sz w:val="28"/>
          <w:szCs w:val="28"/>
          <w:rtl w:val="true"/>
          <w:lang w:bidi="fa-IR"/>
        </w:rPr>
        <w:t>، و کذا روی عن طریقهم عنه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أفضلکم من تعلّم القرآن و علّمه</w:t>
      </w:r>
      <w:r>
        <w:rPr>
          <w:rFonts w:eastAsia="Amiri" w:cs="Amiri" w:ascii="Amiri" w:hAnsi="Amiri"/>
          <w:color w:val="111111"/>
          <w:sz w:val="28"/>
          <w:szCs w:val="28"/>
          <w:rtl w:val="true"/>
          <w:lang w:bidi="ar-SA"/>
        </w:rPr>
        <w:t>»</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سفر،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حدّثنا بما لنا فیه نفع،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أردتم عیش السعداء، و موت الشهداء، و النجاة یوم الحشر، و الظلّ یوم الحرور، و الهدی یوم الضلالة، فادرسوا القرآن؛ فإنّه کلام الرحمن، و حرز من الشیطان، و رجحان فی المیزان</w:t>
      </w:r>
      <w:r>
        <w:rPr>
          <w:rFonts w:eastAsia="IRNazanin" w:cs="IRNazanin"/>
          <w:color w:val="111111"/>
          <w:sz w:val="28"/>
          <w:szCs w:val="28"/>
          <w:rtl w:val="true"/>
          <w:lang w:bidi="fa-IR"/>
        </w:rPr>
        <w:t>»</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عبد اللّه بن عبّاس،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ذکر أو انثی، حرٍّ أو مملوک إلاّ و للّه علیه حقّ واجب، أن یتعلّم من القرآن و یتفقّه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کُونُوا رَبّانِیِّینَ بِما کُنْتُمْ تُعَلِّمُونَ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و تعلّموا غرائبه، و غرائبه فرائضه و حدوده</w:t>
      </w:r>
      <w:r>
        <w:rPr>
          <w:rFonts w:eastAsia="IRNazanin" w:cs="IRNazanin"/>
          <w:color w:val="111111"/>
          <w:sz w:val="28"/>
          <w:szCs w:val="28"/>
          <w:rtl w:val="true"/>
          <w:lang w:bidi="fa-IR"/>
        </w:rPr>
        <w:t>»</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روی فی درر اللآلی</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أمیر المؤمنین علیه السلام أنّه 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تعلّموا القرآن فإنّه ربیع القلوب، و استشفوا بنوره فانّه شفاء الصدور، و أحسنوا تلاوته فإنّه أنفع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أن لا یموت حتّی یتعلّم القرآن، أو أن یکون فی تعلیمه</w:t>
      </w:r>
      <w:r>
        <w:rPr>
          <w:rFonts w:eastAsia="IRNazanin" w:cs="IRNazanin"/>
          <w:color w:val="111111"/>
          <w:sz w:val="28"/>
          <w:szCs w:val="28"/>
          <w:rtl w:val="true"/>
          <w:lang w:bidi="fa-IR"/>
        </w:rPr>
        <w:t>»</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تعلیم القرآن من حقوق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الکافی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إذا کان ذکراً أن یستفره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 کتاب اللّه، و یطهّره، و یعلّمه السباحة، و إذا کانت انثی أن یستفره امّها، و یستحسن اسمها، و یعلّمها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للولد علی الوالد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الولد علی الوالد أن یُحسِّن اسمه، و یُحسِّن أدبه، و یعلّمه القرآن</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وصیّة له إلی 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أبتدئک بتعلیم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تأویله، و شرائع الإسلام و أحکامه، و حلاله و حرامه</w:t>
      </w:r>
      <w:r>
        <w:rPr>
          <w:rFonts w:eastAsia="IRNazanin" w:cs="IRNazanin"/>
          <w:color w:val="111111"/>
          <w:sz w:val="28"/>
          <w:szCs w:val="28"/>
          <w:rtl w:val="true"/>
          <w:lang w:bidi="fa-IR"/>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 طریق أهل السنّة،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أن یُحسِّن اسمه، و یزوّجه إذا أدرک، و یعلّمه الکتاب</w:t>
      </w:r>
      <w:r>
        <w:rPr>
          <w:rFonts w:eastAsia="IRNazanin" w:cs="IRNazanin"/>
          <w:color w:val="111111"/>
          <w:sz w:val="28"/>
          <w:szCs w:val="28"/>
          <w:rtl w:val="true"/>
          <w:lang w:bidi="fa-IR"/>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أهل بیته، و قراءة القرآن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الطائفة یدلُّ علی الوجوب، حیث إنّ أداء الحقّ واجب علی من علیه، و لعلّه لذلک قال بعضهم بوجوبه، ففی المهذّب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تعلّم القرآن و تعلیمه کفایة، و یستحبّ کلّ منهما عیناً</w:t>
      </w:r>
      <w:r>
        <w:rPr>
          <w:rFonts w:eastAsia="IRNazanin" w:cs="IRNazanin"/>
          <w:color w:val="111111"/>
          <w:sz w:val="28"/>
          <w:szCs w:val="28"/>
          <w:rtl w:val="true"/>
          <w:lang w:bidi="fa-IR"/>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أجر تعلیم القرآن للأولاد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مجمع البیان عن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w:t>
      </w:r>
    </w:p>
    <w:p>
      <w:pPr>
        <w:pStyle w:val="BookText"/>
        <w:rPr/>
      </w:pPr>
      <w:r>
        <w:rPr>
          <w:rFonts w:ascii="IRNazanin" w:hAnsi="IRNazanin" w:eastAsia="IRNazanin"/>
          <w:color w:val="111111"/>
          <w:sz w:val="28"/>
          <w:sz w:val="28"/>
          <w:szCs w:val="28"/>
          <w:rtl w:val="true"/>
          <w:lang w:bidi="fa-IR"/>
        </w:rPr>
        <w:t>رجل علّم ولده القرآن إلاّ توّج اللّه أبویه یوم القیامة بتاج الملک، و کسیا حلیتین لم یرَ الناس مثلهما</w:t>
      </w:r>
      <w:r>
        <w:rPr>
          <w:rFonts w:eastAsia="IRNazanin" w:cs="IRNazanin"/>
          <w:color w:val="111111"/>
          <w:sz w:val="28"/>
          <w:szCs w:val="28"/>
          <w:rtl w:val="true"/>
          <w:lang w:bidi="fa-IR"/>
        </w:rPr>
        <w:t>»</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یأتی یوم القیامة صاحبه فی صورة شابّ جمیل شاحب اللون،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الذی کنت أسهرت لیلک، و أظمأت هواجرک، و أجففت ریقک، و أسبلت دمعتک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فابشر، فیؤتی بتاج فیوضع علی رأسه، و یعطی الأمان بیمینه، و الخلد فی الجنان بیساره، و یکسی حلّتین،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ارقأ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قرأ آیة صعد درجة، و یکسی أبواه حلّتین إن کانا مؤمنین، ثمّ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علّمتماه القرآن</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عنه صلی الله علیه و آله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ولده القرآن فکأنّما حجّ البیت عشرة آلاف حجّة، و اعتمر عشرة آلاف عمرة، و أعتق عشرة آلاف رقبة من ولد إسماعیل، و غزا عشرة آلاف غزوة، و أطعم عشرة آلاف مسکین مسلم جائع، و کأنما کسا عشرة آلافٍ عارٍ مسلم، و یکتب له بکُلّ حرفٍ عشر حسنات، و یمحی عنه عشر سیئات، و یکون معه فی قبره حتّی یبعث و یثقل میزانه، و یجاوز به علی الصراط کالبرق الخاطف، و لم یفارقه القرآن حتی ینزل به من الکرامة أفضل ما یتمنّی</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السلمی علّم ولد الحسین علیه السلام الحمد، فلمّا قرأها علی أبیه أعطاه ألف دینار، و ألف حلّة، وحشا فاه دُرّاً، فقیل له فی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یقع هذا من عطائه؟ یعنی تعلیمه</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التفسیر المنسوب إلی العسکری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بُشْری لِلْمُؤْمِنِینَ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بشارة لهم فی الآخرة، و ذلک أنّ القرآن یأتی یوم القیامة بالرجل الشابّ یقول لربّه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أظمأت نهاره، و أسهرت لیلَه، و قوّیت فی رحمتک طمعه، و فسحت فی مغفرتک أمله، فکن عند ظنّی فیک و ظنّه،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الملک بیمینه، و الخلد بشماله، و اقرنوه بأزواجه من الحور العین، و اکسوا والدیه حلّة لا تقوم لها الدنیا بما فیها، فینظر إلیهما الخلائق فیعظّمونهما، و ینظران إلی أنفسهما فیعجبان منهما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أنّی لنا هذه، و لم تبلغها أعمالنا؟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تاج الکرامة لم یرَ مثله الراءون، و لم یسمع بمثله السامعون، و لا یتفکّر فی مثله المتفکّرون،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بتعلیمکما ولدکما القرآن، و تبصیرکما إیّاه بدین الإسلام، و ریاضتکما إیّاه علی حُبّ محمّد رسول اللّه، و علیّ ولی اللّه، صلوات اللّه علیهما و تفقیهکما إیّاه بفقههما</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روی فی الفقیه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لیرید عذاب أهل الأرض جمیعاً حتّی لا یحاشی منهم أحداً، فإذا نظر إلی الشیب ناقلی أقدامهم إلی الصلوات و الولدان یتعلّمون القرآن رحمهم اللّه، فأخّر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الأعمال عن الأصبغ بن نباتة عن أمیر المؤمنین علیه السلام مثله، و زاد بعد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عملوا بالمعاصی و اجترحوا السیّئات</w:t>
      </w:r>
      <w:r>
        <w:rPr>
          <w:rFonts w:eastAsia="IRNazanin" w:cs="IRNazanin"/>
          <w:color w:val="111111"/>
          <w:sz w:val="28"/>
          <w:szCs w:val="28"/>
          <w:rtl w:val="true"/>
          <w:lang w:bidi="fa-IR"/>
        </w:rPr>
        <w:t>»</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التی هی کثیرة</w:t>
      </w:r>
      <w:r>
        <w:rPr>
          <w:rStyle w:val="FootnoteAnchor"/>
          <w:rtl w:val="true"/>
        </w:rPr>
        <w:footnoteReference w:id="19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تقدّم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أولادکم علی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نبیّکم، و حبّ أهل بیته، و قراءة القرآن؛ فإنّ حملة القرآن فی ظلّ اللّه یوم لا ظلّ إلاّ ظلّه مع أنبیائه و أصفیائه</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وصایا أمیر المؤمنین علیه السلام لابنه محمّد بن الحنفیّة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علیک بقراءة القرآن، و العمل بما فیه، و لزوم فرائضه و شرائعه، و حلاله و حرامه، و أمره و نهیه، و التهجّد به، و تلاوته فی لیلک و نهارک؛ فانّه عهدٌ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خلقه، فهو واجبٌ علی کلّ مسلمٍ أن ینظر کلّ یوم فی عهده و لو خمسین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درجات الجنّة علی عدد آیات القرآن، فإذا کان یوم القیامة یقال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ارقَ، فلا یکون فی الجنّة بعد النبیّین و الصدّیقین أرفع درجة منه</w:t>
      </w:r>
      <w:r>
        <w:rPr>
          <w:rFonts w:eastAsia="IRNazanin" w:cs="IRNazanin"/>
          <w:color w:val="111111"/>
          <w:sz w:val="28"/>
          <w:szCs w:val="28"/>
          <w:rtl w:val="true"/>
          <w:lang w:bidi="fa-IR"/>
        </w:rPr>
        <w:t>»</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الاستبصار عن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إسماعیل بن أبی عبد اللّه علیه السلام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اقرأ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علی 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الکتابة و مسّ الورق</w:t>
      </w:r>
      <w:r>
        <w:rPr>
          <w:rFonts w:eastAsia="IRNazanin" w:cs="IRNazanin"/>
          <w:color w:val="111111"/>
          <w:sz w:val="28"/>
          <w:szCs w:val="28"/>
          <w:rtl w:val="true"/>
          <w:lang w:bidi="fa-IR"/>
        </w:rPr>
        <w:t>»</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کثیر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تغفل عن قراءة القرآن؛ فإنّ القرآن یحیی القلب، و ینهی عن الفحشاء و المنکر و البغی</w:t>
      </w:r>
      <w:r>
        <w:rPr>
          <w:rFonts w:eastAsia="IRNazanin" w:cs="IRNazanin"/>
          <w:color w:val="111111"/>
          <w:sz w:val="28"/>
          <w:szCs w:val="28"/>
          <w:rtl w:val="true"/>
          <w:lang w:bidi="fa-IR"/>
        </w:rPr>
        <w:t>»</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bookmarkStart w:id="1125" w:name="pg11754_113247"/>
    </w:p>
    <w:p>
      <w:pPr>
        <w:pStyle w:val="Heading4"/>
        <w:numPr>
          <w:ilvl w:val="3"/>
          <w:numId w:val="1"/>
        </w:numPr>
        <w:rPr/>
      </w:pPr>
      <w:bookmarkStart w:id="1126" w:name="__RefHeading___Toc9531273_73709187"/>
      <w:bookmarkStart w:id="1127" w:name="_Toc439"/>
      <w:bookmarkEnd w:id="1125"/>
      <w:bookmarkEnd w:id="1126"/>
      <w:r>
        <w:rPr>
          <w:rtl w:val="true"/>
        </w:rPr>
        <w:t>المبحث الثانی</w:t>
      </w:r>
      <w:r>
        <w:rPr>
          <w:rtl w:val="true"/>
        </w:rPr>
        <w:t xml:space="preserve">: </w:t>
      </w:r>
      <w:r>
        <w:rPr>
          <w:rtl w:val="true"/>
        </w:rPr>
        <w:t>ربط الأطفال علی العبادات</w:t>
      </w:r>
      <w:bookmarkEnd w:id="1127"/>
    </w:p>
    <w:p>
      <w:pPr>
        <w:pStyle w:val="Heading5"/>
        <w:numPr>
          <w:ilvl w:val="4"/>
          <w:numId w:val="1"/>
        </w:numPr>
        <w:rPr/>
      </w:pPr>
      <w:bookmarkStart w:id="1128" w:name="__RefHeading___Toc9531275_73709187"/>
      <w:bookmarkStart w:id="1129" w:name="_Toc440"/>
      <w:bookmarkEnd w:id="1128"/>
      <w:r>
        <w:rPr>
          <w:rtl w:val="true"/>
        </w:rPr>
        <w:t>اشارة</w:t>
      </w:r>
      <w:bookmarkEnd w:id="1129"/>
    </w:p>
    <w:p>
      <w:pPr>
        <w:pStyle w:val="BookText"/>
        <w:rPr/>
      </w:pP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للإله علی وجه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الشعائر الدینیّة</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هی غایة الخضوع و التذلّل، و لذلک لا تحسن إلاّ للّه تعالی، الذی هو مولی أعظم النعم، فهو حقیق بغایة الشکر</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اسم جامع لکلّ ما یحبّه اللّه و یرضاه من الأقوال و الأعمال الباطنة و الظاهرة، کالصلاة، و الزکاة، و الصیام، و برّ الوالدین، وصلة الأرحام، و الإحسان للجار و الیتیم، و الدعاء، و حبّ اللّه و رسوله و أهل بیته علیهم السلام، و خشیة اللّه و الإنابة إلیه، و الرجاء لرحمته و الخوف من عذابه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نذکر فی المقام ما ورد فی الروایات من حثّ الأئمّة المعصومین علیهم السلام أولیاء الأطفال علی تعویدهم و ترغیبهم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أهمّها التی تؤثّر فی تربیة الأطفال خلقیّاً، و تعوّدهم علی الفضائل و المحاسن</w:t>
      </w:r>
      <w:r>
        <w:rPr>
          <w:rFonts w:eastAsia="IRNazanin" w:cs="IRNazanin"/>
          <w:color w:val="111111"/>
          <w:sz w:val="28"/>
          <w:szCs w:val="28"/>
          <w:rtl w:val="true"/>
          <w:lang w:bidi="fa-IR"/>
        </w:rPr>
        <w:t>.</w:t>
      </w:r>
    </w:p>
    <w:p>
      <w:pPr>
        <w:pStyle w:val="Heading5"/>
        <w:numPr>
          <w:ilvl w:val="4"/>
          <w:numId w:val="1"/>
        </w:numPr>
        <w:rPr/>
      </w:pPr>
      <w:bookmarkStart w:id="1130" w:name="__RefHeading___Toc9531277_73709187"/>
      <w:bookmarkStart w:id="1131" w:name="_Toc441"/>
      <w:bookmarkEnd w:id="1130"/>
      <w:r>
        <w:rPr>
          <w:rtl w:val="true"/>
        </w:rPr>
        <w:t>أ</w:t>
      </w:r>
      <w:r>
        <w:rPr>
          <w:rtl w:val="true"/>
        </w:rPr>
        <w:t xml:space="preserve">: </w:t>
      </w:r>
      <w:r>
        <w:rPr>
          <w:rtl w:val="true"/>
        </w:rPr>
        <w:t>الصلاة و أهمّیتها</w:t>
      </w:r>
      <w:bookmarkEnd w:id="1131"/>
    </w:p>
    <w:p>
      <w:pPr>
        <w:pStyle w:val="Heading6"/>
        <w:numPr>
          <w:ilvl w:val="5"/>
          <w:numId w:val="1"/>
        </w:numPr>
        <w:rPr/>
      </w:pPr>
      <w:bookmarkStart w:id="1132" w:name="__RefHeading___Toc9531279_73709187"/>
      <w:bookmarkStart w:id="1133" w:name="_Toc442"/>
      <w:bookmarkEnd w:id="1132"/>
      <w:r>
        <w:rPr>
          <w:rtl w:val="true"/>
        </w:rPr>
        <w:t>اشارة</w:t>
      </w:r>
      <w:bookmarkEnd w:id="113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الصلاة من أهمّ العبادات و أفضلها؛ و هی رأس الإسلام و عمود الدین، و من أحبّ الأعمال إلی اللّه تعالی، فقد حکی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إبراهیم فی القرآن، و من جملته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 علیه السلام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یلطف له اللطف الذی عنده یقیم الصلاة، و یتمسّک بالدین، و أن یفعل مثل ذلک بجماعة من ذرّیّته، و هم الذین أسلموا منهم، فسأل لهم مثل ما سأل لنفسه</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لقمان علیه السلام قال لابنه فیما أوصی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فإنّما مثلها فی دین اللّه کمثل عمود فسطاط فإنّ العمود إذا استقام نفعت الأطناب و الأوتاد و الظلال، و إن لم یستقم لم ینفع وتد و لا طنب و لا ظلال</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الخصال عن عبد اللّه بن مسعود،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أحبّ الأعمال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الصلاة، و البرّ، و الجهاد</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یدعی بالعبد، فأوّل شیء یُسأل عنه الصلاة، فإن جاء بها تامّة، و إلاّ زُخّ فی النار</w:t>
      </w:r>
      <w:r>
        <w:rPr>
          <w:rFonts w:eastAsia="IRNazanin" w:cs="IRNazanin"/>
          <w:color w:val="111111"/>
          <w:sz w:val="28"/>
          <w:szCs w:val="28"/>
          <w:rtl w:val="true"/>
          <w:lang w:bidi="fa-IR"/>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فی وصیّته إلی 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الصلاة؛ فإنّها خیر العمل، إنّها عماد دینکم</w:t>
      </w:r>
      <w:r>
        <w:rPr>
          <w:rFonts w:eastAsia="IRNazanin" w:cs="IRNazanin"/>
          <w:color w:val="111111"/>
          <w:sz w:val="28"/>
          <w:szCs w:val="28"/>
          <w:rtl w:val="true"/>
          <w:lang w:bidi="fa-IR"/>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حمیدة اعزّیها بأبی عبد اللّه علیه السلام، فبکت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شهدته حین حضره الموت و قد قبض إحدی عینیه، ثمّ قال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لی قرابتی و من لطف لی، فلما اجتمعوا حوله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لن تنال مستخفّاً بالصلاة</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bookmarkStart w:id="1134" w:name="pg11754_113249"/>
    </w:p>
    <w:p>
      <w:pPr>
        <w:pStyle w:val="BookText"/>
        <w:rPr/>
      </w:pPr>
      <w:bookmarkEnd w:id="1134"/>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Heading6"/>
        <w:numPr>
          <w:ilvl w:val="5"/>
          <w:numId w:val="1"/>
        </w:numPr>
        <w:rPr/>
      </w:pPr>
      <w:bookmarkStart w:id="1135" w:name="__RefHeading___Toc9531281_73709187"/>
      <w:bookmarkStart w:id="1136" w:name="_Toc443"/>
      <w:bookmarkEnd w:id="1135"/>
      <w:r>
        <w:rPr>
          <w:rtl w:val="true"/>
        </w:rPr>
        <w:t>تعوید الأطفال علی إقامة الصلاة</w:t>
      </w:r>
      <w:bookmarkEnd w:id="1136"/>
    </w:p>
    <w:p>
      <w:pPr>
        <w:pStyle w:val="BookText"/>
        <w:rPr/>
      </w:pPr>
      <w:r>
        <w:rPr>
          <w:rFonts w:ascii="IRNazanin" w:hAnsi="IRNazanin" w:eastAsia="IRNazanin"/>
          <w:color w:val="111111"/>
          <w:sz w:val="28"/>
          <w:sz w:val="28"/>
          <w:szCs w:val="28"/>
          <w:rtl w:val="true"/>
          <w:lang w:bidi="fa-IR"/>
        </w:rPr>
        <w:t>یستفاد من بعض الآیات و الروایات أنّه ینبغی للآباء و الاُمّهات و المربّین تعلیم أطفالهم أحکام الصلاة، و تعویدهم بفعلها و تمرینها، بل ظاهر بعضها یدلُّ علی وجوب ذلک علیهم، و قد ذکرنا فیما سبق أقوال الفقهاء فی هذه المسألة، و أنّ بعضهم قالوا بوجوب ذلک علی الأبوین، مثل الشیخ رحمه الله فی الخلاف،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الأبوین أن یؤدّبا الولد إذا بلغ سبع سنین أو ثمانیاً، و علی ولیّه أن یعلّمه الصوم و الصلاة، و إذا بلغ عشراً ضربه علی ذلک، یجب ذلک علی الولیّ دون الصبیّ</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IRNazanin" w:hAnsi="IRNazanin" w:eastAsia="IRNazanin"/>
          <w:color w:val="111111"/>
          <w:sz w:val="28"/>
          <w:sz w:val="28"/>
          <w:szCs w:val="28"/>
          <w:rtl w:val="true"/>
          <w:lang w:bidi="fa-IR"/>
        </w:rPr>
        <w:t>و کذا فی النهایة</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فیجب علی الآباء و الاُمّهات تعلیمهم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 الصلاة و الشرائع بعد السبع، و الضرب علی ترکها بعد العشر؛ لأنّه زمان احتمال البلوغ بالاحتلام، فربما بلغ و لا یصدق</w:t>
      </w:r>
      <w:r>
        <w:rPr>
          <w:rFonts w:eastAsia="IRNazanin" w:cs="IRNazanin"/>
          <w:color w:val="111111"/>
          <w:sz w:val="28"/>
          <w:szCs w:val="28"/>
          <w:rtl w:val="true"/>
          <w:lang w:bidi="fa-IR"/>
        </w:rPr>
        <w:t>»</w:t>
      </w:r>
      <w:r>
        <w:rPr>
          <w:rStyle w:val="FootnoteAnchor"/>
          <w:rtl w:val="true"/>
        </w:rPr>
        <w:footnoteReference w:id="1982"/>
      </w:r>
      <w:r>
        <w:rPr>
          <w:rFonts w:ascii="IRNazanin" w:hAnsi="IRNazanin" w:eastAsia="IRNazanin"/>
          <w:color w:val="111111"/>
          <w:sz w:val="28"/>
          <w:sz w:val="28"/>
          <w:szCs w:val="28"/>
          <w:rtl w:val="true"/>
          <w:lang w:bidi="fa-IR"/>
        </w:rPr>
        <w:t>، و غیرهما</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الآیات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یَأْمُرُ أَهْلَهُ بِالصَّلاةِ وَ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أَقِمِ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المتقدّم</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النصوص فهی مستفیضة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w:t>
      </w:r>
    </w:p>
    <w:p>
      <w:pPr>
        <w:pStyle w:val="BookText"/>
        <w:rPr/>
      </w:pPr>
      <w:r>
        <w:rPr>
          <w:rFonts w:ascii="IRNazanin" w:hAnsi="IRNazanin" w:eastAsia="IRNazanin"/>
          <w:color w:val="111111"/>
          <w:sz w:val="28"/>
          <w:sz w:val="28"/>
          <w:szCs w:val="28"/>
          <w:rtl w:val="true"/>
          <w:lang w:bidi="fa-IR"/>
        </w:rPr>
        <w:t>الحلبی، عن أبی عبد اللّه علیه 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الفقیه بسند صحیح عن أحمد بن محمّد بن أبی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التهذیب بسند 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سبع سنین و ستّ سنین</w:t>
      </w:r>
      <w:r>
        <w:rPr>
          <w:rFonts w:eastAsia="IRNazanin" w:cs="IRNazanin"/>
          <w:color w:val="111111"/>
          <w:sz w:val="28"/>
          <w:szCs w:val="28"/>
          <w:rtl w:val="true"/>
          <w:lang w:bidi="fa-IR"/>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فی الکافی عن عیسی بن زید،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یثغر الغلام لسبع سنین، و یؤمر بالصلاة لتسع</w:t>
      </w:r>
      <w:r>
        <w:rPr>
          <w:rFonts w:eastAsia="IRNazanin" w:cs="IRNazanin"/>
          <w:color w:val="111111"/>
          <w:sz w:val="28"/>
          <w:szCs w:val="28"/>
          <w:rtl w:val="true"/>
          <w:lang w:bidi="fa-IR"/>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فی المستدرک عن موسی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کانوا أبناء ستّ سنین، و اضربوهم إذا کانوا أبناء سبع سنین</w:t>
      </w:r>
      <w:r>
        <w:rPr>
          <w:rFonts w:eastAsia="IRNazanin" w:cs="IRNazanin"/>
          <w:color w:val="111111"/>
          <w:sz w:val="28"/>
          <w:szCs w:val="28"/>
          <w:rtl w:val="true"/>
          <w:lang w:bidi="fa-IR"/>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بلغوا سبعاً، و اضربوهم علیها إذا بلغوا تسعاً</w:t>
      </w:r>
      <w:r>
        <w:rPr>
          <w:rFonts w:eastAsia="IRNazanin" w:cs="IRNazanin"/>
          <w:color w:val="111111"/>
          <w:sz w:val="28"/>
          <w:szCs w:val="28"/>
          <w:rtl w:val="true"/>
          <w:lang w:bidi="fa-IR"/>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صبیانکم بالصلاة إذا کانوا أبناء عشر سنین</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bookmarkStart w:id="1137" w:name="pg11754_113251"/>
    </w:p>
    <w:p>
      <w:pPr>
        <w:pStyle w:val="BookText"/>
        <w:rPr/>
      </w:pPr>
      <w:bookmarkEnd w:id="1137"/>
      <w:r>
        <w:rPr>
          <w:rFonts w:ascii="IRNazanin" w:hAnsi="IRNazanin" w:eastAsia="IRNazanin"/>
          <w:color w:val="111111"/>
          <w:sz w:val="28"/>
          <w:sz w:val="28"/>
          <w:szCs w:val="28"/>
          <w:rtl w:val="true"/>
          <w:lang w:bidi="fa-IR"/>
        </w:rPr>
        <w:t>و ورد هذا المعنی عن طریق أهل السنّة عنه صلی الله علیه و آله أیضاً فی روایات کثیرة و تعبیرات مختلفة</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فی المستدرک عن النبیّ صلی الله علیه و آله، أنّه نظر إلی بعض الأطفال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لأطفال آخر الزمان من آبائهم،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آبائهم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آبائهم المؤمنین، لا یعلّمونهم شیئاً من الفرائض، و إذا تعلّموا أولادهم منعوهم و رضوا عنهم بعرض یسیر من الدنیا، فأنا منهم بریء، و هم منّی براء</w:t>
      </w:r>
      <w:r>
        <w:rPr>
          <w:rFonts w:eastAsia="IRNazanin" w:cs="IRNazanin"/>
          <w:color w:val="111111"/>
          <w:sz w:val="28"/>
          <w:szCs w:val="28"/>
          <w:rtl w:val="true"/>
          <w:lang w:bidi="fa-IR"/>
        </w:rPr>
        <w:t>»</w:t>
      </w:r>
      <w:r>
        <w:rPr>
          <w:rStyle w:val="FootnoteAnchor"/>
          <w:rtl w:val="true"/>
        </w:rPr>
        <w:footnoteReference w:id="1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التهذیب و الکافی عن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الصبیان أن یجمعوا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 العصر و بین المغرب و العشاء الآخرة ما داموا علی وضوء قبل أن یشتغلوا</w:t>
      </w:r>
      <w:r>
        <w:rPr>
          <w:rFonts w:eastAsia="IRNazanin" w:cs="IRNazanin"/>
          <w:color w:val="111111"/>
          <w:sz w:val="28"/>
          <w:szCs w:val="28"/>
          <w:rtl w:val="true"/>
          <w:lang w:bidi="fa-IR"/>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 أیضاً</w:t>
      </w:r>
    </w:p>
    <w:p>
      <w:pPr>
        <w:pStyle w:val="BookText"/>
        <w:rPr/>
      </w:pPr>
      <w:r>
        <w:rPr>
          <w:rFonts w:ascii="IRNazanin" w:hAnsi="IRNazanin" w:eastAsia="IRNazanin"/>
          <w:color w:val="111111"/>
          <w:sz w:val="28"/>
          <w:sz w:val="28"/>
          <w:szCs w:val="28"/>
          <w:rtl w:val="true"/>
          <w:lang w:bidi="fa-IR"/>
        </w:rPr>
        <w:t>ما روی فی الفقیه عن الحسن بن قارون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أو سئل و أنا أسمع عن الرجل یجبر ولده و هو لا یصلّی الیوم و الیومین؟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أتی علی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الوجع،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نحو ما یقدر</w:t>
      </w:r>
      <w:r>
        <w:rPr>
          <w:rFonts w:eastAsia="IRNazanin" w:cs="IRNazanin"/>
          <w:color w:val="111111"/>
          <w:sz w:val="28"/>
          <w:szCs w:val="28"/>
          <w:rtl w:val="true"/>
          <w:lang w:bidi="fa-IR"/>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9531283_73709187"/>
      <w:bookmarkStart w:id="1139" w:name="_Toc444"/>
      <w:bookmarkEnd w:id="1138"/>
      <w:r>
        <w:rPr>
          <w:rtl w:val="true"/>
        </w:rPr>
        <w:t>ب</w:t>
      </w:r>
      <w:r>
        <w:rPr>
          <w:rtl w:val="true"/>
        </w:rPr>
        <w:t xml:space="preserve">: </w:t>
      </w:r>
      <w:r>
        <w:rPr>
          <w:rtl w:val="true"/>
        </w:rPr>
        <w:t>تعلیم الطهارة و الوضوء</w:t>
      </w:r>
      <w:bookmarkEnd w:id="1139"/>
    </w:p>
    <w:p>
      <w:pPr>
        <w:pStyle w:val="Heading6"/>
        <w:numPr>
          <w:ilvl w:val="5"/>
          <w:numId w:val="1"/>
        </w:numPr>
        <w:rPr/>
      </w:pPr>
      <w:bookmarkStart w:id="1140" w:name="__RefHeading___Toc9531285_73709187"/>
      <w:bookmarkStart w:id="1141" w:name="_Toc445"/>
      <w:bookmarkEnd w:id="1140"/>
      <w:r>
        <w:rPr>
          <w:rtl w:val="true"/>
        </w:rPr>
        <w:t>اشارة</w:t>
      </w:r>
      <w:bookmarkEnd w:id="114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لا صلاة إلاّ بطهور، فکما یجب علی الولیّ تعلیم الطفل الصلاة، یجب علیه أیضاً تعلیم الوضوء و تمرینه، و کذلک الطهارة التی تجعل المؤمن بین یدی</w:t>
      </w:r>
    </w:p>
    <w:p>
      <w:pPr>
        <w:pStyle w:val="BookText"/>
        <w:rPr/>
      </w:pPr>
      <w:r>
        <w:rPr>
          <w:rFonts w:ascii="IRNazanin" w:hAnsi="IRNazanin" w:eastAsia="IRNazanin"/>
          <w:color w:val="111111"/>
          <w:sz w:val="28"/>
          <w:sz w:val="28"/>
          <w:szCs w:val="28"/>
          <w:rtl w:val="true"/>
          <w:lang w:bidi="fa-IR"/>
        </w:rPr>
        <w:t>خالقه طاهراً مطهّراً فی بدنه و ثوبه، و المکان الذی یؤدّی فیه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الطفل سبع سنین کان علی أبیه أن یعلّمه الطهارة و الصلاة، و یعلّمه الجماعة و حضورها لیعتادها؛ لأنّ هذا السنّ یحصل فیه التمییز من الصبیّ فی العبادة، و إذا بلغ عشر سنین ضرب علیها و إن کانت غیر واجبة؛ لاشتماله علی اللطف و هو الاعتیاد و التمرّن</w:t>
      </w:r>
      <w:r>
        <w:rPr>
          <w:rFonts w:eastAsia="IRNazanin" w:cs="IRNazanin"/>
          <w:color w:val="111111"/>
          <w:sz w:val="28"/>
          <w:szCs w:val="28"/>
          <w:rtl w:val="true"/>
          <w:lang w:bidi="fa-IR"/>
        </w:rPr>
        <w:t>»</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النصوص المتقدّمة، حیث إنّه لا یمکن فعل الصلاة إلاّ مع الوضوء و الطهارة، و کذا نصوص اخری، مثل</w:t>
      </w:r>
    </w:p>
    <w:p>
      <w:pPr>
        <w:pStyle w:val="BookText"/>
        <w:rPr/>
      </w:pPr>
      <w:r>
        <w:rPr>
          <w:rFonts w:ascii="IRNazanin" w:hAnsi="IRNazanin" w:eastAsia="IRNazanin"/>
          <w:color w:val="111111"/>
          <w:sz w:val="28"/>
          <w:sz w:val="28"/>
          <w:szCs w:val="28"/>
          <w:rtl w:val="true"/>
          <w:lang w:bidi="fa-IR"/>
        </w:rPr>
        <w:t>ما رواه فی الفقیه عن عبد اللّه بن فضالة، عن أبی عبد اللّه أو أبی جعفر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الغلام حتّی یتمّ له سبع سنین، فإذا تمَّ له سبع سنین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و کفّیک، فإذا غسلهما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یترک حتّی یتمّ له تسع سنین، فإذا تمّت له علّم الوضوء و ضرب علیه، و أمر بالصلاة و ضرب علیها، فإذا تعلّم الوضوء و الصلاة غفر اللّه لوالدیه إن شاء اللّه</w:t>
      </w:r>
      <w:r>
        <w:rPr>
          <w:rFonts w:eastAsia="IRNazanin" w:cs="IRNazanin"/>
          <w:color w:val="111111"/>
          <w:sz w:val="28"/>
          <w:szCs w:val="28"/>
          <w:rtl w:val="true"/>
          <w:lang w:bidi="fa-IR"/>
        </w:rPr>
        <w:t>»</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ما تقدّم عن الحسن بن قارون، عن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ما رواه فی الکافی عن یونس بن یعقوب، 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 صبیّک حتّی یأتی له ستّ سنین ثمّ ضمّه إلیک سبع سنین فأدّبه بأدبک</w:t>
      </w:r>
      <w:r>
        <w:rPr>
          <w:rFonts w:eastAsia="Amiri" w:cs="Amiri" w:ascii="Amiri" w:hAnsi="Amiri"/>
          <w:color w:val="111111"/>
          <w:sz w:val="28"/>
          <w:szCs w:val="28"/>
          <w:rtl w:val="true"/>
          <w:lang w:bidi="ar-SA"/>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آداب المؤمن الوضوء و الطهارة للصلاة و غیرها، فیجب علی الولیّ تعلیم الطفل به</w:t>
      </w:r>
      <w:r>
        <w:rPr>
          <w:rFonts w:eastAsia="IRNazanin" w:cs="IRNazanin"/>
          <w:color w:val="111111"/>
          <w:sz w:val="28"/>
          <w:szCs w:val="28"/>
          <w:rtl w:val="true"/>
          <w:lang w:bidi="fa-IR"/>
        </w:rPr>
        <w:t>.</w:t>
      </w:r>
      <w:bookmarkStart w:id="1142" w:name="pg11754_113253"/>
    </w:p>
    <w:p>
      <w:pPr>
        <w:pStyle w:val="BookText"/>
        <w:rPr/>
      </w:pPr>
      <w:bookmarkEnd w:id="1142"/>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النصوص تدلّ علی أنّ الوقت الذی یؤخذ الطفل لفعل الصلاة، و یجب علی الولیّ أن یعلّمه أحکامها من الوضوء و الغسل و غیرهما فیما بین سبع سنین و ستّ سنین و ما فوقه</w:t>
      </w:r>
      <w:r>
        <w:rPr>
          <w:rFonts w:eastAsia="IRNazanin" w:cs="IRNazanin"/>
          <w:color w:val="111111"/>
          <w:sz w:val="28"/>
          <w:szCs w:val="28"/>
          <w:rtl w:val="true"/>
          <w:lang w:bidi="fa-IR"/>
        </w:rPr>
        <w:t>.</w:t>
      </w:r>
    </w:p>
    <w:p>
      <w:pPr>
        <w:pStyle w:val="Heading6"/>
        <w:numPr>
          <w:ilvl w:val="5"/>
          <w:numId w:val="1"/>
        </w:numPr>
        <w:rPr/>
      </w:pPr>
      <w:bookmarkStart w:id="1143" w:name="__RefHeading___Toc9531287_73709187"/>
      <w:bookmarkStart w:id="1144" w:name="_Toc446"/>
      <w:bookmarkEnd w:id="1143"/>
      <w:r>
        <w:rPr>
          <w:rtl w:val="true"/>
        </w:rPr>
        <w:t>فروع یلائم ذکرها فی المقام</w:t>
      </w:r>
      <w:r>
        <w:rPr>
          <w:rtl w:val="true"/>
        </w:rPr>
        <w:t>:</w:t>
      </w:r>
      <w:bookmarkEnd w:id="1144"/>
    </w:p>
    <w:p>
      <w:pPr>
        <w:pStyle w:val="Heading6"/>
        <w:numPr>
          <w:ilvl w:val="5"/>
          <w:numId w:val="1"/>
        </w:numPr>
        <w:rPr/>
      </w:pPr>
      <w:bookmarkStart w:id="1145" w:name="__RefHeading___Toc9531289_73709187"/>
      <w:bookmarkStart w:id="1146" w:name="_Toc447"/>
      <w:bookmarkEnd w:id="1145"/>
      <w:r>
        <w:rPr>
          <w:rtl w:val="true"/>
        </w:rPr>
        <w:t>الأوّل</w:t>
      </w:r>
      <w:r>
        <w:rPr>
          <w:rtl w:val="true"/>
        </w:rPr>
        <w:t xml:space="preserve">: </w:t>
      </w:r>
      <w:r>
        <w:rPr>
          <w:rtl w:val="true"/>
        </w:rPr>
        <w:t>یستحبّ تعوید الأطفال بإقامة الصلاة فی أوّل الوقت</w:t>
      </w:r>
      <w:bookmarkEnd w:id="1146"/>
    </w:p>
    <w:p>
      <w:pPr>
        <w:pStyle w:val="BookText"/>
        <w:rPr/>
      </w:pPr>
      <w:r>
        <w:rPr>
          <w:rFonts w:ascii="Amiri" w:hAnsi="Amiri" w:eastAsia="Amiri" w:cs="Amiri"/>
          <w:color w:val="111111"/>
          <w:sz w:val="28"/>
          <w:sz w:val="28"/>
          <w:szCs w:val="28"/>
          <w:rtl w:val="true"/>
          <w:lang w:bidi="ar-SA"/>
        </w:rPr>
        <w:t>، و یدلّ علیه</w:t>
      </w:r>
    </w:p>
    <w:p>
      <w:pPr>
        <w:pStyle w:val="BookText"/>
        <w:rPr/>
      </w:pPr>
      <w:r>
        <w:rPr>
          <w:rFonts w:ascii="IRNazanin" w:hAnsi="IRNazanin" w:eastAsia="IRNazanin"/>
          <w:color w:val="111111"/>
          <w:sz w:val="28"/>
          <w:sz w:val="28"/>
          <w:szCs w:val="28"/>
          <w:rtl w:val="true"/>
          <w:lang w:bidi="fa-IR"/>
        </w:rPr>
        <w:t>ما قاله أمیر المؤمنین لابنه الحسن علیهما السلام فیما أوصی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یا بنیّ بالصلاة عند وقتها</w:t>
      </w:r>
      <w:r>
        <w:rPr>
          <w:rFonts w:eastAsia="IRNazanin" w:cs="IRNazanin"/>
          <w:color w:val="111111"/>
          <w:sz w:val="28"/>
          <w:szCs w:val="28"/>
          <w:rtl w:val="true"/>
          <w:lang w:bidi="fa-IR"/>
        </w:rPr>
        <w:t>»</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فی عیون الأخبار عن الرضا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فی أوّل الوقت أفضل</w:t>
      </w:r>
      <w:r>
        <w:rPr>
          <w:rFonts w:eastAsia="IRNazanin" w:cs="IRNazanin"/>
          <w:color w:val="111111"/>
          <w:sz w:val="28"/>
          <w:szCs w:val="28"/>
          <w:rtl w:val="true"/>
          <w:lang w:bidi="fa-IR"/>
        </w:rPr>
        <w:t>»</w:t>
      </w:r>
      <w:r>
        <w:rPr>
          <w:rStyle w:val="FootnoteAnchor"/>
          <w:rtl w:val="true"/>
        </w:rPr>
        <w:footnoteReference w:id="2000"/>
      </w:r>
      <w:r>
        <w:rPr>
          <w:rFonts w:ascii="IRNazanin" w:hAnsi="IRNazanin" w:eastAsia="IRNazanin"/>
          <w:color w:val="111111"/>
          <w:sz w:val="28"/>
          <w:sz w:val="28"/>
          <w:szCs w:val="28"/>
          <w:rtl w:val="true"/>
          <w:lang w:bidi="fa-IR"/>
        </w:rPr>
        <w:t>، و إطلاقها یشمل الصّبی أیضاً و غیرها</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7" w:name="__RefHeading___Toc9531291_73709187"/>
      <w:bookmarkStart w:id="1148" w:name="_Toc448"/>
      <w:bookmarkEnd w:id="1147"/>
      <w:r>
        <w:rPr>
          <w:rtl w:val="true"/>
        </w:rPr>
        <w:t>الثانی</w:t>
      </w:r>
      <w:r>
        <w:rPr>
          <w:rtl w:val="true"/>
        </w:rPr>
        <w:t xml:space="preserve">: </w:t>
      </w:r>
      <w:r>
        <w:rPr>
          <w:rtl w:val="true"/>
        </w:rPr>
        <w:t>یستحبّ تعوید الأطفال علی صلاة الجماعة و العید و الجمعة</w:t>
      </w:r>
      <w:bookmarkEnd w:id="1148"/>
    </w:p>
    <w:p>
      <w:pPr>
        <w:pStyle w:val="BookText"/>
        <w:rPr/>
      </w:pPr>
      <w:r>
        <w:rPr>
          <w:rFonts w:ascii="IRNazanin" w:hAnsi="IRNazanin" w:eastAsia="IRNazanin"/>
          <w:color w:val="111111"/>
          <w:sz w:val="28"/>
          <w:sz w:val="28"/>
          <w:szCs w:val="28"/>
          <w:rtl w:val="true"/>
          <w:lang w:bidi="fa-IR"/>
        </w:rPr>
        <w:t>،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الطفل سبع سنین کان علی أبیه أن یعلّمه الجماعة و حضورها لیعتادها؛ لأنّ هذا السنّ یحصل فیه التمییز من الصبیّ فی العبادة</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أوّلاً النصوص المتقدّمة التی تدلّ علی أنّه یجب علی الآباءِ أن یأمروا أطفالهم بإقامة الصلاة، و حیث إنّ حضور الجمعة و الجماعة و صلاة العید و غیرها مندوبة، فکذلک یستحبّ إحضار الأطفال الممیّزین لإقامتها، و کذا ما تقدّم من أنّه یستحبّ تربیة الأطفال</w:t>
      </w:r>
      <w:r>
        <w:rPr>
          <w:rStyle w:val="FootnoteAnchor"/>
          <w:rtl w:val="true"/>
        </w:rPr>
        <w:footnoteReference w:id="2003"/>
      </w:r>
      <w:r>
        <w:rPr>
          <w:rFonts w:ascii="IRNazanin" w:hAnsi="IRNazanin" w:eastAsia="IRNazanin"/>
          <w:color w:val="111111"/>
          <w:sz w:val="28"/>
          <w:sz w:val="28"/>
          <w:szCs w:val="28"/>
          <w:rtl w:val="true"/>
          <w:lang w:bidi="fa-IR"/>
        </w:rPr>
        <w:t>بکلّ ما هو مرضیّ للّه تعالی، کالصلوات</w:t>
      </w:r>
      <w:bookmarkStart w:id="1149" w:name="pg11754_113254"/>
    </w:p>
    <w:p>
      <w:pPr>
        <w:pStyle w:val="BookText"/>
        <w:rPr/>
      </w:pPr>
      <w:bookmarkEnd w:id="1149"/>
      <w:r>
        <w:rPr>
          <w:rFonts w:ascii="IRNazanin" w:hAnsi="IRNazanin" w:eastAsia="IRNazanin"/>
          <w:color w:val="111111"/>
          <w:sz w:val="28"/>
          <w:sz w:val="28"/>
          <w:szCs w:val="28"/>
          <w:rtl w:val="true"/>
          <w:lang w:bidi="fa-IR"/>
        </w:rPr>
        <w:t>المندوبة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 کما ورد أنّه یستحبّ التذکیر بالجمعة و لو بشراءِ شیء من الفاکهة، مثل</w:t>
      </w:r>
    </w:p>
    <w:p>
      <w:pPr>
        <w:pStyle w:val="BookText"/>
        <w:rPr/>
      </w:pPr>
      <w:r>
        <w:rPr>
          <w:rFonts w:ascii="IRNazanin" w:hAnsi="IRNazanin" w:eastAsia="IRNazanin"/>
          <w:color w:val="111111"/>
          <w:sz w:val="28"/>
          <w:sz w:val="28"/>
          <w:szCs w:val="28"/>
          <w:rtl w:val="true"/>
          <w:lang w:bidi="fa-IR"/>
        </w:rPr>
        <w:t>ما رواه فی الفقیه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أطرفوا أهالیکم کلّ یوم جمعة بشیء من الفاکهة و اللحم حتّی یفرحوا بالجمعة</w:t>
      </w:r>
      <w:r>
        <w:rPr>
          <w:rFonts w:eastAsia="IRNazanin" w:cs="IRNazanin"/>
          <w:color w:val="111111"/>
          <w:sz w:val="28"/>
          <w:szCs w:val="28"/>
          <w:rtl w:val="true"/>
          <w:lang w:bidi="fa-IR"/>
        </w:rPr>
        <w:t>»</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فرح الأهل و الأطفال یوم الجمعة مندوب بخصوصه؛ لأجل تذکیرهم بصلاة الجمعة و حضورها، و أنّه سیّد الأیّام، یضاعف اللّه فیه الحسنات، و یمحو فیه السیّئات، کما فی الروایات</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القطب الراوندی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لصبیانکم اللحم، و ذکّروهم یوم الجمعة</w:t>
      </w:r>
      <w:r>
        <w:rPr>
          <w:rFonts w:eastAsia="IRNazanin" w:cs="IRNazanin"/>
          <w:color w:val="111111"/>
          <w:sz w:val="28"/>
          <w:szCs w:val="28"/>
          <w:rtl w:val="true"/>
          <w:lang w:bidi="fa-IR"/>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9531293_73709187"/>
      <w:bookmarkStart w:id="1151" w:name="_Toc449"/>
      <w:bookmarkEnd w:id="1150"/>
      <w:r>
        <w:rPr>
          <w:rtl w:val="true"/>
        </w:rPr>
        <w:t>الثالث</w:t>
      </w:r>
      <w:r>
        <w:rPr>
          <w:rtl w:val="true"/>
        </w:rPr>
        <w:t xml:space="preserve">: </w:t>
      </w:r>
      <w:r>
        <w:rPr>
          <w:rtl w:val="true"/>
        </w:rPr>
        <w:t>یستحبّ تعوید الأطفال علی صلاة اللیل</w:t>
      </w:r>
      <w:bookmarkEnd w:id="1151"/>
    </w:p>
    <w:p>
      <w:pPr>
        <w:pStyle w:val="BookText"/>
        <w:rPr/>
      </w:pPr>
      <w:r>
        <w:rPr>
          <w:rFonts w:ascii="Amiri" w:hAnsi="Amiri" w:eastAsia="Amiri" w:cs="Amiri"/>
          <w:color w:val="111111"/>
          <w:sz w:val="28"/>
          <w:sz w:val="28"/>
          <w:szCs w:val="28"/>
          <w:rtl w:val="true"/>
          <w:lang w:bidi="ar-SA"/>
        </w:rPr>
        <w:t>، و یدلّ علیه</w:t>
      </w:r>
    </w:p>
    <w:p>
      <w:pPr>
        <w:pStyle w:val="BookText"/>
        <w:rPr/>
      </w:pPr>
      <w:r>
        <w:rPr>
          <w:rFonts w:ascii="IRNazanin" w:hAnsi="IRNazanin" w:eastAsia="IRNazanin"/>
          <w:color w:val="111111"/>
          <w:sz w:val="28"/>
          <w:sz w:val="28"/>
          <w:szCs w:val="28"/>
          <w:rtl w:val="true"/>
          <w:lang w:bidi="fa-IR"/>
        </w:rPr>
        <w:t>ما رواه فی مستدرک الوسائل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قام من اللیل فصلّی، و أیقظ أهله فصلّوا، ألا و إنّ أفضل الأعمال صلاة الرجل باللیل، و الذی نفسی بیده إنّ الرجل إذا قام من اللیل یُصلّی تسبّح ثیابه و من حوله</w:t>
      </w:r>
      <w:r>
        <w:rPr>
          <w:rFonts w:eastAsia="IRNazanin" w:cs="IRNazanin"/>
          <w:color w:val="111111"/>
          <w:sz w:val="28"/>
          <w:szCs w:val="28"/>
          <w:rtl w:val="true"/>
          <w:lang w:bidi="fa-IR"/>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ورد عن طریق أهل السُنّة،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 خالتی میمونة، فقام رسول اللّه صلی الله علیه و آله من اللیل فأتی حاجته، ثمّ غسل وجهه و یدیه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فتمطّأت کراهیة أن یری أنّی کنت ارتقبه، فتوضّأت، فقام یُصلّی، فقمت عن یساره، فأخذنی بأُذنی فأدارنی عن یمینه</w:t>
      </w:r>
      <w:r>
        <w:rPr>
          <w:rFonts w:eastAsia="IRNazanin" w:cs="IRNazanin"/>
          <w:color w:val="111111"/>
          <w:sz w:val="28"/>
          <w:szCs w:val="28"/>
          <w:rtl w:val="true"/>
          <w:lang w:bidi="fa-IR"/>
        </w:rPr>
        <w:t>»</w:t>
      </w:r>
      <w:r>
        <w:rPr>
          <w:rStyle w:val="FootnoteAnchor"/>
          <w:rtl w:val="true"/>
        </w:rPr>
        <w:footnoteReference w:id="2008"/>
      </w:r>
      <w:r>
        <w:rPr>
          <w:rFonts w:ascii="IRNazanin" w:hAnsi="IRNazanin" w:eastAsia="IRNazanin"/>
          <w:color w:val="111111"/>
          <w:sz w:val="28"/>
          <w:sz w:val="28"/>
          <w:szCs w:val="28"/>
          <w:rtl w:val="true"/>
          <w:lang w:bidi="fa-IR"/>
        </w:rPr>
        <w:t>، لأنّ جعل النبیّ صلی الله علیه و آله الغلام إلی یمینه</w:t>
      </w:r>
      <w:bookmarkStart w:id="1152" w:name="pg11754_113255"/>
    </w:p>
    <w:p>
      <w:pPr>
        <w:pStyle w:val="BookText"/>
        <w:rPr/>
      </w:pPr>
      <w:bookmarkEnd w:id="1152"/>
      <w:r>
        <w:rPr>
          <w:rFonts w:ascii="IRNazanin" w:hAnsi="IRNazanin" w:eastAsia="IRNazanin"/>
          <w:color w:val="111111"/>
          <w:sz w:val="28"/>
          <w:sz w:val="28"/>
          <w:szCs w:val="28"/>
          <w:rtl w:val="true"/>
          <w:lang w:bidi="fa-IR"/>
        </w:rPr>
        <w:t>دلیل علی عنایته صلی الله علیه و آله بقیام الصبیّ فی اللیل للصلاة</w:t>
      </w:r>
      <w:r>
        <w:rPr>
          <w:rFonts w:eastAsia="IRNazanin" w:cs="IRNazanin"/>
          <w:color w:val="111111"/>
          <w:sz w:val="28"/>
          <w:szCs w:val="28"/>
          <w:rtl w:val="true"/>
          <w:lang w:bidi="fa-IR"/>
        </w:rPr>
        <w:t>.</w:t>
      </w:r>
    </w:p>
    <w:p>
      <w:pPr>
        <w:pStyle w:val="Heading6"/>
        <w:numPr>
          <w:ilvl w:val="5"/>
          <w:numId w:val="1"/>
        </w:numPr>
        <w:rPr/>
      </w:pPr>
      <w:bookmarkStart w:id="1153" w:name="__RefHeading___Toc9531295_73709187"/>
      <w:bookmarkStart w:id="1154" w:name="_Toc450"/>
      <w:bookmarkEnd w:id="1153"/>
      <w:r>
        <w:rPr>
          <w:rtl w:val="true"/>
        </w:rPr>
        <w:t>الرابع</w:t>
      </w:r>
      <w:r>
        <w:rPr>
          <w:rtl w:val="true"/>
        </w:rPr>
        <w:t xml:space="preserve">: </w:t>
      </w:r>
      <w:r>
        <w:rPr>
          <w:rtl w:val="true"/>
        </w:rPr>
        <w:t>قال فی العروة</w:t>
      </w:r>
      <w:r>
        <w:rPr>
          <w:rtl w:val="true"/>
        </w:rPr>
        <w:t>: «</w:t>
      </w:r>
      <w:r>
        <w:rPr>
          <w:rtl w:val="true"/>
        </w:rPr>
        <w:t>یستحبّ تمرین الممیّز من الأطفال علی قضاء ما فات</w:t>
      </w:r>
      <w:bookmarkEnd w:id="1154"/>
    </w:p>
    <w:p>
      <w:pPr>
        <w:pStyle w:val="BookText"/>
        <w:rPr/>
      </w:pPr>
      <w:r>
        <w:rPr>
          <w:rFonts w:ascii="IRNazanin" w:hAnsi="IRNazanin" w:eastAsia="IRNazanin"/>
          <w:color w:val="111111"/>
          <w:sz w:val="28"/>
          <w:sz w:val="28"/>
          <w:szCs w:val="28"/>
          <w:rtl w:val="true"/>
          <w:lang w:bidi="fa-IR"/>
        </w:rPr>
        <w:t>منه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یستحبّ تمرینه علی کلّ عبادة</w:t>
      </w:r>
      <w:r>
        <w:rPr>
          <w:rFonts w:eastAsia="IRNazanin" w:cs="IRNazanin"/>
          <w:color w:val="111111"/>
          <w:sz w:val="28"/>
          <w:szCs w:val="28"/>
          <w:rtl w:val="true"/>
          <w:lang w:bidi="fa-IR"/>
        </w:rPr>
        <w:t>»</w:t>
      </w:r>
      <w:r>
        <w:rPr>
          <w:rStyle w:val="FootnoteAnchor"/>
          <w:rtl w:val="true"/>
        </w:rPr>
        <w:footnoteReference w:id="2009"/>
      </w:r>
      <w:r>
        <w:rPr>
          <w:rFonts w:ascii="IRNazanin" w:hAnsi="IRNazanin" w:eastAsia="IRNazanin"/>
          <w:color w:val="111111"/>
          <w:sz w:val="28"/>
          <w:sz w:val="28"/>
          <w:szCs w:val="28"/>
          <w:rtl w:val="true"/>
          <w:lang w:bidi="fa-IR"/>
        </w:rPr>
        <w:t>، و وافقه الفقیه المعاصر الفاضل اللنکرانی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و لا إشکال ظاهر؛ للنصوص الآمرة به، المتجاوزة حدّ الاستفاضة، و إطلاقها یقتضی عدم الفرق بین الأداء و القضاء، و الفرائض و النوافل، کما یستفاد ممّا ورد فی بعض النصوص الأمر بالصوم من التعلیل بالتعوّد، و ما ورد فیه من أنّه تأدیب</w:t>
      </w:r>
      <w:r>
        <w:rPr>
          <w:rFonts w:eastAsia="IRNazanin" w:cs="IRNazanin"/>
          <w:color w:val="111111"/>
          <w:sz w:val="28"/>
          <w:szCs w:val="28"/>
          <w:rtl w:val="true"/>
          <w:lang w:bidi="fa-IR"/>
        </w:rPr>
        <w:t>»</w:t>
      </w:r>
      <w:r>
        <w:rPr>
          <w:rStyle w:val="FootnoteAnchor"/>
          <w:rtl w:val="true"/>
        </w:rPr>
        <w:footnoteReference w:id="2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المستند</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9531297_73709187"/>
      <w:bookmarkStart w:id="1156" w:name="_Toc451"/>
      <w:bookmarkEnd w:id="1155"/>
      <w:r>
        <w:rPr>
          <w:rtl w:val="true"/>
        </w:rPr>
        <w:t>ج</w:t>
      </w:r>
      <w:r>
        <w:rPr>
          <w:rtl w:val="true"/>
        </w:rPr>
        <w:t xml:space="preserve">: </w:t>
      </w:r>
      <w:r>
        <w:rPr>
          <w:rtl w:val="true"/>
        </w:rPr>
        <w:t>تعوید الأطفال علی الصوم</w:t>
      </w:r>
      <w:bookmarkEnd w:id="1156"/>
    </w:p>
    <w:p>
      <w:pPr>
        <w:pStyle w:val="BookText"/>
        <w:rPr/>
      </w:pPr>
      <w:r>
        <w:rPr>
          <w:rFonts w:ascii="IRNazanin" w:hAnsi="IRNazanin" w:eastAsia="IRNazanin"/>
          <w:color w:val="111111"/>
          <w:sz w:val="28"/>
          <w:sz w:val="28"/>
          <w:szCs w:val="28"/>
          <w:rtl w:val="true"/>
          <w:lang w:bidi="fa-IR"/>
        </w:rPr>
        <w:t>یستفاد من النصوص التی بلغت علی حدّ الاستفاضة أنّه ینبغی للآباء أن یأمروا أطفالهم الممیّزین بالصوم، حتّی یتعوّدوا علیه بعد أن یکونوا بالغین، بل ظاهر بعضها یدلّ علی وجوب ذلک علیهم، و تقدّم أنّ بعض الفقهاء أفتی به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 بسند صحیح عن الحلبی،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 إذا کانوا بنی سبع سنین بما أطاقوا من صیام الیوم، فإن کان إلی نصف النهار، أو أکثر من ذلک أو اقلّ، فإذا غلبهم العطش و الغرث أفطروا حتّی یتعوّدوا الصوم و یطیقوه، فمروا صبیانکم إذا کانوا بنی</w:t>
      </w:r>
    </w:p>
    <w:p>
      <w:pPr>
        <w:pStyle w:val="BookText"/>
        <w:rPr/>
      </w:pPr>
      <w:r>
        <w:rPr>
          <w:rFonts w:ascii="IRNazanin" w:hAnsi="IRNazanin" w:eastAsia="IRNazanin"/>
          <w:color w:val="111111"/>
          <w:sz w:val="28"/>
          <w:sz w:val="28"/>
          <w:szCs w:val="28"/>
          <w:rtl w:val="true"/>
          <w:lang w:bidi="fa-IR"/>
        </w:rPr>
        <w:t>تسع سنین بالصوم ما أطاقوا من صیام، فإذا غلبهم العطش أفطروا</w:t>
      </w:r>
      <w:r>
        <w:rPr>
          <w:rFonts w:eastAsia="IRNazanin" w:cs="IRNazanin"/>
          <w:color w:val="111111"/>
          <w:sz w:val="28"/>
          <w:szCs w:val="28"/>
          <w:rtl w:val="true"/>
          <w:lang w:bidi="fa-IR"/>
        </w:rPr>
        <w:t>»</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فی جامع أحادیث الشیعة نقلاً عن عوالی اللآلی</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فی الکافی عن معاویة بن وهب بسند 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فی کم یؤخذ الصبیّ بالصیام؟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بینه و بین خمس عشر سنة و أربع عشرة سنة، فإن هو صام قبل ذلک فدعه، و لقد صام ابنی فلان قبل ذلک فترکته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الفقیه و التهذیب</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الفقیه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یؤخذ بالصیام إذا بلغ تسع سنین علی قدر ما یطیقه، فإن أطاق إلی الظهر أو بعده صام إلی ذلک الوقت، فإذا غلب علیه الجوع و العطش أفطر</w:t>
      </w:r>
      <w:r>
        <w:rPr>
          <w:rFonts w:eastAsia="IRNazanin" w:cs="IRNazanin"/>
          <w:color w:val="111111"/>
          <w:sz w:val="28"/>
          <w:szCs w:val="28"/>
          <w:rtl w:val="true"/>
          <w:lang w:bidi="fa-IR"/>
        </w:rPr>
        <w:t>»</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رواه فی المقنع وفقه الرضا علیه السلام و دعائم الإسلام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أیضاً فی الکافی و الفقیه و التهذیب و الخصال عن الزهری، عن علیّ ابن الحسین علیهما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صوم التأدیب، فإن یؤخذ الصبیّ إذا راهق بالصوم تأدیباً و لیس بفرض</w:t>
      </w:r>
      <w:r>
        <w:rPr>
          <w:rFonts w:eastAsia="IRNazanin" w:cs="IRNazanin"/>
          <w:color w:val="111111"/>
          <w:sz w:val="28"/>
          <w:szCs w:val="28"/>
          <w:rtl w:val="true"/>
          <w:lang w:bidi="fa-IR"/>
        </w:rPr>
        <w:t>»</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bookmarkStart w:id="1157" w:name="pg11754_113257"/>
    </w:p>
    <w:p>
      <w:pPr>
        <w:pStyle w:val="BookText"/>
        <w:rPr/>
      </w:pPr>
      <w:bookmarkEnd w:id="1157"/>
      <w:r>
        <w:rPr>
          <w:rFonts w:ascii="IRNazanin" w:hAnsi="IRNazanin" w:eastAsia="IRNazanin"/>
          <w:color w:val="111111"/>
          <w:sz w:val="28"/>
          <w:sz w:val="28"/>
          <w:szCs w:val="28"/>
          <w:rtl w:val="true"/>
          <w:lang w:bidi="fa-IR"/>
        </w:rPr>
        <w:t>و روی فی تفسیر علی بن إبراهیم عنه علیه السلام مثله</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المسمعی أنّه سمع أبا عبد اللّه علیه السلام یوصی ولده إذا دخل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فاجهدوا أنفسکم؛ فإنّ فیه تقسم الأرزاق، و تکتب الآجال، و فیه یکتب وفد اللّه الذین یفدون إلیه، و فیه لیلة العمل فیها خیر من العمل فی ألف شهر</w:t>
      </w:r>
      <w:r>
        <w:rPr>
          <w:rFonts w:eastAsia="IRNazanin" w:cs="IRNazanin"/>
          <w:color w:val="111111"/>
          <w:sz w:val="28"/>
          <w:szCs w:val="28"/>
          <w:rtl w:val="true"/>
          <w:lang w:bidi="fa-IR"/>
        </w:rPr>
        <w:t>»</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9531299_73709187"/>
      <w:bookmarkStart w:id="1159" w:name="_Toc452"/>
      <w:bookmarkEnd w:id="1158"/>
      <w:r>
        <w:rPr>
          <w:rtl w:val="true"/>
        </w:rPr>
        <w:t xml:space="preserve">د </w:t>
      </w:r>
      <w:r>
        <w:rPr>
          <w:rtl w:val="true"/>
        </w:rPr>
        <w:t xml:space="preserve">- </w:t>
      </w:r>
      <w:r>
        <w:rPr>
          <w:rtl w:val="true"/>
        </w:rPr>
        <w:t>ترغیب الأطفال علی الدعاء</w:t>
      </w:r>
      <w:bookmarkEnd w:id="1159"/>
    </w:p>
    <w:p>
      <w:pPr>
        <w:pStyle w:val="Heading6"/>
        <w:numPr>
          <w:ilvl w:val="5"/>
          <w:numId w:val="1"/>
        </w:numPr>
        <w:rPr/>
      </w:pPr>
      <w:bookmarkStart w:id="1160" w:name="__RefHeading___Toc9531301_73709187"/>
      <w:bookmarkStart w:id="1161" w:name="_Toc453"/>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الدعاء سبب لتقرّب العبد إلی اللّه تعالی و هو مخّ العبادة و سلاح المؤمن، و 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به و وعد الإجابة،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أدلّکم علی سلاح ینجیکم من أعدائکم و یدرّ</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أرزاقکم؟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الأعمال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1162" w:name="pg11754_113258"/>
    </w:p>
    <w:p>
      <w:pPr>
        <w:pStyle w:val="BookText"/>
        <w:rPr/>
      </w:pPr>
      <w:bookmarkEnd w:id="1162"/>
      <w:r>
        <w:rPr>
          <w:rFonts w:ascii="IRNazanin" w:hAnsi="IRNazanin" w:eastAsia="IRNazanin"/>
          <w:color w:val="111111"/>
          <w:sz w:val="28"/>
          <w:sz w:val="28"/>
          <w:szCs w:val="28"/>
          <w:rtl w:val="true"/>
          <w:lang w:bidi="fa-IR"/>
        </w:rPr>
        <w:t>الأرض الدعاء</w:t>
      </w:r>
      <w:r>
        <w:rPr>
          <w:rFonts w:eastAsia="IRNazanin" w:cs="IRNazanin"/>
          <w:color w:val="111111"/>
          <w:sz w:val="28"/>
          <w:szCs w:val="28"/>
          <w:rtl w:val="true"/>
          <w:lang w:bidi="fa-IR"/>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الدعاء؛ فإنّه مفتاح کلّ رحمة، و نجاح کلّ حاجة، و لا ینال ما عند اللّه إلاّ بالدعاء، و لیس باب یکثر قرعه إلاّ یوشک أن یفتح لصاحبه</w:t>
      </w:r>
      <w:r>
        <w:rPr>
          <w:rFonts w:eastAsia="IRNazanin" w:cs="IRNazanin"/>
          <w:color w:val="111111"/>
          <w:sz w:val="28"/>
          <w:szCs w:val="28"/>
          <w:rtl w:val="true"/>
          <w:lang w:bidi="fa-IR"/>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علی الوالدین أن یهتمّا بتعوید أطفالهم علی الدعاء، و التوجّه إلی اللّه عزّ و جلّ، و تنبیههم بأنّ الإنسان فقیر مسکین مستکین، لا یملک لنفسه ضرّاً و لا نفعاً، فیجب علیه أن یتوجّه إلی اللّه تعالی و یسأل منه کلّ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تدلّ علی اهتمام النبیّ و الأئمّة المعصومین علیهم السلام بتعلیم الدعاء للأطفال، و تعویدهم علی قراءته فی کلّ الأحوال، و هی کثیرة نخرجها فی طوائف</w:t>
      </w:r>
      <w:r>
        <w:rPr>
          <w:rFonts w:eastAsia="IRNazanin" w:cs="IRNazanin"/>
          <w:color w:val="111111"/>
          <w:sz w:val="28"/>
          <w:szCs w:val="28"/>
          <w:rtl w:val="true"/>
          <w:lang w:bidi="fa-IR"/>
        </w:rPr>
        <w:t>:</w:t>
      </w:r>
    </w:p>
    <w:p>
      <w:pPr>
        <w:pStyle w:val="Heading6"/>
        <w:numPr>
          <w:ilvl w:val="5"/>
          <w:numId w:val="1"/>
        </w:numPr>
        <w:rPr/>
      </w:pPr>
      <w:bookmarkStart w:id="1163" w:name="__RefHeading___Toc9531303_73709187"/>
      <w:bookmarkStart w:id="1164" w:name="_Toc454"/>
      <w:bookmarkEnd w:id="1163"/>
      <w:r>
        <w:rPr>
          <w:rtl w:val="true"/>
        </w:rPr>
        <w:t>الأولی</w:t>
      </w:r>
      <w:r>
        <w:rPr>
          <w:rtl w:val="true"/>
        </w:rPr>
        <w:t xml:space="preserve">: </w:t>
      </w:r>
      <w:r>
        <w:rPr>
          <w:rtl w:val="true"/>
        </w:rPr>
        <w:t>ترغیب الأطفال علی الدعاء مطلقاً</w:t>
      </w:r>
      <w:bookmarkEnd w:id="1164"/>
    </w:p>
    <w:p>
      <w:pPr>
        <w:pStyle w:val="BookText"/>
        <w:rPr/>
      </w:pPr>
      <w:r>
        <w:rPr>
          <w:rFonts w:ascii="IRNazanin" w:hAnsi="IRNazanin" w:eastAsia="IRNazanin"/>
          <w:color w:val="111111"/>
          <w:sz w:val="28"/>
          <w:sz w:val="28"/>
          <w:szCs w:val="28"/>
          <w:rtl w:val="true"/>
          <w:lang w:bidi="fa-IR"/>
        </w:rPr>
        <w:t>مثل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أوصی أمیر المؤمنین لابنه الحسن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الذی بیده خزائن السموات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نادیته سمع نداک،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وسعة الأرزاق، ثمّ جعل فی یدیک مفاتیح خزائنه بما أذن لک فیه من مسألته، فمتی شئت استفتحت بالدعاء أبواب نعمته،</w:t>
      </w:r>
      <w:bookmarkStart w:id="1165" w:name="pg11754_113259"/>
    </w:p>
    <w:p>
      <w:pPr>
        <w:pStyle w:val="BookText"/>
        <w:rPr/>
      </w:pPr>
      <w:bookmarkEnd w:id="1165"/>
      <w:r>
        <w:rPr>
          <w:rFonts w:ascii="IRNazanin" w:hAnsi="IRNazanin" w:eastAsia="IRNazanin"/>
          <w:color w:val="111111"/>
          <w:sz w:val="28"/>
          <w:sz w:val="28"/>
          <w:szCs w:val="28"/>
          <w:rtl w:val="true"/>
          <w:lang w:bidi="fa-IR"/>
        </w:rPr>
        <w:t>و استمطرت شآبیب رحمته، فلا یقنطنّک إبطاء إجابته؛ فإنّ العطیّة علی قدر النیّة</w:t>
      </w:r>
      <w:r>
        <w:rPr>
          <w:rFonts w:eastAsia="IRNazanin" w:cs="IRNazanin"/>
          <w:color w:val="111111"/>
          <w:sz w:val="28"/>
          <w:szCs w:val="28"/>
          <w:rtl w:val="true"/>
          <w:lang w:bidi="fa-IR"/>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6" w:name="__RefHeading___Toc9531305_73709187"/>
      <w:bookmarkStart w:id="1167" w:name="_Toc455"/>
      <w:bookmarkEnd w:id="1166"/>
      <w:r>
        <w:rPr>
          <w:rtl w:val="true"/>
        </w:rPr>
        <w:t>الثانیة</w:t>
      </w:r>
      <w:r>
        <w:rPr>
          <w:rtl w:val="true"/>
        </w:rPr>
        <w:t xml:space="preserve">: </w:t>
      </w:r>
      <w:r>
        <w:rPr>
          <w:rtl w:val="true"/>
        </w:rPr>
        <w:t>تعلیم القنوت و الدعاء عقیب الصلاة</w:t>
      </w:r>
      <w:bookmarkEnd w:id="1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مکارم الأخلاق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یخرج من الدنیا و قد تخلّص من الذنوب کما یتخلّص الذهب الذی لا کدر فیه، و لا یطلبه أحد بمظلمة، فلیقل فی دبر الصلوات الخمس نسبة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مرّة، ثمّ یبسط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باسمک المکنون المخزون، الطاهر الطهر المبارک، و أسألک باسمک العظیم و سلطانک القدیم، یا واهب العطایا، و یا مطلق الأُساری، یا فکّاک الرقاب من النار، أسألک أن تُصلّی علی محمّد و آل محمّد، و أن تعتق رقبتی من النار، و تخرجنی من الدنیا سالماً و تدخلنی الجنّة آمناً، و أن تجعل دعائی أوّله فلاحاً، و أوسطه نجاحاً، و آخره صلاحاً، إنّک 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المنجیات ممّا علّمنی رسول اللّه صلی الله علیه و آله، و أمرنی أن أعلّم الحسن و الحسین علیهما السلام</w:t>
      </w:r>
      <w:r>
        <w:rPr>
          <w:rFonts w:eastAsia="IRNazanin" w:cs="IRNazanin"/>
          <w:color w:val="111111"/>
          <w:sz w:val="28"/>
          <w:szCs w:val="28"/>
          <w:rtl w:val="true"/>
          <w:lang w:bidi="fa-IR"/>
        </w:rPr>
        <w:t>»</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طریق أهل السُنّة عن الحسن بن علیّ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کلمات أقولهنّ فی قنوت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فیمن هدیت، و عافنی فیما عافیت و تولّنی فیمن تولّیت، و بارک لی فیما أعطیت، وقنی شرّ ما قضیت، فإنّک تقضی و لا یقضی علیک، إنّه لا یذلّ من والیت، تبارکت ربّنا و تعالیت</w:t>
      </w:r>
      <w:r>
        <w:rPr>
          <w:rFonts w:eastAsia="IRNazanin" w:cs="IRNazanin"/>
          <w:color w:val="111111"/>
          <w:sz w:val="28"/>
          <w:szCs w:val="28"/>
          <w:rtl w:val="true"/>
          <w:lang w:bidi="fa-IR"/>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bookmarkStart w:id="1168" w:name="pg11754_113260"/>
    </w:p>
    <w:p>
      <w:pPr>
        <w:pStyle w:val="Heading6"/>
        <w:numPr>
          <w:ilvl w:val="5"/>
          <w:numId w:val="1"/>
        </w:numPr>
        <w:rPr/>
      </w:pPr>
      <w:bookmarkStart w:id="1169" w:name="__RefHeading___Toc9531307_73709187"/>
      <w:bookmarkStart w:id="1170" w:name="_Toc456"/>
      <w:bookmarkEnd w:id="1168"/>
      <w:bookmarkEnd w:id="1169"/>
      <w:r>
        <w:rPr>
          <w:rtl w:val="true"/>
        </w:rPr>
        <w:t>الثالثة</w:t>
      </w:r>
      <w:r>
        <w:rPr>
          <w:rtl w:val="true"/>
        </w:rPr>
        <w:t xml:space="preserve">: </w:t>
      </w:r>
      <w:r>
        <w:rPr>
          <w:rtl w:val="true"/>
        </w:rPr>
        <w:t>تعوید الأطفال علی تسبیح فاطمة علیها السلام</w:t>
      </w:r>
      <w:bookmarkEnd w:id="1170"/>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روی فی الکافی و التهذیب عن أبی هارون المکفوف،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هارون إنّا نأمر صبیاننا بتسبیح فاطمة علیها السلام کما نأمرهم بالصلاة، فألزمه؛ فإنّه لم یلزمه عبد فشقی</w:t>
      </w:r>
      <w:r>
        <w:rPr>
          <w:rFonts w:eastAsia="IRNazanin" w:cs="IRNazanin"/>
          <w:color w:val="111111"/>
          <w:sz w:val="28"/>
          <w:szCs w:val="28"/>
          <w:rtl w:val="true"/>
          <w:lang w:bidi="fa-IR"/>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1" w:name="__RefHeading___Toc9531309_73709187"/>
      <w:bookmarkStart w:id="1172" w:name="_Toc457"/>
      <w:bookmarkEnd w:id="1171"/>
      <w:r>
        <w:rPr>
          <w:rtl w:val="true"/>
        </w:rPr>
        <w:t>الرابعة</w:t>
      </w:r>
      <w:r>
        <w:rPr>
          <w:rtl w:val="true"/>
        </w:rPr>
        <w:t xml:space="preserve">: </w:t>
      </w:r>
      <w:r>
        <w:rPr>
          <w:rtl w:val="true"/>
        </w:rPr>
        <w:t>تعویدهم إحیاء لیلة القدر و سائر اللیالی المتبرّکة</w:t>
      </w:r>
      <w:bookmarkEnd w:id="1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الدعائم أنّ رسول اللّه صلی الله علیه و آله کان یطوی فراشه و یشدّ مئزره فی العشرة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یرشّ وجوه النیام بالماء فی تلک اللیلة، و کانت فاطمة علیها السلام لا تدع أحداً من أهلها ینام تلک اللیلة، و تداویهم بقلّة الطعام، و تتأهّب لها من النهار،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خیرها</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زید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یجمعنا لیلة النصف من شعبان، ثمّ یجزّئ اللیل أجزاء ثلاثة، فیصلّی بنا جزءا، ثمّ یدعو فنؤمّن علی دعائه، ثمّ یستغفر اللّه و نستغفره، و نسأله الجنّة حتّی ینفجر الفجر</w:t>
      </w:r>
      <w:r>
        <w:rPr>
          <w:rFonts w:eastAsia="IRNazanin" w:cs="IRNazanin"/>
          <w:color w:val="111111"/>
          <w:sz w:val="28"/>
          <w:szCs w:val="28"/>
          <w:rtl w:val="true"/>
          <w:lang w:bidi="fa-IR"/>
        </w:rPr>
        <w:t>»</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9531311_73709187"/>
      <w:bookmarkStart w:id="1174" w:name="_Toc458"/>
      <w:bookmarkEnd w:id="1173"/>
      <w:r>
        <w:rPr>
          <w:rtl w:val="true"/>
        </w:rPr>
        <w:t>التنبیه علی أمرین</w:t>
      </w:r>
      <w:r>
        <w:rPr>
          <w:rtl w:val="true"/>
        </w:rPr>
        <w:t>:</w:t>
      </w:r>
      <w:bookmarkEnd w:id="1174"/>
    </w:p>
    <w:p>
      <w:pPr>
        <w:pStyle w:val="Heading6"/>
        <w:numPr>
          <w:ilvl w:val="5"/>
          <w:numId w:val="1"/>
        </w:numPr>
        <w:rPr/>
      </w:pPr>
      <w:bookmarkStart w:id="1175" w:name="__RefHeading___Toc9531313_73709187"/>
      <w:bookmarkStart w:id="1176" w:name="_Toc459"/>
      <w:bookmarkEnd w:id="1175"/>
      <w:r>
        <w:rPr>
          <w:rtl w:val="true"/>
        </w:rPr>
        <w:t>الأوّل</w:t>
      </w:r>
      <w:r>
        <w:rPr>
          <w:rtl w:val="true"/>
        </w:rPr>
        <w:t xml:space="preserve">: </w:t>
      </w:r>
      <w:r>
        <w:rPr>
          <w:rtl w:val="true"/>
        </w:rPr>
        <w:t>عدم جواز تحمیل العبادات علی الصبی فوق طاقته</w:t>
      </w:r>
      <w:bookmarkEnd w:id="1176"/>
    </w:p>
    <w:p>
      <w:pPr>
        <w:pStyle w:val="BookText"/>
        <w:rPr/>
      </w:pPr>
      <w:r>
        <w:rPr>
          <w:rFonts w:ascii="IRNazanin" w:hAnsi="IRNazanin" w:eastAsia="IRNazanin"/>
          <w:color w:val="111111"/>
          <w:sz w:val="28"/>
          <w:sz w:val="28"/>
          <w:szCs w:val="28"/>
          <w:rtl w:val="true"/>
          <w:lang w:bidi="fa-IR"/>
        </w:rPr>
        <w:t>إنّ الإسلام سمح سهل و لا یرضی الشارع أن أتعب المسلم نفسه فی العبادة أو کلّف الغیر بها بما لا یطیقه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لا یجوز تحمیل المکلّف فوق طاقته، فکیف بالنسبة إلی الصبیان و الأطفال، فینبغی للوالدین أمر الصبیّ و تشویقه بفعل العبادات، و لکن لا یجوز لهما تحمیلها علیه فوق طاقته، و أن یتوقّعا منه بأن یأتی بها کالمکلّفین؛ إذ یترتّب علیه آثار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الصبی عن العبادة أو أصل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یعوّد الطفل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 مذمومیّة هذا العمل 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الآیة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النصوص التی کانت علی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النصوص التی تدلّ علی لزوم الرفق و المداراة فی أمر الولی ولده بالصوم، و مثلها ما ورد فی باب الصلاة، کما</w:t>
      </w:r>
    </w:p>
    <w:p>
      <w:pPr>
        <w:pStyle w:val="BookText"/>
        <w:rPr/>
      </w:pPr>
      <w:r>
        <w:rPr>
          <w:rFonts w:ascii="IRNazanin" w:hAnsi="IRNazanin" w:eastAsia="IRNazanin"/>
          <w:color w:val="111111"/>
          <w:sz w:val="28"/>
          <w:sz w:val="28"/>
          <w:szCs w:val="28"/>
          <w:rtl w:val="true"/>
          <w:lang w:bidi="fa-IR"/>
        </w:rPr>
        <w:t>رواه فی دعائم الإسلام عن علیّ بن الحسین علیهما السلام، أنّه کان یأخذ من عنده من الصبیان فیأمرهم بأن یصلّوا الظهر و العصر فی وقت واحد، و المغرب و العشاء فی وقت واحد، فقیل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أخفّ علیهم و أجدر أن یسارعوا إلیها، و لا یضیّعوها و یناموا عنها و یشتغلوا، و کان لا یأخذهم بغیر الصلاة المکتوبة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أطاقوا الصلاة فلا تؤخّروهم عن المکتوبة</w:t>
      </w:r>
      <w:r>
        <w:rPr>
          <w:rFonts w:eastAsia="IRNazanin" w:cs="IRNazanin"/>
          <w:color w:val="111111"/>
          <w:sz w:val="28"/>
          <w:szCs w:val="28"/>
          <w:rtl w:val="true"/>
          <w:lang w:bidi="fa-IR"/>
        </w:rPr>
        <w:t>»</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الجعفریات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یأمر الصبیان أن یصلّوا المغرب و العشاء جمیعاً، و الظهر و العصر جمیعاً،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 الصلاة فی غیر وقتها،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أن یناموا عنها</w:t>
      </w:r>
      <w:r>
        <w:rPr>
          <w:rFonts w:eastAsia="IRNazanin" w:cs="IRNazanin"/>
          <w:color w:val="111111"/>
          <w:sz w:val="28"/>
          <w:szCs w:val="28"/>
          <w:rtl w:val="true"/>
          <w:lang w:bidi="fa-IR"/>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جواز تحمیل العبادة علی المکلّفین فوق طاقتهم، فیستفاد منها عدم جوازه علی غیر المکلّفین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الکافی عن أبی الجاورد،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w:t>
      </w:r>
      <w:r>
        <w:rPr>
          <w:rStyle w:val="FootnoteAnchor"/>
          <w:rtl w:val="true"/>
        </w:rPr>
        <w:footnoteReference w:id="2032"/>
      </w:r>
      <w:r>
        <w:rPr>
          <w:rFonts w:ascii="IRNazanin" w:hAnsi="IRNazanin" w:eastAsia="IRNazanin"/>
          <w:color w:val="111111"/>
          <w:sz w:val="28"/>
          <w:sz w:val="28"/>
          <w:szCs w:val="28"/>
          <w:rtl w:val="true"/>
          <w:lang w:bidi="fa-IR"/>
        </w:rPr>
        <w:t>فیه برفق، و لا تکرهوا عبادة اللّه إلی عباد اللّه، فتکونوا کالراکب المنبت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سفراً قطع، و لا ظهراً أبقی</w:t>
      </w:r>
      <w:r>
        <w:rPr>
          <w:rFonts w:eastAsia="IRNazanin" w:cs="IRNazanin"/>
          <w:color w:val="111111"/>
          <w:sz w:val="28"/>
          <w:szCs w:val="28"/>
          <w:rtl w:val="true"/>
          <w:lang w:bidi="fa-IR"/>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الوافی فی شرح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تحملوا علی أنفسکم، و لا تکلّفوها ما لا تطیق و تعجز و تترک الدین و العمل</w:t>
      </w:r>
      <w:r>
        <w:rPr>
          <w:rFonts w:eastAsia="IRNazanin" w:cs="IRNazanin"/>
          <w:color w:val="111111"/>
          <w:sz w:val="28"/>
          <w:szCs w:val="28"/>
          <w:rtl w:val="true"/>
          <w:lang w:bidi="fa-IR"/>
        </w:rPr>
        <w:t>»</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أیضاً عن عمر بن حنظلة،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لا تحملوا علی شیعتنا و ارفقوا بهم؛ فإنّ الناس لا یحتملون ما تحملون</w:t>
      </w:r>
      <w:r>
        <w:rPr>
          <w:rFonts w:eastAsia="IRNazanin" w:cs="IRNazanin"/>
          <w:color w:val="111111"/>
          <w:sz w:val="28"/>
          <w:szCs w:val="28"/>
          <w:rtl w:val="true"/>
          <w:lang w:bidi="fa-IR"/>
        </w:rPr>
        <w:t>»</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تکلّفوا أوساط الشیعة بالتکالیف الشاقّة فی العلم و العمل، بل علّموهم و ادعوهم إلی العمل برفق، کما فی المرآة</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الرفق بالصغیر مطلقاً؛ أی فی العبادة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جاء فی رسالة الحقوق لعلیّ بن الحسین علیهما السلام قال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 الصغیر فرحمته و تثقیفه</w:t>
      </w:r>
      <w:r>
        <w:rPr>
          <w:rStyle w:val="FootnoteAnchor"/>
          <w:rtl w:val="true"/>
        </w:rPr>
        <w:footnoteReference w:id="2037"/>
      </w:r>
      <w:r>
        <w:rPr>
          <w:rFonts w:ascii="IRNazanin" w:hAnsi="IRNazanin" w:eastAsia="IRNazanin"/>
          <w:color w:val="111111"/>
          <w:sz w:val="28"/>
          <w:sz w:val="28"/>
          <w:szCs w:val="28"/>
          <w:rtl w:val="true"/>
          <w:lang w:bidi="fa-IR"/>
        </w:rPr>
        <w:t>، و تعلیمه، و العفو عنه، و الستر علیه، و الرفق به، و المعونة له، و الستر علی جرائر حداثته؛ فإنّه سبب للتوبة، و المداراة له، و ترک مماحکته؛ فإنّ</w:t>
      </w:r>
      <w:bookmarkStart w:id="1177" w:name="pg11754_113263"/>
    </w:p>
    <w:p>
      <w:pPr>
        <w:pStyle w:val="BookText"/>
        <w:rPr/>
      </w:pPr>
      <w:bookmarkEnd w:id="1177"/>
      <w:r>
        <w:rPr>
          <w:rFonts w:ascii="IRNazanin" w:hAnsi="IRNazanin" w:eastAsia="IRNazanin"/>
          <w:color w:val="111111"/>
          <w:sz w:val="28"/>
          <w:sz w:val="28"/>
          <w:szCs w:val="28"/>
          <w:rtl w:val="true"/>
          <w:lang w:bidi="fa-IR"/>
        </w:rPr>
        <w:t>ذلک أدنی لرشده</w:t>
      </w:r>
      <w:r>
        <w:rPr>
          <w:rFonts w:eastAsia="IRNazanin" w:cs="IRNazanin"/>
          <w:color w:val="111111"/>
          <w:sz w:val="28"/>
          <w:szCs w:val="28"/>
          <w:rtl w:val="true"/>
          <w:lang w:bidi="fa-IR"/>
        </w:rPr>
        <w:t>»</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یؤیّده</w:t>
      </w:r>
    </w:p>
    <w:p>
      <w:pPr>
        <w:pStyle w:val="BookText"/>
        <w:rPr/>
      </w:pPr>
      <w:r>
        <w:rPr>
          <w:rFonts w:ascii="IRNazanin" w:hAnsi="IRNazanin" w:eastAsia="IRNazanin"/>
          <w:color w:val="111111"/>
          <w:sz w:val="28"/>
          <w:sz w:val="28"/>
          <w:szCs w:val="28"/>
          <w:rtl w:val="true"/>
          <w:lang w:bidi="fa-IR"/>
        </w:rPr>
        <w:t>ما رواه أبو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بی أبی و أنا بالطواف و أنا حدث</w:t>
      </w:r>
      <w:r>
        <w:rPr>
          <w:rStyle w:val="FootnoteAnchor"/>
          <w:rtl w:val="true"/>
        </w:rPr>
        <w:footnoteReference w:id="2039"/>
      </w:r>
      <w:r>
        <w:rPr>
          <w:rFonts w:ascii="IRNazanin" w:hAnsi="IRNazanin" w:eastAsia="IRNazanin"/>
          <w:color w:val="111111"/>
          <w:sz w:val="28"/>
          <w:sz w:val="28"/>
          <w:szCs w:val="28"/>
          <w:rtl w:val="true"/>
          <w:lang w:bidi="fa-IR"/>
        </w:rPr>
        <w:t>و قد اجتهدت فی العبادة فرآنی و أنا أتصابُّ عرقاً،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یا بنیّ أنّ اللّه إذا أحبّ عبداً أدخله الجنّة و رضی عنه بالیسیر</w:t>
      </w:r>
      <w:r>
        <w:rPr>
          <w:rFonts w:eastAsia="IRNazanin" w:cs="IRNazanin"/>
          <w:color w:val="111111"/>
          <w:sz w:val="28"/>
          <w:szCs w:val="28"/>
          <w:rtl w:val="true"/>
          <w:lang w:bidi="fa-IR"/>
        </w:rPr>
        <w:t>»</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فی صحیحة حفص بن البختری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اجتهدت فی العبادة و أنا شابّ،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دون ما أراک تصنع؛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عبداً رضی عنه بالیسیر</w:t>
      </w:r>
      <w:r>
        <w:rPr>
          <w:rFonts w:eastAsia="IRNazanin" w:cs="IRNazanin"/>
          <w:color w:val="111111"/>
          <w:sz w:val="28"/>
          <w:szCs w:val="28"/>
          <w:rtl w:val="true"/>
          <w:lang w:bidi="fa-IR"/>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دلّ علی أنّه ینبغی للوالدین أن یقبلا میسور أطفالهم، مثل</w:t>
      </w:r>
    </w:p>
    <w:p>
      <w:pPr>
        <w:pStyle w:val="BookText"/>
        <w:rPr/>
      </w:pPr>
      <w:r>
        <w:rPr>
          <w:rFonts w:ascii="IRNazanin" w:hAnsi="IRNazanin" w:eastAsia="IRNazanin"/>
          <w:color w:val="111111"/>
          <w:sz w:val="28"/>
          <w:sz w:val="28"/>
          <w:szCs w:val="28"/>
          <w:rtl w:val="true"/>
          <w:lang w:bidi="fa-IR"/>
        </w:rPr>
        <w:t>ما روی فی الکافی عن یونس بن رباط،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رحم اللّه من أعان ولده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یعینه علی 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میسوره، و یتجاوز عن معسوره و لا 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42"/>
      </w:r>
      <w:r>
        <w:rPr>
          <w:rFonts w:ascii="IRNazanin" w:hAnsi="IRNazanin" w:eastAsia="IRNazanin"/>
          <w:color w:val="111111"/>
          <w:sz w:val="28"/>
          <w:sz w:val="28"/>
          <w:szCs w:val="28"/>
          <w:rtl w:val="true"/>
          <w:lang w:bidi="fa-IR"/>
        </w:rPr>
        <w:t>، فإنّ العبادة فوق طاقتهم لیس میسوراً لهم</w:t>
      </w:r>
      <w:r>
        <w:rPr>
          <w:rFonts w:eastAsia="IRNazanin" w:cs="IRNazanin"/>
          <w:color w:val="111111"/>
          <w:sz w:val="28"/>
          <w:szCs w:val="28"/>
          <w:rtl w:val="true"/>
          <w:lang w:bidi="fa-IR"/>
        </w:rPr>
        <w:t>.</w:t>
      </w:r>
    </w:p>
    <w:p>
      <w:pPr>
        <w:pStyle w:val="Heading6"/>
        <w:numPr>
          <w:ilvl w:val="5"/>
          <w:numId w:val="1"/>
        </w:numPr>
        <w:rPr/>
      </w:pPr>
      <w:bookmarkStart w:id="1178" w:name="__RefHeading___Toc9531315_73709187"/>
      <w:bookmarkStart w:id="1179" w:name="_Toc460"/>
      <w:bookmarkEnd w:id="1178"/>
      <w:r>
        <w:rPr>
          <w:rtl w:val="true"/>
        </w:rPr>
        <w:t>الأمر الثانی</w:t>
      </w:r>
      <w:r>
        <w:rPr>
          <w:rtl w:val="true"/>
        </w:rPr>
        <w:t xml:space="preserve">: </w:t>
      </w:r>
      <w:r>
        <w:rPr>
          <w:rtl w:val="true"/>
        </w:rPr>
        <w:t>استحباب دعاء الوالدین لأطفالهم</w:t>
      </w:r>
      <w:bookmarkEnd w:id="117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دعاء الوالدین یؤثّر فی حقّ أولادهم، فربّ ولد یعیش فی الدنیا عیش السعداء، و موفّقاً للخدمات العلمیّة و الاجتماعیّة العظیمة، و مطیعاً للّه تعالی لأجل دعاء الوالدین، و بالعکس عدم رضایتهم و عقوقهم للأولاد یوجب شقاوتهم، کما رأینا و سمعنا فی حقّ أفراد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دعوات لا یحجبن عن اللّه تعالی، دعاء الوالد لولده إذا برّه و دعوته علیه إذا عقّه</w:t>
      </w:r>
      <w:r>
        <w:rPr>
          <w:rFonts w:eastAsia="IRNazanin" w:cs="IRNazanin"/>
          <w:color w:val="111111"/>
          <w:sz w:val="28"/>
          <w:szCs w:val="28"/>
          <w:rtl w:val="true"/>
          <w:lang w:bidi="fa-IR"/>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عدّة الداعی، 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أعان ولده علی بره،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یعفو عن سیّئته، و یدعو له فیما بینه و بین اللّه</w:t>
      </w:r>
      <w:r>
        <w:rPr>
          <w:rFonts w:eastAsia="IRNazanin" w:cs="IRNazanin"/>
          <w:color w:val="111111"/>
          <w:sz w:val="28"/>
          <w:szCs w:val="28"/>
          <w:rtl w:val="true"/>
          <w:lang w:bidi="fa-IR"/>
        </w:rPr>
        <w:t>»</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المستدرک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لیرفع له درجة فی الجنّة لا یعرفها من أعماله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أنّی لی هذه؟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باستغفار والدیک لک من بعدک</w:t>
      </w:r>
      <w:r>
        <w:rPr>
          <w:rFonts w:eastAsia="IRNazanin" w:cs="IRNazanin"/>
          <w:color w:val="111111"/>
          <w:sz w:val="28"/>
          <w:szCs w:val="28"/>
          <w:rtl w:val="true"/>
          <w:lang w:bidi="fa-IR"/>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فینبغی أن یدعو الوالدان لأطفالهم بالخیر، یستفاد ذلک من الآیات و الروایات، حیث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المؤمنین لأولادهم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دعاء إبراهیم علیه السلام لذرّیته،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فی مستقبل عمرنا، کما جعلتنا مسلمین فی ماضی عمرنا؛ بأن توفّقنا و تفعل بنا الألطاف التی تدعونا إلی الثبات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من ذرّیتنا أی من أولادنا</w:t>
      </w:r>
      <w:r>
        <w:rPr>
          <w:rFonts w:eastAsia="IRNazanin" w:cs="IRNazanin"/>
          <w:color w:val="111111"/>
          <w:sz w:val="28"/>
          <w:szCs w:val="28"/>
          <w:rtl w:val="true"/>
          <w:lang w:bidi="fa-IR"/>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دعاء یعقوب علیه السلام لولده،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 إِنَّهُ هُوَ</w:t>
      </w:r>
    </w:p>
    <w:p>
      <w:pPr>
        <w:pStyle w:val="BookText"/>
        <w:rPr/>
      </w:pPr>
      <w:r>
        <w:rPr>
          <w:rFonts w:ascii="Amiri" w:hAnsi="Amiri" w:eastAsia="Amiri" w:cs="Amiri"/>
          <w:color w:val="111111"/>
          <w:sz w:val="28"/>
          <w:sz w:val="28"/>
          <w:szCs w:val="28"/>
          <w:rtl w:val="true"/>
          <w:lang w:bidi="ar-SA"/>
        </w:rPr>
        <w:t>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یؤتی بالصبیان یدعو لهم، و یبرّک علیهم</w:t>
      </w:r>
      <w:r>
        <w:rPr>
          <w:rFonts w:eastAsia="IRNazanin" w:cs="IRNazanin"/>
          <w:color w:val="111111"/>
          <w:sz w:val="28"/>
          <w:szCs w:val="28"/>
          <w:rtl w:val="true"/>
          <w:lang w:bidi="fa-IR"/>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الصحیفة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منّ علیّ ببقاء ولدی، و بإصلاحهم لی و بإمتاعی بهم، 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 و اجعلهم أبراراً أتقیاء بصراء سامعین مطیعین لک، و لأولیائک محبّین مناصحین، و لجمیع أعدائکَ معاندین و مبغضین آمین، 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 عاقّین و لا مخالفین و لا خاطئین، و أعنّی علی تربیتهم و تأدیبهم و برّهم</w:t>
      </w:r>
      <w:r>
        <w:rPr>
          <w:rFonts w:eastAsia="IRNazanin" w:cs="IRNazanin"/>
          <w:color w:val="111111"/>
          <w:sz w:val="28"/>
          <w:szCs w:val="28"/>
          <w:rtl w:val="true"/>
          <w:lang w:bidi="fa-IR"/>
        </w:rPr>
        <w:t>»</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التهذیب عن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عبد اللّه علیه السلام یُصلّی عن ولده فی کلّ لیلة رکعتین، و عن والدیه فی کلّ یوم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یقرأ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النصوص أنّ دُعاء الوالدین للأولاد مطلوب و مستجاب،</w:t>
      </w:r>
    </w:p>
    <w:p>
      <w:pPr>
        <w:pStyle w:val="BookText"/>
        <w:rPr/>
      </w:pPr>
      <w:r>
        <w:rPr>
          <w:rFonts w:ascii="IRNazanin" w:hAnsi="IRNazanin" w:eastAsia="IRNazanin"/>
          <w:color w:val="111111"/>
          <w:sz w:val="28"/>
          <w:sz w:val="28"/>
          <w:szCs w:val="28"/>
          <w:rtl w:val="true"/>
          <w:lang w:bidi="fa-IR"/>
        </w:rPr>
        <w:t>فینبغی للوالدین أن لا ینسیا أولادهم من دعاء الخیر، کما أنّ الدعاء علی الولد أیضاً مستجاب، فلیحذر الأولاد عن مخالفة والدیهم خوفاً أن یدعوا علیهم فتستجاب، کما ورد فی بعض النصوص مثل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البحار عن موسی بن جعفر،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دعوات مستجابات لا شکّ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المظلوم، و دعوة المسافر، و دعوة الوالد علی ولده</w:t>
      </w:r>
      <w:r>
        <w:rPr>
          <w:rFonts w:eastAsia="IRNazanin" w:cs="IRNazanin"/>
          <w:color w:val="111111"/>
          <w:sz w:val="28"/>
          <w:szCs w:val="28"/>
          <w:rtl w:val="true"/>
          <w:lang w:bidi="fa-IR"/>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bookmarkStart w:id="1180" w:name="pg11754_113267"/>
    </w:p>
    <w:p>
      <w:pPr>
        <w:pStyle w:val="Heading4"/>
        <w:numPr>
          <w:ilvl w:val="3"/>
          <w:numId w:val="1"/>
        </w:numPr>
        <w:rPr/>
      </w:pPr>
      <w:bookmarkStart w:id="1181" w:name="__RefHeading___Toc9531317_73709187"/>
      <w:bookmarkStart w:id="1182" w:name="_Toc461"/>
      <w:bookmarkEnd w:id="1180"/>
      <w:bookmarkEnd w:id="1181"/>
      <w:r>
        <w:rPr>
          <w:rtl w:val="true"/>
        </w:rPr>
        <w:t>المبحث الثالث</w:t>
      </w:r>
      <w:r>
        <w:rPr>
          <w:rtl w:val="true"/>
        </w:rPr>
        <w:t xml:space="preserve">: </w:t>
      </w:r>
      <w:r>
        <w:rPr>
          <w:rtl w:val="true"/>
        </w:rPr>
        <w:t>تعلیم الأطفال العلوم و الأحکام</w:t>
      </w:r>
      <w:bookmarkEnd w:id="1182"/>
    </w:p>
    <w:p>
      <w:pPr>
        <w:pStyle w:val="Heading5"/>
        <w:numPr>
          <w:ilvl w:val="4"/>
          <w:numId w:val="1"/>
        </w:numPr>
        <w:rPr/>
      </w:pPr>
      <w:bookmarkStart w:id="1183" w:name="__RefHeading___Toc9531319_73709187"/>
      <w:bookmarkStart w:id="1184" w:name="_Toc462"/>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لا شکّ فی أنّ العلم یعدّ من فضائل الإنسان و کرامته،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الإسلام حمل الآباء و المربّین مسئولیّة کبری فی تعلیم الأولاد، و تنشئتهم علی الاغتراف من معین الثقافة و العلم، و ترکیز أذهانهم علی الفهم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الإدراک الناضج الصحیح</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وردت آیات و روایات تدلّ علی أهمیّة العلم و التعلیم و التعلّم، و الحثّ علی تعلیم الأطفال خاصّة، و هی کثیرة قد بلغت حدّ التواتر المعنوی، فنذکرها فی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فضل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أجر التعلیم و حثّ الناس به عموماً، قد تقدّم فی بیان اهتمام الإسلام بأمر التربیة نماذج من الطائفتین، فلا نعیدهما</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الحثّ علی تعلیم العلم فی مرحلة الطفولیّة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صغاراً تسودوا به کباراً</w:t>
      </w:r>
      <w:r>
        <w:rPr>
          <w:rFonts w:eastAsia="IRNazanin" w:cs="IRNazanin"/>
          <w:color w:val="111111"/>
          <w:sz w:val="28"/>
          <w:szCs w:val="28"/>
          <w:rtl w:val="true"/>
          <w:lang w:bidi="fa-IR"/>
        </w:rPr>
        <w:t>»</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کالأرض الخالیة، ما أُلقی</w:t>
      </w:r>
    </w:p>
    <w:p>
      <w:pPr>
        <w:pStyle w:val="BookText"/>
        <w:rPr/>
      </w:pPr>
      <w:r>
        <w:rPr>
          <w:rFonts w:ascii="IRNazanin" w:hAnsi="IRNazanin" w:eastAsia="IRNazanin"/>
          <w:color w:val="111111"/>
          <w:sz w:val="28"/>
          <w:sz w:val="28"/>
          <w:szCs w:val="28"/>
          <w:rtl w:val="true"/>
          <w:lang w:bidi="fa-IR"/>
        </w:rPr>
        <w:t>إلیه من شیء قبلته</w:t>
      </w:r>
      <w:r>
        <w:rPr>
          <w:rFonts w:eastAsia="IRNazanin" w:cs="IRNazanin"/>
          <w:color w:val="111111"/>
          <w:sz w:val="28"/>
          <w:szCs w:val="28"/>
          <w:rtl w:val="true"/>
          <w:lang w:bidi="fa-IR"/>
        </w:rPr>
        <w:t>»</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علیهما السلام أنّه دعا بنیه و بنی أخیه،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صغار قوم، و یوشک أن تکونوا کبار قوم آخرین، فتعلّموا العلم، فمن یستطیع منکم أن یحفظه فلیکتبه و لیضعه فی بیته</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وعظ لقمان ابنه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اجعل فی أیّامک و لیالیک و ساعاتک نصیباً لک فی طلب العلم؛ فإنّک لن تجد له تضییعاً مثل ترکه</w:t>
      </w:r>
      <w:r>
        <w:rPr>
          <w:rFonts w:eastAsia="IRNazanin" w:cs="IRNazanin"/>
          <w:color w:val="111111"/>
          <w:sz w:val="28"/>
          <w:szCs w:val="28"/>
          <w:rtl w:val="true"/>
          <w:lang w:bidi="fa-IR"/>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تعلیم الأطفال حقّ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المستدرک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اسمه، و یعلّمه الکتابة، و یزوّجه إذا بلغ</w:t>
      </w:r>
      <w:r>
        <w:rPr>
          <w:rFonts w:eastAsia="IRNazanin" w:cs="IRNazanin"/>
          <w:color w:val="111111"/>
          <w:sz w:val="28"/>
          <w:szCs w:val="28"/>
          <w:rtl w:val="true"/>
          <w:lang w:bidi="fa-IR"/>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 الکتابة إذا کبر، و أن یعفّ فرجه إذا أدرک</w:t>
      </w:r>
      <w:r>
        <w:rPr>
          <w:rFonts w:eastAsia="IRNazanin" w:cs="IRNazanin"/>
          <w:color w:val="111111"/>
          <w:sz w:val="28"/>
          <w:szCs w:val="28"/>
          <w:rtl w:val="true"/>
          <w:lang w:bidi="fa-IR"/>
        </w:rPr>
        <w:t>»</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صبیّک حتّی یأتی علیه ستّ سنین، ثمّ أدّبه فی الکتاب ستّ سنین</w:t>
      </w:r>
      <w:r>
        <w:rPr>
          <w:rFonts w:eastAsia="Amiri" w:cs="Amiri" w:ascii="Amiri" w:hAnsi="Amiri"/>
          <w:color w:val="111111"/>
          <w:sz w:val="28"/>
          <w:szCs w:val="28"/>
          <w:rtl w:val="true"/>
          <w:lang w:bidi="ar-SA"/>
        </w:rPr>
        <w:t>»</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تعلیم الأحکام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الکافی عن یعقوب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w:t>
      </w:r>
      <w:r>
        <w:rPr>
          <w:rFonts w:eastAsia="IRNazanin" w:cs="IRNazanin"/>
          <w:color w:val="111111"/>
          <w:sz w:val="28"/>
          <w:szCs w:val="28"/>
          <w:rtl w:val="true"/>
          <w:lang w:bidi="fa-IR"/>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bookmarkStart w:id="1185" w:name="pg11754_113269"/>
    </w:p>
    <w:p>
      <w:pPr>
        <w:pStyle w:val="BookText"/>
        <w:rPr/>
      </w:pPr>
      <w:bookmarkEnd w:id="118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وصیّة مولانا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أبتدئک بتعلیم کتاب اللّه عزّ و جلّ و تأویله، و شرائع الإسلام و أحکامه، و حلاله و حرامه، لا أُجاوز ذلک بک إلی غیره</w:t>
      </w:r>
      <w:r>
        <w:rPr>
          <w:rFonts w:eastAsia="IRNazanin" w:cs="IRNazanin"/>
          <w:color w:val="111111"/>
          <w:sz w:val="28"/>
          <w:szCs w:val="28"/>
          <w:rtl w:val="true"/>
          <w:lang w:bidi="fa-IR"/>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و أبو جعفر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بشابّ من شباب الشیعة لا یتفقّه لأدّبته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و إلاّ فانتم أعراب</w:t>
      </w:r>
      <w:r>
        <w:rPr>
          <w:rFonts w:eastAsia="IRNazanin" w:cs="IRNazanin"/>
          <w:color w:val="111111"/>
          <w:sz w:val="28"/>
          <w:szCs w:val="28"/>
          <w:rtl w:val="true"/>
          <w:lang w:bidi="fa-IR"/>
        </w:rPr>
        <w:t>»</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بشابّ من شباب الشیعة لا یتفقّه فی الدین لأوجعته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معناها ما یدلّ علی لزوم تعلیم الحلال و الحرام علی نحو العامّ،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المحاسن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فی حلال و حرام تأخذه من صادق خیر من الدنیا و ما فیها من ذهب أو فضّة</w:t>
      </w:r>
      <w:r>
        <w:rPr>
          <w:rFonts w:eastAsia="IRNazanin" w:cs="IRNazanin"/>
          <w:color w:val="111111"/>
          <w:sz w:val="28"/>
          <w:szCs w:val="28"/>
          <w:rtl w:val="true"/>
          <w:lang w:bidi="fa-IR"/>
        </w:rPr>
        <w:t>»</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هذا روی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فی طلب العلم، فو الذی نفسی بیده لحدیث واحد فی حلال و حرام تأخذه عن صادق خیر من الدُّنیا و ما حملت من ذهبٍ و فضّة</w:t>
      </w:r>
      <w:r>
        <w:rPr>
          <w:rFonts w:eastAsia="IRNazanin" w:cs="IRNazanin"/>
          <w:color w:val="111111"/>
          <w:sz w:val="28"/>
          <w:szCs w:val="28"/>
          <w:rtl w:val="true"/>
          <w:lang w:bidi="fa-IR"/>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9531321_73709187"/>
      <w:bookmarkStart w:id="1187" w:name="_Toc463"/>
      <w:bookmarkEnd w:id="1186"/>
      <w:r>
        <w:rPr>
          <w:rtl w:val="true"/>
        </w:rPr>
        <w:t>استحباب تعلیم السبق و الرمایة و السباحة خاصّة</w:t>
      </w:r>
      <w:bookmarkEnd w:id="118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أظهر مصادیق العلم فی الآیات و الروایات هو علم التوحید، و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الفقه بمعناه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القرآن و الأخلاق، لکن جمیع</w:t>
      </w:r>
    </w:p>
    <w:p>
      <w:pPr>
        <w:pStyle w:val="BookText"/>
        <w:rPr/>
      </w:pPr>
      <w:r>
        <w:rPr>
          <w:rFonts w:ascii="IRNazanin" w:hAnsi="IRNazanin" w:eastAsia="IRNazanin"/>
          <w:color w:val="111111"/>
          <w:sz w:val="28"/>
          <w:sz w:val="28"/>
          <w:szCs w:val="28"/>
          <w:rtl w:val="true"/>
          <w:lang w:bidi="fa-IR"/>
        </w:rPr>
        <w:t>العلوم الذی یحتاج لها المجتمع الإسلامی کانت مورداً لعنایة الشارع، و یجب علی المسلمین تعلیمها کفایة، فینبغی للآباء و المربّین أن یعلّموا الأطفال علم الأبدان و الصناعات و الاقتصاد و المعاش، و ما یحتاج إلیه فی الدفاع عن کیان الإسلام، و غیر ذلک من العلوم النافعة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العلوم التی یحتاجها المجتمع ینبغی تعلیم الأطفال إیّاها و حثّهم علیها، خصوصاً بعض مصادیق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یجوز إبضاع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المکتب بأُجرة أو فی صنعة</w:t>
      </w:r>
      <w:r>
        <w:rPr>
          <w:rFonts w:eastAsia="IRNazanin" w:cs="IRNazanin"/>
          <w:color w:val="111111"/>
          <w:sz w:val="28"/>
          <w:szCs w:val="28"/>
          <w:rtl w:val="true"/>
          <w:lang w:bidi="fa-IR"/>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تسلیم الصبی إلی أمین یعلّمه الصنعة، أو إلی مَن یعلّمه القراءة و الخطّ و الحساب، و العلوم العربیّة، و غیرها من العلوم النافعة لدینه و دنیاه</w:t>
      </w:r>
      <w:r>
        <w:rPr>
          <w:rFonts w:eastAsia="IRNazanin" w:cs="IRNazanin"/>
          <w:color w:val="111111"/>
          <w:sz w:val="28"/>
          <w:szCs w:val="28"/>
          <w:rtl w:val="true"/>
          <w:lang w:bidi="fa-IR"/>
        </w:rPr>
        <w:t>»</w:t>
      </w:r>
      <w:r>
        <w:rPr>
          <w:rStyle w:val="FootnoteAnchor"/>
          <w:rtl w:val="true"/>
        </w:rPr>
        <w:footnoteReference w:id="2065"/>
      </w:r>
      <w:r>
        <w:rPr>
          <w:rFonts w:ascii="IRNazanin" w:hAnsi="IRNazanin" w:eastAsia="IRNazanin"/>
          <w:color w:val="111111"/>
          <w:sz w:val="28"/>
          <w:sz w:val="28"/>
          <w:szCs w:val="28"/>
          <w:rtl w:val="true"/>
          <w:lang w:bidi="fa-IR"/>
        </w:rPr>
        <w:t>، و کذا فی مهذّب الأحکام</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تفصیل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للولیّ مطلقاً أن یسلّم الطفل الصغیر و یجعله تحت اختیار أمین یعلّمه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العلوم النافعة لدینه و دنیاه، التی یکون المعمول تعلّمها فی حال الطفولیّة، و فی زماننا هذا یرسله إلی المدارس التی لها مراتب مختلفة، أو إلی إحدی الحوزات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علی الولیّ أن یصونه عمّا یفسد أخلاقه، فضلاً عمّا یضرّ بعقائده، و یوجب الانحراف له من هذه الجهة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بنیان الاُمور إنّما یتحقّق فی حالة الطفولیّة، فاللازم علی الولیّ تهیئة مقدّمات الرشد و التکامل</w:t>
      </w:r>
      <w:r>
        <w:rPr>
          <w:rFonts w:eastAsia="IRNazanin" w:cs="IRNazanin"/>
          <w:color w:val="111111"/>
          <w:sz w:val="28"/>
          <w:szCs w:val="28"/>
          <w:rtl w:val="true"/>
          <w:lang w:bidi="fa-IR"/>
        </w:rPr>
        <w:t>»</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و من المعلوم أنّ الاُمور التی أکّد الإسلام علی تعلیمها، هی ما یوجب المهارة فیه سبباً لإعداد المسلمین فی میادین الحرب و غلبتهم فی مقابل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لأجل هذا حثّت الروایات علی تعلیم الأطفال السبق و الرمایة و السباحة</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روی فی الکافی عن یعقوب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أولادکم السباحة و الرمایة</w:t>
      </w:r>
      <w:r>
        <w:rPr>
          <w:rFonts w:eastAsia="IRNazanin" w:cs="IRNazanin"/>
          <w:color w:val="111111"/>
          <w:sz w:val="28"/>
          <w:szCs w:val="28"/>
          <w:rtl w:val="true"/>
          <w:lang w:bidi="fa-IR"/>
        </w:rPr>
        <w:t>»</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أبناءکم السباحة و الرمی، و المرأة المعزل</w:t>
      </w:r>
      <w:r>
        <w:rPr>
          <w:rFonts w:eastAsia="IRNazanin" w:cs="IRNazanin"/>
          <w:color w:val="111111"/>
          <w:sz w:val="28"/>
          <w:szCs w:val="28"/>
          <w:rtl w:val="true"/>
          <w:lang w:bidi="fa-IR"/>
        </w:rPr>
        <w:t>»</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عن طریق أهل السُنّة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أن یعلّمه الکتابة، و السباحة، و الرمایة</w:t>
      </w:r>
      <w:r>
        <w:rPr>
          <w:rFonts w:eastAsia="IRNazanin" w:cs="IRNazanin"/>
          <w:color w:val="111111"/>
          <w:sz w:val="28"/>
          <w:szCs w:val="28"/>
          <w:rtl w:val="true"/>
          <w:lang w:bidi="fa-IR"/>
        </w:rPr>
        <w:t>»</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ورد عن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رافع أراد إنفاق جمیع ماله، فقال له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بک یا أبا رافع إذا افتقرت؟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أتقدّم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ألفاً و هی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 بعضاً و أمسک بعضاً و أصلح إلی ولدک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علینا حقّ، کما لنا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 الولد علی الوالد أن یعلّمه</w:t>
      </w:r>
      <w:bookmarkStart w:id="1188" w:name="pg11754_113272"/>
    </w:p>
    <w:p>
      <w:pPr>
        <w:pStyle w:val="BookText"/>
        <w:rPr/>
      </w:pPr>
      <w:bookmarkEnd w:id="1188"/>
      <w:r>
        <w:rPr>
          <w:rFonts w:ascii="IRNazanin" w:hAnsi="IRNazanin" w:eastAsia="IRNazanin"/>
          <w:color w:val="111111"/>
          <w:sz w:val="28"/>
          <w:sz w:val="28"/>
          <w:szCs w:val="28"/>
          <w:rtl w:val="true"/>
          <w:lang w:bidi="fa-IR"/>
        </w:rPr>
        <w:t>کتاب اللّه و الرمی و السباحة، و أن یورّثه طیباً</w:t>
      </w:r>
      <w:r>
        <w:rPr>
          <w:rFonts w:eastAsia="IRNazanin" w:cs="IRNazanin"/>
          <w:color w:val="111111"/>
          <w:sz w:val="28"/>
          <w:szCs w:val="28"/>
          <w:rtl w:val="true"/>
          <w:lang w:bidi="fa-IR"/>
        </w:rPr>
        <w:t>»</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بنیکم الرمی؛ فإنّه نکایة العدوّ</w:t>
      </w:r>
      <w:r>
        <w:rPr>
          <w:rFonts w:eastAsia="IRNazanin" w:cs="IRNazanin"/>
          <w:color w:val="111111"/>
          <w:sz w:val="28"/>
          <w:szCs w:val="28"/>
          <w:rtl w:val="true"/>
          <w:lang w:bidi="fa-IR"/>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عدم الخصوصیّة للسباحة و الرمایة، فیمکن أن نحکم بتأکید الاستحباب لتعلیم وسائل مستحدثة فی زماننا، مثل سیاقة السیارات و الدّراجات و کلّ علمٍ یوجب التهیّؤ و الاستعداد للقتال فی الحرب مع الکافرین</w:t>
      </w:r>
      <w:r>
        <w:rPr>
          <w:rFonts w:eastAsia="IRNazanin" w:cs="IRNazanin"/>
          <w:color w:val="111111"/>
          <w:sz w:val="28"/>
          <w:szCs w:val="28"/>
          <w:rtl w:val="true"/>
          <w:lang w:bidi="fa-IR"/>
        </w:rPr>
        <w:t>.</w:t>
      </w:r>
    </w:p>
    <w:p>
      <w:pPr>
        <w:pStyle w:val="Heading5"/>
        <w:numPr>
          <w:ilvl w:val="4"/>
          <w:numId w:val="1"/>
        </w:numPr>
        <w:rPr/>
      </w:pPr>
      <w:bookmarkStart w:id="1189" w:name="__RefHeading___Toc9531323_73709187"/>
      <w:bookmarkStart w:id="1190" w:name="_Toc464"/>
      <w:bookmarkEnd w:id="1189"/>
      <w:r>
        <w:rPr>
          <w:rtl w:val="true"/>
        </w:rPr>
        <w:t>کراهیّة تعلیم بعض المکاسب و الحرف</w:t>
      </w:r>
      <w:bookmarkEnd w:id="1190"/>
    </w:p>
    <w:p>
      <w:pPr>
        <w:pStyle w:val="BookText"/>
        <w:rPr/>
      </w:pPr>
      <w:r>
        <w:rPr>
          <w:rFonts w:ascii="IRNazanin" w:hAnsi="IRNazanin" w:eastAsia="IRNazanin"/>
          <w:color w:val="111111"/>
          <w:sz w:val="28"/>
          <w:sz w:val="28"/>
          <w:szCs w:val="28"/>
          <w:rtl w:val="true"/>
          <w:lang w:bidi="fa-IR"/>
        </w:rPr>
        <w:t>یستفاد ذلک من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الکافی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فخبّرته أنّه ولد 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سمّیته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 محمّداً و لا 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قرّة عین لکَ فی حیاتک و خَلَف صدقٍ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فی أی الأعمال أضعه؟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خمسة أشیاء فضعه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تسلّمه صیرفیّاً؛ فإنّ الصیرفی لا یسلم من الربا، و لا تسلّمه بیّاع الأکفان؛ فإنّ صاحب الأکفان یسرّه الوباء إذا کان، و لا تسلّمه بیّاع الطعام؛ فإنّه لا یسلم من الاحتکار، و لا تسلّمه جزّاراً؛ فإنّ الجزّار تسلب منه الرحمة، و لا تسلّمه نخّاساً؛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التهذیب عن إبراهیم بن عبد الحمید، عن أبی الحسن موسی بن جعفر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w:t>
      </w:r>
    </w:p>
    <w:p>
      <w:pPr>
        <w:pStyle w:val="BookText"/>
        <w:rPr/>
      </w:pPr>
      <w:r>
        <w:rPr>
          <w:rFonts w:ascii="IRNazanin" w:hAnsi="IRNazanin" w:eastAsia="IRNazanin"/>
          <w:color w:val="111111"/>
          <w:sz w:val="28"/>
          <w:sz w:val="28"/>
          <w:szCs w:val="28"/>
          <w:rtl w:val="true"/>
          <w:lang w:bidi="fa-IR"/>
        </w:rPr>
        <w:t>ابنی هذا الکتابة ففی أیّ شیء اسلّمه؟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أُسلمه للّه أبوک</w:t>
      </w:r>
      <w:r>
        <w:rPr>
          <w:rStyle w:val="FootnoteAnchor"/>
          <w:rtl w:val="true"/>
        </w:rPr>
        <w:footnoteReference w:id="2075"/>
      </w:r>
      <w:r>
        <w:rPr>
          <w:rFonts w:ascii="Amiri" w:hAnsi="Amiri" w:eastAsia="Amiri" w:cs="Amiri"/>
          <w:color w:val="111111"/>
          <w:sz w:val="28"/>
          <w:sz w:val="28"/>
          <w:szCs w:val="28"/>
          <w:rtl w:val="true"/>
          <w:lang w:bidi="ar-SA"/>
        </w:rPr>
        <w:t>، و لا تسلّمه فی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سبّاءً، و لا صائغاً، و لا قصّاباً، و لا حنّاطاً، و لا نخّاساً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السبّاء؟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یبیع الأکفان، و یتمنّی موت أُمّتی، و المولود من أُمّتی أحبّ إلیّ ممّا طلعت علیه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الصائغ؛ فإنّه یعالج رین أُمّتی</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القصّاب؛ فإنّه یذبح حتّی تذهب الرحمة من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الحنّاط؛ فإنّه یحتکر الطعام علی أُمّتی، و لئن یلقی اللّه العبد سارقاً أحبّ إلیّ من أن یلقاه قد احتکر طعاماً أربعین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النخّاس؛ فإنّه 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شرار أُمّتک الذین یبیعون الناس</w:t>
      </w:r>
      <w:r>
        <w:rPr>
          <w:rFonts w:eastAsia="IRNazanin" w:cs="IRNazanin"/>
          <w:color w:val="111111"/>
          <w:sz w:val="28"/>
          <w:szCs w:val="28"/>
          <w:rtl w:val="true"/>
          <w:lang w:bidi="fa-IR"/>
        </w:rPr>
        <w:t>»</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أعطیت خالتی غلاماً و نهیتها أن تجعله قصّاباً، أو حجّاماً، أو صائغاً</w:t>
      </w:r>
      <w:r>
        <w:rPr>
          <w:rFonts w:eastAsia="IRNazanin" w:cs="IRNazanin"/>
          <w:color w:val="111111"/>
          <w:sz w:val="28"/>
          <w:szCs w:val="28"/>
          <w:rtl w:val="true"/>
          <w:lang w:bidi="fa-IR"/>
        </w:rPr>
        <w:t>»</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bookmarkStart w:id="1191" w:name="pg11754_113274"/>
    </w:p>
    <w:p>
      <w:pPr>
        <w:pStyle w:val="Heading4"/>
        <w:numPr>
          <w:ilvl w:val="3"/>
          <w:numId w:val="1"/>
        </w:numPr>
        <w:rPr/>
      </w:pPr>
      <w:bookmarkStart w:id="1192" w:name="__RefHeading___Toc9531325_73709187"/>
      <w:bookmarkStart w:id="1193" w:name="_Toc465"/>
      <w:bookmarkEnd w:id="1191"/>
      <w:bookmarkEnd w:id="1192"/>
      <w:r>
        <w:rPr>
          <w:rtl w:val="true"/>
        </w:rPr>
        <w:t>المبحث الرابع</w:t>
      </w:r>
      <w:r>
        <w:rPr>
          <w:rtl w:val="true"/>
        </w:rPr>
        <w:t>:</w:t>
      </w:r>
      <w:bookmarkEnd w:id="1193"/>
    </w:p>
    <w:p>
      <w:pPr>
        <w:pStyle w:val="Heading5"/>
        <w:numPr>
          <w:ilvl w:val="4"/>
          <w:numId w:val="1"/>
        </w:numPr>
        <w:rPr/>
      </w:pPr>
      <w:bookmarkStart w:id="1194" w:name="__RefHeading___Toc9531327_73709187"/>
      <w:bookmarkStart w:id="1195" w:name="_Toc466"/>
      <w:bookmarkEnd w:id="1194"/>
      <w:r>
        <w:rPr>
          <w:rtl w:val="true"/>
        </w:rPr>
        <w:t>اشارة</w:t>
      </w:r>
      <w:bookmarkEnd w:id="1195"/>
    </w:p>
    <w:p>
      <w:pPr>
        <w:pStyle w:val="BookText"/>
        <w:rPr/>
      </w:pPr>
      <w:r>
        <w:rPr>
          <w:rFonts w:ascii="IRNazanin" w:hAnsi="IRNazanin" w:eastAsia="IRNazanin"/>
          <w:color w:val="111111"/>
          <w:sz w:val="28"/>
          <w:sz w:val="28"/>
          <w:szCs w:val="28"/>
          <w:rtl w:val="true"/>
          <w:lang w:bidi="fa-IR"/>
        </w:rPr>
        <w:t>تعوید الأطفال علی الفضائل و مکارم الأخلاق</w:t>
      </w:r>
    </w:p>
    <w:p>
      <w:pPr>
        <w:pStyle w:val="BookText"/>
        <w:rPr/>
      </w:pPr>
      <w:r>
        <w:rPr>
          <w:rFonts w:ascii="IRNazanin" w:hAnsi="IRNazanin" w:eastAsia="IRNazanin"/>
          <w:color w:val="111111"/>
          <w:sz w:val="28"/>
          <w:sz w:val="28"/>
          <w:szCs w:val="28"/>
          <w:rtl w:val="true"/>
          <w:lang w:bidi="fa-IR"/>
        </w:rPr>
        <w:t>قد اکّدت فی الروایات بأنّه ینبغی للآباء و الاُمّهات و المعلّمین و کلّ من اهتمّ بأمر التربیة و الأخلاق أن یعوّدوا الأطفال منذ الصغر علی الصدق و الأمانة و الاستقامة و الإیثار، و إعانة الملهوف، و احترام الکبیر، و إکرام الضعیف، و الإحسان إلی الجار و الیتامی، و البرّ بالفقراء و المساکین، و المحبّة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تعویدهم علی الأخلاق و الفضائل التی توجب فوزهم بالسعادة فی الدارین، و هی کثیرة نذکر نماذج منها</w:t>
      </w:r>
      <w:r>
        <w:rPr>
          <w:rFonts w:eastAsia="IRNazanin" w:cs="IRNazanin"/>
          <w:color w:val="111111"/>
          <w:sz w:val="28"/>
          <w:szCs w:val="28"/>
          <w:rtl w:val="true"/>
          <w:lang w:bidi="fa-IR"/>
        </w:rPr>
        <w:t>:</w:t>
      </w:r>
    </w:p>
    <w:p>
      <w:pPr>
        <w:pStyle w:val="Heading5"/>
        <w:numPr>
          <w:ilvl w:val="4"/>
          <w:numId w:val="1"/>
        </w:numPr>
        <w:rPr/>
      </w:pPr>
      <w:bookmarkStart w:id="1196" w:name="__RefHeading___Toc9531329_73709187"/>
      <w:bookmarkStart w:id="1197" w:name="_Toc467"/>
      <w:bookmarkEnd w:id="1196"/>
      <w:r>
        <w:rPr>
          <w:rtl w:val="true"/>
        </w:rPr>
        <w:t>أ</w:t>
      </w:r>
      <w:r>
        <w:rPr>
          <w:rtl w:val="true"/>
        </w:rPr>
        <w:t xml:space="preserve">: </w:t>
      </w:r>
      <w:r>
        <w:rPr>
          <w:rtl w:val="true"/>
        </w:rPr>
        <w:t>الصدق</w:t>
      </w:r>
      <w:bookmarkEnd w:id="1197"/>
    </w:p>
    <w:p>
      <w:pPr>
        <w:pStyle w:val="BookText"/>
        <w:rPr/>
      </w:pPr>
      <w:r>
        <w:rPr>
          <w:rFonts w:ascii="IRNazanin" w:hAnsi="IRNazanin" w:eastAsia="IRNazanin"/>
          <w:color w:val="111111"/>
          <w:sz w:val="28"/>
          <w:sz w:val="28"/>
          <w:szCs w:val="28"/>
          <w:rtl w:val="true"/>
          <w:lang w:bidi="fa-IR"/>
        </w:rPr>
        <w:t>إنّ الصدق مصدر لکلّ فضیلة، کما أنّ الکذب من أکبر الذنوب و أشدّها، بل هو مفتاح الذنوب و الشرور، کما</w:t>
      </w:r>
    </w:p>
    <w:p>
      <w:pPr>
        <w:pStyle w:val="BookText"/>
        <w:rPr/>
      </w:pPr>
      <w:r>
        <w:rPr>
          <w:rFonts w:ascii="IRNazanin" w:hAnsi="IRNazanin" w:eastAsia="IRNazanin"/>
          <w:color w:val="111111"/>
          <w:sz w:val="28"/>
          <w:sz w:val="28"/>
          <w:szCs w:val="28"/>
          <w:rtl w:val="true"/>
          <w:lang w:bidi="fa-IR"/>
        </w:rPr>
        <w:t>ورد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للشرّ أقفالاً، و جعل مفاتیح تلک الأقفال الشراب، و الکذب شرّ من الشراب</w:t>
      </w:r>
      <w:r>
        <w:rPr>
          <w:rFonts w:eastAsia="IRNazanin" w:cs="IRNazanin"/>
          <w:color w:val="111111"/>
          <w:sz w:val="28"/>
          <w:szCs w:val="28"/>
          <w:rtl w:val="true"/>
          <w:lang w:bidi="fa-IR"/>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ورد عن مولانا الحسن بن علیّ العسکری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فی بیت و جعل مفتاحه الکذب</w:t>
      </w:r>
      <w:r>
        <w:rPr>
          <w:rFonts w:eastAsia="IRNazanin" w:cs="IRNazanin"/>
          <w:color w:val="111111"/>
          <w:sz w:val="28"/>
          <w:szCs w:val="28"/>
          <w:rtl w:val="true"/>
          <w:lang w:bidi="fa-IR"/>
        </w:rPr>
        <w:t>»</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أهمّ العوامل المؤثّرة فی تنمیة فطرة الصدق عند الأطفال، المحیط التربوی الذی یعیشون فیه، فعند ما یکون الوالدان ملتزمین بالصدق بعیدین عن الکذب و الاحتیال؛ فإنّ الطفل ینساق تلقائیّاً إلی طریق الصدق و الاستقامة،</w:t>
      </w:r>
    </w:p>
    <w:p>
      <w:pPr>
        <w:pStyle w:val="BookText"/>
        <w:rPr/>
      </w:pPr>
      <w:r>
        <w:rPr>
          <w:rFonts w:ascii="IRNazanin" w:hAnsi="IRNazanin" w:eastAsia="IRNazanin"/>
          <w:color w:val="111111"/>
          <w:sz w:val="28"/>
          <w:sz w:val="28"/>
          <w:szCs w:val="28"/>
          <w:rtl w:val="true"/>
          <w:lang w:bidi="fa-IR"/>
        </w:rPr>
        <w:t>و من السهل جدّاً إزالة العوائق التی تقف فی طریقه من الناحیة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من ذلک؛ فإنّ الوالدین اللذین لا یتورّعان عن الکذب، یعوّدان الطفل علی هذه الصفة الذمیمة من حیث لا یشعران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محیط الاُسرة هو المدرسة الاُولی للطفل، و إنّ سلوک الوالدین یمکن أن یصبح مقیاساً لازدهار الاُسرة أو انحطاطها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امرأة أو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عنوان الاُمومة أو الاُبوّة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تصدر منه کذبة، یکون قد ارتکب معصیة کبیرة و استحقّ بذلک عقوبة، أمّا عند ما یکون هذا الرجل أباً، أو عند ما تکون المرأة أمّا؛ فإنّ الکذبة الصادرة منه أمام عینی الطفل النافذتین، و أذنیه الواعیتین لا یمکن أن تعدّ ذنباً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یکون ذنب آخر غیر ذنب الکذب قد ارتکب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ذنب التعوید علی الکذب، و هذا أعظم بکثیر من الذنب الاوّل</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تدلّ علی تعوید الأطفال علی الصدق و منعهم عن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الإطلاق و العمومات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رواه فی الکافی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الکذب الصغیر منه و الکبیر فی کلّ جدّ و هزل؛ فإن الرجل إذا کذب فی الصغیر اجترأ علی الکبیر، أ ما علمتم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العبد یصدق حتّی یکتبه اللّه صدّیقاً، و ما یزال العبد یکذب حتّی یکتبه اللّه کذّاباً</w:t>
      </w:r>
      <w:r>
        <w:rPr>
          <w:rFonts w:eastAsia="IRNazanin" w:cs="IRNazanin"/>
          <w:color w:val="111111"/>
          <w:sz w:val="28"/>
          <w:szCs w:val="28"/>
          <w:rtl w:val="true"/>
          <w:lang w:bidi="fa-IR"/>
        </w:rPr>
        <w:t>»</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رواه عن أبی عبد اللّه،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انظر خمسة فلا تصاحبهم، و لا تحادثهم، و لا ترافقهم فی</w:t>
      </w:r>
      <w:bookmarkStart w:id="1198" w:name="pg11754_113276"/>
    </w:p>
    <w:p>
      <w:pPr>
        <w:pStyle w:val="BookText"/>
        <w:rPr/>
      </w:pPr>
      <w:bookmarkEnd w:id="1198"/>
      <w:r>
        <w:rPr>
          <w:rFonts w:ascii="IRNazanin" w:hAnsi="IRNazanin" w:eastAsia="IRNazanin"/>
          <w:color w:val="111111"/>
          <w:sz w:val="28"/>
          <w:sz w:val="28"/>
          <w:szCs w:val="28"/>
          <w:rtl w:val="true"/>
          <w:lang w:bidi="fa-IR"/>
        </w:rPr>
        <w:t>طریق</w:t>
      </w:r>
      <w:r>
        <w:rPr>
          <w:rStyle w:val="FootnoteAnchor"/>
          <w:rtl w:val="true"/>
        </w:rPr>
        <w:footnoteReference w:id="2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مصاحبة الکذّاب؛ فإنّه بمنزلة السراب یقرّب لک البعید و یباعد لک القریب</w:t>
      </w:r>
      <w:r>
        <w:rPr>
          <w:rFonts w:eastAsia="IRNazanin" w:cs="IRNazanin"/>
          <w:color w:val="111111"/>
          <w:sz w:val="28"/>
          <w:szCs w:val="28"/>
          <w:rtl w:val="true"/>
          <w:lang w:bidi="fa-IR"/>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هذا المعنی أیضاً عن أمیر المؤمنین علیه السلام</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9531331_73709187"/>
      <w:bookmarkStart w:id="1200" w:name="_Toc468"/>
      <w:bookmarkEnd w:id="1199"/>
      <w:r>
        <w:rPr>
          <w:rtl w:val="true"/>
        </w:rPr>
        <w:t>ب</w:t>
      </w:r>
      <w:r>
        <w:rPr>
          <w:rtl w:val="true"/>
        </w:rPr>
        <w:t xml:space="preserve">: </w:t>
      </w:r>
      <w:r>
        <w:rPr>
          <w:rtl w:val="true"/>
        </w:rPr>
        <w:t>الوفاء بالعهد</w:t>
      </w:r>
      <w:bookmarkEnd w:id="1200"/>
    </w:p>
    <w:p>
      <w:pPr>
        <w:pStyle w:val="BookText"/>
        <w:rPr/>
      </w:pPr>
      <w:r>
        <w:rPr>
          <w:rFonts w:ascii="IRNazanin" w:hAnsi="IRNazanin" w:eastAsia="IRNazanin"/>
          <w:color w:val="111111"/>
          <w:sz w:val="28"/>
          <w:sz w:val="28"/>
          <w:szCs w:val="28"/>
          <w:rtl w:val="true"/>
          <w:lang w:bidi="fa-IR"/>
        </w:rPr>
        <w:t>إنّ الفطریات الأولیّة للإنسان تشکّل الثروات التی أودعها الخالق العظیم لضمان سعادة الإنسانیّة فی نفس کلّ طفل، و خلقه مع تلک الثروات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جوبهت الفطریات عند الطفل بالتنمیة الصحیحة و الحمایة العلمیّة، و خرجت من عالم القوّة إلی حیّز الفعل کانت الأساس لسعادته، و بقیت الضمان الحقیقی لرقیّه طیلة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العکس، لو أهمل المربّی قیمة الفطریات و لم یعتن بها، بل قام بتربیة الطفل طبقاً للأسالیب الخاطئة؛ فإنّه یتطبّع علی الانحراف و الفساد، و یفقد ثرواته الفطریّة بالتدریج، و یکون فی النهایة عضواً فاسداً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الفطریّات عند الإنسان إدراک لزوم الوفاء بالعهد، و کما أنّ حبّ الذات، و الغریزة الجنسیّة، و الحاجة إلی الغذاء و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المقوّمات الضروریّة للحیاة، خلقها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غرائز فی طبیعة الإنسان، فإنّ الوفاء بالعهد من المقوّمات الضروریّة لسعادة المجتمع، و قد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حسنة و ضرورته فی باطن کلّ إنسان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الإدراک الفطری للوفاء بالعهد بذرة غرسها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تربة قلب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الأسالیب التربویّة الصحیحة التی یستخدمها الوالدان بمنزلة سقی تلک البذرة لإنباتها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یخدع الطفل فی العهود و المواعید التی تمنح إیّاه؛ فإنّ هذه البذرة الفطریّة تضرب بجذورها فی قلبه، و یلتزم بعهوده، فینشأ إنساناً وفیّاً دون أن یفکّر فی نقض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الوالدان ینقضان عهودهما، و یخدعان الطفل، یعدانه ثمّ لا یفیان له أو یلتزمان أمامه لشخص آخر بشیءٍ ثمّ لا ینفذان ما التزما به؛ فإنّ الطفل ینشأ ناقضاً للعهود و خدّاعاً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الوالدین الناقضین لعهودهما یلقّنان الطفل بسلوکهما المنحرف درسَ الخروج علی العهد و التخلّف عنه، و یعلّمانه أنّ الإنسان یستطیع أن یکذب، أن یخدع الناس، أن ینقض العهد</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ذلک قد اکّدت فی الروایات علی لزوم الوفاء بالعهود من جانب الوالدین لأطفالهم و تعویدهم علی رعایتها؛ فنذکر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الصبیان و ارحموهم، و إذا وعدتموهم شیئاً ففوا لهم؛ فإنّهم لا یرون إلاّ أنّکم ترزقونهم</w:t>
      </w:r>
      <w:r>
        <w:rPr>
          <w:rFonts w:eastAsia="IRNazanin" w:cs="IRNazanin"/>
          <w:color w:val="111111"/>
          <w:sz w:val="28"/>
          <w:szCs w:val="28"/>
          <w:rtl w:val="true"/>
          <w:lang w:bidi="fa-IR"/>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أیضاً عن کلیب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وعدتم الصبیان ففوا لهم؛ فإنّهم یرون أنّکم ترزقونهم،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یغضب لشیء کغضبه للنساء و الصبیان</w:t>
      </w:r>
      <w:r>
        <w:rPr>
          <w:rFonts w:eastAsia="IRNazanin" w:cs="IRNazanin"/>
          <w:color w:val="111111"/>
          <w:sz w:val="28"/>
          <w:szCs w:val="28"/>
          <w:rtl w:val="true"/>
          <w:lang w:bidi="fa-IR"/>
        </w:rPr>
        <w:t>»</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bookmarkStart w:id="1201" w:name="pg11754_113278"/>
    </w:p>
    <w:p>
      <w:pPr>
        <w:pStyle w:val="BookText"/>
        <w:rPr/>
      </w:pPr>
      <w:bookmarkEnd w:id="12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المجالس عن الحارث الأعور،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من الکذب جدّ و لا هزل، و لا أن یعد أحدکم صبیّه ثمّ لا یفی له</w:t>
      </w:r>
      <w:r>
        <w:rPr>
          <w:rFonts w:eastAsia="IRNazanin" w:cs="IRNazanin"/>
          <w:color w:val="111111"/>
          <w:sz w:val="28"/>
          <w:szCs w:val="28"/>
          <w:rtl w:val="true"/>
          <w:lang w:bidi="fa-IR"/>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المستدرک أیضاً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واعد أحدکم صبیّه فلینجز</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 طریق أهل السُنّة عن عبد اللّه بن عامر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دعتنی امّی یوماً و رسول اللّه صلی الله علیه و آله قاعد فی بیتنا،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تعال أعطیک، فقال لها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أرادت أن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أعطیه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أنّکِ لو لم تعطیه شیئاً کتبت علیک کذبة</w:t>
      </w:r>
      <w:r>
        <w:rPr>
          <w:rFonts w:eastAsia="IRNazanin" w:cs="IRNazanin"/>
          <w:color w:val="111111"/>
          <w:sz w:val="28"/>
          <w:szCs w:val="28"/>
          <w:rtl w:val="true"/>
          <w:lang w:bidi="fa-IR"/>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9531333_73709187"/>
      <w:bookmarkStart w:id="1203" w:name="_Toc469"/>
      <w:bookmarkEnd w:id="1202"/>
      <w:r>
        <w:rPr>
          <w:rtl w:val="true"/>
        </w:rPr>
        <w:t>ج</w:t>
      </w:r>
      <w:r>
        <w:rPr>
          <w:rtl w:val="true"/>
        </w:rPr>
        <w:t xml:space="preserve">: </w:t>
      </w:r>
      <w:r>
        <w:rPr>
          <w:rtl w:val="true"/>
        </w:rPr>
        <w:t>أداء الأمانة</w:t>
      </w:r>
      <w:bookmarkEnd w:id="1203"/>
    </w:p>
    <w:p>
      <w:pPr>
        <w:pStyle w:val="BookText"/>
        <w:rPr/>
      </w:pPr>
      <w:r>
        <w:rPr>
          <w:rFonts w:ascii="IRNazanin" w:hAnsi="IRNazanin" w:eastAsia="IRNazanin"/>
          <w:color w:val="111111"/>
          <w:sz w:val="28"/>
          <w:sz w:val="28"/>
          <w:szCs w:val="28"/>
          <w:rtl w:val="true"/>
          <w:lang w:bidi="fa-IR"/>
        </w:rPr>
        <w:t xml:space="preserve">تدلّ علی استحباب تربیة الأطفال و تعویدهم بأداء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العمومات و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جاء فی وصیّة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تخن من ائتمنک و إن خانک</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أدِّ الأمانة تسلم لک دنیاک و آخرتک، و کن أمیناً تکن غنیّاً</w:t>
      </w:r>
      <w:r>
        <w:rPr>
          <w:rFonts w:eastAsia="IRNazanin" w:cs="IRNazanin"/>
          <w:color w:val="111111"/>
          <w:sz w:val="28"/>
          <w:szCs w:val="28"/>
          <w:rtl w:val="true"/>
          <w:lang w:bidi="fa-IR"/>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لقمان أیضاً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أن تستدین فتخون فی الدین</w:t>
      </w:r>
      <w:r>
        <w:rPr>
          <w:rFonts w:eastAsia="IRNazanin" w:cs="IRNazanin"/>
          <w:color w:val="111111"/>
          <w:sz w:val="28"/>
          <w:szCs w:val="28"/>
          <w:rtl w:val="true"/>
          <w:lang w:bidi="fa-IR"/>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bookmarkStart w:id="1204" w:name="pg11754_113279"/>
    </w:p>
    <w:p>
      <w:pPr>
        <w:pStyle w:val="Heading5"/>
        <w:numPr>
          <w:ilvl w:val="4"/>
          <w:numId w:val="1"/>
        </w:numPr>
        <w:rPr/>
      </w:pPr>
      <w:bookmarkStart w:id="1205" w:name="__RefHeading___Toc9531335_73709187"/>
      <w:bookmarkStart w:id="1206" w:name="_Toc470"/>
      <w:bookmarkEnd w:id="1204"/>
      <w:bookmarkEnd w:id="1205"/>
      <w:r>
        <w:rPr>
          <w:rtl w:val="true"/>
        </w:rPr>
        <w:t>د</w:t>
      </w:r>
      <w:r>
        <w:rPr>
          <w:rtl w:val="true"/>
        </w:rPr>
        <w:t xml:space="preserve">: </w:t>
      </w:r>
      <w:r>
        <w:rPr>
          <w:rtl w:val="true"/>
        </w:rPr>
        <w:t>التحذیر من المقابلة فی الإساءة</w:t>
      </w:r>
      <w:bookmarkEnd w:id="1206"/>
    </w:p>
    <w:p>
      <w:pPr>
        <w:pStyle w:val="BookText"/>
        <w:rPr/>
      </w:pPr>
      <w:r>
        <w:rPr>
          <w:rFonts w:ascii="IRNazanin" w:hAnsi="IRNazanin" w:eastAsia="IRNazanin"/>
          <w:color w:val="111111"/>
          <w:sz w:val="28"/>
          <w:sz w:val="28"/>
          <w:szCs w:val="28"/>
          <w:rtl w:val="true"/>
          <w:lang w:bidi="fa-IR"/>
        </w:rPr>
        <w:t xml:space="preserve">من الصفات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أکّدت فی الروایات علی التخلّق بها، و حثّت الآباء و الاُمّهات لتربیة أولادهم لاکتسابها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المقابلة بالإساءة و الظلم فی حقوقهم الشخصیّة، و العفو و المداراة لمن أساء إلیهم لسوء أدبه ما دام تکون تلک الصفة نافعة فی حقّه</w:t>
      </w:r>
      <w:r>
        <w:rPr>
          <w:rStyle w:val="FootnoteAnchor"/>
          <w:rtl w:val="true"/>
        </w:rPr>
        <w:footnoteReference w:id="2095"/>
      </w:r>
      <w:r>
        <w:rPr>
          <w:rFonts w:ascii="IRNazanin" w:hAnsi="IRNazanin" w:eastAsia="IRNazanin"/>
          <w:color w:val="111111"/>
          <w:sz w:val="28"/>
          <w:sz w:val="28"/>
          <w:szCs w:val="28"/>
          <w:rtl w:val="true"/>
          <w:lang w:bidi="fa-IR"/>
        </w:rPr>
        <w:t>، مؤثّرة فی تربیته؛ فإنّ تلک الصفة کانت من أخلاق الأنبیاء و الأئمّة المعصومین علیهم السلام، و یدلّ علیها أیضاً بعض الروایات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فی وصیّة أمیر المؤمنین علیه السلام إلی 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نفسک من أخیک عند صرمه</w:t>
      </w:r>
      <w:r>
        <w:rPr>
          <w:rStyle w:val="FootnoteAnchor"/>
          <w:rtl w:val="true"/>
        </w:rPr>
        <w:footnoteReference w:id="2096"/>
      </w:r>
      <w:r>
        <w:rPr>
          <w:rFonts w:ascii="IRNazanin" w:hAnsi="IRNazanin" w:eastAsia="IRNazanin"/>
          <w:color w:val="111111"/>
          <w:sz w:val="28"/>
          <w:sz w:val="28"/>
          <w:szCs w:val="28"/>
          <w:rtl w:val="true"/>
          <w:lang w:bidi="fa-IR"/>
        </w:rPr>
        <w:t>علی الصلة، و عند صدوره علی اللطف و المسألة، و عند جموده علی البذل، و عند تباعده علی الدنوّ، و عند شدّته علی اللین، و عند جرمه علی الاعتذار حتّی کأنّک له عبد، و کأنّه ذو النعمة علیکَ، و إیّاک أن تضع ذلک فی غیر موضعه، أو تفعله فی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تطلبنّ مجازاة أخیک و لو حثا</w:t>
      </w:r>
      <w:r>
        <w:rPr>
          <w:rStyle w:val="FootnoteAnchor"/>
          <w:rtl w:val="true"/>
        </w:rPr>
        <w:footnoteReference w:id="2097"/>
      </w:r>
      <w:r>
        <w:rPr>
          <w:rFonts w:ascii="IRNazanin" w:hAnsi="IRNazanin" w:eastAsia="IRNazanin"/>
          <w:color w:val="111111"/>
          <w:sz w:val="28"/>
          <w:sz w:val="28"/>
          <w:szCs w:val="28"/>
          <w:rtl w:val="true"/>
          <w:lang w:bidi="fa-IR"/>
        </w:rPr>
        <w:t xml:space="preserve">التراب بفیک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اقبل عذر من اعتذر إلیکَ، و خذ العفو من الناس، و لا تبلغ علی أحد مکروهه، أطع أخاک و إن عصاک، و صِلْه و إن جفاک</w:t>
      </w:r>
      <w:r>
        <w:rPr>
          <w:rFonts w:eastAsia="IRNazanin" w:cs="IRNazanin"/>
          <w:color w:val="111111"/>
          <w:sz w:val="28"/>
          <w:szCs w:val="28"/>
          <w:rtl w:val="true"/>
          <w:lang w:bidi="fa-IR"/>
        </w:rPr>
        <w:t>»</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9531337_73709187"/>
      <w:bookmarkStart w:id="1208" w:name="_Toc471"/>
      <w:bookmarkEnd w:id="1207"/>
      <w:r>
        <w:rPr>
          <w:rtl w:val="true"/>
        </w:rPr>
        <w:t>ه</w:t>
      </w:r>
      <w:r>
        <w:rPr>
          <w:rtl w:val="true"/>
        </w:rPr>
        <w:t xml:space="preserve">: </w:t>
      </w:r>
      <w:r>
        <w:rPr>
          <w:rtl w:val="true"/>
        </w:rPr>
        <w:t>الصدقة و إنفاق المال</w:t>
      </w:r>
      <w:bookmarkEnd w:id="1208"/>
    </w:p>
    <w:p>
      <w:pPr>
        <w:pStyle w:val="BookText"/>
        <w:rPr/>
      </w:pPr>
      <w:r>
        <w:rPr>
          <w:rFonts w:ascii="IRNazanin" w:hAnsi="IRNazanin" w:eastAsia="IRNazanin"/>
          <w:color w:val="111111"/>
          <w:sz w:val="28"/>
          <w:sz w:val="28"/>
          <w:szCs w:val="28"/>
          <w:rtl w:val="true"/>
          <w:lang w:bidi="fa-IR"/>
        </w:rPr>
        <w:t>یدلّ علی ذلک أیضاً نصوص کثیرة و إلیک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الکافی عن هارون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لمحمّد ابنه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کم فضل معک من تلک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فتصدّق</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یبق معی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یخلفها، أ ما علمت أنّ لکلّ شیء مفتاحاً، و مفتاح الرزق الصدقة؟ فتصدّق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فما لبث أبو عبد اللّه علیه السلام عشرة أیّام حتّی جاءه من موضع أربعة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أعطینا للّه أربعین دیناراً، فأعطانا اللّه أربعة آلاف دینار</w:t>
      </w:r>
      <w:r>
        <w:rPr>
          <w:rFonts w:eastAsia="IRNazanin" w:cs="IRNazanin"/>
          <w:color w:val="111111"/>
          <w:sz w:val="28"/>
          <w:szCs w:val="28"/>
          <w:rtl w:val="true"/>
          <w:lang w:bidi="fa-IR"/>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لإسماعیل بن محمد، و ذکر له أنّ ابنه تصدّق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w:t>
      </w:r>
      <w:r>
        <w:rPr>
          <w:rStyle w:val="FootnoteAnchor"/>
          <w:rtl w:val="true"/>
        </w:rPr>
        <w:footnoteReference w:id="210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 أن یتصدّق و لو بالکسرة من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 إسرائیل کان له ابن و کان له محبّاً، فأُتی فی منامه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لیلة یدخل بأهله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تلک اللیلة و بنی علیه أبوه توقّع أبوه ذلک، فأصبح ابنه سلیماً، فأتاه أبوه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هل عملت البارحة شیئاً من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سائلاً أتی الباب و قد کانوا ادّخروا لی طعاماً، فأعطیته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دفع اللّه عنکَ</w:t>
      </w:r>
      <w:r>
        <w:rPr>
          <w:rFonts w:eastAsia="IRNazanin" w:cs="IRNazanin"/>
          <w:color w:val="111111"/>
          <w:sz w:val="28"/>
          <w:szCs w:val="28"/>
          <w:rtl w:val="true"/>
          <w:lang w:bidi="fa-IR"/>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النصوص استحباب الصدقة عن الطفل، و أمره بأن یتصدّق بیده و لو بالقلیل، کما</w:t>
      </w:r>
    </w:p>
    <w:p>
      <w:pPr>
        <w:pStyle w:val="BookText"/>
        <w:rPr/>
      </w:pPr>
      <w:r>
        <w:rPr>
          <w:rFonts w:ascii="IRNazanin" w:hAnsi="IRNazanin" w:eastAsia="IRNazanin"/>
          <w:color w:val="111111"/>
          <w:sz w:val="28"/>
          <w:sz w:val="28"/>
          <w:szCs w:val="28"/>
          <w:rtl w:val="true"/>
          <w:lang w:bidi="fa-IR"/>
        </w:rPr>
        <w:t>رواه فی الکافی أیضاً عن محمد بن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أبا الحسن الرضا علیه السلام أنّی اصبت بابنین و بقی لی بنیّ صغیر، فقال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حین حضر 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الصبیّ فلیتصدّق بیده بالکسرة</w:t>
      </w:r>
      <w:bookmarkStart w:id="1209" w:name="pg11754_113281"/>
    </w:p>
    <w:p>
      <w:pPr>
        <w:pStyle w:val="BookText"/>
        <w:rPr/>
      </w:pPr>
      <w:bookmarkEnd w:id="1209"/>
      <w:r>
        <w:rPr>
          <w:rFonts w:ascii="Amiri" w:hAnsi="Amiri" w:eastAsia="Amiri" w:cs="Amiri"/>
          <w:color w:val="111111"/>
          <w:sz w:val="28"/>
          <w:sz w:val="28"/>
          <w:szCs w:val="28"/>
          <w:rtl w:val="true"/>
          <w:lang w:bidi="ar-SA"/>
        </w:rPr>
        <w:t xml:space="preserve">و القبضة و الشیء و إن قلّ؛ فإنّ کلّ شیء یراد به اللّه و إن قلّ بعد أن تصدق النیّة فیه عظیم،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أحد لا یقدر علی فکّ رقبة، فجعل إطعام الیتیم و المسکین مثل ذلک، تصدّق عنه</w:t>
      </w:r>
      <w:r>
        <w:rPr>
          <w:rFonts w:eastAsia="IRNazanin" w:cs="IRNazanin"/>
          <w:color w:val="111111"/>
          <w:sz w:val="28"/>
          <w:szCs w:val="28"/>
          <w:rtl w:val="true"/>
          <w:lang w:bidi="fa-IR"/>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9531339_73709187"/>
      <w:bookmarkStart w:id="1211" w:name="_Toc472"/>
      <w:bookmarkEnd w:id="1210"/>
      <w:r>
        <w:rPr>
          <w:rtl w:val="true"/>
        </w:rPr>
        <w:t>و</w:t>
      </w:r>
      <w:r>
        <w:rPr>
          <w:rtl w:val="true"/>
        </w:rPr>
        <w:t xml:space="preserve">: </w:t>
      </w:r>
      <w:r>
        <w:rPr>
          <w:rtl w:val="true"/>
        </w:rPr>
        <w:t>العفاف</w:t>
      </w:r>
      <w:bookmarkEnd w:id="1211"/>
    </w:p>
    <w:p>
      <w:pPr>
        <w:pStyle w:val="Heading6"/>
        <w:numPr>
          <w:ilvl w:val="5"/>
          <w:numId w:val="1"/>
        </w:numPr>
        <w:rPr/>
      </w:pPr>
      <w:bookmarkStart w:id="1212" w:name="__RefHeading___Toc9531341_73709187"/>
      <w:bookmarkStart w:id="1213" w:name="_Toc473"/>
      <w:bookmarkEnd w:id="1212"/>
      <w:r>
        <w:rPr>
          <w:rtl w:val="true"/>
        </w:rPr>
        <w:t>اشارة</w:t>
      </w:r>
      <w:bookmarkEnd w:id="1213"/>
    </w:p>
    <w:p>
      <w:pPr>
        <w:pStyle w:val="BookText"/>
        <w:rPr/>
      </w:pPr>
      <w:r>
        <w:rPr>
          <w:rFonts w:ascii="IRNazanin" w:hAnsi="IRNazanin" w:eastAsia="IRNazanin"/>
          <w:color w:val="111111"/>
          <w:sz w:val="28"/>
          <w:sz w:val="28"/>
          <w:szCs w:val="28"/>
          <w:rtl w:val="true"/>
          <w:lang w:bidi="fa-IR"/>
        </w:rPr>
        <w:t>من الصفات الفاضلة و الملکات الإنسانیّة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العفّة، إنّها تدعو الفرد إلی الاتّزان فی الاستجابة لمیوله الجنسیّة و تحفّظه من التلوّث بالانحرافات المختلفة، فینبغی للوالدین أن ینمیا هذه الفضیلة الخلقیّة فی الطفل، و یهتمّا بنشوئه علی ذلک فی کلّ مرحلة من مراحل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الاستعداد للنشاط الجنسی موجود فی الطفل منذ البدایة، و لا بدّ من وجود عوامل طبیعیّة تنمی هذه الغریزة طبقاً لسنن الخلقة، و تخرجها إلی حیّز الوجود بالتدریج، کما أنّه لا بدّ من عوامل تربویّة تقود تلک الغریزة نحو الطریق الصحیح و تحفّظها بمنجی عن الانحراف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الأبوین الفاقدین للعفّة، و اللذین لا یتورّعان عن التکلّم بالعبارات البذیئة أمام طفلهما، أو یرتکبان الأفعال المنافیة للعفّة أمامه بوقاحة، یقودانه نحو</w:t>
      </w:r>
      <w:bookmarkStart w:id="1214" w:name="pg11754_113282"/>
    </w:p>
    <w:p>
      <w:pPr>
        <w:pStyle w:val="BookText"/>
        <w:rPr/>
      </w:pPr>
      <w:bookmarkEnd w:id="1214"/>
      <w:r>
        <w:rPr>
          <w:rFonts w:ascii="IRNazanin" w:hAnsi="IRNazanin" w:eastAsia="IRNazanin"/>
          <w:color w:val="111111"/>
          <w:sz w:val="28"/>
          <w:sz w:val="28"/>
          <w:szCs w:val="28"/>
          <w:rtl w:val="true"/>
          <w:lang w:bidi="fa-IR"/>
        </w:rPr>
        <w:t>الانحراف و الفساد، و یعوّدانه علی الاستهتار و اللامبالاة عند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أولی الإسلام فی منهاجه التربوی عنایة فائقة للفترة الواقعة بین السادسة و العاشرة من عمر الأطفال، فقد أورد جمیع التعالیم الضروریّة فی مراقبة المیل الجنسی و إیجاد ملکة العفّة فی خصوص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راعی الإسلام فی منهاجه التربوی الانسجام الکامل بین قوانینه التشریعیّة و القوانین التکوینیّة، و حقّق بذلک الوسائل الممهّدة لجمود المیل إلی قوانین الفطرة فی تربیة أطفالهم خطوة خطوة، و یربّو الطفل علی الاُسس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لکیلا یصاب الأطفال بالانحراف الجنسی، بل ینشأ علی العفّة و النزاهة، یجب علی الآباء و الاُمّهات أن یخضعوا أطفالهم إلی رقابة واعیة بواسطة منهاج تربویّ سلیم یتماشی و المنهاج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یستطیعون أن یقودوهم نحو الطریق المستقیم المؤدّی إلی السعادة و الفلاح</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نجد فی الروایات أنّ الإسلام نهی الآباء و الاُمّهات عن الأفعال التی توجب إثارة الشهوة فی الأطفال فنتلوها فیما یلی</w:t>
      </w:r>
      <w:r>
        <w:rPr>
          <w:rFonts w:eastAsia="IRNazanin" w:cs="IRNazanin"/>
          <w:color w:val="111111"/>
          <w:sz w:val="28"/>
          <w:szCs w:val="28"/>
          <w:rtl w:val="true"/>
          <w:lang w:bidi="fa-IR"/>
        </w:rPr>
        <w:t>:</w:t>
      </w:r>
    </w:p>
    <w:p>
      <w:pPr>
        <w:pStyle w:val="Heading6"/>
        <w:numPr>
          <w:ilvl w:val="5"/>
          <w:numId w:val="1"/>
        </w:numPr>
        <w:rPr/>
      </w:pPr>
      <w:bookmarkStart w:id="1215" w:name="__RefHeading___Toc9531343_73709187"/>
      <w:bookmarkStart w:id="1216" w:name="_Toc474"/>
      <w:bookmarkEnd w:id="1215"/>
      <w:r>
        <w:rPr>
          <w:rtl w:val="true"/>
        </w:rPr>
        <w:t>أ</w:t>
      </w:r>
      <w:r>
        <w:rPr>
          <w:rtl w:val="true"/>
        </w:rPr>
        <w:t xml:space="preserve">: </w:t>
      </w:r>
      <w:r>
        <w:rPr>
          <w:rtl w:val="true"/>
        </w:rPr>
        <w:t>التفریق فی المضاجع</w:t>
      </w:r>
      <w:bookmarkEnd w:id="1216"/>
    </w:p>
    <w:p>
      <w:pPr>
        <w:pStyle w:val="BookText"/>
        <w:rPr/>
      </w:pPr>
      <w:r>
        <w:rPr>
          <w:rFonts w:ascii="IRNazanin" w:hAnsi="IRNazanin" w:eastAsia="IRNazanin"/>
          <w:color w:val="111111"/>
          <w:sz w:val="28"/>
          <w:sz w:val="28"/>
          <w:szCs w:val="28"/>
          <w:rtl w:val="true"/>
          <w:lang w:bidi="fa-IR"/>
        </w:rPr>
        <w:t>أمر الإسلام بالتفریق بین مضاجع الأطفال الذین یتجاوزون ستّ سنوات حتّی یمنع من اتّصال أجسامهم بشکل مثیر للغریزة الجنسیّة، فی حین أنّ قانون الخلقة یقضی بجمود هذه الغریزة فی الفترة التی هم فیها، و الأحادیث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الفقیه بسند صحیح عن عبد اللّه بن میمون، عن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و الصبیّ، و الصبیّ</w:t>
      </w:r>
    </w:p>
    <w:p>
      <w:pPr>
        <w:pStyle w:val="BookText"/>
        <w:rPr/>
      </w:pPr>
      <w:r>
        <w:rPr>
          <w:rFonts w:ascii="IRNazanin" w:hAnsi="IRNazanin" w:eastAsia="IRNazanin"/>
          <w:color w:val="111111"/>
          <w:sz w:val="28"/>
          <w:sz w:val="28"/>
          <w:szCs w:val="28"/>
          <w:rtl w:val="true"/>
          <w:lang w:bidi="fa-IR"/>
        </w:rPr>
        <w:t>و الصبیّة، و الصبیّة و الصبیّة، یفرّق بینهم فی المضاجع لعشر سنین</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الصدوق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یفرّق بین الصبیان فی المضاجع لستّ سنین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ابن القدّاح،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 الغلمان و بین النساء فی المضاجع إذا بلغوا عشر سنین</w:t>
      </w:r>
      <w:r>
        <w:rPr>
          <w:rFonts w:eastAsia="IRNazanin" w:cs="IRNazanin"/>
          <w:color w:val="111111"/>
          <w:sz w:val="28"/>
          <w:szCs w:val="28"/>
          <w:rtl w:val="true"/>
          <w:lang w:bidi="fa-IR"/>
        </w:rPr>
        <w:t>»</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عن عیسی بن زید یرفعه إلی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یفرّق بینهم فی المضاجع لعشر</w:t>
      </w:r>
      <w:r>
        <w:rPr>
          <w:rFonts w:eastAsia="IRNazanin" w:cs="IRNazanin"/>
          <w:color w:val="111111"/>
          <w:sz w:val="28"/>
          <w:szCs w:val="28"/>
          <w:rtl w:val="true"/>
          <w:lang w:bidi="fa-IR"/>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الخصال عن عبد اللّه بن میمون القداح، عن جعفر بن محمد،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 الصبیان و النساء فی المضاجع إذا بلغوا عشر سنین</w:t>
      </w:r>
      <w:r>
        <w:rPr>
          <w:rFonts w:eastAsia="IRNazanin" w:cs="IRNazanin"/>
          <w:color w:val="111111"/>
          <w:sz w:val="28"/>
          <w:szCs w:val="28"/>
          <w:rtl w:val="true"/>
          <w:lang w:bidi="fa-IR"/>
        </w:rPr>
        <w:t>»</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عن طریق أهل السُنّة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أولادکم بالصلاة و هم أبناء سبع سنین، و اضربوهم علیها و هم أبناء عشر سنین، و فرّقوا بینهم فی المضاجع</w:t>
      </w:r>
      <w:r>
        <w:rPr>
          <w:rFonts w:eastAsia="IRNazanin" w:cs="IRNazanin"/>
          <w:color w:val="111111"/>
          <w:sz w:val="28"/>
          <w:szCs w:val="28"/>
          <w:rtl w:val="true"/>
          <w:lang w:bidi="fa-IR"/>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کنز العمّال</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أفتی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بمضمونها، ففی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اجتماع الصبیان فی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خوف الفتنة، و إلاّ فلا</w:t>
      </w:r>
      <w:r>
        <w:rPr>
          <w:rFonts w:eastAsia="IRNazanin" w:cs="IRNazanin"/>
          <w:color w:val="111111"/>
          <w:sz w:val="28"/>
          <w:szCs w:val="28"/>
          <w:rtl w:val="true"/>
          <w:lang w:bidi="fa-IR"/>
        </w:rPr>
        <w:t>»</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خوف الفتنة</w:t>
      </w:r>
      <w:r>
        <w:rPr>
          <w:rFonts w:eastAsia="IRNazanin" w:cs="IRNazanin"/>
          <w:color w:val="111111"/>
          <w:sz w:val="28"/>
          <w:szCs w:val="28"/>
          <w:rtl w:val="true"/>
          <w:lang w:bidi="fa-IR"/>
        </w:rPr>
        <w:t>»</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و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 الأطفال فی المضاجع إذا بلغوا عشر سنین؛ و فی روایة إذا بلغوا ستّ سنین</w:t>
      </w:r>
      <w:r>
        <w:rPr>
          <w:rFonts w:eastAsia="IRNazanin" w:cs="IRNazanin"/>
          <w:color w:val="111111"/>
          <w:sz w:val="28"/>
          <w:szCs w:val="28"/>
          <w:rtl w:val="true"/>
          <w:lang w:bidi="fa-IR"/>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المستمسک بعد نقل صحیحة عبد اللّه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الجملة الوجوب، لکنّ الظاهر بناء الأصحاب علی خلافه</w:t>
      </w:r>
      <w:r>
        <w:rPr>
          <w:rFonts w:eastAsia="IRNazanin" w:cs="IRNazanin"/>
          <w:color w:val="111111"/>
          <w:sz w:val="28"/>
          <w:szCs w:val="28"/>
          <w:rtl w:val="true"/>
          <w:lang w:bidi="fa-IR"/>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مدارک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أنّه علی نحو الاستحباب بقرینة اتّحاد السیاق فی مرفوعة عیسی بن زید، و بقرینة عدم الحرمة فی البالغین إذا لم تکونوا عراة</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السیّد الفقیه الخوئی فیما أفاد، حیث حمل الصحیحة علی نومهما عاریین،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مقتضی إطلاقهما و إن کان عدم الفرق بین نومهما عاریین و نومهما مع الملابس، إلاّ أنّه لمّا ورد فی عدّة من الروایات النهی عن نوم رجلین أو امرأتین تحت لحافٍ واحد، بل ورد تعزیرهما علی ذلک، و قد ذکرنا فی باب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یختصّ بنومهما عاریین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المتعارف عند أهل 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یشمل نومهما مع الملابس؛ فإنّه ممّا لا یحتمل حرمته فی الرجلین و لا المرأتین، بل و لا رجل و امرأة من محارمه، بل السیرة القطعیّة قائمة علی الجواز، خصوصاً عند قلّة الغطاء، و حیث إنّ الحکم فی المقامین من وادٍ واحد، فلا بدّ من حمل هذه الصحیحة علی نوم الطفلین عاریین</w:t>
      </w:r>
      <w:r>
        <w:rPr>
          <w:rStyle w:val="FootnoteAnchor"/>
          <w:rtl w:val="true"/>
        </w:rPr>
        <w:footnoteReference w:id="2115"/>
      </w:r>
      <w:r>
        <w:rPr>
          <w:rFonts w:ascii="IRNazanin" w:hAnsi="IRNazanin" w:eastAsia="IRNazanin"/>
          <w:color w:val="111111"/>
          <w:sz w:val="28"/>
          <w:sz w:val="28"/>
          <w:szCs w:val="28"/>
          <w:rtl w:val="true"/>
          <w:lang w:bidi="fa-IR"/>
        </w:rPr>
        <w:t>مجرّدین عن الملابس</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یظهر لنا وجه عدم التزام الأصحاب بالوجوب، و حملهم الصحیحة</w:t>
      </w:r>
      <w:bookmarkStart w:id="1217" w:name="pg11754_113285"/>
    </w:p>
    <w:p>
      <w:pPr>
        <w:pStyle w:val="BookText"/>
        <w:rPr/>
      </w:pPr>
      <w:bookmarkEnd w:id="1217"/>
      <w:r>
        <w:rPr>
          <w:rFonts w:ascii="IRNazanin" w:hAnsi="IRNazanin" w:eastAsia="IRNazanin"/>
          <w:color w:val="111111"/>
          <w:sz w:val="28"/>
          <w:sz w:val="28"/>
          <w:szCs w:val="28"/>
          <w:rtl w:val="true"/>
          <w:lang w:bidi="fa-IR"/>
        </w:rPr>
        <w:t>علی الاستحباب بعد التزامهم فی تلک المسألة بالوجوب إذا کانوا مجرّدین عن الملابس</w:t>
      </w:r>
      <w:r>
        <w:rPr>
          <w:rFonts w:eastAsia="IRNazanin" w:cs="IRNazanin"/>
          <w:color w:val="111111"/>
          <w:sz w:val="28"/>
          <w:szCs w:val="28"/>
          <w:rtl w:val="true"/>
          <w:lang w:bidi="fa-IR"/>
        </w:rPr>
        <w:t>»</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8" w:name="__RefHeading___Toc9531345_73709187"/>
      <w:bookmarkStart w:id="1219" w:name="_Toc475"/>
      <w:bookmarkEnd w:id="1218"/>
      <w:r>
        <w:rPr>
          <w:rtl w:val="true"/>
        </w:rPr>
        <w:t>ب</w:t>
      </w:r>
      <w:r>
        <w:rPr>
          <w:rtl w:val="true"/>
        </w:rPr>
        <w:t xml:space="preserve">: </w:t>
      </w:r>
      <w:r>
        <w:rPr>
          <w:rtl w:val="true"/>
        </w:rPr>
        <w:t>النهی عن مباشرة الرجل زوجته بمرأی الصبی</w:t>
      </w:r>
      <w:bookmarkEnd w:id="1219"/>
    </w:p>
    <w:p>
      <w:pPr>
        <w:pStyle w:val="BookText"/>
        <w:rPr/>
      </w:pPr>
      <w:r>
        <w:rPr>
          <w:rFonts w:ascii="IRNazanin" w:hAnsi="IRNazanin" w:eastAsia="IRNazanin"/>
          <w:color w:val="111111"/>
          <w:sz w:val="28"/>
          <w:sz w:val="28"/>
          <w:szCs w:val="28"/>
          <w:rtl w:val="true"/>
          <w:lang w:bidi="fa-IR"/>
        </w:rPr>
        <w:t>لقد أوصی الإسلام فی منهاجه التربوی الآباء و الاُمّهات بالامتناع عن إثارة الغریزة الجنسیّة عند الأطفال بالمناظر المهیّجة و العبارات المشینة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الروایات بالمنع عن مباشرة الرجل زوجته عند حضور الصبی،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لو أنّ رجلاً غشی امرأته و فی البیت صبیّ مستیقظ یراهما، و یسمع کلامهما و نفسهما، ما أفلح أبداً، إذا کان غلاماً کان زانیاً، أو جاریة کانت زانیة</w:t>
      </w:r>
      <w:r>
        <w:rPr>
          <w:rFonts w:eastAsia="IRNazanin" w:cs="IRNazanin"/>
          <w:color w:val="111111"/>
          <w:sz w:val="28"/>
          <w:szCs w:val="28"/>
          <w:rtl w:val="true"/>
          <w:lang w:bidi="fa-IR"/>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 إبراهیم بن راشد،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یجامع الرجل امرأته و لا جاریته و فی البیت صبیّ؛ فإنّ ذلک ممّا یورث الزنا</w:t>
      </w:r>
      <w:r>
        <w:rPr>
          <w:rFonts w:eastAsia="IRNazanin" w:cs="IRNazanin"/>
          <w:color w:val="111111"/>
          <w:sz w:val="28"/>
          <w:szCs w:val="28"/>
          <w:rtl w:val="true"/>
          <w:lang w:bidi="fa-IR"/>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العلل عنه علیه السلام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طب الأئمة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الجماع حیث یراک صبیّ یحسن أن یصف حالک،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کراهة الشنعة؟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إن رزقت ولداً کان شهرة علماً فی الفسق و الفجور</w:t>
      </w:r>
      <w:r>
        <w:rPr>
          <w:rFonts w:eastAsia="IRNazanin" w:cs="IRNazanin"/>
          <w:color w:val="111111"/>
          <w:sz w:val="28"/>
          <w:szCs w:val="28"/>
          <w:rtl w:val="true"/>
          <w:lang w:bidi="fa-IR"/>
        </w:rPr>
        <w:t>»</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أبو بصیر عن أبی عبد اللّه علیه السلام</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 النصوص و إن کان هو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حرمة مجامعة الرجل زوجته بمرأی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یحمل علی الکراهة، کما أفتی بها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أن یجامع الرجل أهله فی بیت یکون فیه غیرهما من الصبیان و غیرهم</w:t>
      </w:r>
      <w:r>
        <w:rPr>
          <w:rFonts w:eastAsia="IRNazanin" w:cs="IRNazanin"/>
          <w:color w:val="111111"/>
          <w:sz w:val="28"/>
          <w:szCs w:val="28"/>
          <w:rtl w:val="true"/>
          <w:lang w:bidi="fa-IR"/>
        </w:rPr>
        <w:t>»</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أن یجامع الرجل امرأته و فی البیت غیرهما ممّا له حرمة کالصبیّ</w:t>
      </w:r>
      <w:r>
        <w:rPr>
          <w:rFonts w:eastAsia="IRNazanin" w:cs="IRNazanin"/>
          <w:color w:val="111111"/>
          <w:sz w:val="28"/>
          <w:szCs w:val="28"/>
          <w:rtl w:val="true"/>
          <w:lang w:bidi="fa-IR"/>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یقتضیه إطلاق عبارة التحریر</w:t>
      </w:r>
      <w:r>
        <w:rPr>
          <w:rStyle w:val="FootnoteAnchor"/>
          <w:rtl w:val="true"/>
        </w:rPr>
        <w:footnoteReference w:id="2123"/>
      </w:r>
      <w:r>
        <w:rPr>
          <w:rFonts w:ascii="IRNazanin" w:hAnsi="IRNazanin" w:eastAsia="IRNazanin"/>
          <w:color w:val="111111"/>
          <w:sz w:val="28"/>
          <w:sz w:val="28"/>
          <w:szCs w:val="28"/>
          <w:rtl w:val="true"/>
          <w:lang w:bidi="fa-IR"/>
        </w:rPr>
        <w:t>، و الارشاد</w:t>
      </w:r>
      <w:r>
        <w:rPr>
          <w:rStyle w:val="FootnoteAnchor"/>
          <w:rtl w:val="true"/>
        </w:rPr>
        <w:footnoteReference w:id="2124"/>
      </w:r>
      <w:r>
        <w:rPr>
          <w:rFonts w:ascii="IRNazanin" w:hAnsi="IRNazanin" w:eastAsia="IRNazanin"/>
          <w:color w:val="111111"/>
          <w:sz w:val="28"/>
          <w:sz w:val="28"/>
          <w:szCs w:val="28"/>
          <w:rtl w:val="true"/>
          <w:lang w:bidi="fa-IR"/>
        </w:rPr>
        <w:t>، و الشرائع</w:t>
      </w:r>
      <w:r>
        <w:rPr>
          <w:rStyle w:val="FootnoteAnchor"/>
          <w:rtl w:val="true"/>
        </w:rPr>
        <w:footnoteReference w:id="2125"/>
      </w:r>
      <w:r>
        <w:rPr>
          <w:rFonts w:ascii="IRNazanin" w:hAnsi="IRNazanin" w:eastAsia="IRNazanin"/>
          <w:color w:val="111111"/>
          <w:sz w:val="28"/>
          <w:sz w:val="28"/>
          <w:szCs w:val="28"/>
          <w:rtl w:val="true"/>
          <w:lang w:bidi="fa-IR"/>
        </w:rPr>
        <w:t>، و المسالک</w:t>
      </w:r>
      <w:r>
        <w:rPr>
          <w:rStyle w:val="FootnoteAnchor"/>
          <w:rtl w:val="true"/>
        </w:rPr>
        <w:footnoteReference w:id="2126"/>
      </w:r>
      <w:r>
        <w:rPr>
          <w:rFonts w:ascii="Amiri" w:hAnsi="Amiri" w:eastAsia="Amiri" w:cs="Amiri"/>
          <w:color w:val="111111"/>
          <w:sz w:val="28"/>
          <w:sz w:val="28"/>
          <w:szCs w:val="28"/>
          <w:rtl w:val="true"/>
          <w:lang w:bidi="ar-SA"/>
        </w:rPr>
        <w:t>، و الروضة</w:t>
      </w:r>
      <w:r>
        <w:rPr>
          <w:rStyle w:val="FootnoteAnchor"/>
          <w:rtl w:val="true"/>
        </w:rPr>
        <w:footnoteReference w:id="2127"/>
      </w:r>
      <w:r>
        <w:rPr>
          <w:rFonts w:ascii="IRNazanin" w:hAnsi="IRNazanin" w:eastAsia="IRNazanin"/>
          <w:color w:val="111111"/>
          <w:sz w:val="28"/>
          <w:sz w:val="28"/>
          <w:szCs w:val="28"/>
          <w:rtl w:val="true"/>
          <w:lang w:bidi="fa-IR"/>
        </w:rPr>
        <w:t>، و التلخیص</w:t>
      </w:r>
      <w:r>
        <w:rPr>
          <w:rStyle w:val="FootnoteAnchor"/>
          <w:rtl w:val="true"/>
        </w:rPr>
        <w:footnoteReference w:id="2128"/>
      </w:r>
      <w:r>
        <w:rPr>
          <w:rFonts w:ascii="IRNazanin" w:hAnsi="IRNazanin" w:eastAsia="IRNazanin"/>
          <w:color w:val="111111"/>
          <w:sz w:val="28"/>
          <w:sz w:val="28"/>
          <w:szCs w:val="28"/>
          <w:rtl w:val="true"/>
          <w:lang w:bidi="fa-IR"/>
        </w:rPr>
        <w:t>، و الجواهر</w:t>
      </w:r>
      <w:r>
        <w:rPr>
          <w:rStyle w:val="FootnoteAnchor"/>
          <w:rtl w:val="true"/>
        </w:rPr>
        <w:footnoteReference w:id="2129"/>
      </w:r>
      <w:r>
        <w:rPr>
          <w:rFonts w:ascii="IRNazanin" w:hAnsi="IRNazanin" w:eastAsia="IRNazanin"/>
          <w:color w:val="111111"/>
          <w:sz w:val="28"/>
          <w:sz w:val="28"/>
          <w:szCs w:val="28"/>
          <w:rtl w:val="true"/>
          <w:lang w:bidi="fa-IR"/>
        </w:rPr>
        <w:t>، و صرّح به فی العروة</w:t>
      </w:r>
      <w:r>
        <w:rPr>
          <w:rStyle w:val="FootnoteAnchor"/>
          <w:rtl w:val="true"/>
        </w:rPr>
        <w:footnoteReference w:id="2130"/>
      </w:r>
      <w:r>
        <w:rPr>
          <w:rFonts w:ascii="IRNazanin" w:hAnsi="IRNazanin" w:eastAsia="IRNazanin"/>
          <w:color w:val="111111"/>
          <w:sz w:val="28"/>
          <w:sz w:val="28"/>
          <w:szCs w:val="28"/>
          <w:rtl w:val="true"/>
          <w:lang w:bidi="fa-IR"/>
        </w:rPr>
        <w:t>و تفصیل الشریعة</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إطلاق النصوص یقتضی عدم الفرق بین الممیّز و غیره کما هو مقتضی إطلاق کلام الفقهاء</w:t>
      </w:r>
      <w:r>
        <w:rPr>
          <w:rStyle w:val="FootnoteAnchor"/>
          <w:rtl w:val="true"/>
        </w:rPr>
        <w:footnoteReference w:id="2132"/>
      </w:r>
      <w:r>
        <w:rPr>
          <w:rFonts w:ascii="IRNazanin" w:hAnsi="IRNazanin" w:eastAsia="IRNazanin"/>
          <w:color w:val="111111"/>
          <w:sz w:val="28"/>
          <w:sz w:val="28"/>
          <w:szCs w:val="28"/>
          <w:rtl w:val="true"/>
          <w:lang w:bidi="fa-IR"/>
        </w:rPr>
        <w:t>فی المقام، و هو أیضاً صریح بعض النصوص، مثل ما فی</w:t>
      </w:r>
    </w:p>
    <w:p>
      <w:pPr>
        <w:pStyle w:val="BookText"/>
        <w:rPr/>
      </w:pPr>
      <w:r>
        <w:rPr>
          <w:rFonts w:ascii="IRNazanin" w:hAnsi="IRNazanin" w:eastAsia="IRNazanin"/>
          <w:color w:val="111111"/>
          <w:sz w:val="28"/>
          <w:sz w:val="28"/>
          <w:szCs w:val="28"/>
          <w:rtl w:val="true"/>
          <w:lang w:bidi="fa-IR"/>
        </w:rPr>
        <w:t>الجعفریّات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أن یجامع الرجل امرأته و الصبی فی المهد ینظر إلیهما</w:t>
      </w:r>
      <w:r>
        <w:rPr>
          <w:rFonts w:eastAsia="IRNazanin" w:cs="IRNazanin"/>
          <w:color w:val="111111"/>
          <w:sz w:val="28"/>
          <w:szCs w:val="28"/>
          <w:rtl w:val="true"/>
          <w:lang w:bidi="fa-IR"/>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دعائم الإسلام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لتخصیص الحکم بالممیّز کما فی جامع المقاصد</w:t>
      </w:r>
      <w:r>
        <w:rPr>
          <w:rStyle w:val="FootnoteAnchor"/>
          <w:rtl w:val="true"/>
        </w:rPr>
        <w:footnoteReference w:id="2134"/>
      </w:r>
      <w:r>
        <w:rPr>
          <w:rFonts w:ascii="IRNazanin" w:hAnsi="IRNazanin" w:eastAsia="IRNazanin"/>
          <w:color w:val="111111"/>
          <w:sz w:val="28"/>
          <w:sz w:val="28"/>
          <w:szCs w:val="28"/>
          <w:rtl w:val="true"/>
          <w:lang w:bidi="fa-IR"/>
        </w:rPr>
        <w:t>، قال فی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یجامع و عنده من ینظر إلیه و لو الصبیّ الغیر الممیّز</w:t>
      </w:r>
      <w:r>
        <w:rPr>
          <w:rFonts w:eastAsia="IRNazanin" w:cs="IRNazanin"/>
          <w:color w:val="111111"/>
          <w:sz w:val="28"/>
          <w:szCs w:val="28"/>
          <w:rtl w:val="true"/>
          <w:lang w:bidi="fa-IR"/>
        </w:rPr>
        <w:t>»</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جابر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الجماع حیث یراک صبیّ یحسن أن یصف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یستفاد منه اختصاص الحکم بالممیّز، فیمکن أن یراد بالتمییز ما تضمّنه الخبر، کما فی الریاض</w:t>
      </w:r>
      <w:r>
        <w:rPr>
          <w:rStyle w:val="FootnoteAnchor"/>
          <w:rtl w:val="true"/>
        </w:rPr>
        <w:footnoteReference w:id="2136"/>
      </w:r>
      <w:r>
        <w:rPr>
          <w:rFonts w:ascii="IRNazanin" w:hAnsi="IRNazanin" w:eastAsia="IRNazanin"/>
          <w:color w:val="111111"/>
          <w:sz w:val="28"/>
          <w:sz w:val="28"/>
          <w:szCs w:val="28"/>
          <w:rtl w:val="true"/>
          <w:lang w:bidi="fa-IR"/>
        </w:rPr>
        <w:t>، و الجواهر</w:t>
      </w:r>
      <w:r>
        <w:rPr>
          <w:rStyle w:val="FootnoteAnchor"/>
          <w:rtl w:val="true"/>
        </w:rPr>
        <w:footnoteReference w:id="2137"/>
      </w:r>
      <w:r>
        <w:rPr>
          <w:rFonts w:ascii="IRNazanin" w:hAnsi="IRNazanin" w:eastAsia="IRNazanin"/>
          <w:color w:val="111111"/>
          <w:sz w:val="28"/>
          <w:sz w:val="28"/>
          <w:szCs w:val="28"/>
          <w:rtl w:val="true"/>
          <w:lang w:bidi="fa-IR"/>
        </w:rPr>
        <w:t>، و کشف اللثام</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للآباء و الاُمّهات و المربیین أن یجتنبوا کلّ ما یوجب الانحراف الجنسی فی الأطفال، حتّی ینشأ علی العفّة و النزاهة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بل یدلّ علیه ما ورد فی الروایات من المنع من مباشرة المرأة ابنتها، أو تقبیل الغلام المرأة، و غیر ذلک من الأفعال التی تقتضی خلاف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روی فی الفقیه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المرأة ابنتها إذا بلغت ستّ سنین شعبة من الزنا</w:t>
      </w:r>
      <w:r>
        <w:rPr>
          <w:rFonts w:eastAsia="IRNazanin" w:cs="IRNazanin"/>
          <w:color w:val="111111"/>
          <w:sz w:val="28"/>
          <w:szCs w:val="28"/>
          <w:rtl w:val="true"/>
          <w:lang w:bidi="fa-IR"/>
        </w:rPr>
        <w:t xml:space="preserve">» </w:t>
      </w:r>
      <w:r>
        <w:rPr>
          <w:rStyle w:val="FootnoteAnchor"/>
          <w:rtl w:val="true"/>
        </w:rPr>
        <w:footnoteReference w:id="213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 عن</w:t>
      </w:r>
    </w:p>
    <w:p>
      <w:pPr>
        <w:pStyle w:val="BookText"/>
        <w:rPr/>
      </w:pPr>
      <w:r>
        <w:rPr>
          <w:rFonts w:ascii="IRNazanin" w:hAnsi="IRNazanin" w:eastAsia="IRNazanin"/>
          <w:color w:val="111111"/>
          <w:sz w:val="28"/>
          <w:sz w:val="28"/>
          <w:szCs w:val="28"/>
          <w:rtl w:val="true"/>
          <w:lang w:bidi="fa-IR"/>
        </w:rPr>
        <w:t>زکریّا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الجاریة ستّ سنین فلا یقبّلها الغلام، و الغلام لا یقبّل المرأة إذا جاز سبع سنین</w:t>
      </w:r>
      <w:r>
        <w:rPr>
          <w:rFonts w:eastAsia="IRNazanin" w:cs="IRNazanin"/>
          <w:color w:val="111111"/>
          <w:sz w:val="28"/>
          <w:szCs w:val="28"/>
          <w:rtl w:val="true"/>
          <w:lang w:bidi="fa-IR"/>
        </w:rPr>
        <w:t>»</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الرجل مع ابنه الحمّام فینظر إلی عورته،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للوالدین أن ینظرا إلی عورة الولد، و لیس للولد أن ینظر إلی عورة الوالد،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الناظر و المنظور إلیه فی الحمّام بلا مئزر</w:t>
      </w:r>
      <w:r>
        <w:rPr>
          <w:rFonts w:eastAsia="IRNazanin" w:cs="IRNazanin"/>
          <w:color w:val="111111"/>
          <w:sz w:val="28"/>
          <w:szCs w:val="28"/>
          <w:rtl w:val="true"/>
          <w:lang w:bidi="fa-IR"/>
        </w:rPr>
        <w:t>»</w:t>
      </w:r>
      <w:r>
        <w:rPr>
          <w:rStyle w:val="FootnoteAnchor"/>
          <w:rtl w:val="true"/>
        </w:rPr>
        <w:footnoteReference w:id="2141"/>
      </w:r>
      <w:bookmarkStart w:id="1220" w:name="pg11754_113290"/>
    </w:p>
    <w:p>
      <w:pPr>
        <w:pStyle w:val="Heading3"/>
        <w:numPr>
          <w:ilvl w:val="2"/>
          <w:numId w:val="1"/>
        </w:numPr>
        <w:rPr/>
      </w:pPr>
      <w:bookmarkStart w:id="1221" w:name="__RefHeading___Toc9531347_73709187"/>
      <w:bookmarkStart w:id="1222" w:name="_Toc476"/>
      <w:bookmarkEnd w:id="1220"/>
      <w:bookmarkEnd w:id="1221"/>
      <w:r>
        <w:rPr>
          <w:rtl w:val="true"/>
        </w:rPr>
        <w:t>الفصل الرابع</w:t>
      </w:r>
      <w:r>
        <w:rPr>
          <w:rtl w:val="true"/>
        </w:rPr>
        <w:t xml:space="preserve">: </w:t>
      </w:r>
      <w:r>
        <w:rPr>
          <w:rtl w:val="true"/>
        </w:rPr>
        <w:t>تعلیم الأطفال و تربیتهم بالآداب الحسنة المتنوّعة</w:t>
      </w:r>
      <w:bookmarkEnd w:id="1222"/>
    </w:p>
    <w:p>
      <w:pPr>
        <w:pStyle w:val="Heading4"/>
        <w:numPr>
          <w:ilvl w:val="3"/>
          <w:numId w:val="1"/>
        </w:numPr>
        <w:rPr/>
      </w:pPr>
      <w:bookmarkStart w:id="1223" w:name="__RefHeading___Toc9531349_73709187"/>
      <w:bookmarkStart w:id="1224" w:name="_Toc477"/>
      <w:bookmarkEnd w:id="1223"/>
      <w:r>
        <w:rPr>
          <w:rtl w:val="true"/>
        </w:rPr>
        <w:t>اشارة</w:t>
      </w:r>
      <w:bookmarkEnd w:id="122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225" w:name="__RefHeading___Toc9531351_73709187"/>
      <w:bookmarkStart w:id="1226" w:name="_Toc478"/>
      <w:bookmarkEnd w:id="1225"/>
      <w:r>
        <w:rPr>
          <w:rtl w:val="true"/>
        </w:rPr>
        <w:t>المبحث الأوّل</w:t>
      </w:r>
      <w:r>
        <w:rPr>
          <w:rtl w:val="true"/>
        </w:rPr>
        <w:t xml:space="preserve">: </w:t>
      </w:r>
      <w:r>
        <w:rPr>
          <w:rtl w:val="true"/>
        </w:rPr>
        <w:t>آداب الاستئذان</w:t>
      </w:r>
      <w:bookmarkEnd w:id="1226"/>
    </w:p>
    <w:p>
      <w:pPr>
        <w:pStyle w:val="Heading5"/>
        <w:numPr>
          <w:ilvl w:val="4"/>
          <w:numId w:val="1"/>
        </w:numPr>
        <w:rPr/>
      </w:pPr>
      <w:bookmarkStart w:id="1227" w:name="__RefHeading___Toc9531353_73709187"/>
      <w:bookmarkStart w:id="1228" w:name="_Toc479"/>
      <w:bookmarkEnd w:id="1227"/>
      <w:r>
        <w:rPr>
          <w:rtl w:val="true"/>
        </w:rPr>
        <w:t>اشارة</w:t>
      </w:r>
      <w:bookmarkEnd w:id="1228"/>
    </w:p>
    <w:p>
      <w:pPr>
        <w:pStyle w:val="BookText"/>
        <w:rPr/>
      </w:pPr>
      <w:r>
        <w:rPr>
          <w:rFonts w:ascii="IRNazanin" w:hAnsi="IRNazanin" w:eastAsia="IRNazanin"/>
          <w:color w:val="111111"/>
          <w:sz w:val="28"/>
          <w:sz w:val="28"/>
          <w:szCs w:val="28"/>
          <w:rtl w:val="true"/>
          <w:lang w:bidi="fa-IR"/>
        </w:rPr>
        <w:t>إنّ الإسلام لم یترک الطفل هملاً لا شأنَ له و لا قیمة اجتماعیّة فی الحیاة، حتّی إذا ما شبّ و غدا رجلاً بدأ یلقی علیه التکلیف،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منهاج حیاةٍ متکامل یبدأ مبکّراً مع الإنسان من البدایة إلی النهایة، فهو ینظّم حیاة الإنسان فی جمیع أطوارها، و سائر مراحلها، و کلّ علاقاتها و ارتباطاتها، و کلّ حرکاتها و سکناتها، و من ثمّ یتولّی بیان الآداب التربویّة الیومیّة الصغیرة، کالاستئذان علی البیوت</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ظاهر کلمات الفقهاء أنّه یجب علی الآباء و الاُمّهات</w:t>
      </w:r>
      <w:bookmarkStart w:id="1229" w:name="pg11754_113291"/>
    </w:p>
    <w:p>
      <w:pPr>
        <w:pStyle w:val="BookText"/>
        <w:rPr/>
      </w:pPr>
      <w:bookmarkEnd w:id="1229"/>
      <w:r>
        <w:rPr>
          <w:rFonts w:ascii="IRNazanin" w:hAnsi="IRNazanin" w:eastAsia="IRNazanin"/>
          <w:color w:val="111111"/>
          <w:sz w:val="28"/>
          <w:sz w:val="28"/>
          <w:szCs w:val="28"/>
          <w:rtl w:val="true"/>
          <w:lang w:bidi="fa-IR"/>
        </w:rPr>
        <w:t xml:space="preserve">أن یأمروا أطفالهم الممیّزین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بلغوا مبلغاً بحیث یصلوا لأن یحکوا ما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بالاستئذان قبل الدخول فی الأوقات الثلاثة التی هی مظنّة التبذّل و التکشّف، و ذلک قبل صلاة الفجر، و عند الظهر، و بعد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ممیّزاً لا علی الوجه المذکور فقولان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لأنّ أمر من لم یبلغ الحُلُم بالاستئذان فی تلک الأوقات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مظنّة التکشّف و التبذّل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بالجواز؛ فإنّ ظاهره أنّ جواز الدخول من غیر استئذان فی غیر تلک الأوقات، لا یکون إلاّ مع جواز النظر؛ و إلاّ لو کان النظر محرّماً، لأمر بالاستئذان، و لم یجز له الدخول إلاّ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غیره فی النهی عن إبداء الزینة له، کما أشار إلی ذلک عدّة من أصحابنا</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9531355_73709187"/>
      <w:bookmarkStart w:id="1231" w:name="_Toc480"/>
      <w:bookmarkEnd w:id="1230"/>
      <w:r>
        <w:rPr>
          <w:rtl w:val="true"/>
        </w:rPr>
        <w:t>و یدلّ علیه الآیات و الروایات</w:t>
      </w:r>
      <w:r>
        <w:rPr>
          <w:rtl w:val="true"/>
        </w:rPr>
        <w:t>:</w:t>
      </w:r>
      <w:bookmarkEnd w:id="1231"/>
    </w:p>
    <w:p>
      <w:pPr>
        <w:pStyle w:val="Heading6"/>
        <w:numPr>
          <w:ilvl w:val="5"/>
          <w:numId w:val="1"/>
        </w:numPr>
        <w:rPr/>
      </w:pPr>
      <w:bookmarkStart w:id="1232" w:name="__RefHeading___Toc9531357_73709187"/>
      <w:bookmarkStart w:id="1233" w:name="_Toc481"/>
      <w:bookmarkEnd w:id="1232"/>
      <w:r>
        <w:rPr>
          <w:rtl w:val="true"/>
        </w:rPr>
        <w:t>أمّا الآیات</w:t>
      </w:r>
      <w:r>
        <w:rPr>
          <w:rtl w:val="true"/>
        </w:rPr>
        <w:t>:</w:t>
      </w:r>
      <w:bookmarkEnd w:id="123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234" w:name="pg11754_113292"/>
    </w:p>
    <w:p>
      <w:pPr>
        <w:pStyle w:val="Heading6"/>
        <w:numPr>
          <w:ilvl w:val="5"/>
          <w:numId w:val="1"/>
        </w:numPr>
        <w:rPr/>
      </w:pPr>
      <w:bookmarkStart w:id="1235" w:name="__RefHeading___Toc9531359_73709187"/>
      <w:bookmarkStart w:id="1236" w:name="_Toc482"/>
      <w:bookmarkEnd w:id="1234"/>
      <w:bookmarkEnd w:id="1235"/>
      <w:r>
        <w:rPr>
          <w:rtl w:val="true"/>
        </w:rPr>
        <w:t>فی هذه الآیة حکمان</w:t>
      </w:r>
      <w:r>
        <w:rPr>
          <w:rtl w:val="true"/>
        </w:rPr>
        <w:t>:</w:t>
      </w:r>
      <w:bookmarkEnd w:id="1236"/>
    </w:p>
    <w:p>
      <w:pPr>
        <w:pStyle w:val="BookText"/>
        <w:rPr/>
      </w:pP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أمر الوالدین أطفالهم بالاستئذان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الاستئذان بالنسبة إلی من لم یبلغ الحلم من الأطفال</w:t>
      </w:r>
      <w:r>
        <w:rPr>
          <w:rFonts w:eastAsia="IRNazanin" w:cs="IRNazanin"/>
          <w:color w:val="111111"/>
          <w:sz w:val="28"/>
          <w:szCs w:val="28"/>
          <w:rtl w:val="true"/>
          <w:lang w:bidi="fa-IR"/>
        </w:rPr>
        <w:t>.</w:t>
      </w:r>
    </w:p>
    <w:p>
      <w:pPr>
        <w:pStyle w:val="Heading6"/>
        <w:numPr>
          <w:ilvl w:val="5"/>
          <w:numId w:val="1"/>
        </w:numPr>
        <w:rPr/>
      </w:pPr>
      <w:bookmarkStart w:id="1237" w:name="__RefHeading___Toc9531361_73709187"/>
      <w:bookmarkStart w:id="1238" w:name="_Toc483"/>
      <w:bookmarkEnd w:id="1237"/>
      <w:r>
        <w:rPr>
          <w:rtl w:val="true"/>
        </w:rPr>
        <w:t>أمّا الأوّل</w:t>
      </w:r>
      <w:r>
        <w:rPr>
          <w:rtl w:val="true"/>
        </w:rPr>
        <w:t xml:space="preserve">: </w:t>
      </w:r>
      <w:r>
        <w:rPr>
          <w:rtl w:val="true"/>
        </w:rPr>
        <w:t>قال فی مجمع البیان</w:t>
      </w:r>
      <w:r>
        <w:rPr>
          <w:rtl w:val="true"/>
        </w:rPr>
        <w:t>: «</w:t>
      </w:r>
      <w:r>
        <w:rPr>
          <w:rtl w:val="true"/>
        </w:rPr>
        <w:t>معناه مروا عبیدکم و إماءکم أن یستأذنوا علیکم</w:t>
      </w:r>
      <w:bookmarkEnd w:id="1238"/>
    </w:p>
    <w:p>
      <w:pPr>
        <w:pStyle w:val="BookText"/>
        <w:rPr/>
      </w:pPr>
      <w:r>
        <w:rPr>
          <w:rStyle w:val="FootnoteAnchor"/>
          <w:rtl w:val="true"/>
        </w:rPr>
        <w:footnoteReference w:id="2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الدخول فی مواضع خلواتکم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لَمْ یَبْلُغُوا الْحُلُمَ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أحرارکم، و أراد به الصبیّ الذی یمیّز بین العورة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 أوقات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الإنسان ربما یبیت عریاناً، أو علی حال لا یجب أن یراه غیره فی تلک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تَضَعُونَ ثِیابَکُمْ مِنَ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 عند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حین یأوی الرجل إلی امرأته و یخلو بها، أمر اللّه بالاستئذان فی هذه الأوقات التی یتخلّی الناس فیها و ینکشفون، و فصّلها ثمّ 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هذه الأوقات ثلاث عورات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یضع فیها ثیابه فتبدو عورته</w:t>
      </w:r>
      <w:r>
        <w:rPr>
          <w:rFonts w:eastAsia="Amiri" w:cs="Amiri" w:ascii="Amiri" w:hAnsi="Amiri"/>
          <w:color w:val="111111"/>
          <w:sz w:val="28"/>
          <w:szCs w:val="28"/>
          <w:rtl w:val="true"/>
          <w:lang w:bidi="ar-SA"/>
        </w:rPr>
        <w:t>»</w:t>
      </w:r>
      <w:r>
        <w:rPr>
          <w:rStyle w:val="FootnoteAnchor"/>
          <w:rtl w:val="true"/>
        </w:rPr>
        <w:footnoteReference w:id="2146"/>
      </w:r>
      <w:r>
        <w:rPr>
          <w:rFonts w:ascii="IRNazanin" w:hAnsi="IRNazanin" w:eastAsia="IRNazanin"/>
          <w:color w:val="111111"/>
          <w:sz w:val="28"/>
          <w:sz w:val="28"/>
          <w:szCs w:val="28"/>
          <w:rtl w:val="true"/>
          <w:lang w:bidi="fa-IR"/>
        </w:rPr>
        <w:t>، و کذا فی التبیان</w:t>
      </w:r>
      <w:r>
        <w:rPr>
          <w:rStyle w:val="FootnoteAnchor"/>
          <w:rtl w:val="true"/>
        </w:rPr>
        <w:footnoteReference w:id="2147"/>
      </w:r>
      <w:bookmarkStart w:id="1239" w:name="pg11754_113293"/>
    </w:p>
    <w:p>
      <w:pPr>
        <w:pStyle w:val="BookText"/>
        <w:rPr/>
      </w:pPr>
      <w:bookmarkEnd w:id="1239"/>
      <w:r>
        <w:rPr>
          <w:rFonts w:ascii="IRNazanin" w:hAnsi="IRNazanin" w:eastAsia="IRNazanin"/>
          <w:color w:val="111111"/>
          <w:sz w:val="28"/>
          <w:sz w:val="28"/>
          <w:szCs w:val="28"/>
          <w:rtl w:val="true"/>
          <w:lang w:bidi="fa-IR"/>
        </w:rPr>
        <w:t>و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مروهم أن یستأذنوکم للدخول</w:t>
      </w:r>
      <w:r>
        <w:rPr>
          <w:rFonts w:eastAsia="IRNazanin" w:cs="IRNazanin"/>
          <w:color w:val="111111"/>
          <w:sz w:val="28"/>
          <w:szCs w:val="28"/>
          <w:rtl w:val="true"/>
          <w:lang w:bidi="fa-IR"/>
        </w:rPr>
        <w:t>»</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المقصود النهی عن الدخول وقت مظنّة کون المدخول علیه علی حالة یستقبح الدخول علیه، و أنّ الاستئذان یحصل بکلّ ما یرفع ذلک، و أنّ ظاهر هذا الأمر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نزاع فیه بالنسبة إلی البالغ</w:t>
      </w:r>
      <w:r>
        <w:rPr>
          <w:rFonts w:eastAsia="IRNazanin" w:cs="IRNazanin"/>
          <w:color w:val="111111"/>
          <w:sz w:val="28"/>
          <w:szCs w:val="28"/>
          <w:rtl w:val="true"/>
          <w:lang w:bidi="fa-IR"/>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هذا فی الجامع لأحکام القرآن</w:t>
      </w:r>
      <w:r>
        <w:rPr>
          <w:rStyle w:val="FootnoteAnchor"/>
          <w:rtl w:val="true"/>
        </w:rPr>
        <w:footnoteReference w:id="2150"/>
      </w:r>
      <w:r>
        <w:rPr>
          <w:rFonts w:ascii="IRNazanin" w:hAnsi="IRNazanin" w:eastAsia="IRNazanin"/>
          <w:color w:val="111111"/>
          <w:sz w:val="28"/>
          <w:sz w:val="28"/>
          <w:szCs w:val="28"/>
          <w:rtl w:val="true"/>
          <w:lang w:bidi="fa-IR"/>
        </w:rPr>
        <w:t>و التفسیر الکبیر</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ظاهر الأمر فی الآیة أنّه یجب علی الآباء و الأمّهات أن یأمروا أطفالهم الذین لم یبلغوا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ممیّزون و یعقلون معانی الکشف و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یستأذنوا علی أهلیهم فی هذه الأوقات الثلاثة، و الظاهر أنّه لا خلاف فی هذا بالنسبة إلی البالغین</w:t>
      </w:r>
      <w:r>
        <w:rPr>
          <w:rFonts w:eastAsia="IRNazanin" w:cs="IRNazanin"/>
          <w:color w:val="111111"/>
          <w:sz w:val="28"/>
          <w:szCs w:val="28"/>
          <w:rtl w:val="true"/>
          <w:lang w:bidi="fa-IR"/>
        </w:rPr>
        <w:t>.</w:t>
      </w:r>
    </w:p>
    <w:p>
      <w:pPr>
        <w:pStyle w:val="Heading6"/>
        <w:numPr>
          <w:ilvl w:val="5"/>
          <w:numId w:val="1"/>
        </w:numPr>
        <w:rPr/>
      </w:pPr>
      <w:bookmarkStart w:id="1240" w:name="__RefHeading___Toc9531363_73709187"/>
      <w:bookmarkStart w:id="1241" w:name="_Toc484"/>
      <w:bookmarkEnd w:id="1240"/>
      <w:r>
        <w:rPr>
          <w:rtl w:val="true"/>
        </w:rPr>
        <w:t xml:space="preserve">و أمّا الحکم الثانی </w:t>
      </w:r>
      <w:r>
        <w:rPr>
          <w:rtl w:val="true"/>
        </w:rPr>
        <w:t xml:space="preserve">- </w:t>
      </w:r>
      <w:r>
        <w:rPr>
          <w:rtl w:val="true"/>
        </w:rPr>
        <w:t>أی الاستئذان بالنسبة إلی من لم یبلغ الحلم</w:t>
      </w:r>
      <w:bookmarkEnd w:id="1241"/>
    </w:p>
    <w:p>
      <w:pPr>
        <w:pStyle w:val="BookText"/>
        <w:rPr/>
      </w:pPr>
      <w:r>
        <w:rPr>
          <w:rFonts w:ascii="IRNazanin" w:hAnsi="IRNazanin" w:eastAsia="IRNazanin"/>
          <w:color w:val="111111"/>
          <w:sz w:val="28"/>
          <w:sz w:val="28"/>
          <w:szCs w:val="28"/>
          <w:rtl w:val="true"/>
          <w:lang w:bidi="fa-IR"/>
        </w:rPr>
        <w:t>، فیستفاد من ظاهر کلام بعض الفقهاء و المفسّرین أنّه یجب علی الأطفال الاستئذان فی هذه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واجب علی کلّ بالغ فی کلّ حال، و یجب علی الأطفال فی هذه الأوقات الثلاثة بظاهر هذه الآیة</w:t>
      </w:r>
      <w:r>
        <w:rPr>
          <w:rFonts w:eastAsia="IRNazanin" w:cs="IRNazanin"/>
          <w:color w:val="111111"/>
          <w:sz w:val="28"/>
          <w:szCs w:val="28"/>
          <w:rtl w:val="true"/>
          <w:lang w:bidi="fa-IR"/>
        </w:rPr>
        <w:t>»</w:t>
      </w:r>
      <w:r>
        <w:rPr>
          <w:rStyle w:val="FootnoteAnchor"/>
          <w:rtl w:val="true"/>
        </w:rPr>
        <w:footnoteReference w:id="2152"/>
      </w:r>
      <w:r>
        <w:rPr>
          <w:rFonts w:ascii="IRNazanin" w:hAnsi="IRNazanin" w:eastAsia="IRNazanin"/>
          <w:color w:val="111111"/>
          <w:sz w:val="28"/>
          <w:sz w:val="28"/>
          <w:szCs w:val="28"/>
          <w:rtl w:val="true"/>
          <w:lang w:bidi="fa-IR"/>
        </w:rPr>
        <w:t>، و کذا فی مجمع البیان</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هذا أیضاً من کلام العلاّمة رحمه الله فی التذکرة،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الطفل الذی لم یظهر علی عورات النساء لا حجاب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هذا المبلغ، فإن لم یکن فیه</w:t>
      </w:r>
    </w:p>
    <w:p>
      <w:pPr>
        <w:pStyle w:val="BookText"/>
        <w:rPr/>
      </w:pPr>
      <w:r>
        <w:rPr>
          <w:rFonts w:ascii="IRNazanin" w:hAnsi="IRNazanin" w:eastAsia="IRNazanin"/>
          <w:color w:val="111111"/>
          <w:sz w:val="28"/>
          <w:sz w:val="28"/>
          <w:szCs w:val="28"/>
          <w:rtl w:val="true"/>
          <w:lang w:bidi="fa-IR"/>
        </w:rPr>
        <w:t>ثوران شهوة أو تشوّق، فالأقرب جواز نظره کما ینظر الرجل إلی محارمه، کما أنّ له الدخول من غیر استئذان إلاّ فی الأوقات الثلاثة</w:t>
      </w:r>
      <w:r>
        <w:rPr>
          <w:rFonts w:eastAsia="IRNazanin" w:cs="IRNazanin"/>
          <w:color w:val="111111"/>
          <w:sz w:val="28"/>
          <w:szCs w:val="28"/>
          <w:rtl w:val="true"/>
          <w:lang w:bidi="fa-IR"/>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فقه القرآن للراوندی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النساء و الرجال من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الاستئذان واجب علی کلّ بالغ فی کلّ حال، و علی الأطفال فی هذه الأوقات الثلاثة بظاهر الآیة، ففی ذلک دلالة علی أنّه یجوز أن یؤمر الصبیّ الذی یعقل، لأنّه أمره بالاستئذان،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أمر للآباء أن یأخذوا الأولاد بذلک</w:t>
      </w:r>
      <w:r>
        <w:rPr>
          <w:rFonts w:eastAsia="IRNazanin" w:cs="IRNazanin"/>
          <w:color w:val="111111"/>
          <w:sz w:val="28"/>
          <w:szCs w:val="28"/>
          <w:rtl w:val="true"/>
          <w:lang w:bidi="fa-IR"/>
        </w:rPr>
        <w:t>»</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النراقی رحمه الله فی مسألة نظر الصبیان إلی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مع التمیّز، فلا یجوز نظرهم إلی العورة، للأمر باستئذان الذین لم یبلغوا الحلم فی الآیة عند العورات الثلاث التی کانوا یضعون فیها الساتر للعورة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المراد بعدم الجواز هنا حرمته و وجوب الاستئذان علی الصبیّ نفسه؟</w:t>
      </w:r>
    </w:p>
    <w:p>
      <w:pPr>
        <w:pStyle w:val="BookText"/>
        <w:rPr/>
      </w:pPr>
      <w:r>
        <w:rPr>
          <w:rFonts w:ascii="IRNazanin" w:hAnsi="IRNazanin" w:eastAsia="IRNazanin"/>
          <w:color w:val="111111"/>
          <w:sz w:val="28"/>
          <w:sz w:val="28"/>
          <w:szCs w:val="28"/>
          <w:rtl w:val="true"/>
          <w:lang w:bidi="fa-IR"/>
        </w:rPr>
        <w:t>أو الوجوب علی الولیّ أمره و نهیه؟ أو وجوب تستّر المنظور إلیه عنه؟</w:t>
      </w:r>
    </w:p>
    <w:p>
      <w:pPr>
        <w:pStyle w:val="BookText"/>
        <w:rPr/>
      </w:pPr>
      <w:r>
        <w:rPr>
          <w:rFonts w:ascii="IRNazanin" w:hAnsi="IRNazanin" w:eastAsia="IRNazanin"/>
          <w:color w:val="111111"/>
          <w:sz w:val="28"/>
          <w:sz w:val="28"/>
          <w:szCs w:val="28"/>
          <w:rtl w:val="true"/>
          <w:lang w:bidi="fa-IR"/>
        </w:rPr>
        <w:t>الظاهر هو الأوّل، و لا بعد فیه؛ لأخصّیّة دلیله عن أدلّة رفع القلم عن الصبیّ</w:t>
      </w:r>
      <w:r>
        <w:rPr>
          <w:rFonts w:eastAsia="IRNazanin" w:cs="IRNazanin"/>
          <w:color w:val="111111"/>
          <w:sz w:val="28"/>
          <w:szCs w:val="28"/>
          <w:rtl w:val="true"/>
          <w:lang w:bidi="fa-IR"/>
        </w:rPr>
        <w:t>»</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السیّد الفقیه الخوئی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منّا فی مباحث الاُصول من أنّ الوجوب غیر مستفاد من صیغة الأمر بحدّ ذاتها، و إنّما هو مستفاد من حکم العقل بلزوم إطاعة المولی حیث لم یرد ترخیص،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الکریمة و إن تضمّنت الأمر بالاستئذان، إلاّ أنّه لا مجال لاستفادة الوجوب من ذلک باعتبار</w:t>
      </w:r>
    </w:p>
    <w:p>
      <w:pPr>
        <w:pStyle w:val="BookText"/>
        <w:rPr/>
      </w:pPr>
      <w:r>
        <w:rPr>
          <w:rFonts w:ascii="IRNazanin" w:hAnsi="IRNazanin" w:eastAsia="IRNazanin"/>
          <w:color w:val="111111"/>
          <w:sz w:val="28"/>
          <w:sz w:val="28"/>
          <w:szCs w:val="28"/>
          <w:rtl w:val="true"/>
          <w:lang w:bidi="fa-IR"/>
        </w:rPr>
        <w:t>ثبوت الترخیص بحدیث</w:t>
      </w:r>
      <w:r>
        <w:rPr>
          <w:rStyle w:val="FootnoteAnchor"/>
          <w:rtl w:val="true"/>
        </w:rPr>
        <w:footnoteReference w:id="2158"/>
      </w:r>
      <w:r>
        <w:rPr>
          <w:rFonts w:ascii="IRNazanin" w:hAnsi="IRNazanin" w:eastAsia="IRNazanin"/>
          <w:color w:val="111111"/>
          <w:sz w:val="28"/>
          <w:sz w:val="28"/>
          <w:szCs w:val="28"/>
          <w:rtl w:val="true"/>
          <w:lang w:bidi="fa-IR"/>
        </w:rPr>
        <w:t>الرفع و ما فی معناه، فلا یبقی مجال لاستفادة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الأمر شیء و ثبوت الوجوب شیء آخر؛ إذ لا ملازمة بینهما أصلاً، فقد یثبت الأمر و لا یثبت الوجوب، کما هو الحال فی الأوامر الاستحبابیّة، بل لا بدّ فی إثبات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عدم الترخیص، فمن دون ذلک لا مجال لإثبات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فحیث إنّ الآیة الکریمة لا تتکفّل إلاّ بالجهة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ثبوت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للتمسّک بها وحدها لإثبات الوجوب، بل لا بدّ من البحث عن وجود ما یدلّ علی الترخیص، فإن وجد ما یدلّ علی ذلک فلا مجال للقول بالوجوب، و إلاّ فمقتضی حکم العقل بلزوم إطاعة المولی هو ذلک، و حیث إنّ مقامنا من قبیل الأوّل، حیث دلّ حدیث رفع القلم علی الترخیص، فلا وجه للالتزام بالوجوب</w:t>
      </w:r>
      <w:r>
        <w:rPr>
          <w:rFonts w:eastAsia="IRNazanin" w:cs="IRNazanin"/>
          <w:color w:val="111111"/>
          <w:sz w:val="28"/>
          <w:szCs w:val="28"/>
          <w:rtl w:val="true"/>
          <w:lang w:bidi="fa-IR"/>
        </w:rPr>
        <w:t>»</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ما ذهب إلیه المشهور من الفقهاء و المفسّرین من أنّ الخطاب فی الآیة متوجّه إلی المکلّفین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الخطاب فیه للبالغین لا لغیر البالغین؛ یعنی یلزم البالغین أن یکلّفوهم بالاستئذان علی وجه یتحقّق ذلک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کان لا مجال للاستدلال بالآیة علی تحریم النظر إلی العورة علی غیر البالغ بنحو یخصّص بها حدیث رفع القلم، و أنّ بناء الفقهاء بل المسلمین علی عدم تکلیف الصبیّ مطلقاً حتّی وقع الکلام فی وجه عقابه علی ترک الإسلام</w:t>
      </w:r>
      <w:r>
        <w:rPr>
          <w:rFonts w:eastAsia="IRNazanin" w:cs="IRNazanin"/>
          <w:color w:val="111111"/>
          <w:sz w:val="28"/>
          <w:szCs w:val="28"/>
          <w:rtl w:val="true"/>
          <w:lang w:bidi="fa-IR"/>
        </w:rPr>
        <w:t>»</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الخطاب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البالغین تکلیف، و بالنسبة إلی الأطفال تمرین</w:t>
      </w:r>
      <w:r>
        <w:rPr>
          <w:rFonts w:eastAsia="IRNazanin" w:cs="IRNazanin"/>
          <w:color w:val="111111"/>
          <w:sz w:val="28"/>
          <w:szCs w:val="28"/>
          <w:rtl w:val="true"/>
          <w:lang w:bidi="fa-IR"/>
        </w:rPr>
        <w:t>»</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الخطاب فی الآیة متوجّه إلی المکلّفین، و لا یجب علی غیر البالغین الاستئذان، و ذلک من أجل حدیث الرفع الذی هو حاکم علی الأدلّة الأوّلیّة، فتختصّ الحرمة و الوجوب بالمکلّفین، و المفروض أنّهم لیسوا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البالغون أن یکلّفوهم بالاستئذان فی الأوقات الثلاثة علی وجه یتحقّق ذلک منهم علی نحو الأدب و التمرین، و یؤیّده ما فی الجواهر،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فی الأوقات الثلاثة دون غیرها المحمول علی ضرب من الأدب فی الثلاثة</w:t>
      </w:r>
      <w:r>
        <w:rPr>
          <w:rFonts w:eastAsia="IRNazanin" w:cs="IRNazanin"/>
          <w:color w:val="111111"/>
          <w:sz w:val="28"/>
          <w:szCs w:val="28"/>
          <w:rtl w:val="true"/>
          <w:lang w:bidi="fa-IR"/>
        </w:rPr>
        <w:t>»</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تردّد فیه المحقّق الأردبیلی،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مجمع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هذا الوجوب مستثنی من عدم تکلیف غیر البالغ للتأدیب و تعلیم الأحرار، أو یکون للندب؛ بأن یکون للرجحان المطلق، أو یکون للإرشاد و تعلیم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تقدیر لا شکّ أنّ فیها دلالة علی کون الطفل الغیر البالغ مأموراً بأمر اللّه و مخاطباً بخطابه، لا أنّ الأمر إنّما هو للأولیاء و هم مأمورون بأوامرهم لا بأمر اللّه؛ فإنّ الأمر بالأمر لهم لیس أمراً منه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دلالة ما علی أنّ ذلک أمر منه لهم</w:t>
      </w:r>
      <w:r>
        <w:rPr>
          <w:rFonts w:eastAsia="IRNazanin" w:cs="IRNazanin"/>
          <w:color w:val="111111"/>
          <w:sz w:val="28"/>
          <w:szCs w:val="28"/>
          <w:rtl w:val="true"/>
          <w:lang w:bidi="fa-IR"/>
        </w:rPr>
        <w:t>»</w:t>
      </w:r>
      <w:r>
        <w:rPr>
          <w:rStyle w:val="FootnoteAnchor"/>
          <w:rtl w:val="true"/>
        </w:rPr>
        <w:footnoteReference w:id="2163"/>
      </w:r>
      <w:bookmarkStart w:id="1242" w:name="pg11754_113297"/>
    </w:p>
    <w:p>
      <w:pPr>
        <w:pStyle w:val="Heading6"/>
        <w:numPr>
          <w:ilvl w:val="5"/>
          <w:numId w:val="1"/>
        </w:numPr>
        <w:rPr/>
      </w:pPr>
      <w:bookmarkStart w:id="1243" w:name="__RefHeading___Toc9531365_73709187"/>
      <w:bookmarkStart w:id="1244" w:name="_Toc485"/>
      <w:bookmarkEnd w:id="1242"/>
      <w:bookmarkEnd w:id="1243"/>
      <w:r>
        <w:rPr>
          <w:rtl w:val="true"/>
        </w:rPr>
        <w:t>و أمّا الروایات</w:t>
      </w:r>
      <w:r>
        <w:rPr>
          <w:rtl w:val="true"/>
        </w:rPr>
        <w:t>:</w:t>
      </w:r>
      <w:bookmarkEnd w:id="1244"/>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فی الصحیح عن جرّاح المدائنی،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لیستأذن الذین ملکت أیمانکم و الذین لم یبلغوا الحلم منکم ثلاث مرّات کما أمرکم اللّه عزّ و جلّ، و من بلغ الحلم فلا یلج علی أُمّه و لا علی أُخته و لا علی خالته و لا علی سوی ذلک إلاّ بإذن، فلا تأذنوا حتّی یسلّم، و السلام طاعة اللّه عزّ و جلّ</w:t>
      </w:r>
      <w:r>
        <w:rPr>
          <w:rFonts w:eastAsia="IRNazanin" w:cs="IRNazanin"/>
          <w:color w:val="111111"/>
          <w:sz w:val="28"/>
          <w:szCs w:val="28"/>
          <w:rtl w:val="true"/>
          <w:lang w:bidi="fa-IR"/>
        </w:rPr>
        <w:t>»</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 و من بلغ الحلم منکم فلا یلج علی أُمّه، و لا علی أُخته، و لا علی ابنته، و لا علی من سوی ذلک إلاّ بإذن، و لا یأذن لأحد حتّی یسلّم؛ فإنّ السلام طاعة الرحمن</w:t>
      </w:r>
      <w:r>
        <w:rPr>
          <w:rFonts w:eastAsia="Amiri" w:cs="Amiri" w:ascii="Amiri" w:hAnsi="Amiri"/>
          <w:color w:val="111111"/>
          <w:sz w:val="28"/>
          <w:szCs w:val="28"/>
          <w:rtl w:val="true"/>
          <w:lang w:bidi="ar-SA"/>
        </w:rPr>
        <w:t>»</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أیضاً عن الفضیل بن یسار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المملوکون من الرجال و النساء و الصبیان الذین لم یبلغوا یستأذنون علیکم عند هذه الثلاث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صلاة العشاء و هی العتمة، و حین تضعون ثیابکم من الظهیرة، و من قبل صلاة الفجر</w:t>
      </w:r>
      <w:r>
        <w:rPr>
          <w:rFonts w:eastAsia="Amiri" w:cs="Amiri" w:ascii="Amiri" w:hAnsi="Amiri"/>
          <w:color w:val="111111"/>
          <w:sz w:val="28"/>
          <w:szCs w:val="28"/>
          <w:rtl w:val="true"/>
          <w:lang w:bidi="ar-SA"/>
        </w:rPr>
        <w:t>»</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bookmarkStart w:id="1245" w:name="pg11754_113298"/>
    </w:p>
    <w:p>
      <w:pPr>
        <w:pStyle w:val="BookText"/>
        <w:rPr/>
      </w:pPr>
      <w:bookmarkEnd w:id="1245"/>
      <w:r>
        <w:rPr>
          <w:rFonts w:ascii="IRNazanin" w:hAnsi="IRNazanin" w:eastAsia="IRNazanin"/>
          <w:color w:val="111111"/>
          <w:sz w:val="28"/>
          <w:sz w:val="28"/>
          <w:szCs w:val="28"/>
          <w:rtl w:val="true"/>
          <w:lang w:bidi="fa-IR"/>
        </w:rPr>
        <w:t xml:space="preserve">و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 وجوب الأمر بالاستئذان علی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الاستئذان علی الأطفال الممیّزین فی الأوقات الثلاثة، إلاّ أنّه حیث ثبت أنّ الطفل قبل البلوغ لم یکلّف بتکلیف مولویّ إلزامیّ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لحدیث رفع القلم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رفع الید عن ظهورها بالنسبة إلی الأطفال، و القول بأنّ الخطاب فیها متوجّه إلی المکلّفین کما فی الآیة، و یجب علیهم أن یأمروا أطفالهم بالاستئذان علی نحو الأدب و التمرین</w:t>
      </w:r>
      <w:r>
        <w:rPr>
          <w:rFonts w:eastAsia="IRNazanin" w:cs="IRNazanin"/>
          <w:color w:val="111111"/>
          <w:sz w:val="28"/>
          <w:szCs w:val="28"/>
          <w:rtl w:val="true"/>
          <w:lang w:bidi="fa-IR"/>
        </w:rPr>
        <w:t>.</w:t>
      </w:r>
    </w:p>
    <w:p>
      <w:pPr>
        <w:pStyle w:val="Heading5"/>
        <w:numPr>
          <w:ilvl w:val="4"/>
          <w:numId w:val="1"/>
        </w:numPr>
        <w:rPr/>
      </w:pPr>
      <w:bookmarkStart w:id="1246" w:name="__RefHeading___Toc9531367_73709187"/>
      <w:bookmarkStart w:id="1247" w:name="_Toc486"/>
      <w:bookmarkEnd w:id="1246"/>
      <w:r>
        <w:rPr>
          <w:rtl w:val="true"/>
        </w:rPr>
        <w:t>آراء أهل السُنّة فی المقام</w:t>
      </w:r>
      <w:bookmarkEnd w:id="1247"/>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بأن یستأذن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الأطفال الذین لم یحتلموا من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و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کلّ واحدة من هذه الأحوال عورة؛ لأنّ الناس یختلّ تستّرهم و تحفّظهم فیها</w:t>
      </w:r>
      <w:r>
        <w:rPr>
          <w:rFonts w:eastAsia="Amiri" w:cs="Amiri" w:ascii="Amiri" w:hAnsi="Amiri"/>
          <w:color w:val="111111"/>
          <w:sz w:val="28"/>
          <w:szCs w:val="28"/>
          <w:rtl w:val="true"/>
          <w:lang w:bidi="ar-SA"/>
        </w:rPr>
        <w:t>»</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التفسیر الکبیر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ارید به العبید و الإماء إذا کانوا بالغین فغیر ممتنع أن یکون أمراً لهم فی الحقیقة، و إن ارید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لَمْ یَبْلُغُوا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یجز أن یکون أمراً لهم، و یجب أن یکون أمراً لنا؛ بأن نأمرهم بذلک و نبعثهم علیه، کما امرنا بأمر الصبیّ، و قد عقل الصلاة أن یفعلها لا علی وجه التکلیف لهم، لکنّه تکلیف لنا لما فیه من المصلحة لنا و لهم بعد البلوغ، و لا یبعد أن یکون لفظ الأمر و إن کان فی الظاهر متوجّهاً علیهم إلاّ أنّه یکون فی الحقیقة متوجّهاً علی المولی</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و به قال النیسابوری فی غرائب القرآن</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الصبیان، فإن کان الصغیر ممّن لا یمیّز بین العورة و غیرها فیدخل فی الأوقات کلّها، و إن کان من أهل التمییز بأن قرب من البلوغ یمنعه الأب من الدخول فی الأوقات الثلاثة تأدیباً و تعلیماً لأُمور الدین، کالأمر بالصلاة إذا بلغ سبعاً</w:t>
      </w:r>
      <w:r>
        <w:rPr>
          <w:rFonts w:eastAsia="IRNazanin" w:cs="IRNazanin"/>
          <w:color w:val="111111"/>
          <w:sz w:val="28"/>
          <w:szCs w:val="28"/>
          <w:rtl w:val="true"/>
          <w:lang w:bidi="fa-IR"/>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 لأحکام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الأطفال الذین لم یبلغوا الحُلُم إلاّ أنّهم عقلوا معانی الکشفة و نحوها، یستأذنون علی أهلیهم فی هذه الأوقات الثلاثة</w:t>
      </w:r>
      <w:r>
        <w:rPr>
          <w:rFonts w:eastAsia="IRNazanin" w:cs="IRNazanin"/>
          <w:color w:val="111111"/>
          <w:sz w:val="28"/>
          <w:szCs w:val="28"/>
          <w:rtl w:val="true"/>
          <w:lang w:bidi="fa-IR"/>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الموسوعة الفقهیّة الکویتیّة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الصغیر الممیّز، فقد ذهب الجمهور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الحنفیّة و المالکیّة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أمره بالاستئذان قبل الدخول فی الأوقات الثلاثة التی هی مظنّة کشف العورات؛ لأنّ العادة جرت بتخفّف الناس فیها من الثیاب</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48" w:name="pg11754_113300"/>
    </w:p>
    <w:p>
      <w:pPr>
        <w:pStyle w:val="Heading4"/>
        <w:numPr>
          <w:ilvl w:val="3"/>
          <w:numId w:val="1"/>
        </w:numPr>
        <w:rPr/>
      </w:pPr>
      <w:bookmarkStart w:id="1249" w:name="__RefHeading___Toc9531369_73709187"/>
      <w:bookmarkStart w:id="1250" w:name="_Toc487"/>
      <w:bookmarkEnd w:id="1248"/>
      <w:bookmarkEnd w:id="1249"/>
      <w:r>
        <w:rPr>
          <w:rtl w:val="true"/>
        </w:rPr>
        <w:t>المبحث الثانی</w:t>
      </w:r>
      <w:r>
        <w:rPr>
          <w:rtl w:val="true"/>
        </w:rPr>
        <w:t xml:space="preserve">: </w:t>
      </w:r>
      <w:r>
        <w:rPr>
          <w:rtl w:val="true"/>
        </w:rPr>
        <w:t>أدب النظافة</w:t>
      </w:r>
      <w:bookmarkEnd w:id="1250"/>
    </w:p>
    <w:p>
      <w:pPr>
        <w:pStyle w:val="BookText"/>
        <w:rPr/>
      </w:pPr>
      <w:r>
        <w:rPr>
          <w:rFonts w:ascii="IRNazanin" w:hAnsi="IRNazanin" w:eastAsia="IRNazanin"/>
          <w:color w:val="111111"/>
          <w:sz w:val="28"/>
          <w:sz w:val="28"/>
          <w:szCs w:val="28"/>
          <w:rtl w:val="true"/>
          <w:lang w:bidi="fa-IR"/>
        </w:rPr>
        <w:t>اهتمّ الإسلام برعایة النظافة فی البدن و اللباس و البیوت و غیرها کمال الاهتمام، حتّی ورد أنّ الإسلام بُنی علی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تنظّفوا بکلّ ما استطعتم،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النظافة، و لن یدخل الجنّة إلاّ کلّ نظیف</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للوالدین العنایة بتنظیف أطفالهم فی الجسد و اللباس و غیرهما حتّی إذا شبّ الولد عن الطوق، و تدرّج فی سنّی الطفولة، و أصبح یدرک حقائق الأشیاء، کان تعامله مع الآخرین فی غایة البرّ و الإحسان، و کان سلوکه فی المجتمع فی منتهی المحبّة و الملاطفة، بل یظهر الولد فی سلوکه و أخلاقه و تعامله مع الآخرین علی أحسن ما یظهر به إنسان سویّ و یدلّ علی وجوب ذلک علی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یدلّ علی وجوب حضانتهم، و کذا یستفاد ذلک من النصوص الخاصّة أیضاً، و هی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أنّ النظافة حقّ للأولاد، کما</w:t>
      </w:r>
    </w:p>
    <w:p>
      <w:pPr>
        <w:pStyle w:val="BookText"/>
        <w:rPr/>
      </w:pPr>
      <w:r>
        <w:rPr>
          <w:rFonts w:ascii="IRNazanin" w:hAnsi="IRNazanin" w:eastAsia="IRNazanin"/>
          <w:color w:val="111111"/>
          <w:sz w:val="28"/>
          <w:sz w:val="28"/>
          <w:szCs w:val="28"/>
          <w:rtl w:val="true"/>
          <w:lang w:bidi="fa-IR"/>
        </w:rPr>
        <w:t>رواه فی الکافی عن السکونی،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والده إذا کان ذکراً أن یستفره أُمّه، و یستحسن اسمه، و یعلّمه کتاب اللّه، و یطهّره، و یعلّمه السباحة</w:t>
      </w:r>
      <w:r>
        <w:rPr>
          <w:rFonts w:eastAsia="IRNazanin" w:cs="IRNazanin"/>
          <w:color w:val="111111"/>
          <w:sz w:val="28"/>
          <w:szCs w:val="28"/>
          <w:rtl w:val="true"/>
          <w:lang w:bidi="fa-IR"/>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عدم رعایة نظافة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عیون الأخبار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p>
    <w:p>
      <w:pPr>
        <w:pStyle w:val="BookText"/>
        <w:rPr/>
      </w:pPr>
      <w:r>
        <w:rPr>
          <w:rFonts w:ascii="IRNazanin" w:hAnsi="IRNazanin" w:eastAsia="IRNazanin"/>
          <w:color w:val="111111"/>
          <w:sz w:val="28"/>
          <w:sz w:val="28"/>
          <w:szCs w:val="28"/>
          <w:rtl w:val="true"/>
          <w:lang w:bidi="fa-IR"/>
        </w:rPr>
        <w:t>صبیانکم من الغمر</w:t>
      </w:r>
      <w:r>
        <w:rPr>
          <w:rStyle w:val="FootnoteAnchor"/>
          <w:rtl w:val="true"/>
        </w:rPr>
        <w:footnoteReference w:id="2174"/>
      </w:r>
      <w:r>
        <w:rPr>
          <w:rFonts w:ascii="IRNazanin" w:hAnsi="IRNazanin" w:eastAsia="IRNazanin"/>
          <w:color w:val="111111"/>
          <w:sz w:val="28"/>
          <w:sz w:val="28"/>
          <w:szCs w:val="28"/>
          <w:rtl w:val="true"/>
          <w:lang w:bidi="fa-IR"/>
        </w:rPr>
        <w:t>؛ فإنّ الشیطان یشمّ الغمر فیفزع الصبی فی رقاده، و یتأذّی به الکاتبان</w:t>
      </w:r>
      <w:r>
        <w:rPr>
          <w:rFonts w:eastAsia="IRNazanin" w:cs="IRNazanin"/>
          <w:color w:val="111111"/>
          <w:sz w:val="28"/>
          <w:szCs w:val="28"/>
          <w:rtl w:val="true"/>
          <w:lang w:bidi="fa-IR"/>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فی علل الشرائع عن أمیر المؤمنین علیه السلام</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لزوم اهتمام الأبوین بحسن ظاهر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فی الکافی عن السکونی،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 الله علیه و آله بصبیّ یدعو له و له قنازع، فأبی أن یدعو له و أمر بحلق رأسه، و أمر رسول اللّه صلی الله علیه و آله بحلق شعر البطن</w:t>
      </w:r>
      <w:r>
        <w:rPr>
          <w:rFonts w:eastAsia="IRNazanin" w:cs="IRNazanin"/>
          <w:color w:val="111111"/>
          <w:sz w:val="28"/>
          <w:szCs w:val="28"/>
          <w:rtl w:val="true"/>
          <w:lang w:bidi="fa-IR"/>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رواه عنه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تحلقوا الصبیان القزع</w:t>
      </w:r>
      <w:r>
        <w:rPr>
          <w:rFonts w:eastAsia="IRNazanin" w:cs="IRNazanin"/>
          <w:color w:val="111111"/>
          <w:sz w:val="28"/>
          <w:szCs w:val="28"/>
          <w:rtl w:val="true"/>
          <w:lang w:bidi="fa-IR"/>
        </w:rPr>
        <w:t>»</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عن ابن القداح،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یکره القزع فی رءوس الصبیان، و ذکر أنّ القزع أن یحلق الرأس إلاّ قلیلاً، و یترک وسط الرأس تسمّی القزعة</w:t>
      </w:r>
      <w:r>
        <w:rPr>
          <w:rFonts w:eastAsia="IRNazanin" w:cs="IRNazanin"/>
          <w:color w:val="111111"/>
          <w:sz w:val="28"/>
          <w:szCs w:val="28"/>
          <w:rtl w:val="true"/>
          <w:lang w:bidi="fa-IR"/>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bookmarkStart w:id="1251" w:name="pg11754_113302"/>
    </w:p>
    <w:p>
      <w:pPr>
        <w:pStyle w:val="Heading4"/>
        <w:numPr>
          <w:ilvl w:val="3"/>
          <w:numId w:val="1"/>
        </w:numPr>
        <w:rPr/>
      </w:pPr>
      <w:bookmarkStart w:id="1252" w:name="__RefHeading___Toc9531371_73709187"/>
      <w:bookmarkStart w:id="1253" w:name="_Toc488"/>
      <w:bookmarkEnd w:id="1251"/>
      <w:bookmarkEnd w:id="1252"/>
      <w:r>
        <w:rPr>
          <w:rtl w:val="true"/>
        </w:rPr>
        <w:t>المبحث الثالث</w:t>
      </w:r>
      <w:r>
        <w:rPr>
          <w:rtl w:val="true"/>
        </w:rPr>
        <w:t xml:space="preserve">: </w:t>
      </w:r>
      <w:r>
        <w:rPr>
          <w:rtl w:val="true"/>
        </w:rPr>
        <w:t>آداب الطعام</w:t>
      </w:r>
      <w:bookmarkEnd w:id="1253"/>
    </w:p>
    <w:p>
      <w:pPr>
        <w:pStyle w:val="Heading5"/>
        <w:numPr>
          <w:ilvl w:val="4"/>
          <w:numId w:val="1"/>
        </w:numPr>
        <w:rPr/>
      </w:pPr>
      <w:bookmarkStart w:id="1254" w:name="__RefHeading___Toc9531373_73709187"/>
      <w:bookmarkStart w:id="1255" w:name="_Toc489"/>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 xml:space="preserve">إنّ الإنسان إذا جلس عند مائدة الطعام کان من ضیوف الرحمن،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المؤمنین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أفتوا باستحباب رعایة آداب الأکل و الشرب، و ذکروا فی کتاب الأطعمة و الأشربة آداباً کثیرة، فلیراجع الطالب</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فینبغی للمؤمن رعایتها و تعلیمها للأطفال، و تفهیمهم أنّ أنواع المأکولات و المشروبات من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عباده، و لذا یجب علی العبد شکر هذه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الکاشانی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ما یغلب علی الصبیّ من الصفات، شره الطعام، فینبغی أن یؤدّب فیه، مثل أن لا یأخذ الطعام إلاّ بیمینه،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أخذه، و یأکل ممّا یلیه، و لا یبادر إلی الطعام قبل غیره، و لا یحدق إلی الطعام و لا إلی مَن یأکل، و لا یسرع فی الأکل، و یمضغ الطعام مضغاً جیّداً، و لا یوالی بین اللقم، و لا یلطّخ ثوبه و لا یده، و یعوّد الخبز القفار فی بعض الأوقات حتّی لا یصیر بحیث یری الأدم حتماً، و یقبّح عنده کثیرة الأکل؛ بأن یشبّه من یکثر الأکل بالبهائم، و بأن یذمّ بین یدیه الصبیّ الذی یکثر الأکل، و یمدح بین یدیه الصبیّ المتأدّب القلیل الأکل، و یحبّب إلیه الإیثار بالطعام و قلّة المبالاة به، و القناعة بالطعام الخشن أیّ طعام کان</w:t>
      </w:r>
      <w:r>
        <w:rPr>
          <w:rFonts w:eastAsia="IRNazanin" w:cs="IRNazanin"/>
          <w:color w:val="111111"/>
          <w:sz w:val="28"/>
          <w:szCs w:val="28"/>
          <w:rtl w:val="true"/>
          <w:lang w:bidi="fa-IR"/>
        </w:rPr>
        <w:t>»</w:t>
      </w:r>
      <w:r>
        <w:rPr>
          <w:rStyle w:val="FootnoteAnchor"/>
          <w:rtl w:val="true"/>
        </w:rPr>
        <w:footnoteReference w:id="2181"/>
      </w:r>
      <w:bookmarkStart w:id="1256" w:name="pg11754_113303"/>
    </w:p>
    <w:p>
      <w:pPr>
        <w:pStyle w:val="BookText"/>
        <w:rPr/>
      </w:pPr>
      <w:bookmarkEnd w:id="1256"/>
      <w:r>
        <w:rPr>
          <w:rFonts w:ascii="IRNazanin" w:hAnsi="IRNazanin" w:eastAsia="IRNazanin"/>
          <w:color w:val="111111"/>
          <w:sz w:val="28"/>
          <w:sz w:val="28"/>
          <w:szCs w:val="28"/>
          <w:rtl w:val="true"/>
          <w:lang w:bidi="fa-IR"/>
        </w:rPr>
        <w:t>و یدلّ علیه طوائف من النصوص</w:t>
      </w:r>
      <w:r>
        <w:rPr>
          <w:rFonts w:eastAsia="IRNazanin" w:cs="IRNazanin"/>
          <w:color w:val="111111"/>
          <w:sz w:val="28"/>
          <w:szCs w:val="28"/>
          <w:rtl w:val="true"/>
          <w:lang w:bidi="fa-IR"/>
        </w:rPr>
        <w:t>:</w:t>
      </w:r>
    </w:p>
    <w:p>
      <w:pPr>
        <w:pStyle w:val="Heading5"/>
        <w:numPr>
          <w:ilvl w:val="4"/>
          <w:numId w:val="1"/>
        </w:numPr>
        <w:rPr/>
      </w:pPr>
      <w:bookmarkStart w:id="1257" w:name="__RefHeading___Toc9531375_73709187"/>
      <w:bookmarkStart w:id="1258" w:name="_Toc490"/>
      <w:bookmarkEnd w:id="1257"/>
      <w:r>
        <w:rPr>
          <w:rtl w:val="true"/>
        </w:rPr>
        <w:t>الأولی</w:t>
      </w:r>
      <w:r>
        <w:rPr>
          <w:rtl w:val="true"/>
        </w:rPr>
        <w:t xml:space="preserve">: </w:t>
      </w:r>
      <w:r>
        <w:rPr>
          <w:rtl w:val="true"/>
        </w:rPr>
        <w:t>العمومات و الإطلاقات</w:t>
      </w:r>
      <w:r>
        <w:rPr>
          <w:rtl w:val="true"/>
        </w:rPr>
        <w:t>:</w:t>
      </w:r>
      <w:bookmarkEnd w:id="1258"/>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رواه فی الکافی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أکل طعاماً فلیذکر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فإن نسی فذکر اللّه من بعد تقیّأ الشیطان لعنه اللّه ما کان أکل و استقلّ‌</w:t>
      </w:r>
      <w:r>
        <w:rPr>
          <w:rStyle w:val="FootnoteAnchor"/>
          <w:rtl w:val="true"/>
        </w:rPr>
        <w:footnoteReference w:id="2182"/>
      </w:r>
      <w:r>
        <w:rPr>
          <w:rFonts w:ascii="IRNazanin" w:hAnsi="IRNazanin" w:eastAsia="IRNazanin"/>
          <w:color w:val="111111"/>
          <w:sz w:val="28"/>
          <w:sz w:val="28"/>
          <w:szCs w:val="28"/>
          <w:rtl w:val="true"/>
          <w:lang w:bidi="fa-IR"/>
        </w:rPr>
        <w:t>الرجل الطعام</w:t>
      </w:r>
      <w:r>
        <w:rPr>
          <w:rFonts w:eastAsia="IRNazanin" w:cs="IRNazanin"/>
          <w:color w:val="111111"/>
          <w:sz w:val="28"/>
          <w:szCs w:val="28"/>
          <w:rtl w:val="true"/>
          <w:lang w:bidi="fa-IR"/>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المائدة حفّتها أربعة آلاف مَلَک،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طعامکم، ثمّ یقولون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فاسق لا سلطان لک علیهم، فإذا فرغوا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علیهم فأدّوا شکر ربّهم، و إذا لم یسمّوا قالت الملائکة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فاسق فکل معهم، فإذا رفعت المائدة و لم یذکروا اسم اللّه علیها،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أنعم اللّه علیهم فنسوا ربّهم عزّ و جلّ</w:t>
      </w:r>
      <w:r>
        <w:rPr>
          <w:rFonts w:eastAsia="IRNazanin" w:cs="IRNazanin"/>
          <w:color w:val="111111"/>
          <w:sz w:val="28"/>
          <w:szCs w:val="28"/>
          <w:rtl w:val="true"/>
          <w:lang w:bidi="fa-IR"/>
        </w:rPr>
        <w:t>»</w:t>
      </w:r>
      <w:r>
        <w:rPr>
          <w:rStyle w:val="FootnoteAnchor"/>
          <w:rtl w:val="true"/>
        </w:rPr>
        <w:footnoteReference w:id="2184"/>
      </w:r>
      <w:r>
        <w:rPr>
          <w:rFonts w:ascii="IRNazanin" w:hAnsi="IRNazanin" w:eastAsia="IRNazanin"/>
          <w:color w:val="111111"/>
          <w:sz w:val="28"/>
          <w:sz w:val="28"/>
          <w:szCs w:val="28"/>
          <w:rtl w:val="true"/>
          <w:lang w:bidi="fa-IR"/>
        </w:rPr>
        <w:t>و غیرها</w:t>
      </w:r>
      <w:r>
        <w:rPr>
          <w:rStyle w:val="FootnoteAnchor"/>
          <w:rtl w:val="true"/>
        </w:rPr>
        <w:footnoteReference w:id="2185"/>
      </w:r>
      <w:r>
        <w:rPr>
          <w:rFonts w:ascii="IRNazanin" w:hAnsi="IRNazanin" w:eastAsia="IRNazanin"/>
          <w:color w:val="111111"/>
          <w:sz w:val="28"/>
          <w:sz w:val="28"/>
          <w:szCs w:val="28"/>
          <w:rtl w:val="true"/>
          <w:lang w:bidi="fa-IR"/>
        </w:rPr>
        <w:t>التی هی کثیرة</w:t>
      </w:r>
      <w:r>
        <w:rPr>
          <w:rFonts w:eastAsia="IRNazanin" w:cs="IRNazanin"/>
          <w:color w:val="111111"/>
          <w:sz w:val="28"/>
          <w:szCs w:val="28"/>
          <w:rtl w:val="true"/>
          <w:lang w:bidi="fa-IR"/>
        </w:rPr>
        <w:t>.</w:t>
      </w:r>
    </w:p>
    <w:p>
      <w:pPr>
        <w:pStyle w:val="Heading5"/>
        <w:numPr>
          <w:ilvl w:val="4"/>
          <w:numId w:val="1"/>
        </w:numPr>
        <w:rPr/>
      </w:pPr>
      <w:bookmarkStart w:id="1259" w:name="__RefHeading___Toc9531377_73709187"/>
      <w:bookmarkStart w:id="1260" w:name="_Toc491"/>
      <w:bookmarkEnd w:id="1259"/>
      <w:r>
        <w:rPr>
          <w:rtl w:val="true"/>
        </w:rPr>
        <w:t>الثانیة</w:t>
      </w:r>
      <w:r>
        <w:rPr>
          <w:rtl w:val="true"/>
        </w:rPr>
        <w:t xml:space="preserve">: </w:t>
      </w:r>
      <w:r>
        <w:rPr>
          <w:rtl w:val="true"/>
        </w:rPr>
        <w:t>ما تدلّ علی استحباب تعلیم ذکر اللّه و تحمیده بالعائلة خاصّة</w:t>
      </w:r>
      <w:bookmarkEnd w:id="1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رواه فی الکافی عن مسمع،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رجل یجمع عیاله و یضع مائدة بین یدیه و یسمّی و یسمّون فی أوّل الطعام، و یحمدون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 فترتفع المائدة حتّی یغفر لهم</w:t>
      </w:r>
      <w:r>
        <w:rPr>
          <w:rFonts w:eastAsia="IRNazanin" w:cs="IRNazanin"/>
          <w:color w:val="111111"/>
          <w:sz w:val="28"/>
          <w:szCs w:val="28"/>
          <w:rtl w:val="true"/>
          <w:lang w:bidi="fa-IR"/>
        </w:rPr>
        <w:t>»</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1" w:name="__RefHeading___Toc9531379_73709187"/>
      <w:bookmarkStart w:id="1262" w:name="_Toc492"/>
      <w:bookmarkEnd w:id="1261"/>
      <w:r>
        <w:rPr>
          <w:rtl w:val="true"/>
        </w:rPr>
        <w:t>الثالثة</w:t>
      </w:r>
      <w:r>
        <w:rPr>
          <w:rtl w:val="true"/>
        </w:rPr>
        <w:t xml:space="preserve">: </w:t>
      </w:r>
      <w:r>
        <w:rPr>
          <w:rtl w:val="true"/>
        </w:rPr>
        <w:t>ما ورد فی تعلیم النبیّ صلی الله علیه و آله أطفال المسلمین بعض آداب الأکل</w:t>
      </w:r>
      <w:bookmarkStart w:id="1263" w:name="pg11754_113304"/>
      <w:bookmarkEnd w:id="1262"/>
    </w:p>
    <w:p>
      <w:pPr>
        <w:pStyle w:val="BookText"/>
        <w:rPr/>
      </w:pPr>
      <w:bookmarkEnd w:id="1263"/>
      <w:r>
        <w:rPr>
          <w:rFonts w:ascii="IRNazanin" w:hAnsi="IRNazanin" w:eastAsia="IRNazanin"/>
          <w:color w:val="111111"/>
          <w:sz w:val="28"/>
          <w:sz w:val="28"/>
          <w:szCs w:val="28"/>
          <w:rtl w:val="true"/>
          <w:lang w:bidi="fa-IR"/>
        </w:rPr>
        <w:t>روی مسلم فی صحیحه عن عمر بن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حجر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یدی تطیش</w:t>
      </w:r>
      <w:r>
        <w:rPr>
          <w:rStyle w:val="FootnoteAnchor"/>
          <w:rtl w:val="true"/>
        </w:rPr>
        <w:footnoteReference w:id="2187"/>
      </w:r>
      <w:r>
        <w:rPr>
          <w:rFonts w:ascii="IRNazanin" w:hAnsi="IRNazanin" w:eastAsia="IRNazanin"/>
          <w:color w:val="111111"/>
          <w:sz w:val="28"/>
          <w:sz w:val="28"/>
          <w:szCs w:val="28"/>
          <w:rtl w:val="true"/>
          <w:lang w:bidi="fa-IR"/>
        </w:rPr>
        <w:t>فی الصحفة،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سمّ اللّه و کُلْ بیمینک، و کل ممّا یلیک</w:t>
      </w:r>
      <w:r>
        <w:rPr>
          <w:rFonts w:eastAsia="IRNazanin" w:cs="IRNazanin"/>
          <w:color w:val="111111"/>
          <w:sz w:val="28"/>
          <w:szCs w:val="28"/>
          <w:rtl w:val="true"/>
          <w:lang w:bidi="fa-IR"/>
        </w:rPr>
        <w:t>»</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أیضاً البخاری فی صحیحه</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9531381_73709187"/>
      <w:bookmarkStart w:id="1265" w:name="_Toc493"/>
      <w:bookmarkEnd w:id="1264"/>
      <w:r>
        <w:rPr>
          <w:rtl w:val="true"/>
        </w:rPr>
        <w:t>الرابعة</w:t>
      </w:r>
      <w:r>
        <w:rPr>
          <w:rtl w:val="true"/>
        </w:rPr>
        <w:t xml:space="preserve">: </w:t>
      </w:r>
      <w:r>
        <w:rPr>
          <w:rtl w:val="true"/>
        </w:rPr>
        <w:t>ما ورد فی تعلیم أمیر المؤمنین علیه السلام ولده آداب الطعام</w:t>
      </w:r>
      <w:bookmarkEnd w:id="1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الخصال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للحسن علیه السلام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أُعلّمکَ أربع خصال تستغنی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علی الطعام إلاّ و أنت جائع، و لا تقم علی الطعام إلاّ و أنت تشتهیه، و جوّد المضغ، و إذا نمت فأعرض نفسک علی الخلاء، فإذا استعملت هذا استغنیت عن الطبّ، و فی بعض النسخ عن الطبیب</w:t>
      </w:r>
      <w:r>
        <w:rPr>
          <w:rFonts w:eastAsia="IRNazanin" w:cs="IRNazanin"/>
          <w:color w:val="111111"/>
          <w:sz w:val="28"/>
          <w:szCs w:val="28"/>
          <w:rtl w:val="true"/>
          <w:lang w:bidi="fa-IR"/>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مکارم الأخلاق أیضاً عنه علیه السلام قال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تطعمنّ لقمة من حارّ و لا بارد، و لا تشربنّ شربة و لا جرعة إلاّ و أنت تقول قبل أن تأکله و قبل أن تشربه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فی أکلی و شربی السلامة من وعکه</w:t>
      </w:r>
      <w:r>
        <w:rPr>
          <w:rStyle w:val="FootnoteAnchor"/>
          <w:rtl w:val="true"/>
        </w:rPr>
        <w:footnoteReference w:id="219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القوّة به علی طاعتکَ، و ذکرک و شکرکَ فیما بقیته فی بدنی، و أن تشجّعنی بقوّتها علی عبادتک، و أن تلهمنی حسن التحرّز من معصیتکَ؛ فإنّک إن فعلت ذلک أمنت وعثه</w:t>
      </w:r>
      <w:r>
        <w:rPr>
          <w:rStyle w:val="FootnoteAnchor"/>
          <w:rtl w:val="true"/>
        </w:rPr>
        <w:footnoteReference w:id="2192"/>
      </w:r>
      <w:r>
        <w:rPr>
          <w:rFonts w:ascii="IRNazanin" w:hAnsi="IRNazanin" w:eastAsia="IRNazanin"/>
          <w:color w:val="111111"/>
          <w:sz w:val="28"/>
          <w:sz w:val="28"/>
          <w:szCs w:val="28"/>
          <w:rtl w:val="true"/>
          <w:lang w:bidi="fa-IR"/>
        </w:rPr>
        <w:t>و غائلته</w:t>
      </w:r>
      <w:r>
        <w:rPr>
          <w:rFonts w:eastAsia="IRNazanin" w:cs="IRNazanin"/>
          <w:color w:val="111111"/>
          <w:sz w:val="28"/>
          <w:szCs w:val="28"/>
          <w:rtl w:val="true"/>
          <w:lang w:bidi="fa-IR"/>
        </w:rPr>
        <w:t>»</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bookmarkStart w:id="1266" w:name="pg11754_113305"/>
    </w:p>
    <w:p>
      <w:pPr>
        <w:pStyle w:val="Heading4"/>
        <w:numPr>
          <w:ilvl w:val="3"/>
          <w:numId w:val="1"/>
        </w:numPr>
        <w:rPr/>
      </w:pPr>
      <w:bookmarkStart w:id="1267" w:name="__RefHeading___Toc9531383_73709187"/>
      <w:bookmarkStart w:id="1268" w:name="_Toc494"/>
      <w:bookmarkEnd w:id="1266"/>
      <w:bookmarkEnd w:id="1267"/>
      <w:r>
        <w:rPr>
          <w:rtl w:val="true"/>
        </w:rPr>
        <w:t>المبحث الرابع</w:t>
      </w:r>
      <w:r>
        <w:rPr>
          <w:rtl w:val="true"/>
        </w:rPr>
        <w:t xml:space="preserve">: </w:t>
      </w:r>
      <w:r>
        <w:rPr>
          <w:rtl w:val="true"/>
        </w:rPr>
        <w:t>أدب السلام</w:t>
      </w:r>
      <w:bookmarkEnd w:id="1268"/>
    </w:p>
    <w:p>
      <w:pPr>
        <w:pStyle w:val="BookText"/>
        <w:rPr/>
      </w:pPr>
      <w:r>
        <w:rPr>
          <w:rFonts w:ascii="IRNazanin" w:hAnsi="IRNazanin" w:eastAsia="IRNazanin"/>
          <w:color w:val="111111"/>
          <w:sz w:val="28"/>
          <w:sz w:val="28"/>
          <w:szCs w:val="28"/>
          <w:rtl w:val="true"/>
          <w:lang w:bidi="fa-IR"/>
        </w:rPr>
        <w:t>لا شکّ فی أنّ حقوق الصحبة کثیرة، منها أدب السّلام و التحیّة و هو من الموضوعات القرآنیّة و الآداب الاجتماعیّة، فینبغی للوالدین و المربّین تلقینه للأطفال؛ لأنّه یقوّی فیهم العادات الأخلاقیّة الإسلامیّة، و یصبح أساساً فی الشخصیّة و دعامةً فی حُسن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معانی الأخبار عن أبی بصیر،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الجنّة غرفاً یری ظاهرها من باطنها، و باطنها من ظاهرها، لا یسکنها من أُمّتی إلاّ من أطاب الکلام، و أطعم الطعام، و أفشی السلام، و أدام الصیام، و صلّی باللیل و 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إفشاء السلام أن لا یبخل بالسلام علی أحد من المسلمین</w:t>
      </w:r>
      <w:r>
        <w:rPr>
          <w:rFonts w:eastAsia="IRNazanin" w:cs="IRNazanin"/>
          <w:color w:val="111111"/>
          <w:sz w:val="28"/>
          <w:szCs w:val="28"/>
          <w:rtl w:val="true"/>
          <w:lang w:bidi="fa-IR"/>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رجل لسیّد الشهداء الحسین بن علیّ علیهما السلام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عافاک اللّه؟</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قبل الکلام عافاک اللّه،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تأذنوا لأحدٍ حتّی یسلّم</w:t>
      </w:r>
      <w:r>
        <w:rPr>
          <w:rFonts w:eastAsia="IRNazanin" w:cs="IRNazanin"/>
          <w:color w:val="111111"/>
          <w:sz w:val="28"/>
          <w:szCs w:val="28"/>
          <w:rtl w:val="true"/>
          <w:lang w:bidi="fa-IR"/>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علل الشرائع و العیون عن علیّ بن موسی الرضا،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علی الصبیان لتکون ذلک سنّةً من بعدی</w:t>
      </w:r>
      <w:r>
        <w:rPr>
          <w:rFonts w:eastAsia="IRNazanin" w:cs="IRNazanin"/>
          <w:color w:val="111111"/>
          <w:sz w:val="28"/>
          <w:szCs w:val="28"/>
          <w:rtl w:val="true"/>
          <w:lang w:bidi="fa-IR"/>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عن جرّاح المدائنی،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لیسلّم الصغیر علی الکبیر، و المارّ علی القاعد، و القلیل علی الکثیر</w:t>
      </w:r>
      <w:r>
        <w:rPr>
          <w:rFonts w:eastAsia="IRNazanin" w:cs="IRNazanin"/>
          <w:color w:val="111111"/>
          <w:sz w:val="28"/>
          <w:szCs w:val="28"/>
          <w:rtl w:val="true"/>
          <w:lang w:bidi="fa-IR"/>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ابدأ الناس بالسلام، و المصافحة قبل الکلام</w:t>
      </w:r>
      <w:r>
        <w:rPr>
          <w:rFonts w:eastAsia="IRNazanin" w:cs="IRNazanin"/>
          <w:color w:val="111111"/>
          <w:sz w:val="28"/>
          <w:szCs w:val="28"/>
          <w:rtl w:val="true"/>
          <w:lang w:bidi="fa-IR"/>
        </w:rPr>
        <w:t>»</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bookmarkStart w:id="1269" w:name="pg11754_113307"/>
    </w:p>
    <w:p>
      <w:pPr>
        <w:pStyle w:val="Heading4"/>
        <w:numPr>
          <w:ilvl w:val="3"/>
          <w:numId w:val="1"/>
        </w:numPr>
        <w:rPr/>
      </w:pPr>
      <w:bookmarkStart w:id="1270" w:name="__RefHeading___Toc9531385_73709187"/>
      <w:bookmarkStart w:id="1271" w:name="_Toc495"/>
      <w:bookmarkEnd w:id="1269"/>
      <w:bookmarkEnd w:id="1270"/>
      <w:r>
        <w:rPr>
          <w:rtl w:val="true"/>
        </w:rPr>
        <w:t>المبحث الخامس</w:t>
      </w:r>
      <w:r>
        <w:rPr>
          <w:rtl w:val="true"/>
        </w:rPr>
        <w:t>:</w:t>
      </w:r>
      <w:bookmarkEnd w:id="1271"/>
    </w:p>
    <w:p>
      <w:pPr>
        <w:pStyle w:val="Heading5"/>
        <w:numPr>
          <w:ilvl w:val="4"/>
          <w:numId w:val="1"/>
        </w:numPr>
        <w:rPr/>
      </w:pPr>
      <w:bookmarkStart w:id="1272" w:name="__RefHeading___Toc9531387_73709187"/>
      <w:bookmarkStart w:id="1273" w:name="_Toc496"/>
      <w:bookmarkEnd w:id="1272"/>
      <w:r>
        <w:rPr>
          <w:rtl w:val="true"/>
        </w:rPr>
        <w:t>اشارة</w:t>
      </w:r>
      <w:bookmarkEnd w:id="1273"/>
    </w:p>
    <w:p>
      <w:pPr>
        <w:pStyle w:val="BookText"/>
        <w:rPr/>
      </w:pPr>
      <w:r>
        <w:rPr>
          <w:rFonts w:ascii="IRNazanin" w:hAnsi="IRNazanin" w:eastAsia="IRNazanin"/>
          <w:color w:val="111111"/>
          <w:sz w:val="28"/>
          <w:sz w:val="28"/>
          <w:szCs w:val="28"/>
          <w:rtl w:val="true"/>
          <w:lang w:bidi="fa-IR"/>
        </w:rPr>
        <w:t>تعلیم الأطفال من ینبغی مصاحبته و من لا ینبغی</w:t>
      </w:r>
    </w:p>
    <w:p>
      <w:pPr>
        <w:pStyle w:val="BookText"/>
        <w:rPr/>
      </w:pPr>
      <w:r>
        <w:rPr>
          <w:rFonts w:ascii="IRNazanin" w:hAnsi="IRNazanin" w:eastAsia="IRNazanin"/>
          <w:color w:val="111111"/>
          <w:sz w:val="28"/>
          <w:sz w:val="28"/>
          <w:szCs w:val="28"/>
          <w:rtl w:val="true"/>
          <w:lang w:bidi="fa-IR"/>
        </w:rPr>
        <w:t>إنّ الإنسان مدنیّ بطبعه، یتأثّر بصدیقه و یقلّد فی أفعاله و أخلاقه، فربّ فرد أهلک و أفسد دینه و دنیاه لمصاحبته الفاسد الفاجر، و بالعکس ربّ أشخاص کانوا فاسدین فی برهة من سنین عمرهم، فصاروا من السعداء و المتّقین لمصاحبتهم الجلساء الصالحین، و کم لذلک نظیر فی الحقب السابقة فی التواریخ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یضلّ لمصاحبة قرین السوء،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فلینظر أحدکم من یخالل</w:t>
      </w:r>
      <w:r>
        <w:rPr>
          <w:rFonts w:eastAsia="IRNazanin" w:cs="IRNazanin"/>
          <w:color w:val="111111"/>
          <w:sz w:val="28"/>
          <w:szCs w:val="28"/>
          <w:rtl w:val="true"/>
          <w:lang w:bidi="fa-IR"/>
        </w:rPr>
        <w:t>»</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 من یصحب قرین السوء لا یسلم، و من یدخل مداخل السوء یتّهم</w:t>
      </w:r>
      <w:r>
        <w:rPr>
          <w:rFonts w:eastAsia="IRNazanin" w:cs="IRNazanin"/>
          <w:color w:val="111111"/>
          <w:sz w:val="28"/>
          <w:szCs w:val="28"/>
          <w:rtl w:val="true"/>
          <w:lang w:bidi="fa-IR"/>
        </w:rPr>
        <w:t>»</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الوالدین أن یهتمّا فی مجال تعلیم أطفالهم و توجیههم إلی من ینبغی صحبته و من لا ینبغی، کمال الاهتمام، و یلزم تکرار ذلک حتّی لا یصحبوا قرناء السوء، فیضلّوا عن صراط السعادة</w:t>
      </w:r>
      <w:r>
        <w:rPr>
          <w:rFonts w:eastAsia="IRNazanin" w:cs="IRNazanin"/>
          <w:color w:val="111111"/>
          <w:sz w:val="28"/>
          <w:szCs w:val="28"/>
          <w:rtl w:val="true"/>
          <w:lang w:bidi="fa-IR"/>
        </w:rPr>
        <w:t>.</w:t>
      </w:r>
    </w:p>
    <w:p>
      <w:pPr>
        <w:pStyle w:val="Heading5"/>
        <w:numPr>
          <w:ilvl w:val="4"/>
          <w:numId w:val="1"/>
        </w:numPr>
        <w:rPr/>
      </w:pPr>
      <w:bookmarkStart w:id="1274" w:name="__RefHeading___Toc9531389_73709187"/>
      <w:bookmarkStart w:id="1275" w:name="_Toc497"/>
      <w:bookmarkEnd w:id="1274"/>
      <w:r>
        <w:rPr>
          <w:rtl w:val="true"/>
        </w:rPr>
        <w:t>الحذر من المصاحبة مع بعض الناس</w:t>
      </w:r>
      <w:bookmarkEnd w:id="1275"/>
    </w:p>
    <w:p>
      <w:pPr>
        <w:pStyle w:val="Heading6"/>
        <w:numPr>
          <w:ilvl w:val="5"/>
          <w:numId w:val="1"/>
        </w:numPr>
        <w:rPr/>
      </w:pPr>
      <w:bookmarkStart w:id="1276" w:name="__RefHeading___Toc9531391_73709187"/>
      <w:bookmarkStart w:id="1277" w:name="_Toc498"/>
      <w:bookmarkEnd w:id="1276"/>
      <w:r>
        <w:rPr>
          <w:rtl w:val="true"/>
        </w:rPr>
        <w:t>اشارة</w:t>
      </w:r>
      <w:bookmarkEnd w:id="127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حذّر الأئمّة علیهم السلام أولادهم عن المصاحبة مع أصناف من الناس، فنذکر</w:t>
      </w:r>
      <w:bookmarkStart w:id="1278" w:name="pg11754_113308"/>
    </w:p>
    <w:p>
      <w:pPr>
        <w:pStyle w:val="BookText"/>
        <w:rPr/>
      </w:pPr>
      <w:bookmarkEnd w:id="1278"/>
      <w:r>
        <w:rPr>
          <w:rFonts w:ascii="IRNazanin" w:hAnsi="IRNazanin" w:eastAsia="IRNazanin"/>
          <w:color w:val="111111"/>
          <w:sz w:val="28"/>
          <w:sz w:val="28"/>
          <w:szCs w:val="28"/>
          <w:rtl w:val="true"/>
          <w:lang w:bidi="fa-IR"/>
        </w:rPr>
        <w:t>بعض ما ورد فی ذلک علی الترتیب التالی</w:t>
      </w:r>
      <w:r>
        <w:rPr>
          <w:rFonts w:eastAsia="IRNazanin" w:cs="IRNazanin"/>
          <w:color w:val="111111"/>
          <w:sz w:val="28"/>
          <w:szCs w:val="28"/>
          <w:rtl w:val="true"/>
          <w:lang w:bidi="fa-IR"/>
        </w:rPr>
        <w:t>:</w:t>
      </w:r>
    </w:p>
    <w:p>
      <w:pPr>
        <w:pStyle w:val="Heading6"/>
        <w:numPr>
          <w:ilvl w:val="5"/>
          <w:numId w:val="1"/>
        </w:numPr>
        <w:rPr/>
      </w:pPr>
      <w:bookmarkStart w:id="1279" w:name="__RefHeading___Toc9531393_73709187"/>
      <w:bookmarkStart w:id="1280" w:name="_Toc499"/>
      <w:bookmarkEnd w:id="1279"/>
      <w:r>
        <w:rPr>
          <w:rtl w:val="true"/>
        </w:rPr>
        <w:t>الأوّل</w:t>
      </w:r>
      <w:r>
        <w:rPr>
          <w:rtl w:val="true"/>
        </w:rPr>
        <w:t xml:space="preserve">: </w:t>
      </w:r>
      <w:r>
        <w:rPr>
          <w:rtl w:val="true"/>
        </w:rPr>
        <w:t>الکذّاب</w:t>
      </w:r>
      <w:bookmarkEnd w:id="1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علیّ بن الحسین علیهما السلام لبعض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انظر خمسة، فلا تصاحبهم، و لا تحادثهم، و لا ترافقهم فی 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هم عرفنیهم؟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الکذّاب؛ فإنّه بمنزلة السراب یقرّب لک البعید، و یبعّد لک القریب</w:t>
      </w:r>
      <w:r>
        <w:rPr>
          <w:rFonts w:eastAsia="IRNazanin" w:cs="IRNazanin"/>
          <w:color w:val="111111"/>
          <w:sz w:val="28"/>
          <w:szCs w:val="28"/>
          <w:rtl w:val="true"/>
          <w:lang w:bidi="fa-IR"/>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ما ورد فی وصایا أمیر المؤمنین لابنه الحسن علیهما السلام</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الأمالی عن أبی عبد اللّه علیه السلام أنّه قال فی وصیّة ورقة بن نوفل لخدیجة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بنیّة إیّاکِ و صحبة الأحمق الکذّاب؛ فإنّه یرید نفعک فیضرّکِ، یقرّب منک البعید، و یبعّد منک القریب، إن ائتمنته خانکِ و إن ائتمنکِ أهانک، و إن حدّثکِ کذّبکِ و إن حدّثته کذّبکِ، و أنت منه بمنزلة السراب الذی 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1" w:name="__RefHeading___Toc9531395_73709187"/>
      <w:bookmarkStart w:id="1282" w:name="_Toc500"/>
      <w:bookmarkEnd w:id="1281"/>
      <w:r>
        <w:rPr>
          <w:rtl w:val="true"/>
        </w:rPr>
        <w:t>الثانی</w:t>
      </w:r>
      <w:r>
        <w:rPr>
          <w:rtl w:val="true"/>
        </w:rPr>
        <w:t xml:space="preserve">: </w:t>
      </w:r>
      <w:r>
        <w:rPr>
          <w:rtl w:val="true"/>
        </w:rPr>
        <w:t>الفاسق</w:t>
      </w:r>
      <w:bookmarkEnd w:id="1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علیّ بن الحسین علیهما السلام فی ذیل الحدیث المتقدّم لبعض 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مصاحبة الفاسق؛ فإنّه بائعکَ بالأُکلة أو أقلّ من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مصاحبة الفسّاق، هم کالکلاب إن وجدوا عندک شیئاً أکلوه، و إلاّ ذمّوکَ و فضحوکَ، و إنّما حبّهم بینهم ساعة، یا بنیّ معاداة المؤمن خیر من مصادقة الفاسق، یا بنیّ المؤمن تظلمه و لا یظلمک، و تطلب علیه فیرضی عنکَ، و الفاسق لا یراقب اللّه فکیف یراقبکَ</w:t>
      </w:r>
      <w:r>
        <w:rPr>
          <w:rFonts w:eastAsia="IRNazanin" w:cs="IRNazanin"/>
          <w:color w:val="111111"/>
          <w:sz w:val="28"/>
          <w:szCs w:val="28"/>
          <w:rtl w:val="true"/>
          <w:lang w:bidi="fa-IR"/>
        </w:rPr>
        <w:t>»</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bookmarkStart w:id="1283" w:name="pg11754_113309"/>
    </w:p>
    <w:p>
      <w:pPr>
        <w:pStyle w:val="BookText"/>
        <w:rPr/>
      </w:pPr>
      <w:bookmarkEnd w:id="1283"/>
      <w:r>
        <w:rPr>
          <w:rFonts w:ascii="IRNazanin" w:hAnsi="IRNazanin" w:eastAsia="IRNazanin"/>
          <w:color w:val="111111"/>
          <w:sz w:val="28"/>
          <w:sz w:val="28"/>
          <w:szCs w:val="28"/>
          <w:rtl w:val="true"/>
          <w:lang w:bidi="fa-IR"/>
        </w:rPr>
        <w:t>و ورد نظیر هذا المعنی عن أمیر المؤمنین علیه السلام</w:t>
      </w:r>
      <w:r>
        <w:rPr>
          <w:rStyle w:val="FootnoteAnchor"/>
          <w:rtl w:val="true"/>
        </w:rPr>
        <w:footnoteReference w:id="220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9531397_73709187"/>
      <w:bookmarkStart w:id="1285" w:name="_Toc501"/>
      <w:bookmarkEnd w:id="1284"/>
      <w:r>
        <w:rPr>
          <w:rtl w:val="true"/>
        </w:rPr>
        <w:t>الثالث</w:t>
      </w:r>
      <w:r>
        <w:rPr>
          <w:rtl w:val="true"/>
        </w:rPr>
        <w:t xml:space="preserve">: </w:t>
      </w:r>
      <w:r>
        <w:rPr>
          <w:rtl w:val="true"/>
        </w:rPr>
        <w:t>الفاجر</w:t>
      </w:r>
      <w:bookmarkEnd w:id="1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وصیّة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مصادقة الفاجر؛ فإنّه یبیعکَ بالتافه</w:t>
      </w:r>
      <w:r>
        <w:rPr>
          <w:rFonts w:eastAsia="IRNazanin" w:cs="IRNazanin"/>
          <w:color w:val="111111"/>
          <w:sz w:val="28"/>
          <w:szCs w:val="28"/>
          <w:rtl w:val="true"/>
          <w:lang w:bidi="fa-IR"/>
        </w:rPr>
        <w:t>»</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الیسیر الحقیر، و ذلک لأنّه لا یخاف اللّه، و یسهّل علیه خلاف الدیانة، فلا یحفظ حقّ المصادقة</w:t>
      </w:r>
      <w:r>
        <w:rPr>
          <w:rFonts w:eastAsia="IRNazanin" w:cs="IRNazanin"/>
          <w:color w:val="111111"/>
          <w:sz w:val="28"/>
          <w:szCs w:val="28"/>
          <w:rtl w:val="true"/>
          <w:lang w:bidi="fa-IR"/>
        </w:rPr>
        <w:t>»</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الخصال 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الصادق بن الصادق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أوصنی،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لا مروءة لکذوب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تصحب الفاجر فیعلّمکَ من فجوره، و شاور فی أمرکَ الذین یخشون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ابن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أمرنی والدی علیه السلام بثلاث، و نهانی عن ثلاث، فکان فیما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یصحب صاحب السوء لا یسلم، و من یدخل مداخل السوء یتّهم، و من لا یملک لسانه یندم</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هذا المعنی من وصایا لقمان علیه السلام</w:t>
      </w:r>
      <w:r>
        <w:rPr>
          <w:rStyle w:val="FootnoteAnchor"/>
          <w:rtl w:val="true"/>
        </w:rPr>
        <w:footnoteReference w:id="2209"/>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9531399_73709187"/>
      <w:bookmarkStart w:id="1287" w:name="_Toc502"/>
      <w:bookmarkEnd w:id="1286"/>
      <w:r>
        <w:rPr>
          <w:rtl w:val="true"/>
        </w:rPr>
        <w:t>الرابع</w:t>
      </w:r>
      <w:r>
        <w:rPr>
          <w:rtl w:val="true"/>
        </w:rPr>
        <w:t xml:space="preserve">: </w:t>
      </w:r>
      <w:r>
        <w:rPr>
          <w:rtl w:val="true"/>
        </w:rPr>
        <w:t>البخیل</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فی وصیّة أمیر المؤمنین لابنه الحسن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مصادقة</w:t>
      </w:r>
      <w:bookmarkStart w:id="1288" w:name="pg11754_113310"/>
    </w:p>
    <w:p>
      <w:pPr>
        <w:pStyle w:val="BookText"/>
        <w:rPr/>
      </w:pPr>
      <w:bookmarkEnd w:id="1288"/>
      <w:r>
        <w:rPr>
          <w:rFonts w:ascii="IRNazanin" w:hAnsi="IRNazanin" w:eastAsia="IRNazanin"/>
          <w:color w:val="111111"/>
          <w:sz w:val="28"/>
          <w:sz w:val="28"/>
          <w:szCs w:val="28"/>
          <w:rtl w:val="true"/>
          <w:lang w:bidi="fa-IR"/>
        </w:rPr>
        <w:t>البخیل فإنّه یقعد عنکَ أحوج ما تکون إلیه</w:t>
      </w:r>
      <w:r>
        <w:rPr>
          <w:rFonts w:eastAsia="IRNazanin" w:cs="IRNazanin"/>
          <w:color w:val="111111"/>
          <w:sz w:val="28"/>
          <w:szCs w:val="28"/>
          <w:rtl w:val="true"/>
          <w:lang w:bidi="fa-IR"/>
        </w:rPr>
        <w:t>»</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 بن الحسین علیهما السلام فی ذیل الحدیث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مصاحبة البخیل؛ فإنّه یخذلکَ فی ماله أحوج ما تکون إلیه</w:t>
      </w:r>
      <w:r>
        <w:rPr>
          <w:rFonts w:eastAsia="IRNazanin" w:cs="IRNazanin"/>
          <w:color w:val="111111"/>
          <w:sz w:val="28"/>
          <w:szCs w:val="28"/>
          <w:rtl w:val="true"/>
          <w:lang w:bidi="fa-IR"/>
        </w:rPr>
        <w:t>»</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9" w:name="__RefHeading___Toc9531401_73709187"/>
      <w:bookmarkStart w:id="1290" w:name="_Toc503"/>
      <w:bookmarkEnd w:id="1289"/>
      <w:r>
        <w:rPr>
          <w:rtl w:val="true"/>
        </w:rPr>
        <w:t>الخامس</w:t>
      </w:r>
      <w:r>
        <w:rPr>
          <w:rtl w:val="true"/>
        </w:rPr>
        <w:t xml:space="preserve">: </w:t>
      </w:r>
      <w:r>
        <w:rPr>
          <w:rtl w:val="true"/>
        </w:rPr>
        <w:t>الأحمق</w:t>
      </w:r>
      <w:bookmarkEnd w:id="1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المجالس عن جعفر بن محمد،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سفراً فأوصی إلیّ أبی علی بن الحسین علیهما السلام، فقال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یا بنیّ أن تصاحب الأحمق أو تخالطه، و اهجره و لا تحادثه؛ فإنّ الأحمق هجنة عیّاب غائباً کان أو حاضراً، إن تکلّم فضحه حمقه، و إن سکت قصر به عیّه، و إن عمل أفسد، و إن استرعی أضاع، لا علمه من نفسه یغنیه، و لا علم غیره ینفعه، و لا یطیع ناصحه، و لا یستریح مقارنه، تودّ أُمّه أنّها ثکلته، و امرأته أنّها فقدته، و جاره بُعد داره، و جلیسه الوحدة من مجالسته، إن کان أصغر من فی المجلس أعنی من فوقه، و إن کان أکبرهم أفسد من دونه</w:t>
      </w:r>
      <w:r>
        <w:rPr>
          <w:rFonts w:eastAsia="IRNazanin" w:cs="IRNazanin"/>
          <w:color w:val="111111"/>
          <w:sz w:val="28"/>
          <w:szCs w:val="28"/>
          <w:rtl w:val="true"/>
          <w:lang w:bidi="fa-IR"/>
        </w:rPr>
        <w:t>...»</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شبه هذا عن أمیر المؤمنین</w:t>
      </w:r>
      <w:r>
        <w:rPr>
          <w:rStyle w:val="FootnoteAnchor"/>
          <w:rtl w:val="true"/>
        </w:rPr>
        <w:footnoteReference w:id="2213"/>
      </w:r>
      <w:r>
        <w:rPr>
          <w:rFonts w:ascii="IRNazanin" w:hAnsi="IRNazanin" w:eastAsia="IRNazanin"/>
          <w:color w:val="111111"/>
          <w:sz w:val="28"/>
          <w:sz w:val="28"/>
          <w:szCs w:val="28"/>
          <w:rtl w:val="true"/>
          <w:lang w:bidi="fa-IR"/>
        </w:rPr>
        <w:t>و أبی عبد اللّه الصادق علیهما السلام</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1" w:name="__RefHeading___Toc9531403_73709187"/>
      <w:bookmarkStart w:id="1292" w:name="_Toc504"/>
      <w:bookmarkEnd w:id="1291"/>
      <w:r>
        <w:rPr>
          <w:rtl w:val="true"/>
        </w:rPr>
        <w:t>السادس</w:t>
      </w:r>
      <w:r>
        <w:rPr>
          <w:rtl w:val="true"/>
        </w:rPr>
        <w:t xml:space="preserve">: </w:t>
      </w:r>
      <w:r>
        <w:rPr>
          <w:rtl w:val="true"/>
        </w:rPr>
        <w:t>القاطع للرحم</w:t>
      </w:r>
      <w:bookmarkEnd w:id="129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الکافی عن علیّ بن الحسین علیهما السلام أنّه قال لبعض بنیه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و إیّاک و مصاحبة القاطع لرحمه؛ فإنّی وجدته ملعوناً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w:t>
      </w:r>
      <w:bookmarkStart w:id="1293" w:name="pg11754_113311"/>
    </w:p>
    <w:p>
      <w:pPr>
        <w:pStyle w:val="BookText"/>
        <w:rPr/>
      </w:pPr>
      <w:bookmarkEnd w:id="1293"/>
      <w:r>
        <w:rPr>
          <w:rFonts w:ascii="Amiri" w:hAnsi="Amiri" w:eastAsia="Amiri" w:cs="Amiri"/>
          <w:color w:val="111111"/>
          <w:sz w:val="28"/>
          <w:sz w:val="28"/>
          <w:szCs w:val="28"/>
          <w:rtl w:val="true"/>
          <w:lang w:bidi="ar-SA"/>
        </w:rPr>
        <w:t xml:space="preserve">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4" w:name="__RefHeading___Toc9531405_73709187"/>
      <w:bookmarkStart w:id="1295" w:name="_Toc505"/>
      <w:bookmarkEnd w:id="1294"/>
      <w:r>
        <w:rPr>
          <w:rtl w:val="true"/>
        </w:rPr>
        <w:t>السابع</w:t>
      </w:r>
      <w:r>
        <w:rPr>
          <w:rtl w:val="true"/>
        </w:rPr>
        <w:t xml:space="preserve">: </w:t>
      </w:r>
      <w:r>
        <w:rPr>
          <w:rtl w:val="true"/>
        </w:rPr>
        <w:t>خبیث اللسان</w:t>
      </w:r>
      <w:bookmarkEnd w:id="1295"/>
    </w:p>
    <w:p>
      <w:pPr>
        <w:pStyle w:val="BookText"/>
        <w:rPr/>
      </w:pPr>
      <w:r>
        <w:rPr>
          <w:rFonts w:ascii="IRNazanin" w:hAnsi="IRNazanin" w:eastAsia="IRNazanin"/>
          <w:color w:val="111111"/>
          <w:sz w:val="28"/>
          <w:sz w:val="28"/>
          <w:szCs w:val="28"/>
          <w:rtl w:val="true"/>
          <w:lang w:bidi="fa-IR"/>
        </w:rPr>
        <w:t>و فی مواعظ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یغرّنکَ خبیث اللسان، فإنّه یختم علی قلبه، و تتکلّم جوارحه، و تشهد علیه</w:t>
      </w:r>
      <w:r>
        <w:rPr>
          <w:rFonts w:eastAsia="IRNazanin" w:cs="IRNazanin"/>
          <w:color w:val="111111"/>
          <w:sz w:val="28"/>
          <w:szCs w:val="28"/>
          <w:rtl w:val="true"/>
          <w:lang w:bidi="fa-IR"/>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معاشرة متتبّعی عیوب الناس؛ فإنّه لم یسلم مصاحبهم منهم</w:t>
      </w:r>
      <w:r>
        <w:rPr>
          <w:rFonts w:eastAsia="IRNazanin" w:cs="IRNazanin"/>
          <w:color w:val="111111"/>
          <w:sz w:val="28"/>
          <w:szCs w:val="28"/>
          <w:rtl w:val="true"/>
          <w:lang w:bidi="fa-IR"/>
        </w:rPr>
        <w:t>»</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6" w:name="__RefHeading___Toc9531407_73709187"/>
      <w:bookmarkStart w:id="1297" w:name="_Toc506"/>
      <w:bookmarkEnd w:id="1296"/>
      <w:r>
        <w:rPr>
          <w:rtl w:val="true"/>
        </w:rPr>
        <w:t>الثامن</w:t>
      </w:r>
      <w:r>
        <w:rPr>
          <w:rtl w:val="true"/>
        </w:rPr>
        <w:t xml:space="preserve">: </w:t>
      </w:r>
      <w:r>
        <w:rPr>
          <w:rtl w:val="true"/>
        </w:rPr>
        <w:t>الشرّیر</w:t>
      </w:r>
      <w:bookmarkEnd w:id="1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مواعظ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مصاحبة الأشرار؛ فإنّهم یمنّون علیکَ بالسلامة منهم</w:t>
      </w:r>
      <w:r>
        <w:rPr>
          <w:rFonts w:eastAsia="IRNazanin" w:cs="IRNazanin"/>
          <w:color w:val="111111"/>
          <w:sz w:val="28"/>
          <w:szCs w:val="28"/>
          <w:rtl w:val="true"/>
          <w:lang w:bidi="fa-IR"/>
        </w:rPr>
        <w:t>»</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صحبة الأشرار تکسب الشرّ، کالریح إذا مرّت بالنتن حملت نتناً</w:t>
      </w:r>
      <w:r>
        <w:rPr>
          <w:rFonts w:eastAsia="IRNazanin" w:cs="IRNazanin"/>
          <w:color w:val="111111"/>
          <w:sz w:val="28"/>
          <w:szCs w:val="28"/>
          <w:rtl w:val="true"/>
          <w:lang w:bidi="fa-IR"/>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bookmarkStart w:id="1298" w:name="pg11754_113312"/>
    </w:p>
    <w:p>
      <w:pPr>
        <w:pStyle w:val="BookText"/>
        <w:rPr/>
      </w:pPr>
      <w:bookmarkEnd w:id="12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عنه علیه السلام فی وصیّته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أهل الخیر تکن منهم، باین أهل الشرّ و من یصدّک عن ذکر اللّه عزّ و جلّ</w:t>
      </w:r>
      <w:r>
        <w:rPr>
          <w:rFonts w:eastAsia="IRNazanin" w:cs="IRNazanin"/>
          <w:color w:val="111111"/>
          <w:sz w:val="28"/>
          <w:szCs w:val="28"/>
          <w:rtl w:val="true"/>
          <w:lang w:bidi="fa-IR"/>
        </w:rPr>
        <w:t>»</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 تورث سوء الظنّ بالأخیار، و مجالسة الأخیار تلحق الأشرار بالأخیار، و مجالسة الأبرار للفجّار تلحق الأبرار بالفجّار، فمن اشتبه علیکم أمره و لم تعرفوا دینه فانظروا إلی خلطائه</w:t>
      </w:r>
      <w:r>
        <w:rPr>
          <w:rFonts w:eastAsia="IRNazanin" w:cs="IRNazanin"/>
          <w:color w:val="111111"/>
          <w:sz w:val="28"/>
          <w:szCs w:val="28"/>
          <w:rtl w:val="true"/>
          <w:lang w:bidi="fa-IR"/>
        </w:rPr>
        <w:t>»</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مواعظ أبی جعفر محمد بن علیّ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الشرّیر؛ فإنّه کالسیف یحسن منظره و یقبح أثره</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9531409_73709187"/>
      <w:bookmarkStart w:id="1300" w:name="_Toc507"/>
      <w:bookmarkEnd w:id="1299"/>
      <w:r>
        <w:rPr>
          <w:rtl w:val="true"/>
        </w:rPr>
        <w:t>من ینبغی مصاحبته</w:t>
      </w:r>
      <w:bookmarkEnd w:id="1300"/>
    </w:p>
    <w:p>
      <w:pPr>
        <w:pStyle w:val="Heading6"/>
        <w:numPr>
          <w:ilvl w:val="5"/>
          <w:numId w:val="1"/>
        </w:numPr>
        <w:rPr/>
      </w:pPr>
      <w:bookmarkStart w:id="1301" w:name="__RefHeading___Toc9531411_73709187"/>
      <w:bookmarkStart w:id="1302" w:name="_Toc508"/>
      <w:bookmarkEnd w:id="1301"/>
      <w:r>
        <w:rPr>
          <w:rtl w:val="true"/>
        </w:rPr>
        <w:t>اشارة</w:t>
      </w:r>
      <w:bookmarkEnd w:id="1302"/>
    </w:p>
    <w:p>
      <w:pPr>
        <w:pStyle w:val="BookText"/>
        <w:rPr/>
      </w:pPr>
      <w:r>
        <w:rPr>
          <w:rFonts w:ascii="IRNazanin" w:hAnsi="IRNazanin" w:eastAsia="IRNazanin"/>
          <w:color w:val="111111"/>
          <w:sz w:val="28"/>
          <w:sz w:val="28"/>
          <w:szCs w:val="28"/>
          <w:rtl w:val="true"/>
          <w:lang w:bidi="fa-IR"/>
        </w:rPr>
        <w:t>قد رغّب الأولیاء و الأئمّة علیهم السلام أولادهم بالاستکثار من الأصدقاء بعد الاختبار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استکثر من الأصدقاء و لا تأمن من الأعداء؛ فإنّ الغلّ فی صدورهم مثل الماء تحت الرماد</w:t>
      </w:r>
      <w:r>
        <w:rPr>
          <w:rFonts w:eastAsia="IRNazanin" w:cs="IRNazanin"/>
          <w:color w:val="111111"/>
          <w:sz w:val="28"/>
          <w:szCs w:val="28"/>
          <w:rtl w:val="true"/>
          <w:lang w:bidi="fa-IR"/>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تؤاخ أحداً حتّی تعرف موارده و مصادره، فإذا استنبطت الخبرة و رضیت العشرة فآخه علی إقالة العثرة و المواساة فی العسرة</w:t>
      </w:r>
      <w:r>
        <w:rPr>
          <w:rFonts w:eastAsia="IRNazanin" w:cs="IRNazanin"/>
          <w:color w:val="111111"/>
          <w:sz w:val="28"/>
          <w:szCs w:val="28"/>
          <w:rtl w:val="true"/>
          <w:lang w:bidi="fa-IR"/>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حثّ الإسلام فی تعالیمه التربویّة للمصاحبة و المصادقة</w:t>
      </w:r>
      <w:bookmarkStart w:id="1303" w:name="pg11754_113313"/>
    </w:p>
    <w:p>
      <w:pPr>
        <w:pStyle w:val="BookText"/>
        <w:rPr/>
      </w:pPr>
      <w:bookmarkEnd w:id="1303"/>
      <w:r>
        <w:rPr>
          <w:rFonts w:ascii="IRNazanin" w:hAnsi="IRNazanin" w:eastAsia="IRNazanin"/>
          <w:color w:val="111111"/>
          <w:sz w:val="28"/>
          <w:sz w:val="28"/>
          <w:szCs w:val="28"/>
          <w:rtl w:val="true"/>
          <w:lang w:bidi="fa-IR"/>
        </w:rPr>
        <w:t>مع طوائف ذوی صفات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للوالدین تعلیم أولادهم من ینبغی مصاحبته حتّی یکتسبوا منهم الخیر و السعادة، و هم ما یلی</w:t>
      </w:r>
      <w:r>
        <w:rPr>
          <w:rFonts w:eastAsia="IRNazanin" w:cs="IRNazanin"/>
          <w:color w:val="111111"/>
          <w:sz w:val="28"/>
          <w:szCs w:val="28"/>
          <w:rtl w:val="true"/>
          <w:lang w:bidi="fa-IR"/>
        </w:rPr>
        <w:t>:</w:t>
      </w:r>
    </w:p>
    <w:p>
      <w:pPr>
        <w:pStyle w:val="Heading6"/>
        <w:numPr>
          <w:ilvl w:val="5"/>
          <w:numId w:val="1"/>
        </w:numPr>
        <w:rPr/>
      </w:pPr>
      <w:bookmarkStart w:id="1304" w:name="__RefHeading___Toc9531413_73709187"/>
      <w:bookmarkStart w:id="1305" w:name="_Toc509"/>
      <w:bookmarkEnd w:id="1304"/>
      <w:r>
        <w:rPr>
          <w:rtl w:val="true"/>
        </w:rPr>
        <w:t>أ</w:t>
      </w:r>
      <w:r>
        <w:rPr>
          <w:rtl w:val="true"/>
        </w:rPr>
        <w:t xml:space="preserve">: </w:t>
      </w:r>
      <w:r>
        <w:rPr>
          <w:rtl w:val="true"/>
        </w:rPr>
        <w:t>الذاکرون للّه تعالی</w:t>
      </w:r>
      <w:bookmarkEnd w:id="1305"/>
    </w:p>
    <w:p>
      <w:pPr>
        <w:pStyle w:val="BookText"/>
        <w:rPr/>
      </w:pP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صلی الله علیه و آله بمصاحبتهم و الصبر معهم،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اختر المجالس علی عینکَ، فإن رأیت قوماً یذکرون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معهم؛ فإنّکَ إن تک عالماً ینفعکَ علمکَ و یزیدوکَ علماً، و إن کنت جاهلاً علّموکَ، و لعلّ اللّه أن یظلّهم برحمة فتعمّکَ معهم، و إذا رأیت قوماً لا یذکرون اللّه فلا تجلس معهم، فإنّکَ إن تک عالماً لا ینفعک علمکَ، و إن تک جاهلاً یزیدوکَ جهلاً، و لعلّ اللّه أن یظلّهم بعقوبة فتعمّکَ معهم</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اختر المجالس علی عینکَ؛ أی علی بصیرة منکَ، أو بعینکَ</w:t>
      </w:r>
      <w:r>
        <w:rPr>
          <w:rFonts w:eastAsia="IRNazanin" w:cs="IRNazanin"/>
          <w:color w:val="111111"/>
          <w:sz w:val="28"/>
          <w:szCs w:val="28"/>
          <w:rtl w:val="true"/>
          <w:lang w:bidi="fa-IR"/>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6" w:name="__RefHeading___Toc9531415_73709187"/>
      <w:bookmarkStart w:id="1307" w:name="_Toc510"/>
      <w:bookmarkEnd w:id="1306"/>
      <w:r>
        <w:rPr>
          <w:rtl w:val="true"/>
        </w:rPr>
        <w:t>ب</w:t>
      </w:r>
      <w:r>
        <w:rPr>
          <w:rtl w:val="true"/>
        </w:rPr>
        <w:t xml:space="preserve">: </w:t>
      </w:r>
      <w:r>
        <w:rPr>
          <w:rtl w:val="true"/>
        </w:rPr>
        <w:t>العلماء</w:t>
      </w:r>
      <w:bookmarkEnd w:id="130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جالس العلماء و زاحمهم برکبتیک؛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bookmarkStart w:id="1308" w:name="pg11754_113314"/>
    </w:p>
    <w:p>
      <w:pPr>
        <w:pStyle w:val="BookText"/>
        <w:rPr/>
      </w:pPr>
      <w:bookmarkEnd w:id="1308"/>
      <w:r>
        <w:rPr>
          <w:rFonts w:ascii="IRNazanin" w:hAnsi="IRNazanin" w:eastAsia="IRNazanin"/>
          <w:color w:val="111111"/>
          <w:sz w:val="28"/>
          <w:sz w:val="28"/>
          <w:szCs w:val="28"/>
          <w:rtl w:val="true"/>
          <w:lang w:bidi="fa-IR"/>
        </w:rPr>
        <w:t>یحیی القلوب بنور الحکمة، کما یحیی الأرض بوابل السماء</w:t>
      </w:r>
      <w:r>
        <w:rPr>
          <w:rFonts w:eastAsia="IRNazanin" w:cs="IRNazanin"/>
          <w:color w:val="111111"/>
          <w:sz w:val="28"/>
          <w:szCs w:val="28"/>
          <w:rtl w:val="true"/>
          <w:lang w:bidi="fa-IR"/>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صاحب العلماء و اقرب منهم، و جالسهم وزرهم فی بیوتهم، فلعلّک تشبههم فتکون معهم، و اجلس مع صلحائهم، فربما أصابهم اللّه برحمة فتدخل فیه فیصیبکَ معهم</w:t>
      </w:r>
      <w:r>
        <w:rPr>
          <w:rFonts w:eastAsia="IRNazanin" w:cs="IRNazanin"/>
          <w:color w:val="111111"/>
          <w:sz w:val="28"/>
          <w:szCs w:val="28"/>
          <w:rtl w:val="true"/>
          <w:lang w:bidi="fa-IR"/>
        </w:rPr>
        <w:t>»</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9" w:name="__RefHeading___Toc9531417_73709187"/>
      <w:bookmarkStart w:id="1310" w:name="_Toc511"/>
      <w:bookmarkEnd w:id="1309"/>
      <w:r>
        <w:rPr>
          <w:rtl w:val="true"/>
        </w:rPr>
        <w:t>ج</w:t>
      </w:r>
      <w:r>
        <w:rPr>
          <w:rtl w:val="true"/>
        </w:rPr>
        <w:t xml:space="preserve">: </w:t>
      </w:r>
      <w:r>
        <w:rPr>
          <w:rtl w:val="true"/>
        </w:rPr>
        <w:t>الحکماء و الفقراء</w:t>
      </w:r>
      <w:bookmarkEnd w:id="1310"/>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سائلوا العلماء، و خالطوا الحکماء، و جالسوا الفقراء</w:t>
      </w:r>
      <w:r>
        <w:rPr>
          <w:rFonts w:eastAsia="IRNazanin" w:cs="IRNazanin"/>
          <w:color w:val="111111"/>
          <w:sz w:val="28"/>
          <w:szCs w:val="28"/>
          <w:rtl w:val="true"/>
          <w:lang w:bidi="fa-IR"/>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1" w:name="__RefHeading___Toc9531419_73709187"/>
      <w:bookmarkStart w:id="1312" w:name="_Toc512"/>
      <w:bookmarkEnd w:id="1311"/>
      <w:r>
        <w:rPr>
          <w:rtl w:val="true"/>
        </w:rPr>
        <w:t>د</w:t>
      </w:r>
      <w:r>
        <w:rPr>
          <w:rtl w:val="true"/>
        </w:rPr>
        <w:t xml:space="preserve">: </w:t>
      </w:r>
      <w:r>
        <w:rPr>
          <w:rtl w:val="true"/>
        </w:rPr>
        <w:t>المؤمنین</w:t>
      </w:r>
      <w:bookmarkEnd w:id="1312"/>
    </w:p>
    <w:p>
      <w:pPr>
        <w:pStyle w:val="BookText"/>
        <w:rPr/>
      </w:pPr>
      <w:r>
        <w:rPr>
          <w:rFonts w:ascii="IRNazanin" w:hAnsi="IRNazanin" w:eastAsia="IRNazanin"/>
          <w:color w:val="111111"/>
          <w:sz w:val="28"/>
          <w:sz w:val="28"/>
          <w:szCs w:val="28"/>
          <w:rtl w:val="true"/>
          <w:lang w:bidi="fa-IR"/>
        </w:rPr>
        <w:t>أیضاً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روضة من ریاض الجنّة فارتعوا فیها،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ما روضة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3" w:name="__RefHeading___Toc9531421_73709187"/>
      <w:bookmarkStart w:id="1314" w:name="_Toc513"/>
      <w:bookmarkEnd w:id="1313"/>
      <w:r>
        <w:rPr>
          <w:rtl w:val="true"/>
        </w:rPr>
        <w:t>ه</w:t>
      </w:r>
      <w:r>
        <w:rPr>
          <w:rtl w:val="true"/>
        </w:rPr>
        <w:t xml:space="preserve">: </w:t>
      </w:r>
      <w:r>
        <w:rPr>
          <w:rtl w:val="true"/>
        </w:rPr>
        <w:t>ما جاء فی مواعظ الإمام الحسن بن علیّ علیهما السلام</w:t>
      </w:r>
      <w:bookmarkEnd w:id="131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لجنادة 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نازعتک إلی صحبة الرجال حاجة فاصحب من إذا صحبته زانکَ، و إذا خدمته صانکَ، و إذا أردت منه معونة أعانکَ، و إن قلت صدّق قولکَ، و إن صلت شدّ صولکَ‌</w:t>
      </w:r>
      <w:r>
        <w:rPr>
          <w:rStyle w:val="FootnoteAnchor"/>
          <w:rtl w:val="true"/>
        </w:rPr>
        <w:footnoteReference w:id="2231"/>
      </w:r>
      <w:r>
        <w:rPr>
          <w:rFonts w:ascii="IRNazanin" w:hAnsi="IRNazanin" w:eastAsia="IRNazanin"/>
          <w:color w:val="111111"/>
          <w:sz w:val="28"/>
          <w:sz w:val="28"/>
          <w:szCs w:val="28"/>
          <w:rtl w:val="true"/>
          <w:lang w:bidi="fa-IR"/>
        </w:rPr>
        <w:t>، و إن مددت یدک بفضل مدّها، و إن بدت عنک ثلمة سدّها، و إن رأی منکَ حسنة عدّها، و ان سألته أعطاکَ، و إن سکتّ عنه ابتدأک، و إن نزلت إحدی الملمّات به ساءک</w:t>
      </w:r>
      <w:r>
        <w:rPr>
          <w:rFonts w:eastAsia="IRNazanin" w:cs="IRNazanin"/>
          <w:color w:val="111111"/>
          <w:sz w:val="28"/>
          <w:szCs w:val="28"/>
          <w:rtl w:val="true"/>
          <w:lang w:bidi="fa-IR"/>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bookmarkStart w:id="1315" w:name="pg11754_113315"/>
    </w:p>
    <w:p>
      <w:pPr>
        <w:pStyle w:val="Heading4"/>
        <w:numPr>
          <w:ilvl w:val="3"/>
          <w:numId w:val="1"/>
        </w:numPr>
        <w:rPr/>
      </w:pPr>
      <w:bookmarkStart w:id="1316" w:name="__RefHeading___Toc9531423_73709187"/>
      <w:bookmarkStart w:id="1317" w:name="_Toc514"/>
      <w:bookmarkEnd w:id="1315"/>
      <w:bookmarkEnd w:id="1316"/>
      <w:r>
        <w:rPr>
          <w:rtl w:val="true"/>
        </w:rPr>
        <w:t>المبحث السادس</w:t>
      </w:r>
      <w:r>
        <w:rPr>
          <w:rtl w:val="true"/>
        </w:rPr>
        <w:t xml:space="preserve">: </w:t>
      </w:r>
      <w:r>
        <w:rPr>
          <w:rtl w:val="true"/>
        </w:rPr>
        <w:t>تربیة الأولاد برعایة حقوق الناس</w:t>
      </w:r>
      <w:bookmarkEnd w:id="1317"/>
    </w:p>
    <w:p>
      <w:pPr>
        <w:pStyle w:val="Heading5"/>
        <w:numPr>
          <w:ilvl w:val="4"/>
          <w:numId w:val="1"/>
        </w:numPr>
        <w:rPr/>
      </w:pPr>
      <w:bookmarkStart w:id="1318" w:name="__RefHeading___Toc9531425_73709187"/>
      <w:bookmarkStart w:id="1319" w:name="_Toc515"/>
      <w:bookmarkEnd w:id="1318"/>
      <w:r>
        <w:rPr>
          <w:rtl w:val="true"/>
        </w:rPr>
        <w:t>اشارة</w:t>
      </w:r>
      <w:bookmarkEnd w:id="1319"/>
    </w:p>
    <w:p>
      <w:pPr>
        <w:pStyle w:val="BookText"/>
        <w:rPr/>
      </w:pPr>
      <w:r>
        <w:rPr>
          <w:rFonts w:ascii="IRNazanin" w:hAnsi="IRNazanin" w:eastAsia="IRNazanin"/>
          <w:color w:val="111111"/>
          <w:sz w:val="28"/>
          <w:sz w:val="28"/>
          <w:szCs w:val="28"/>
          <w:rtl w:val="true"/>
          <w:lang w:bidi="fa-IR"/>
        </w:rPr>
        <w:t>إنّ الإسلام أقام قواعد التربیة الفاضلة علی اصول نفسیّة تتّصل بالعقیدة و ترتبط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 التربیة الاجتماعیّة لدی الفرد علی أنبل معنی و أکمل غایة، حتّی ینشأ المجتمع علی التعاون المثمر، و الترابط الوثیق، و الأدب العالی، و المحبّة المتبادلة، و النقد الذاتی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مراعاة حقوق المجتمع متلازمة کلّ التلازم مع الاُصول النفسیّة النبیلة، بل بعبارة أوضح إنّ الاُصول النفسیّة معنی، و إنّ مراعاة حقوق المجتمع مظهر،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الروح، و الثانیة الجسم، فلا یمکن استغناء الاُولی عن الثانیة بحال، و إلاّ کان الخلل و الفوضی و الاضطراب</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للآباء و الاُمّهات و المربّین أن یرشدوا أولادهم إلیها و یأمروهم برعایتها حتّی یعتادوا علیها، و یقوموا بأدائها خیر قیام، و قد ذکر فی الروایات کثیر من هذه الحقوق نشیر إلی بعضها</w:t>
      </w:r>
      <w:r>
        <w:rPr>
          <w:rFonts w:eastAsia="IRNazanin" w:cs="IRNazanin"/>
          <w:color w:val="111111"/>
          <w:sz w:val="28"/>
          <w:szCs w:val="28"/>
          <w:rtl w:val="true"/>
          <w:lang w:bidi="fa-IR"/>
        </w:rPr>
        <w:t>:</w:t>
      </w:r>
    </w:p>
    <w:p>
      <w:pPr>
        <w:pStyle w:val="Heading5"/>
        <w:numPr>
          <w:ilvl w:val="4"/>
          <w:numId w:val="1"/>
        </w:numPr>
        <w:rPr/>
      </w:pPr>
      <w:bookmarkStart w:id="1320" w:name="__RefHeading___Toc9531427_73709187"/>
      <w:bookmarkStart w:id="1321" w:name="_Toc516"/>
      <w:bookmarkEnd w:id="1320"/>
      <w:r>
        <w:rPr>
          <w:rtl w:val="true"/>
        </w:rPr>
        <w:t>أ</w:t>
      </w:r>
      <w:r>
        <w:rPr>
          <w:rtl w:val="true"/>
        </w:rPr>
        <w:t xml:space="preserve">: </w:t>
      </w:r>
      <w:r>
        <w:rPr>
          <w:rtl w:val="true"/>
        </w:rPr>
        <w:t>قول الحسن لهم</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وصیّة أمیر المؤمنین لابنیه الحسن و الحسین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 کما أمرکم اللّه</w:t>
      </w:r>
      <w:r>
        <w:rPr>
          <w:rFonts w:eastAsia="IRNazanin" w:cs="IRNazanin"/>
          <w:color w:val="111111"/>
          <w:sz w:val="28"/>
          <w:szCs w:val="28"/>
          <w:rtl w:val="true"/>
          <w:lang w:bidi="fa-IR"/>
        </w:rPr>
        <w:t>»</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bookmarkStart w:id="1322" w:name="pg11754_113316"/>
    </w:p>
    <w:p>
      <w:pPr>
        <w:pStyle w:val="BookText"/>
        <w:rPr/>
      </w:pPr>
      <w:bookmarkEnd w:id="13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أیضاً لابنه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أی بنیّ من لانت کلمته وجبت محبّته</w:t>
      </w:r>
      <w:r>
        <w:rPr>
          <w:rFonts w:eastAsia="IRNazanin" w:cs="IRNazanin"/>
          <w:color w:val="111111"/>
          <w:sz w:val="28"/>
          <w:szCs w:val="28"/>
          <w:rtl w:val="true"/>
          <w:lang w:bidi="fa-IR"/>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9531429_73709187"/>
      <w:bookmarkStart w:id="1324" w:name="_Toc517"/>
      <w:bookmarkEnd w:id="1323"/>
      <w:r>
        <w:rPr>
          <w:rtl w:val="true"/>
        </w:rPr>
        <w:t>ب</w:t>
      </w:r>
      <w:r>
        <w:rPr>
          <w:rtl w:val="true"/>
        </w:rPr>
        <w:t xml:space="preserve">: </w:t>
      </w:r>
      <w:r>
        <w:rPr>
          <w:rtl w:val="true"/>
        </w:rPr>
        <w:t>حسن الخلق معهم</w:t>
      </w:r>
      <w:bookmarkEnd w:id="1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مواعظ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الضجر، و سوء الخلق، و قلّة الصبر، فلا یستقیم علی هذه الخصال صاحب، و الزم نفسکَ التؤدة</w:t>
      </w:r>
      <w:r>
        <w:rPr>
          <w:rStyle w:val="FootnoteAnchor"/>
          <w:rtl w:val="true"/>
        </w:rPr>
        <w:footnoteReference w:id="2236"/>
      </w:r>
      <w:r>
        <w:rPr>
          <w:rFonts w:ascii="IRNazanin" w:hAnsi="IRNazanin" w:eastAsia="IRNazanin"/>
          <w:color w:val="111111"/>
          <w:sz w:val="28"/>
          <w:sz w:val="28"/>
          <w:szCs w:val="28"/>
          <w:rtl w:val="true"/>
          <w:lang w:bidi="fa-IR"/>
        </w:rPr>
        <w:t>فی أُمورک، و صبّر علی مئونات الإخوان نفسکَ، و حسّن مع جمیع الناس خلقکَ، یا بنیّ إن عدمکَ ما تصل به قرابتکَ، و تتفضّل به علی إخوانکَ، فلا یعدمنّکَ حسن الخلق و بسط البشر؛ فإنّه من أحسن خلقه أحبّه الأخیار و جانبه الفجّار</w:t>
      </w:r>
      <w:r>
        <w:rPr>
          <w:rFonts w:eastAsia="IRNazanin" w:cs="IRNazanin"/>
          <w:color w:val="111111"/>
          <w:sz w:val="28"/>
          <w:szCs w:val="28"/>
          <w:rtl w:val="true"/>
          <w:lang w:bidi="fa-IR"/>
        </w:rPr>
        <w:t>»</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مواعظ أمیر المؤمنین علیه السلام لابنه محمد 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العجب، و سوء الخلق، و قلّة الصبر؛ فإنّه لا یستقیم لک علی هذه الخصال الثلاث صاحب، و لا یزال لک علیها من الناس مجانب</w:t>
      </w:r>
      <w:r>
        <w:rPr>
          <w:rFonts w:eastAsia="IRNazanin" w:cs="IRNazanin"/>
          <w:color w:val="111111"/>
          <w:sz w:val="28"/>
          <w:szCs w:val="28"/>
          <w:rtl w:val="true"/>
          <w:lang w:bidi="fa-IR"/>
        </w:rPr>
        <w:t>»</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9531431_73709187"/>
      <w:bookmarkStart w:id="1326" w:name="_Toc518"/>
      <w:bookmarkEnd w:id="1325"/>
      <w:r>
        <w:rPr>
          <w:rtl w:val="true"/>
        </w:rPr>
        <w:t>ج</w:t>
      </w:r>
      <w:r>
        <w:rPr>
          <w:rtl w:val="true"/>
        </w:rPr>
        <w:t xml:space="preserve">: </w:t>
      </w:r>
      <w:r>
        <w:rPr>
          <w:rtl w:val="true"/>
        </w:rPr>
        <w:t>ترک المراء و الجدال معهم</w:t>
      </w:r>
      <w:bookmarkEnd w:id="1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وصایا سلیمان علیه السلام لابنه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المراء؛ فإنّه لیست فیه منفعة، و هو یهیّج بین الإخوان العداوة</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9531433_73709187"/>
      <w:bookmarkStart w:id="1328" w:name="_Toc519"/>
      <w:bookmarkEnd w:id="1327"/>
      <w:r>
        <w:rPr>
          <w:rtl w:val="true"/>
        </w:rPr>
        <w:t>د</w:t>
      </w:r>
      <w:r>
        <w:rPr>
          <w:rtl w:val="true"/>
        </w:rPr>
        <w:t xml:space="preserve">: </w:t>
      </w:r>
      <w:r>
        <w:rPr>
          <w:rtl w:val="true"/>
        </w:rPr>
        <w:t>الحذر من تحقیرهم و الاستهزاء بهم</w:t>
      </w:r>
      <w:bookmarkEnd w:id="1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وصایا أمیر المؤمنین لابنه الحسن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تستخفنّ برجل</w:t>
      </w:r>
      <w:bookmarkStart w:id="1329" w:name="pg11754_113317"/>
    </w:p>
    <w:p>
      <w:pPr>
        <w:pStyle w:val="BookText"/>
        <w:rPr/>
      </w:pPr>
      <w:bookmarkEnd w:id="1329"/>
      <w:r>
        <w:rPr>
          <w:rFonts w:ascii="IRNazanin" w:hAnsi="IRNazanin" w:eastAsia="IRNazanin"/>
          <w:color w:val="111111"/>
          <w:sz w:val="28"/>
          <w:sz w:val="28"/>
          <w:szCs w:val="28"/>
          <w:rtl w:val="true"/>
          <w:lang w:bidi="fa-IR"/>
        </w:rPr>
        <w:t>تراه أبداً، إن کان أکبر منکَ فعدّ أنّه أبوک، و إن کان منک فهو أخوکَ، و إن کان أصغر منکَ فاحسب أنّه ابنکَ</w:t>
      </w:r>
      <w:r>
        <w:rPr>
          <w:rFonts w:eastAsia="IRNazanin" w:cs="IRNazanin"/>
          <w:color w:val="111111"/>
          <w:sz w:val="28"/>
          <w:szCs w:val="28"/>
          <w:rtl w:val="true"/>
          <w:lang w:bidi="fa-IR"/>
        </w:rPr>
        <w:t>»</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أنّ محمد بن علی الباقر قال لابنه جعفر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خبأ ثلاثة أشیاء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 رضاه فی طاعته، فلا تحقّرن من الطاعة شیئاً، فلعلّ رضاه فیه، و خبأ سخطه فی معصیته، فلا تحقّرن من المعصیة شیئاً، فلعلّ سخطه فیه، و خبأ أولیاءه فی خلقه، فلا تحقرنّ أحداً، فلعلّ الولیّ ذلک</w:t>
      </w:r>
      <w:r>
        <w:rPr>
          <w:rFonts w:eastAsia="IRNazanin" w:cs="IRNazanin"/>
          <w:color w:val="111111"/>
          <w:sz w:val="28"/>
          <w:szCs w:val="28"/>
          <w:rtl w:val="true"/>
          <w:lang w:bidi="fa-IR"/>
        </w:rPr>
        <w:t>»</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تشمت بالموت، و لا تسخر بالمبتلی، و لا تمنع بالمعروف</w:t>
      </w:r>
      <w:r>
        <w:rPr>
          <w:rFonts w:eastAsia="IRNazanin" w:cs="IRNazanin"/>
          <w:color w:val="111111"/>
          <w:sz w:val="28"/>
          <w:szCs w:val="28"/>
          <w:rtl w:val="true"/>
          <w:lang w:bidi="fa-IR"/>
        </w:rPr>
        <w:t>»</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9531435_73709187"/>
      <w:bookmarkStart w:id="1331" w:name="_Toc520"/>
      <w:bookmarkEnd w:id="1330"/>
      <w:r>
        <w:rPr>
          <w:rtl w:val="true"/>
        </w:rPr>
        <w:t>ه</w:t>
      </w:r>
      <w:r>
        <w:rPr>
          <w:rtl w:val="true"/>
        </w:rPr>
        <w:t xml:space="preserve">: </w:t>
      </w:r>
      <w:r>
        <w:rPr>
          <w:rtl w:val="true"/>
        </w:rPr>
        <w:t>الحذر من الظلم بهم</w:t>
      </w:r>
      <w:bookmarkEnd w:id="1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وصیّة أمیر المؤمنین لابنه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بئس الزاد إلی المعاد العدوان إلی العباد</w:t>
      </w:r>
      <w:r>
        <w:rPr>
          <w:rFonts w:eastAsia="IRNazanin" w:cs="IRNazanin"/>
          <w:color w:val="111111"/>
          <w:sz w:val="28"/>
          <w:szCs w:val="28"/>
          <w:rtl w:val="true"/>
          <w:lang w:bidi="fa-IR"/>
        </w:rPr>
        <w:t>»</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علیّ بن الحسین علیهما السلام الوفاة ضمّنی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أوصیکَ بما أوصانی به أبی علیه السلام حین حضرته الوفاة و بما ذکر أنّ أباه أوصاه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ظلم من لا یجد علیک ناصراً إلاّ اللّه عزّ و جلّ</w:t>
      </w:r>
      <w:r>
        <w:rPr>
          <w:rFonts w:eastAsia="IRNazanin" w:cs="IRNazanin"/>
          <w:color w:val="111111"/>
          <w:sz w:val="28"/>
          <w:szCs w:val="28"/>
          <w:rtl w:val="true"/>
          <w:lang w:bidi="fa-IR"/>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لقمان علیه السلام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تَرْثِ‌</w:t>
      </w:r>
      <w:r>
        <w:rPr>
          <w:rStyle w:val="FootnoteAnchor"/>
          <w:rtl w:val="true"/>
        </w:rPr>
        <w:footnoteReference w:id="2245"/>
      </w:r>
      <w:r>
        <w:rPr>
          <w:rFonts w:ascii="IRNazanin" w:hAnsi="IRNazanin" w:eastAsia="IRNazanin"/>
          <w:color w:val="111111"/>
          <w:sz w:val="28"/>
          <w:sz w:val="28"/>
          <w:szCs w:val="28"/>
          <w:rtl w:val="true"/>
          <w:lang w:bidi="fa-IR"/>
        </w:rPr>
        <w:t>لمن ظلمته، و لکن ارْثِ لسوء</w:t>
      </w:r>
      <w:bookmarkStart w:id="1332" w:name="pg11754_113318"/>
    </w:p>
    <w:p>
      <w:pPr>
        <w:pStyle w:val="BookText"/>
        <w:rPr/>
      </w:pPr>
      <w:bookmarkEnd w:id="1332"/>
      <w:r>
        <w:rPr>
          <w:rFonts w:ascii="IRNazanin" w:hAnsi="IRNazanin" w:eastAsia="IRNazanin"/>
          <w:color w:val="111111"/>
          <w:sz w:val="28"/>
          <w:sz w:val="28"/>
          <w:szCs w:val="28"/>
          <w:rtl w:val="true"/>
          <w:lang w:bidi="fa-IR"/>
        </w:rPr>
        <w:t>ما جنیته علی نفسکَ، و إذا دعتکَ القدرة إلی ظلم الناس فاذکر قدرة اللّه علیکَ</w:t>
      </w:r>
      <w:r>
        <w:rPr>
          <w:rFonts w:eastAsia="IRNazanin" w:cs="IRNazanin"/>
          <w:color w:val="111111"/>
          <w:sz w:val="28"/>
          <w:szCs w:val="28"/>
          <w:rtl w:val="true"/>
          <w:lang w:bidi="fa-IR"/>
        </w:rPr>
        <w:t>»</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9531437_73709187"/>
      <w:bookmarkStart w:id="1334" w:name="_Toc521"/>
      <w:bookmarkEnd w:id="1333"/>
      <w:r>
        <w:rPr>
          <w:rtl w:val="true"/>
        </w:rPr>
        <w:t>و</w:t>
      </w:r>
      <w:r>
        <w:rPr>
          <w:rtl w:val="true"/>
        </w:rPr>
        <w:t xml:space="preserve">: </w:t>
      </w:r>
      <w:r>
        <w:rPr>
          <w:rtl w:val="true"/>
        </w:rPr>
        <w:t>ترک عقوبتهم و قبول اعتذارهم</w:t>
      </w:r>
      <w:bookmarkEnd w:id="1334"/>
    </w:p>
    <w:p>
      <w:pPr>
        <w:pStyle w:val="BookText"/>
        <w:rPr/>
      </w:pPr>
      <w:r>
        <w:rPr>
          <w:rFonts w:ascii="IRNazanin" w:hAnsi="IRNazanin" w:eastAsia="IRNazanin"/>
          <w:color w:val="111111"/>
          <w:sz w:val="28"/>
          <w:sz w:val="28"/>
          <w:szCs w:val="28"/>
          <w:rtl w:val="true"/>
          <w:lang w:bidi="fa-IR"/>
        </w:rPr>
        <w:t>قال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نفسک مع أخیک عند صَرْمه علی الصلة، و عند صدوده علی اللطف و المسألة، و عند جموده علی البذل، و عند تباعده علی الدنوّ، و عند شدّته علی اللین، و عند جرمه علی الاعتذار حتّی کأنّک له عبد و کأنّه ذو نعمةٍ علیک، و إیّاک أن تضع ذلک فی غیر موضعه أو تفعله بغیر أهله، و لا تطلبنّ مجازاة أخیکَ و إن حثا</w:t>
      </w:r>
      <w:r>
        <w:rPr>
          <w:rStyle w:val="FootnoteAnchor"/>
          <w:rtl w:val="true"/>
        </w:rPr>
        <w:footnoteReference w:id="2247"/>
      </w:r>
      <w:r>
        <w:rPr>
          <w:rFonts w:ascii="IRNazanin" w:hAnsi="IRNazanin" w:eastAsia="IRNazanin"/>
          <w:color w:val="111111"/>
          <w:sz w:val="28"/>
          <w:sz w:val="28"/>
          <w:szCs w:val="28"/>
          <w:rtl w:val="true"/>
          <w:lang w:bidi="fa-IR"/>
        </w:rPr>
        <w:t>التراب بفیک</w:t>
      </w:r>
      <w:r>
        <w:rPr>
          <w:rFonts w:eastAsia="IRNazanin" w:cs="IRNazanin"/>
          <w:color w:val="111111"/>
          <w:sz w:val="28"/>
          <w:szCs w:val="28"/>
          <w:rtl w:val="true"/>
          <w:lang w:bidi="fa-IR"/>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عذر من اعتذر إلیک، و خذ العفو من الناس، و لا تبلغ علی أحدٍ مکروهه، أطع أخاک و إن عصاک وصله و إن جفاک</w:t>
      </w:r>
      <w:r>
        <w:rPr>
          <w:rFonts w:eastAsia="IRNazanin" w:cs="IRNazanin"/>
          <w:color w:val="111111"/>
          <w:sz w:val="28"/>
          <w:szCs w:val="28"/>
          <w:rtl w:val="true"/>
          <w:lang w:bidi="fa-IR"/>
        </w:rPr>
        <w:t>»</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5" w:name="__RefHeading___Toc9531439_73709187"/>
      <w:bookmarkStart w:id="1336" w:name="_Toc522"/>
      <w:bookmarkEnd w:id="1335"/>
      <w:r>
        <w:rPr>
          <w:rtl w:val="true"/>
        </w:rPr>
        <w:t>ز</w:t>
      </w:r>
      <w:r>
        <w:rPr>
          <w:rtl w:val="true"/>
        </w:rPr>
        <w:t xml:space="preserve">: </w:t>
      </w:r>
      <w:r>
        <w:rPr>
          <w:rtl w:val="true"/>
        </w:rPr>
        <w:t>أداء أماناتهم</w:t>
      </w:r>
      <w:bookmarkEnd w:id="1336"/>
    </w:p>
    <w:p>
      <w:pPr>
        <w:pStyle w:val="BookText"/>
        <w:rPr/>
      </w:pPr>
      <w:r>
        <w:rPr>
          <w:rFonts w:ascii="IRNazanin" w:hAnsi="IRNazanin" w:eastAsia="IRNazanin"/>
          <w:color w:val="111111"/>
          <w:sz w:val="28"/>
          <w:sz w:val="28"/>
          <w:szCs w:val="28"/>
          <w:rtl w:val="true"/>
          <w:lang w:bidi="fa-IR"/>
        </w:rPr>
        <w:t>أیضاً قال أمیر المؤمنین لابنه الحسن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تخن من ائتمنکَ و إن خانکَ، و لا تذع سرّه و إن أذاع سرّک</w:t>
      </w:r>
      <w:r>
        <w:rPr>
          <w:rFonts w:eastAsia="IRNazanin" w:cs="IRNazanin"/>
          <w:color w:val="111111"/>
          <w:sz w:val="28"/>
          <w:szCs w:val="28"/>
          <w:rtl w:val="true"/>
          <w:lang w:bidi="fa-IR"/>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أدّ الأمانة تسلم لک دنیاک و آخرتکَ، و کن أمیناً تکن غنیّاً</w:t>
      </w:r>
      <w:r>
        <w:rPr>
          <w:rFonts w:eastAsia="IRNazanin" w:cs="IRNazanin"/>
          <w:color w:val="111111"/>
          <w:sz w:val="28"/>
          <w:szCs w:val="28"/>
          <w:rtl w:val="true"/>
          <w:lang w:bidi="fa-IR"/>
        </w:rPr>
        <w:t>»</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bookmarkStart w:id="1337" w:name="pg11754_113319"/>
    </w:p>
    <w:p>
      <w:pPr>
        <w:pStyle w:val="Heading5"/>
        <w:numPr>
          <w:ilvl w:val="4"/>
          <w:numId w:val="1"/>
        </w:numPr>
        <w:rPr/>
      </w:pPr>
      <w:bookmarkStart w:id="1338" w:name="__RefHeading___Toc9531441_73709187"/>
      <w:bookmarkStart w:id="1339" w:name="_Toc523"/>
      <w:bookmarkEnd w:id="1337"/>
      <w:bookmarkEnd w:id="1338"/>
      <w:r>
        <w:rPr>
          <w:rtl w:val="true"/>
        </w:rPr>
        <w:t>ح</w:t>
      </w:r>
      <w:r>
        <w:rPr>
          <w:rtl w:val="true"/>
        </w:rPr>
        <w:t xml:space="preserve">: </w:t>
      </w:r>
      <w:r>
        <w:rPr>
          <w:rtl w:val="true"/>
        </w:rPr>
        <w:t>المبادرة إلی الخیر قبلهم</w:t>
      </w:r>
      <w:bookmarkEnd w:id="1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بخیر فبادر، فإنّکَ لا تدری ما یحدث</w:t>
      </w:r>
      <w:r>
        <w:rPr>
          <w:rFonts w:eastAsia="IRNazanin" w:cs="IRNazanin"/>
          <w:color w:val="111111"/>
          <w:sz w:val="28"/>
          <w:szCs w:val="28"/>
          <w:rtl w:val="true"/>
          <w:lang w:bidi="fa-IR"/>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اجعل معروفکَ فی أهله، و کن فیه طالباً لثواب اللّه و کن مقتصداً، و لا تمسکه تقتیراً، و لا تعطه تبذیراً</w:t>
      </w:r>
      <w:r>
        <w:rPr>
          <w:rFonts w:eastAsia="IRNazanin" w:cs="IRNazanin"/>
          <w:color w:val="111111"/>
          <w:sz w:val="28"/>
          <w:szCs w:val="28"/>
          <w:rtl w:val="true"/>
          <w:lang w:bidi="fa-IR"/>
        </w:rPr>
        <w:t>»</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عن علیّ بن جعفر، عن أخیه أبی الحسن موسی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أبی بیدی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أبی محمد بن علیّ علیهما السلام أخذ بیدی کما أخذت بیدکَ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 بن الحسین علیهما السلام أخذ بیدی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افعل الخیر إلی کلّ من طلبه منکَ، فإن کان من أهله فقد أصبت موضعه، و إن لم یکن من أهله کنت أنت من أهله، و إن شتمکَ رجل عن یمینکَ ثمّ تحوّل إلی یسارکَ فاعتذر إلیکَ فاقبل عذره</w:t>
      </w:r>
      <w:r>
        <w:rPr>
          <w:rFonts w:eastAsia="IRNazanin" w:cs="IRNazanin"/>
          <w:color w:val="111111"/>
          <w:sz w:val="28"/>
          <w:szCs w:val="28"/>
          <w:rtl w:val="true"/>
          <w:lang w:bidi="fa-IR"/>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9531443_73709187"/>
      <w:bookmarkStart w:id="1341" w:name="_Toc524"/>
      <w:bookmarkEnd w:id="1340"/>
      <w:r>
        <w:rPr>
          <w:rtl w:val="true"/>
        </w:rPr>
        <w:t>إیضاح</w:t>
      </w:r>
      <w:r>
        <w:rPr>
          <w:rtl w:val="true"/>
        </w:rPr>
        <w:t>:</w:t>
      </w:r>
      <w:bookmarkEnd w:id="1341"/>
    </w:p>
    <w:p>
      <w:pPr>
        <w:pStyle w:val="BookText"/>
        <w:rPr/>
      </w:pPr>
      <w:r>
        <w:rPr>
          <w:rFonts w:ascii="IRNazanin" w:hAnsi="IRNazanin" w:eastAsia="IRNazanin"/>
          <w:color w:val="111111"/>
          <w:sz w:val="28"/>
          <w:sz w:val="28"/>
          <w:szCs w:val="28"/>
          <w:rtl w:val="true"/>
          <w:lang w:bidi="fa-IR"/>
        </w:rPr>
        <w:t>ممّا اهتمّ الإسلام بها فی تعالیمه التربویّة أشدّ الاهتمام، و ینبغی للوالدین و المربّین تربیة الأطفال برعایتها، حفظهم عمّا یوجب الضرر لهم؛ سواء کان الضرر متوجّهاً إلی جسمهم أو روحهم کأکلهم، أو شربهم النجس أو المتنجّس، أو المسکر، أو مال الغیر بدون إذن، أو ما شابه ذلک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إنّا بحثناها فی باب نفقة الأطفال فلا نعیدها فی المقام خوفاً من التطویل، فلیراجع هناک</w:t>
      </w:r>
      <w:r>
        <w:rPr>
          <w:rFonts w:eastAsia="IRNazanin" w:cs="IRNazanin"/>
          <w:color w:val="111111"/>
          <w:sz w:val="28"/>
          <w:szCs w:val="28"/>
          <w:rtl w:val="true"/>
          <w:lang w:bidi="fa-IR"/>
        </w:rPr>
        <w:t>.</w:t>
      </w:r>
      <w:bookmarkStart w:id="1342" w:name="pg11754_113320"/>
    </w:p>
    <w:p>
      <w:pPr>
        <w:pStyle w:val="Heading3"/>
        <w:numPr>
          <w:ilvl w:val="2"/>
          <w:numId w:val="1"/>
        </w:numPr>
        <w:rPr/>
      </w:pPr>
      <w:bookmarkStart w:id="1343" w:name="__RefHeading___Toc9531445_73709187"/>
      <w:bookmarkStart w:id="1344" w:name="_Toc525"/>
      <w:bookmarkEnd w:id="1342"/>
      <w:bookmarkEnd w:id="1343"/>
      <w:r>
        <w:rPr>
          <w:rtl w:val="true"/>
        </w:rPr>
        <w:t>الفصل الخامس</w:t>
      </w:r>
      <w:r>
        <w:rPr>
          <w:rtl w:val="true"/>
        </w:rPr>
        <w:t xml:space="preserve">: </w:t>
      </w:r>
      <w:r>
        <w:rPr>
          <w:rtl w:val="true"/>
        </w:rPr>
        <w:t>المساواة و العدالة بین الأطفال</w:t>
      </w:r>
      <w:bookmarkEnd w:id="1344"/>
    </w:p>
    <w:p>
      <w:pPr>
        <w:pStyle w:val="Heading4"/>
        <w:numPr>
          <w:ilvl w:val="3"/>
          <w:numId w:val="1"/>
        </w:numPr>
        <w:rPr/>
      </w:pPr>
      <w:bookmarkStart w:id="1345" w:name="__RefHeading___Toc9531447_73709187"/>
      <w:bookmarkStart w:id="1346" w:name="_Toc526"/>
      <w:bookmarkEnd w:id="1345"/>
      <w:r>
        <w:rPr>
          <w:rtl w:val="true"/>
        </w:rPr>
        <w:t>اشارة</w:t>
      </w:r>
      <w:bookmarkEnd w:id="1346"/>
    </w:p>
    <w:p>
      <w:pPr>
        <w:pStyle w:val="BookText"/>
        <w:rPr/>
      </w:pPr>
      <w:r>
        <w:rPr>
          <w:rFonts w:ascii="IRNazanin" w:hAnsi="IRNazanin" w:eastAsia="IRNazanin"/>
          <w:color w:val="111111"/>
          <w:sz w:val="28"/>
          <w:sz w:val="28"/>
          <w:szCs w:val="28"/>
          <w:rtl w:val="true"/>
          <w:lang w:bidi="fa-IR"/>
        </w:rPr>
        <w:t>و هذه المسألة و إن کانت لا تختصّ بالأطفال و تشمل الکبار و الصغار جمیعاً، إلاّ أنّه نذکرها فی المقام، من حیث إنّها مؤثّرة فی تربیة الأطفال أشدّ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الواجبات المهمّة التی لا بدّ أن یلتزم بها أولیاء الأطفال فی سبیل تربیتهم تربیة صالحة، مراعاة التوازن و المساواة بینهم، فعلی الآباء و الاُمّهات الذین یملکون عدّة أطفال أن یسلکوا مع کلّ منهم سلوکاً لا یغفل شأن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 أن ینظروا إلیهم جمیعاً بعین واحدة، و یعاملوهم بالعدالة 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الآباء و الاُمّهات الذین لا یراعون العدالة و المساواة فی التظاهر بالحبّ و الحنان بالنسبة إلی أطفالهم، و یرجّحون واحداً منهم علی الآخرین، یحطمون شخصیّاتهم، و یفهمونهم بصورة عملیّة أنّ أخاهم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الجدیر بالاحترام و التوقیر فقط، أمّا هم فلا توجد فیهم الکفاءة و الجدارة لکلّ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شکّ فیه أنّ هذا السلوک غیر العادل یتضمّن نتائج غیر مرغوب فیها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الآثار السیّئة لهذا الاختلاف فی معاملة الأطفال بالحبّ و الحنان ظهور عقدة الحقارة فی نفوسهم، أنّ الأطفال الذین یشاهدون أحد إخوتهم یعامل فی</w:t>
      </w:r>
      <w:bookmarkStart w:id="1347" w:name="pg11754_113321"/>
    </w:p>
    <w:p>
      <w:pPr>
        <w:pStyle w:val="BookText"/>
        <w:rPr/>
      </w:pPr>
      <w:bookmarkEnd w:id="1347"/>
      <w:r>
        <w:rPr>
          <w:rFonts w:ascii="IRNazanin" w:hAnsi="IRNazanin" w:eastAsia="IRNazanin"/>
          <w:color w:val="111111"/>
          <w:sz w:val="28"/>
          <w:sz w:val="28"/>
          <w:szCs w:val="28"/>
          <w:rtl w:val="true"/>
          <w:lang w:bidi="fa-IR"/>
        </w:rPr>
        <w:t>الأسرة بحبّ و حنان یفوقان ما یعاملون به، یتألّمون کثیراً و یحسّون بالحقارة و الضعة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 الآخر من الآثار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الحسد و حبّ الانتقام فی نفوس الأطفال المهملین تجاه الطفل المستأثر بحنان الوالدین دونهم</w:t>
      </w:r>
      <w:r>
        <w:rPr>
          <w:rFonts w:eastAsia="IRNazanin" w:cs="IRNazanin"/>
          <w:color w:val="111111"/>
          <w:sz w:val="28"/>
          <w:szCs w:val="28"/>
          <w:rtl w:val="true"/>
          <w:lang w:bidi="fa-IR"/>
        </w:rPr>
        <w:t>»</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فینبغی للوالدین إظهار المحبّة و العطف بالنسبة إلی کلّ أولادهم و من دون استثناء لیحفظوهم من عقدة الحقارة و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العیّاشی فی تفسیره عن مسعدة بن صدقة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إنّی لأُصانع بعض وُلدی و أجلسه علی فخذی و أکثر له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أفکر له فی الملح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له المحبّة، و أکثر له الشکر، و إنّ الحقّ لغیره من ولدی، و لکن مخافة علیه منه و من غیره لئلاّ یصنعوا به ما فعل بیوسف و إخوته، و ما أنزل اللّه سورة یوسف إلاّ أمثالاً لکیلا یحسد بعضنا بعضاً کما حسد یوسف إخوته و بغوا علیه، الخبر</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هل تستحبّ التسویة بین الأولاد و کذا سائر الأرحام فی العطیّة و غیرها، أو یکره التفضیل بینهم، أو یحرم ذلک مطلقاً، أو لا یحرم فی بعض الأحیان، مثل ما إذا کان بعضهم فی العسر، و البعض الآخر فی الیسر؟ وجوه، بل أقوال ذکرها الفقهاء فی باب الهبة و غیره</w:t>
      </w:r>
      <w:r>
        <w:rPr>
          <w:rFonts w:eastAsia="IRNazanin" w:cs="IRNazanin"/>
          <w:color w:val="111111"/>
          <w:sz w:val="28"/>
          <w:szCs w:val="28"/>
          <w:rtl w:val="true"/>
          <w:lang w:bidi="fa-IR"/>
        </w:rPr>
        <w:t>.</w:t>
      </w:r>
    </w:p>
    <w:p>
      <w:pPr>
        <w:pStyle w:val="Heading4"/>
        <w:numPr>
          <w:ilvl w:val="3"/>
          <w:numId w:val="1"/>
        </w:numPr>
        <w:rPr/>
      </w:pPr>
      <w:bookmarkStart w:id="1348" w:name="__RefHeading___Toc9531449_73709187"/>
      <w:bookmarkStart w:id="1349" w:name="_Toc527"/>
      <w:bookmarkEnd w:id="1348"/>
      <w:r>
        <w:rPr>
          <w:rtl w:val="true"/>
        </w:rPr>
        <w:t>الأوّل</w:t>
      </w:r>
      <w:r>
        <w:rPr>
          <w:rtl w:val="true"/>
        </w:rPr>
        <w:t xml:space="preserve">: </w:t>
      </w:r>
      <w:r>
        <w:rPr>
          <w:rtl w:val="true"/>
        </w:rPr>
        <w:t>حرمة تفضیل بعض الأولاد فی العطیّة</w:t>
      </w:r>
      <w:bookmarkEnd w:id="134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ذلک من کلام ابن الجنید،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للأب أن یختار بعض</w:t>
      </w:r>
    </w:p>
    <w:p>
      <w:pPr>
        <w:pStyle w:val="BookText"/>
        <w:rPr/>
      </w:pPr>
      <w:r>
        <w:rPr>
          <w:rFonts w:ascii="IRNazanin" w:hAnsi="IRNazanin" w:eastAsia="IRNazanin"/>
          <w:color w:val="111111"/>
          <w:sz w:val="28"/>
          <w:sz w:val="28"/>
          <w:szCs w:val="28"/>
          <w:rtl w:val="true"/>
          <w:lang w:bidi="fa-IR"/>
        </w:rPr>
        <w:t xml:space="preserve">ولده بما لا یساوی بینهم فیه، و کذلک الأهل الذین تتساوی قراباتهم منه، إلاّ أن یکون المخصوص بذلک مکافئاً علی صنیع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منه أو فی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تفضیله بالعطیّة، کما توجب ولایته للوصیّة</w:t>
      </w:r>
      <w:r>
        <w:rPr>
          <w:rFonts w:eastAsia="IRNazanin" w:cs="IRNazanin"/>
          <w:color w:val="111111"/>
          <w:sz w:val="28"/>
          <w:szCs w:val="28"/>
          <w:rtl w:val="true"/>
          <w:lang w:bidi="fa-IR"/>
        </w:rPr>
        <w:t>»</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یستدلّ لهذا القول بطائفتین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بمورد العطیّة، و 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البخاری عن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أتی به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نحلت ابنی هذا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کلّ ولدک نحلت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و أضاف بأنّه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اعدلوا بین أولادکم</w:t>
      </w:r>
      <w:r>
        <w:rPr>
          <w:rFonts w:eastAsia="IRNazanin" w:cs="IRNazanin"/>
          <w:color w:val="111111"/>
          <w:sz w:val="28"/>
          <w:szCs w:val="28"/>
          <w:rtl w:val="true"/>
          <w:lang w:bidi="fa-IR"/>
        </w:rPr>
        <w:t>»</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مسلم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امرأة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 ابنی غلامکَ، و أشهد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فلان سألتنی أن أنحل ابنها غلامی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له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فکلّهم أعطیت مثل ما 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یصلح هذا، و انّی لا أشهد إلاّ علی حقّ</w:t>
      </w:r>
      <w:r>
        <w:rPr>
          <w:rFonts w:eastAsia="IRNazanin" w:cs="IRNazanin"/>
          <w:color w:val="111111"/>
          <w:sz w:val="28"/>
          <w:szCs w:val="28"/>
          <w:rtl w:val="true"/>
          <w:lang w:bidi="fa-IR"/>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ابن عباس،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ساووا بین أولادکم فی العطیّة، فلو کنت مفضّلاً أحداً لفضّلت النساء</w:t>
      </w:r>
      <w:r>
        <w:rPr>
          <w:rFonts w:eastAsia="IRNazanin" w:cs="IRNazanin"/>
          <w:color w:val="111111"/>
          <w:sz w:val="28"/>
          <w:szCs w:val="28"/>
          <w:rtl w:val="true"/>
          <w:lang w:bidi="fa-IR"/>
        </w:rPr>
        <w:t>»</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اعدلوا بین أولادکم فی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w:t>
      </w:r>
    </w:p>
    <w:p>
      <w:pPr>
        <w:pStyle w:val="BookText"/>
        <w:rPr/>
      </w:pPr>
      <w:r>
        <w:rPr>
          <w:rFonts w:ascii="IRNazanin" w:hAnsi="IRNazanin" w:eastAsia="IRNazanin"/>
          <w:color w:val="111111"/>
          <w:sz w:val="28"/>
          <w:sz w:val="28"/>
          <w:szCs w:val="28"/>
          <w:rtl w:val="true"/>
          <w:lang w:bidi="fa-IR"/>
        </w:rPr>
        <w:t xml:space="preserve">و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تحبّون أن یعدلوا بینکم فی البرّ و اللطف</w:t>
      </w:r>
      <w:r>
        <w:rPr>
          <w:rFonts w:eastAsia="IRNazanin" w:cs="IRNazanin"/>
          <w:color w:val="111111"/>
          <w:sz w:val="28"/>
          <w:szCs w:val="28"/>
          <w:rtl w:val="true"/>
          <w:lang w:bidi="fa-IR"/>
        </w:rPr>
        <w:t>»</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بین أولادکم فی العطیّة، فلو کنت مفضّلاً أحداً لفضّلت النساء</w:t>
      </w:r>
      <w:r>
        <w:rPr>
          <w:rFonts w:eastAsia="Amiri" w:cs="Amiri" w:ascii="Amiri" w:hAnsi="Amiri"/>
          <w:color w:val="111111"/>
          <w:sz w:val="28"/>
          <w:szCs w:val="28"/>
          <w:rtl w:val="true"/>
          <w:lang w:bidi="ar-SA"/>
        </w:rPr>
        <w:t>»</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صلی الله علیه و آله بالرجوع عن العطیّة، و الأمر یقتضی الوجوب، و کذا أمرُهُ بتقوی اللّه و العدالة بین الأولاد دالّ بأنّ التفضیل بینهم خلاف العدل و التقوی، و هکذا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أشهَدُ إلاّ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بأنّ التفضیل بین بعض الأولاد علی بعض یکون علی خلاف الحقّ و هو حرام، فالتساوی و العدالة بینهم فی العطیّة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حرمة التفضیل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الفقیه عن السکونی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رسول اللّه صلی الله علیه و آله إلی رجل له ابنان، فقبّل أحدهما و ترک الآخر،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واسیت</w:t>
      </w:r>
      <w:r>
        <w:rPr>
          <w:rStyle w:val="FootnoteAnchor"/>
          <w:rtl w:val="true"/>
        </w:rPr>
        <w:footnoteReference w:id="2263"/>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بین أولادکم کما تحبّون أن یعدلوا بینکم فی البرّ و اللطف</w:t>
      </w:r>
      <w:r>
        <w:rPr>
          <w:rFonts w:eastAsia="IRNazanin" w:cs="IRNazanin"/>
          <w:color w:val="111111"/>
          <w:sz w:val="28"/>
          <w:szCs w:val="28"/>
          <w:rtl w:val="true"/>
          <w:lang w:bidi="fa-IR"/>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أیضاً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اعدلوا بین أولادکم کما تحبّون أن یبرّوکم</w:t>
      </w:r>
      <w:r>
        <w:rPr>
          <w:rFonts w:eastAsia="IRNazanin" w:cs="IRNazanin"/>
          <w:color w:val="111111"/>
          <w:sz w:val="28"/>
          <w:szCs w:val="28"/>
          <w:rtl w:val="true"/>
          <w:lang w:bidi="fa-IR"/>
        </w:rPr>
        <w:t>»</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لهم علیک من الحقّ أن تعدل بینهم کما أنّ لک علیهم</w:t>
      </w:r>
    </w:p>
    <w:p>
      <w:pPr>
        <w:pStyle w:val="BookText"/>
        <w:rPr/>
      </w:pPr>
      <w:r>
        <w:rPr>
          <w:rFonts w:ascii="Amiri" w:hAnsi="Amiri" w:eastAsia="Amiri" w:cs="Amiri"/>
          <w:color w:val="111111"/>
          <w:sz w:val="28"/>
          <w:sz w:val="28"/>
          <w:szCs w:val="28"/>
          <w:rtl w:val="true"/>
          <w:lang w:bidi="ar-SA"/>
        </w:rPr>
        <w:t>من الحقّ أن یبرّوک</w:t>
      </w:r>
      <w:r>
        <w:rPr>
          <w:rFonts w:eastAsia="Amiri" w:cs="Amiri" w:ascii="Amiri" w:hAnsi="Amiri"/>
          <w:color w:val="111111"/>
          <w:sz w:val="28"/>
          <w:szCs w:val="28"/>
          <w:rtl w:val="true"/>
          <w:lang w:bidi="ar-SA"/>
        </w:rPr>
        <w:t>»</w:t>
      </w:r>
      <w:r>
        <w:rPr>
          <w:rStyle w:val="FootnoteAnchor"/>
          <w:rtl w:val="true"/>
        </w:rPr>
        <w:footnoteReference w:id="2267"/>
      </w:r>
      <w:r>
        <w:rPr>
          <w:rFonts w:ascii="IRNazanin" w:hAnsi="IRNazanin" w:eastAsia="IRNazanin"/>
          <w:color w:val="111111"/>
          <w:sz w:val="28"/>
          <w:sz w:val="28"/>
          <w:szCs w:val="28"/>
          <w:rtl w:val="true"/>
          <w:lang w:bidi="fa-IR"/>
        </w:rPr>
        <w:t>، و غیرها</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قول ابن الجنید متأثّر من آراء أهل السُنّة، حیث لم نعثر علی من قال بمقالته من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الاستدلال 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ضعاف سنداً و لا یصحّ أن یستند إلیها لإثبات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الطائفة الاُولی أمر رسول اللّه صلی الله علیه و آله برعایة التقوی و العدل، و هو لا یلازم لحرمة التفضیل؛ لأنّه کما أمر امّته بالوجوب، و نهاهم عن الحرام، یأمرهم بالندب و ینهاهم عن فعل المرجوح، و کم له نظیر فی الروایات، و کذا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أشهد إلاّ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حرمة</w:t>
      </w:r>
      <w:r>
        <w:rPr>
          <w:rStyle w:val="FootnoteAnchor"/>
          <w:rtl w:val="true"/>
        </w:rPr>
        <w:footnoteReference w:id="2269"/>
      </w:r>
      <w:r>
        <w:rPr>
          <w:rFonts w:ascii="IRNazanin" w:hAnsi="IRNazanin" w:eastAsia="IRNazanin"/>
          <w:color w:val="111111"/>
          <w:sz w:val="28"/>
          <w:sz w:val="28"/>
          <w:szCs w:val="28"/>
          <w:rtl w:val="true"/>
          <w:lang w:bidi="fa-IR"/>
        </w:rPr>
        <w:t>التفضیل و لا یلازمه؛ فإنّ أقصی ما یستفاد منه أن التفضیل لیس بحقّ، فیصدق علی الکراهة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وجوب رجوع الوالد عن هبته، و کذا ظاهر الأمر فی الطائفة الثانیة منها، حیث ثبت فی الاُصول أنّ الوجوب غیر مستفاد من صیغة الأمر بحدّ ذاتها، و إنّما هو مستفاد من حکم العقل بلزوم إطاعة المولی، حیث لم یرد ترخیص، و فی المقام ورد الترخیص بمقتضی الروایات الصحیحة التی سنذکرها قریباً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الأمر شیءٌ، و ثبوت الوجوب شیءٌ آخر؛ إذ لا ملازمة بینهما أصلاً، فقد ثبت الأمر و لا یثبت الوجوب، کما هو الحال فی الأوامر</w:t>
      </w:r>
      <w:bookmarkStart w:id="1350" w:name="pg11754_113325"/>
    </w:p>
    <w:p>
      <w:pPr>
        <w:pStyle w:val="BookText"/>
        <w:rPr/>
      </w:pPr>
      <w:bookmarkEnd w:id="1350"/>
      <w:r>
        <w:rPr>
          <w:rFonts w:ascii="IRNazanin" w:hAnsi="IRNazanin" w:eastAsia="IRNazanin"/>
          <w:color w:val="111111"/>
          <w:sz w:val="28"/>
          <w:sz w:val="28"/>
          <w:szCs w:val="28"/>
          <w:rtl w:val="true"/>
          <w:lang w:bidi="fa-IR"/>
        </w:rPr>
        <w:t xml:space="preserve">الاستحبابیّة، بل لا بدّ فی إثبات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عدم الترخیص، و فی المقام لیس کذلک، حیث ورد الترخیص، فلا یمکن استفادة الوجوب من ظاهر الأمر</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مع النصوص المتظافرة المتکاثرة الناطقة بجواز تفضیل بعض الأولاد علی بعض، و الترجیح معها قطعاً، سیّما أنّ فی غیر واحد منها قد صُرِّحت بتفضیل المعصوم علیه السلام بعض ولده علی بعض کما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حرمة التفضیل مطلقاً، بل علی جوازه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التفضیل سبباً لإثارة الشحناء و البغضاء بحیث یؤدّی ذلک إلی الفساد بین الأولاد و الأقارب، فهو محرّم قطعاً، کما أفتی به بعض الفقهاء، إلاّ أنّه خارج عن مفروض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تفضیل بعض الأولاد علی بعض فی العطیّة علی کراهیّة، و ربما یحرم إذا کان سبباً لإثارة الفتنة و الشحناء و البغضاء المؤدّیة إلی الفساد</w:t>
      </w:r>
      <w:r>
        <w:rPr>
          <w:rFonts w:eastAsia="IRNazanin" w:cs="IRNazanin"/>
          <w:color w:val="111111"/>
          <w:sz w:val="28"/>
          <w:szCs w:val="28"/>
          <w:rtl w:val="true"/>
          <w:lang w:bidi="fa-IR"/>
        </w:rPr>
        <w:t>»</w:t>
      </w:r>
      <w:r>
        <w:rPr>
          <w:rStyle w:val="FootnoteAnchor"/>
          <w:rtl w:val="true"/>
        </w:rPr>
        <w:footnoteReference w:id="2271"/>
      </w:r>
      <w:r>
        <w:rPr>
          <w:rFonts w:ascii="IRNazanin" w:hAnsi="IRNazanin" w:eastAsia="IRNazanin"/>
          <w:color w:val="111111"/>
          <w:sz w:val="28"/>
          <w:sz w:val="28"/>
          <w:szCs w:val="28"/>
          <w:rtl w:val="true"/>
          <w:lang w:bidi="fa-IR"/>
        </w:rPr>
        <w:t>، و کذا فی تفصیل الشریعة</w:t>
      </w:r>
      <w:r>
        <w:rPr>
          <w:rStyle w:val="FootnoteAnchor"/>
          <w:rtl w:val="true"/>
        </w:rPr>
        <w:footnoteReference w:id="2272"/>
      </w:r>
      <w:r>
        <w:rPr>
          <w:rFonts w:ascii="IRNazanin" w:hAnsi="IRNazanin" w:eastAsia="IRNazanin"/>
          <w:color w:val="111111"/>
          <w:sz w:val="28"/>
          <w:sz w:val="28"/>
          <w:szCs w:val="28"/>
          <w:rtl w:val="true"/>
          <w:lang w:bidi="fa-IR"/>
        </w:rPr>
        <w:t>و مهذّب الأحکام</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9531451_73709187"/>
      <w:bookmarkStart w:id="1352" w:name="_Toc528"/>
      <w:bookmarkEnd w:id="1351"/>
      <w:r>
        <w:rPr>
          <w:rtl w:val="true"/>
        </w:rPr>
        <w:t>استحباب التسویة بین الأولاد</w:t>
      </w:r>
      <w:bookmarkEnd w:id="1352"/>
    </w:p>
    <w:p>
      <w:pPr>
        <w:pStyle w:val="Heading5"/>
        <w:numPr>
          <w:ilvl w:val="4"/>
          <w:numId w:val="1"/>
        </w:numPr>
        <w:rPr/>
      </w:pPr>
      <w:bookmarkStart w:id="1353" w:name="__RefHeading___Toc9531453_73709187"/>
      <w:bookmarkStart w:id="1354" w:name="_Toc529"/>
      <w:bookmarkEnd w:id="1353"/>
      <w:r>
        <w:rPr>
          <w:rtl w:val="true"/>
        </w:rPr>
        <w:t>اشارة</w:t>
      </w:r>
      <w:bookmarkEnd w:id="135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Style w:val="FootnoteAnchor"/>
          <w:rtl w:val="true"/>
        </w:rPr>
        <w:footnoteReference w:id="2274"/>
      </w:r>
      <w:r>
        <w:rPr>
          <w:rFonts w:ascii="IRNazanin" w:hAnsi="IRNazanin" w:eastAsia="IRNazanin"/>
          <w:color w:val="111111"/>
          <w:sz w:val="28"/>
          <w:sz w:val="28"/>
          <w:szCs w:val="28"/>
          <w:rtl w:val="true"/>
          <w:lang w:bidi="fa-IR"/>
        </w:rPr>
        <w:t>بین فقهاء الإمامیّة، بل لا خلاف بینهم فیه</w:t>
      </w:r>
      <w:r>
        <w:rPr>
          <w:rStyle w:val="FootnoteAnchor"/>
          <w:rtl w:val="true"/>
        </w:rPr>
        <w:footnoteReference w:id="2275"/>
      </w:r>
      <w:r>
        <w:rPr>
          <w:rFonts w:ascii="IRNazanin" w:hAnsi="IRNazanin" w:eastAsia="IRNazanin"/>
          <w:color w:val="111111"/>
          <w:sz w:val="28"/>
          <w:sz w:val="28"/>
          <w:szCs w:val="28"/>
          <w:rtl w:val="true"/>
          <w:lang w:bidi="fa-IR"/>
        </w:rPr>
        <w:t>؛ من أنّه یستحبّ العدالة و التسویة بین الأولاد فی العطیّة</w:t>
      </w:r>
    </w:p>
    <w:p>
      <w:pPr>
        <w:pStyle w:val="BookText"/>
        <w:rPr/>
      </w:pPr>
      <w:r>
        <w:rPr>
          <w:rFonts w:ascii="IRNazanin" w:hAnsi="IRNazanin" w:eastAsia="IRNazanin"/>
          <w:color w:val="111111"/>
          <w:sz w:val="28"/>
          <w:sz w:val="28"/>
          <w:szCs w:val="28"/>
          <w:rtl w:val="true"/>
          <w:lang w:bidi="fa-IR"/>
        </w:rPr>
        <w:t>و غیرها و یکره التفضیل بینهم مطلقاً، أی سواءً وقع فی حال المرض و الإعسار أو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فالمستحبّ إذا أعطی وُلده أن یقسّم بینهم، و یسوّی بین جماعتهم، و لا یفضّل بعضهم علی بعض؛ سواءً کانوا ذکوراً أو إناثاً، أو ذکوراً و إناثاً، فإذا ثبت ذلک، فإن خالف ففاضل أو أعطی بعضهم و حرَّم الباقین، جاز ذلک و وقعت العطیّة موقعها</w:t>
      </w:r>
      <w:r>
        <w:rPr>
          <w:rFonts w:eastAsia="IRNazanin" w:cs="IRNazanin"/>
          <w:color w:val="111111"/>
          <w:sz w:val="28"/>
          <w:szCs w:val="28"/>
          <w:rtl w:val="true"/>
          <w:lang w:bidi="fa-IR"/>
        </w:rPr>
        <w:t>»</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تفضیل بعض الولد علی بعض فی العطیّة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العطیّة لذوی الرحم، و یتأکّد فی الولد و الوالد، و التسویة بین الأولاد فی العطیّة</w:t>
      </w:r>
      <w:r>
        <w:rPr>
          <w:rFonts w:eastAsia="IRNazanin" w:cs="IRNazanin"/>
          <w:color w:val="111111"/>
          <w:sz w:val="28"/>
          <w:szCs w:val="28"/>
          <w:rtl w:val="true"/>
          <w:lang w:bidi="fa-IR"/>
        </w:rPr>
        <w:t>»</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القواعد</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التحریر و زاد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تزول الکراهیّة لو خصّصه لمعنی، مثل زیادة حاجته، أو زمانته، أو کثرة عائلته أو اشتغاله بالعلم و نحوه من الفضائل، أو فسق الآخر، و استعانته بالعطیّة علی المعصیة؟ الأقرب ذلک</w:t>
      </w:r>
      <w:r>
        <w:rPr>
          <w:rFonts w:eastAsia="IRNazanin" w:cs="IRNazanin"/>
          <w:color w:val="111111"/>
          <w:sz w:val="28"/>
          <w:szCs w:val="28"/>
          <w:rtl w:val="true"/>
          <w:lang w:bidi="fa-IR"/>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الشهید فی الدروس</w:t>
      </w:r>
      <w:r>
        <w:rPr>
          <w:rStyle w:val="FootnoteAnchor"/>
          <w:rtl w:val="true"/>
        </w:rPr>
        <w:footnoteReference w:id="2280"/>
      </w:r>
      <w:r>
        <w:rPr>
          <w:rFonts w:ascii="Amiri" w:hAnsi="Amiri" w:eastAsia="Amiri" w:cs="Amiri"/>
          <w:color w:val="111111"/>
          <w:sz w:val="28"/>
          <w:sz w:val="28"/>
          <w:szCs w:val="28"/>
          <w:rtl w:val="true"/>
          <w:lang w:bidi="ar-SA"/>
        </w:rPr>
        <w:t>و اللمعة</w:t>
      </w:r>
      <w:r>
        <w:rPr>
          <w:rStyle w:val="FootnoteAnchor"/>
          <w:rtl w:val="true"/>
        </w:rPr>
        <w:footnoteReference w:id="2281"/>
      </w:r>
      <w:r>
        <w:rPr>
          <w:rFonts w:ascii="IRNazanin" w:hAnsi="IRNazanin" w:eastAsia="IRNazanin"/>
          <w:color w:val="111111"/>
          <w:sz w:val="28"/>
          <w:sz w:val="28"/>
          <w:szCs w:val="28"/>
          <w:rtl w:val="true"/>
          <w:lang w:bidi="fa-IR"/>
        </w:rPr>
        <w:t>، و المحقّق الثانی فی جامع المقاصد</w:t>
      </w:r>
      <w:r>
        <w:rPr>
          <w:rStyle w:val="FootnoteAnchor"/>
          <w:rtl w:val="true"/>
        </w:rPr>
        <w:footnoteReference w:id="2282"/>
      </w:r>
      <w:r>
        <w:rPr>
          <w:rFonts w:ascii="IRNazanin" w:hAnsi="IRNazanin" w:eastAsia="IRNazanin"/>
          <w:color w:val="111111"/>
          <w:sz w:val="28"/>
          <w:sz w:val="28"/>
          <w:szCs w:val="28"/>
          <w:rtl w:val="true"/>
          <w:lang w:bidi="fa-IR"/>
        </w:rPr>
        <w:t>و غیرهم</w:t>
      </w:r>
      <w:r>
        <w:rPr>
          <w:rStyle w:val="FootnoteAnchor"/>
          <w:rtl w:val="true"/>
        </w:rPr>
        <w:footnoteReference w:id="2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تحریر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تفضیل بعض الأولاد</w:t>
      </w:r>
      <w:bookmarkStart w:id="1355" w:name="pg11754_113327"/>
    </w:p>
    <w:p>
      <w:pPr>
        <w:pStyle w:val="BookText"/>
        <w:rPr/>
      </w:pPr>
      <w:bookmarkEnd w:id="1355"/>
      <w:r>
        <w:rPr>
          <w:rFonts w:ascii="IRNazanin" w:hAnsi="IRNazanin" w:eastAsia="IRNazanin"/>
          <w:color w:val="111111"/>
          <w:sz w:val="28"/>
          <w:sz w:val="28"/>
          <w:szCs w:val="28"/>
          <w:rtl w:val="true"/>
          <w:lang w:bidi="fa-IR"/>
        </w:rPr>
        <w:t xml:space="preserve">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یرجّح فیها إذا یؤمن من الفساد، و یکون لبعضهم خصوصیّة موجبة لأولویّة رعایته</w:t>
      </w:r>
      <w:r>
        <w:rPr>
          <w:rFonts w:eastAsia="IRNazanin" w:cs="IRNazanin"/>
          <w:color w:val="111111"/>
          <w:sz w:val="28"/>
          <w:szCs w:val="28"/>
          <w:rtl w:val="true"/>
          <w:lang w:bidi="fa-IR"/>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6" w:name="__RefHeading___Toc9531455_73709187"/>
      <w:bookmarkStart w:id="1357" w:name="_Toc530"/>
      <w:bookmarkEnd w:id="1356"/>
      <w:r>
        <w:rPr>
          <w:rtl w:val="true"/>
        </w:rPr>
        <w:t>أدلّة استحباب التسویة بین الأولاد</w:t>
      </w:r>
      <w:bookmarkEnd w:id="1357"/>
    </w:p>
    <w:p>
      <w:pPr>
        <w:pStyle w:val="Heading6"/>
        <w:numPr>
          <w:ilvl w:val="5"/>
          <w:numId w:val="1"/>
        </w:numPr>
        <w:rPr/>
      </w:pPr>
      <w:bookmarkStart w:id="1358" w:name="__RefHeading___Toc9531457_73709187"/>
      <w:bookmarkStart w:id="1359" w:name="_Toc531"/>
      <w:bookmarkEnd w:id="1358"/>
      <w:r>
        <w:rPr>
          <w:rtl w:val="true"/>
        </w:rPr>
        <w:t>اشارة</w:t>
      </w:r>
      <w:bookmarkEnd w:id="1359"/>
    </w:p>
    <w:p>
      <w:pPr>
        <w:pStyle w:val="BookText"/>
        <w:rPr/>
      </w:pPr>
      <w:r>
        <w:rPr>
          <w:rFonts w:ascii="IRNazanin" w:hAnsi="IRNazanin" w:eastAsia="IRNazanin"/>
          <w:color w:val="111111"/>
          <w:sz w:val="28"/>
          <w:sz w:val="28"/>
          <w:szCs w:val="28"/>
          <w:rtl w:val="true"/>
          <w:lang w:bidi="fa-IR"/>
        </w:rPr>
        <w:t>أمّا دلیل جواز العطیّة مع تفضیل بعض الأولاد علی البعض الآخر، فأُمور</w:t>
      </w:r>
      <w:r>
        <w:rPr>
          <w:rFonts w:eastAsia="IRNazanin" w:cs="IRNazanin"/>
          <w:color w:val="111111"/>
          <w:sz w:val="28"/>
          <w:szCs w:val="28"/>
          <w:rtl w:val="true"/>
          <w:lang w:bidi="fa-IR"/>
        </w:rPr>
        <w:t>:</w:t>
      </w:r>
    </w:p>
    <w:p>
      <w:pPr>
        <w:pStyle w:val="Heading6"/>
        <w:numPr>
          <w:ilvl w:val="5"/>
          <w:numId w:val="1"/>
        </w:numPr>
        <w:rPr/>
      </w:pPr>
      <w:bookmarkStart w:id="1360" w:name="__RefHeading___Toc9531459_73709187"/>
      <w:bookmarkStart w:id="1361" w:name="_Toc532"/>
      <w:bookmarkEnd w:id="1360"/>
      <w:r>
        <w:rPr>
          <w:rtl w:val="true"/>
        </w:rPr>
        <w:t>الأوّل</w:t>
      </w:r>
      <w:r>
        <w:rPr>
          <w:rtl w:val="true"/>
        </w:rPr>
        <w:t xml:space="preserve">: </w:t>
      </w:r>
      <w:r>
        <w:rPr>
          <w:rtl w:val="true"/>
        </w:rPr>
        <w:t>الإجماع</w:t>
      </w:r>
      <w:bookmarkEnd w:id="1361"/>
    </w:p>
    <w:p>
      <w:pPr>
        <w:pStyle w:val="BookText"/>
        <w:rPr/>
      </w:pPr>
      <w:r>
        <w:rPr>
          <w:rFonts w:ascii="IRNazanin" w:hAnsi="IRNazanin" w:eastAsia="IRNazanin"/>
          <w:color w:val="111111"/>
          <w:sz w:val="28"/>
          <w:sz w:val="28"/>
          <w:szCs w:val="28"/>
          <w:rtl w:val="true"/>
          <w:lang w:bidi="fa-IR"/>
        </w:rPr>
        <w:t>کما هو ظاهر کلام الشیخ فی الخلاف</w:t>
      </w:r>
      <w:r>
        <w:rPr>
          <w:rStyle w:val="FootnoteAnchor"/>
          <w:rtl w:val="true"/>
        </w:rPr>
        <w:footnoteReference w:id="2285"/>
      </w:r>
      <w:r>
        <w:rPr>
          <w:rFonts w:ascii="IRNazanin" w:hAnsi="IRNazanin" w:eastAsia="IRNazanin"/>
          <w:color w:val="111111"/>
          <w:sz w:val="28"/>
          <w:sz w:val="28"/>
          <w:szCs w:val="28"/>
          <w:rtl w:val="true"/>
          <w:lang w:bidi="fa-IR"/>
        </w:rPr>
        <w:t>، و ادّعاه فی الجواهر</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2" w:name="__RefHeading___Toc9531461_73709187"/>
      <w:bookmarkStart w:id="1363" w:name="_Toc533"/>
      <w:bookmarkEnd w:id="1362"/>
      <w:r>
        <w:rPr>
          <w:rtl w:val="true"/>
        </w:rPr>
        <w:t>الثانی</w:t>
      </w:r>
      <w:r>
        <w:rPr>
          <w:rtl w:val="true"/>
        </w:rPr>
        <w:t xml:space="preserve">: </w:t>
      </w:r>
      <w:r>
        <w:rPr>
          <w:rtl w:val="true"/>
        </w:rPr>
        <w:t>الأصل کما فی المختلف</w:t>
      </w:r>
      <w:bookmarkEnd w:id="1363"/>
    </w:p>
    <w:p>
      <w:pPr>
        <w:pStyle w:val="BookText"/>
        <w:rPr/>
      </w:pP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4" w:name="__RefHeading___Toc9531463_73709187"/>
      <w:bookmarkStart w:id="1365" w:name="_Toc534"/>
      <w:bookmarkEnd w:id="1364"/>
      <w:r>
        <w:rPr>
          <w:rtl w:val="true"/>
        </w:rPr>
        <w:t>الثالث</w:t>
      </w:r>
      <w:r>
        <w:rPr>
          <w:rtl w:val="true"/>
        </w:rPr>
        <w:t xml:space="preserve">: </w:t>
      </w:r>
      <w:r>
        <w:rPr>
          <w:rtl w:val="true"/>
        </w:rPr>
        <w:t>قوله صلی الله علیه و آله</w:t>
      </w:r>
      <w:r>
        <w:rPr>
          <w:rtl w:val="true"/>
        </w:rPr>
        <w:t>: «</w:t>
      </w:r>
      <w:r>
        <w:rPr>
          <w:rtl w:val="true"/>
        </w:rPr>
        <w:t>الناس مسلّطون علی أموالهم</w:t>
      </w:r>
      <w:r>
        <w:rPr>
          <w:rtl w:val="true"/>
        </w:rPr>
        <w:t>»</w:t>
      </w:r>
      <w:bookmarkEnd w:id="1365"/>
    </w:p>
    <w:p>
      <w:pPr>
        <w:pStyle w:val="BookText"/>
        <w:rPr/>
      </w:pPr>
      <w:r>
        <w:rPr>
          <w:rStyle w:val="FootnoteAnchor"/>
          <w:rtl w:val="true"/>
        </w:rPr>
        <w:footnoteReference w:id="2288"/>
      </w:r>
      <w:r>
        <w:rPr>
          <w:rFonts w:ascii="IRNazanin" w:hAnsi="IRNazanin" w:eastAsia="IRNazanin"/>
          <w:color w:val="111111"/>
          <w:sz w:val="28"/>
          <w:sz w:val="28"/>
          <w:szCs w:val="28"/>
          <w:rtl w:val="true"/>
          <w:lang w:bidi="fa-IR"/>
        </w:rPr>
        <w:t>، و فی معناه روایات اخری،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فی الکافی عن عمّار بن موسی أنّه سمع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المال أحقّ بماله ما دام فیه شیء من الروح، یضعه حیث یشاء</w:t>
      </w:r>
      <w:r>
        <w:rPr>
          <w:rFonts w:eastAsia="IRNazanin" w:cs="IRNazanin"/>
          <w:color w:val="111111"/>
          <w:sz w:val="28"/>
          <w:szCs w:val="28"/>
          <w:rtl w:val="true"/>
          <w:lang w:bidi="fa-IR"/>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أیضاً عن سماعة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یکون له الولد أ یسعه أن یجعل ماله لقرابته؟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ماله، یصنع ما یشاء به إلی أن یأتیه الموت</w:t>
      </w:r>
      <w:r>
        <w:rPr>
          <w:rFonts w:eastAsia="IRNazanin" w:cs="IRNazanin"/>
          <w:color w:val="111111"/>
          <w:sz w:val="28"/>
          <w:szCs w:val="28"/>
          <w:rtl w:val="true"/>
          <w:lang w:bidi="fa-IR"/>
        </w:rPr>
        <w:t>»</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إطلاقهما یشمل المقام</w:t>
      </w:r>
      <w:r>
        <w:rPr>
          <w:rFonts w:eastAsia="IRNazanin" w:cs="IRNazanin"/>
          <w:color w:val="111111"/>
          <w:sz w:val="28"/>
          <w:szCs w:val="28"/>
          <w:rtl w:val="true"/>
          <w:lang w:bidi="fa-IR"/>
        </w:rPr>
        <w:t>.</w:t>
      </w:r>
    </w:p>
    <w:p>
      <w:pPr>
        <w:pStyle w:val="Heading6"/>
        <w:numPr>
          <w:ilvl w:val="5"/>
          <w:numId w:val="1"/>
        </w:numPr>
        <w:rPr/>
      </w:pPr>
      <w:bookmarkStart w:id="1366" w:name="__RefHeading___Toc9531465_73709187"/>
      <w:bookmarkStart w:id="1367" w:name="_Toc535"/>
      <w:bookmarkEnd w:id="1366"/>
      <w:r>
        <w:rPr>
          <w:rtl w:val="true"/>
        </w:rPr>
        <w:t xml:space="preserve">الرابع </w:t>
      </w:r>
      <w:r>
        <w:rPr>
          <w:rtl w:val="true"/>
        </w:rPr>
        <w:t xml:space="preserve">- </w:t>
      </w:r>
      <w:r>
        <w:rPr>
          <w:rtl w:val="true"/>
        </w:rPr>
        <w:t xml:space="preserve">و هو العمدة </w:t>
      </w:r>
      <w:r>
        <w:rPr>
          <w:rtl w:val="true"/>
        </w:rPr>
        <w:t xml:space="preserve">-: </w:t>
      </w:r>
      <w:r>
        <w:rPr>
          <w:rtl w:val="true"/>
        </w:rPr>
        <w:t>النصوص الخاصّة</w:t>
      </w:r>
      <w:bookmarkEnd w:id="136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قد عقد فی الکافی باباً لذلک، و کذا</w:t>
      </w:r>
    </w:p>
    <w:p>
      <w:pPr>
        <w:pStyle w:val="BookText"/>
        <w:rPr/>
      </w:pPr>
      <w:r>
        <w:rPr>
          <w:rFonts w:ascii="IRNazanin" w:hAnsi="IRNazanin" w:eastAsia="IRNazanin"/>
          <w:color w:val="111111"/>
          <w:sz w:val="28"/>
          <w:sz w:val="28"/>
          <w:szCs w:val="28"/>
          <w:rtl w:val="true"/>
          <w:lang w:bidi="fa-IR"/>
        </w:rPr>
        <w:t>فی الوسائل؛ أی جواز تفضیل بعض الأولاد علی بعض؛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الکافی فی الصحیح عن سعد بن سعد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 السلام عن الرجل یکون بعض ولده أحبّ إلیه من بعض، و یقدّم بعض ولده علی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 ذلک أبو عبد اللّه علیه السلام، نحل محمّداً، و فعل ذلک أبو الحسن علیه السلام، نحل أحمد شیئاً فقمت أنا به حتّی حزته</w:t>
      </w:r>
      <w:r>
        <w:rPr>
          <w:rStyle w:val="FootnoteAnchor"/>
          <w:rtl w:val="true"/>
        </w:rPr>
        <w:footnoteReference w:id="229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بناته أحبّ إلیه من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و البنون فی ذلک سواء، إنّما هو بقدر ما ینزلهم اللّه عزّ و جلّ منه</w:t>
      </w:r>
      <w:r>
        <w:rPr>
          <w:rFonts w:eastAsia="IRNazanin" w:cs="IRNazanin"/>
          <w:color w:val="111111"/>
          <w:sz w:val="28"/>
          <w:szCs w:val="28"/>
          <w:rtl w:val="true"/>
          <w:lang w:bidi="fa-IR"/>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أیضاً فی الکافی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یفضّل بعض ولده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نساؤه</w:t>
      </w:r>
      <w:r>
        <w:rPr>
          <w:rFonts w:eastAsia="IRNazanin" w:cs="IRNazanin"/>
          <w:color w:val="111111"/>
          <w:sz w:val="28"/>
          <w:szCs w:val="28"/>
          <w:rtl w:val="true"/>
          <w:lang w:bidi="fa-IR"/>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ما رواه فی التهذیب عن إسماعیل بن عبد الخالق، عن أبی عبد اللّه علیه السلام</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فی الفقیه عن رفاعة بن موسی، عن أبی الحسن موسی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له بنون و امّهم لیست بواحدة، أ یفضّل أحدهم علی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قد کان أبی یفضّلنی علی عبد اللّه</w:t>
      </w:r>
      <w:r>
        <w:rPr>
          <w:rFonts w:eastAsia="IRNazanin" w:cs="IRNazanin"/>
          <w:color w:val="111111"/>
          <w:sz w:val="28"/>
          <w:szCs w:val="28"/>
          <w:rtl w:val="true"/>
          <w:lang w:bidi="fa-IR"/>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رواه بسند صحیح فی التهذیب عن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الولد من غیر امّ، أ یفضّل بعضهم علی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معاویة و أبو کهمس أنّهما سمعا</w:t>
      </w:r>
    </w:p>
    <w:p>
      <w:pPr>
        <w:pStyle w:val="BookText"/>
        <w:rPr/>
      </w:pPr>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ذلک علی علیه السلام بابنه الحسن علیه السلام، و فعل ذلک الحسین علیه السلام بابنه علیّ علیه السلام و فعل ذلک أبی بی و فعلته أنا</w:t>
      </w:r>
      <w:r>
        <w:rPr>
          <w:rFonts w:eastAsia="IRNazanin" w:cs="IRNazanin"/>
          <w:color w:val="111111"/>
          <w:sz w:val="28"/>
          <w:szCs w:val="28"/>
          <w:rtl w:val="true"/>
          <w:lang w:bidi="fa-IR"/>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قرب الإسناد علی بن جعفر، عن أخیه موسی بن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یحلّ له أن یفضّل بعض ولده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فضّلت فلاناً علی أهلی و ولدی، فلا بأس</w:t>
      </w:r>
      <w:r>
        <w:rPr>
          <w:rFonts w:eastAsia="IRNazanin" w:cs="IRNazanin"/>
          <w:color w:val="111111"/>
          <w:sz w:val="28"/>
          <w:szCs w:val="28"/>
          <w:rtl w:val="true"/>
          <w:lang w:bidi="fa-IR"/>
        </w:rPr>
        <w:t>»</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دلیل کراهیّته، 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فیه من إثارة التشاحن</w:t>
      </w:r>
      <w:r>
        <w:rPr>
          <w:rStyle w:val="FootnoteAnchor"/>
          <w:rtl w:val="true"/>
        </w:rPr>
        <w:footnoteReference w:id="2298"/>
      </w:r>
      <w:r>
        <w:rPr>
          <w:rFonts w:ascii="IRNazanin" w:hAnsi="IRNazanin" w:eastAsia="IRNazanin"/>
          <w:color w:val="111111"/>
          <w:sz w:val="28"/>
          <w:sz w:val="28"/>
          <w:szCs w:val="28"/>
          <w:rtl w:val="true"/>
          <w:lang w:bidi="fa-IR"/>
        </w:rPr>
        <w:t>و التباغض، کما فی قصّة یوسف علیه السلام</w:t>
      </w:r>
      <w:r>
        <w:rPr>
          <w:rFonts w:eastAsia="IRNazanin" w:cs="IRNazanin"/>
          <w:color w:val="111111"/>
          <w:sz w:val="28"/>
          <w:szCs w:val="28"/>
          <w:rtl w:val="true"/>
          <w:lang w:bidi="fa-IR"/>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التفضیل یورث العداوة و الشحناء بین الأولاد، کما هو الواقع شاهداً و غابراً، و لدلالة ذلک علی رغبة الأب فی المفضّل، المثیر للحسد، المفضی إلی قطیعة الرحم</w:t>
      </w:r>
      <w:r>
        <w:rPr>
          <w:rFonts w:eastAsia="IRNazanin" w:cs="IRNazanin"/>
          <w:color w:val="111111"/>
          <w:sz w:val="28"/>
          <w:szCs w:val="28"/>
          <w:rtl w:val="true"/>
          <w:lang w:bidi="fa-IR"/>
        </w:rPr>
        <w:t>»</w:t>
      </w:r>
      <w:r>
        <w:rPr>
          <w:rStyle w:val="FootnoteAnchor"/>
          <w:rtl w:val="true"/>
        </w:rPr>
        <w:footnoteReference w:id="2300"/>
      </w:r>
      <w:r>
        <w:rPr>
          <w:rFonts w:ascii="IRNazanin" w:hAnsi="IRNazanin" w:eastAsia="IRNazanin"/>
          <w:color w:val="111111"/>
          <w:sz w:val="28"/>
          <w:sz w:val="28"/>
          <w:szCs w:val="28"/>
          <w:rtl w:val="true"/>
          <w:lang w:bidi="fa-IR"/>
        </w:rPr>
        <w:t>، و کذا فی الروضة</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أیضاً النصوص المتقدّمة، کقوله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واسیت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لنعمان بن بشیر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ولدک نحلت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اعدلوا بین 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یصلح هذا، و إنّی لا أشهد إلاّ 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بین أولادکم فی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ساووا بین أولادکم فی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w:t>
      </w:r>
      <w:r>
        <w:rPr>
          <w:rStyle w:val="FootnoteAnchor"/>
          <w:rtl w:val="true"/>
        </w:rPr>
        <w:footnoteReference w:id="2302"/>
      </w:r>
      <w:bookmarkStart w:id="1368" w:name="pg11754_113330"/>
    </w:p>
    <w:p>
      <w:pPr>
        <w:pStyle w:val="BookText"/>
        <w:rPr/>
      </w:pPr>
      <w:bookmarkEnd w:id="1368"/>
      <w:r>
        <w:rPr>
          <w:rFonts w:ascii="IRNazanin" w:hAnsi="IRNazanin" w:eastAsia="IRNazanin"/>
          <w:color w:val="111111"/>
          <w:sz w:val="28"/>
          <w:sz w:val="28"/>
          <w:szCs w:val="28"/>
          <w:rtl w:val="true"/>
          <w:lang w:bidi="fa-IR"/>
        </w:rPr>
        <w:t>فإنّها تدلّ علی رجحان التسویة و المساواة بین الأولاد، فیکون التفضیل مرجوحاً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طائفة من النصوص المتقدّمة تدلّ علی جواز التفضیل مطلقاً، و طائفة اخری تدلّ علی رجحان التساوی، فنقول بجواز التفضیل علی کراهیّة جمعاً بینهما</w:t>
      </w:r>
      <w:r>
        <w:rPr>
          <w:rFonts w:eastAsia="IRNazanin" w:cs="IRNazanin"/>
          <w:color w:val="111111"/>
          <w:sz w:val="28"/>
          <w:szCs w:val="28"/>
          <w:rtl w:val="true"/>
          <w:lang w:bidi="fa-IR"/>
        </w:rPr>
        <w:t>.</w:t>
      </w:r>
    </w:p>
    <w:p>
      <w:pPr>
        <w:pStyle w:val="Heading4"/>
        <w:numPr>
          <w:ilvl w:val="3"/>
          <w:numId w:val="1"/>
        </w:numPr>
        <w:rPr/>
      </w:pPr>
      <w:bookmarkStart w:id="1369" w:name="__RefHeading___Toc9531467_73709187"/>
      <w:bookmarkStart w:id="1370" w:name="_Toc536"/>
      <w:bookmarkEnd w:id="1369"/>
      <w:r>
        <w:rPr>
          <w:rtl w:val="true"/>
        </w:rPr>
        <w:t>کراهیّة التفضیل فی حال المرض أو الإعسار</w:t>
      </w:r>
      <w:bookmarkEnd w:id="1370"/>
    </w:p>
    <w:p>
      <w:pPr>
        <w:pStyle w:val="BookText"/>
        <w:rPr/>
      </w:pPr>
      <w:r>
        <w:rPr>
          <w:rFonts w:ascii="IRNazanin" w:hAnsi="IRNazanin" w:eastAsia="IRNazanin"/>
          <w:color w:val="111111"/>
          <w:sz w:val="28"/>
          <w:sz w:val="28"/>
          <w:szCs w:val="28"/>
          <w:rtl w:val="true"/>
          <w:lang w:bidi="fa-IR"/>
        </w:rPr>
        <w:t>أفتی بعض الفقهاء بعدم کراهیّة التفضیل إلاّ فی حال المرض أو الإعسار، کما یستفاد من إطلاق کلام المفید فی المقنعة</w:t>
      </w:r>
      <w:r>
        <w:rPr>
          <w:rStyle w:val="FootnoteAnchor"/>
          <w:rtl w:val="true"/>
        </w:rPr>
        <w:footnoteReference w:id="2303"/>
      </w:r>
      <w:r>
        <w:rPr>
          <w:rFonts w:ascii="IRNazanin" w:hAnsi="IRNazanin" w:eastAsia="IRNazanin"/>
          <w:color w:val="111111"/>
          <w:sz w:val="28"/>
          <w:sz w:val="28"/>
          <w:szCs w:val="28"/>
          <w:rtl w:val="true"/>
          <w:lang w:bidi="fa-IR"/>
        </w:rPr>
        <w:t>، و الشیخ فی النهایة،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یفضّل الإنسان بعض وُلده علی بعض بالهبة و النحلة، إلاّ أنّه یکره ذلک فی حال المرض إذا کان الواهب معسراً، فإذا کان موسراً لم یکن به بأس</w:t>
      </w:r>
      <w:r>
        <w:rPr>
          <w:rFonts w:eastAsia="IRNazanin" w:cs="IRNazanin"/>
          <w:color w:val="111111"/>
          <w:sz w:val="28"/>
          <w:szCs w:val="28"/>
          <w:rtl w:val="true"/>
          <w:lang w:bidi="fa-IR"/>
        </w:rPr>
        <w:t>»</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الکراهة إنّما تثبت مع المرض و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عدمهما فلا بأس</w:t>
      </w:r>
      <w:r>
        <w:rPr>
          <w:rFonts w:eastAsia="IRNazanin" w:cs="IRNazanin"/>
          <w:color w:val="111111"/>
          <w:sz w:val="28"/>
          <w:szCs w:val="28"/>
          <w:rtl w:val="true"/>
          <w:lang w:bidi="fa-IR"/>
        </w:rPr>
        <w:t>»</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السرائر</w:t>
      </w:r>
      <w:r>
        <w:rPr>
          <w:rStyle w:val="FootnoteAnchor"/>
          <w:rtl w:val="true"/>
        </w:rPr>
        <w:footnoteReference w:id="2306"/>
      </w:r>
      <w:r>
        <w:rPr>
          <w:rFonts w:ascii="IRNazanin" w:hAnsi="IRNazanin" w:eastAsia="IRNazanin"/>
          <w:color w:val="111111"/>
          <w:sz w:val="28"/>
          <w:sz w:val="28"/>
          <w:szCs w:val="28"/>
          <w:rtl w:val="true"/>
          <w:lang w:bidi="fa-IR"/>
        </w:rPr>
        <w:t>، و مفتاح الکرامة</w:t>
      </w:r>
      <w:r>
        <w:rPr>
          <w:rStyle w:val="FootnoteAnchor"/>
          <w:rtl w:val="true"/>
        </w:rPr>
        <w:footnoteReference w:id="2307"/>
      </w:r>
      <w:r>
        <w:rPr>
          <w:rFonts w:ascii="IRNazanin" w:hAnsi="IRNazanin" w:eastAsia="IRNazanin"/>
          <w:color w:val="111111"/>
          <w:sz w:val="28"/>
          <w:sz w:val="28"/>
          <w:szCs w:val="28"/>
          <w:rtl w:val="true"/>
          <w:lang w:bidi="fa-IR"/>
        </w:rPr>
        <w:t>، و الحدائق</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ما رواه فی التهذیب بسند 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یخصّ بعض ولده بالعطیّة؟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مؤسراً فنعم و إن کان معسراً فلا</w:t>
      </w:r>
      <w:r>
        <w:rPr>
          <w:rFonts w:eastAsia="IRNazanin" w:cs="IRNazanin"/>
          <w:color w:val="111111"/>
          <w:sz w:val="28"/>
          <w:szCs w:val="28"/>
          <w:rtl w:val="true"/>
          <w:lang w:bidi="fa-IR"/>
        </w:rPr>
        <w:t>»</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و کذا ما رواه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عطیّة الوالد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صحیحاً فهو ماله یصنع به ما شاء، و أمّا فی مرضه فلا یصلح</w:t>
      </w:r>
      <w:r>
        <w:rPr>
          <w:rFonts w:eastAsia="IRNazanin" w:cs="IRNazanin"/>
          <w:color w:val="111111"/>
          <w:sz w:val="28"/>
          <w:szCs w:val="28"/>
          <w:rtl w:val="true"/>
          <w:lang w:bidi="fa-IR"/>
        </w:rPr>
        <w:t>»</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جرّاح المدائنی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عطیّة الوالد لولده یبیّنه؟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فی صحّته جاز</w:t>
      </w:r>
      <w:r>
        <w:rPr>
          <w:rFonts w:eastAsia="IRNazanin" w:cs="IRNazanin"/>
          <w:color w:val="111111"/>
          <w:sz w:val="28"/>
          <w:szCs w:val="28"/>
          <w:rtl w:val="true"/>
          <w:lang w:bidi="fa-IR"/>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مفتاح الکرامة بعد ذکر الخبرین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لأمکن أن نخصّص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الأخبار المتقدّمة التی تدلّ علی جواز التفضیل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 أبی بصیر، و نقول بکراهیّة التفضیل مع الإعسار فقط، و خصوصاً إذا کان مع المرض؛ لأنّه إذا فضّله و هو معسر مریض، فقد حرم الباقین من المیراث بالکلیّة، أو حصل علیهم بذلک النقص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یحصل الجمع بین الأخبار</w:t>
      </w:r>
      <w:r>
        <w:rPr>
          <w:rFonts w:eastAsia="IRNazanin" w:cs="IRNazanin"/>
          <w:color w:val="111111"/>
          <w:sz w:val="28"/>
          <w:szCs w:val="28"/>
          <w:rtl w:val="true"/>
          <w:lang w:bidi="fa-IR"/>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الحدائق</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الاستدلال بها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الروایتین الأخیرتین لم تردا فی التفضیل، لأنّ السؤال فیهما عن الولد و إن کان واحداً، و لا تعرّض فیهما للتفضیل، فلعلّ معناهما أنّ الوالد فی حال الصحّة یصنع بماله ما أراد و یمنع عنه فی حال المرض، و عدم مضیّ ذلک من الأصل إذا کان فی مرض الموت</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الجمع بین الأخبار بحمل هذه علی شدّة الکراهة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عموم الکراهیّة لجمیع الأحوال، و تأکّدها مع</w:t>
      </w:r>
      <w:bookmarkStart w:id="1371" w:name="pg11754_113332"/>
    </w:p>
    <w:p>
      <w:pPr>
        <w:pStyle w:val="BookText"/>
        <w:rPr/>
      </w:pPr>
      <w:bookmarkEnd w:id="1371"/>
      <w:r>
        <w:rPr>
          <w:rFonts w:ascii="IRNazanin" w:hAnsi="IRNazanin" w:eastAsia="IRNazanin"/>
          <w:color w:val="111111"/>
          <w:sz w:val="28"/>
          <w:sz w:val="28"/>
          <w:szCs w:val="28"/>
          <w:rtl w:val="true"/>
          <w:lang w:bidi="fa-IR"/>
        </w:rPr>
        <w:t>المرض و الإعسار، إعمالاً لجمیع الأدلّة لعدم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بعض الأصحاب منه ما لو اشتمل المفضَّل علی مزیّة، کحاجة و اشتغال بعلم، و المفضَّل علیه علی نقص، کفسق و بدعة و استعانة بالمال علی معصیة و نحو ذلک، فلا یکره التفضیل حینئذ، و لا بأس به مع احتمال عموم الکراهة؛ لعموم الأدلّة و إطلاقها</w:t>
      </w:r>
      <w:r>
        <w:rPr>
          <w:rFonts w:eastAsia="IRNazanin" w:cs="IRNazanin"/>
          <w:color w:val="111111"/>
          <w:sz w:val="28"/>
          <w:szCs w:val="28"/>
          <w:rtl w:val="true"/>
          <w:lang w:bidi="fa-IR"/>
        </w:rPr>
        <w:t>»</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أجاد فی الجواهر،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الحکم؛ الکراهة التی یتسامح فیها و یکفی فیها بعض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حمله علی شدّة الکراهة الواضح وجهها باقتضاء ذلک حرمان الوارث أو النقص المضرّ به، خصوصاً بعد إمکان حمل ما فی نصوصهم علیهم السلام من وقع التفضیل منهم علی المزیّة فی الفضل، أو النقص فی المفضَّل علیه بناءً علی زوال الکراهة بذلک</w:t>
      </w:r>
      <w:r>
        <w:rPr>
          <w:rFonts w:eastAsia="IRNazanin" w:cs="IRNazanin"/>
          <w:color w:val="111111"/>
          <w:sz w:val="28"/>
          <w:szCs w:val="28"/>
          <w:rtl w:val="true"/>
          <w:lang w:bidi="fa-IR"/>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9531469_73709187"/>
      <w:bookmarkStart w:id="1373" w:name="_Toc537"/>
      <w:bookmarkEnd w:id="1372"/>
      <w:r>
        <w:rPr>
          <w:rtl w:val="true"/>
        </w:rPr>
        <w:t>المقصود بالتسویة فی المقام</w:t>
      </w:r>
      <w:bookmarkEnd w:id="1373"/>
    </w:p>
    <w:p>
      <w:pPr>
        <w:pStyle w:val="BookText"/>
        <w:rPr/>
      </w:pPr>
      <w:r>
        <w:rPr>
          <w:rFonts w:ascii="IRNazanin" w:hAnsi="IRNazanin" w:eastAsia="IRNazanin"/>
          <w:color w:val="111111"/>
          <w:sz w:val="28"/>
          <w:sz w:val="28"/>
          <w:szCs w:val="28"/>
          <w:rtl w:val="true"/>
          <w:lang w:bidi="fa-IR"/>
        </w:rPr>
        <w:t>المقصود بالتسویة فی المقام أن یعطی الابن و البنت علی حدٍّ سواء، لا إعطاء الابن ضعف الاُنثی کما فی باب المیراث، صرّح بذلک کثیر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کلامه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فالمستحبّ إذا أعطی ولده أن یقسّم بینهم و یسوّی بین جماعتهم، و لا یفضّل بعضهم علی بعض؛ سواءً کانوا ذکوراً أو إناثاً</w:t>
      </w:r>
      <w:r>
        <w:rPr>
          <w:rFonts w:eastAsia="IRNazanin" w:cs="IRNazanin"/>
          <w:color w:val="111111"/>
          <w:sz w:val="28"/>
          <w:szCs w:val="28"/>
          <w:rtl w:val="true"/>
          <w:lang w:bidi="fa-IR"/>
        </w:rPr>
        <w:t>»</w:t>
      </w:r>
      <w:r>
        <w:rPr>
          <w:rStyle w:val="FootnoteAnchor"/>
          <w:rtl w:val="true"/>
        </w:rPr>
        <w:footnoteReference w:id="2317"/>
      </w:r>
      <w:r>
        <w:rPr>
          <w:rFonts w:ascii="IRNazanin" w:hAnsi="IRNazanin" w:eastAsia="IRNazanin"/>
          <w:color w:val="111111"/>
          <w:sz w:val="28"/>
          <w:sz w:val="28"/>
          <w:szCs w:val="28"/>
          <w:rtl w:val="true"/>
          <w:lang w:bidi="fa-IR"/>
        </w:rPr>
        <w:t>، و کذا فی الخلاف</w:t>
      </w:r>
      <w:r>
        <w:rPr>
          <w:rStyle w:val="FootnoteAnchor"/>
          <w:rtl w:val="true"/>
        </w:rPr>
        <w:footnoteReference w:id="2318"/>
      </w:r>
      <w:r>
        <w:rPr>
          <w:rFonts w:ascii="Amiri" w:hAnsi="Amiri" w:eastAsia="Amiri" w:cs="Amiri"/>
          <w:color w:val="111111"/>
          <w:sz w:val="28"/>
          <w:sz w:val="28"/>
          <w:szCs w:val="28"/>
          <w:rtl w:val="true"/>
          <w:lang w:bidi="ar-SA"/>
        </w:rPr>
        <w:t>، و المهذّب</w:t>
      </w:r>
      <w:r>
        <w:rPr>
          <w:rStyle w:val="FootnoteAnchor"/>
          <w:rtl w:val="true"/>
        </w:rPr>
        <w:footnoteReference w:id="2319"/>
      </w:r>
      <w:r>
        <w:rPr>
          <w:rFonts w:ascii="Amiri" w:hAnsi="Amiri" w:eastAsia="Amiri" w:cs="Amiri"/>
          <w:color w:val="111111"/>
          <w:sz w:val="28"/>
          <w:sz w:val="28"/>
          <w:szCs w:val="28"/>
          <w:rtl w:val="true"/>
          <w:lang w:bidi="ar-SA"/>
        </w:rPr>
        <w:t>، و الروضة</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بالتسویة معناها الظاهر؛ و هو جعل أنصباء الأولاد</w:t>
      </w:r>
      <w:bookmarkStart w:id="1374" w:name="pg11754_113333"/>
    </w:p>
    <w:p>
      <w:pPr>
        <w:pStyle w:val="BookText"/>
        <w:rPr/>
      </w:pPr>
      <w:bookmarkEnd w:id="1374"/>
      <w:r>
        <w:rPr>
          <w:rFonts w:ascii="IRNazanin" w:hAnsi="IRNazanin" w:eastAsia="IRNazanin"/>
          <w:color w:val="111111"/>
          <w:sz w:val="28"/>
          <w:sz w:val="28"/>
          <w:szCs w:val="28"/>
          <w:rtl w:val="true"/>
          <w:lang w:bidi="fa-IR"/>
        </w:rPr>
        <w:t>متساویة، ذکوراً کانوا أم إناثاً، أم بالتفریق، فیعطی الاُنثی مقدار ما یعطی الذکر و إن کان له ضعفها فی الإرث</w:t>
      </w:r>
      <w:r>
        <w:rPr>
          <w:rFonts w:eastAsia="IRNazanin" w:cs="IRNazanin"/>
          <w:color w:val="111111"/>
          <w:sz w:val="28"/>
          <w:szCs w:val="28"/>
          <w:rtl w:val="true"/>
          <w:lang w:bidi="fa-IR"/>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عدّة من فقهاء أهل السُنّة الذین قالوا باستحباب إعطاء الذکر مثل الانثی قیاساً بالمیراث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المیراث یستحقّ بالرحم و التعصیب و غیر ذلک، و لهذا یرث ابن العمّ من الأبوین دون العمّ من الأب عندنا، و عندهم یرث العمّ دون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العطیّة؛ فإنّها تستحبّ للرحم و القربی خاصّة، و ذلک یقتضی التسویة بین الذکر و الاُنثی کالإخوة من الاُمّ، أ لا تری أنّ النفقة یستوی فیها الجدّ من الأب و الجدّ من الأمّ و ان افترقا فی المیراث، فکذا العطیّة</w:t>
      </w:r>
      <w:r>
        <w:rPr>
          <w:rFonts w:eastAsia="IRNazanin" w:cs="IRNazanin"/>
          <w:color w:val="111111"/>
          <w:sz w:val="28"/>
          <w:szCs w:val="28"/>
          <w:rtl w:val="true"/>
          <w:lang w:bidi="fa-IR"/>
        </w:rPr>
        <w:t>»</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هذا ظاهر النصوص المتقدّمة؛ فإنّ ظاهر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واسیت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ساووا بین أولادکم فی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غیرهما، هو تساوی الابن و البنت و عدم التفاوت بینهما</w:t>
      </w:r>
      <w:r>
        <w:rPr>
          <w:rFonts w:eastAsia="IRNazanin" w:cs="IRNazanin"/>
          <w:color w:val="111111"/>
          <w:sz w:val="28"/>
          <w:szCs w:val="28"/>
          <w:rtl w:val="true"/>
          <w:lang w:bidi="fa-IR"/>
        </w:rPr>
        <w:t>.</w:t>
      </w:r>
    </w:p>
    <w:p>
      <w:pPr>
        <w:pStyle w:val="Heading4"/>
        <w:numPr>
          <w:ilvl w:val="3"/>
          <w:numId w:val="1"/>
        </w:numPr>
        <w:rPr/>
      </w:pPr>
      <w:bookmarkStart w:id="1375" w:name="__RefHeading___Toc9531471_73709187"/>
      <w:bookmarkStart w:id="1376" w:name="_Toc538"/>
      <w:bookmarkEnd w:id="1375"/>
      <w:r>
        <w:rPr>
          <w:rtl w:val="true"/>
        </w:rPr>
        <w:t>فرع</w:t>
      </w:r>
      <w:r>
        <w:rPr>
          <w:rtl w:val="true"/>
        </w:rPr>
        <w:t>:</w:t>
      </w:r>
      <w:bookmarkEnd w:id="1376"/>
    </w:p>
    <w:p>
      <w:pPr>
        <w:pStyle w:val="BookText"/>
        <w:rPr/>
      </w:pP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یلحق الاُم بالأب فیما تقدّم؛ أی فی استحباب التسویة فی العطیّة و کراهیّة التفضیل؟ قال بعض العامّة بذلک، لقول النبیّ صلی الله علیه و آله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اعدلوا بین أولادکم</w:t>
      </w:r>
      <w:r>
        <w:rPr>
          <w:rFonts w:eastAsia="IRNazanin" w:cs="IRNazanin"/>
          <w:color w:val="111111"/>
          <w:sz w:val="28"/>
          <w:szCs w:val="28"/>
          <w:rtl w:val="true"/>
          <w:lang w:bidi="fa-IR"/>
        </w:rPr>
        <w:t>»</w:t>
      </w:r>
      <w:r>
        <w:rPr>
          <w:rStyle w:val="FootnoteAnchor"/>
          <w:rtl w:val="true"/>
        </w:rPr>
        <w:footnoteReference w:id="2323"/>
      </w:r>
      <w:r>
        <w:rPr>
          <w:rFonts w:ascii="IRNazanin" w:hAnsi="IRNazanin" w:eastAsia="IRNazanin"/>
          <w:color w:val="111111"/>
          <w:sz w:val="28"/>
          <w:sz w:val="28"/>
          <w:szCs w:val="28"/>
          <w:rtl w:val="true"/>
          <w:lang w:bidi="fa-IR"/>
        </w:rPr>
        <w:t xml:space="preserve">، و لأنّها أحد الأبوین فمنعت التفضیل کالأب، و لأنّ المقتضی للمنع من التخصیص فی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وقوع العداوة بین الأولاد و الحسد و قطع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فی حقّ الامّ، فتساویها فی الحکم</w:t>
      </w:r>
      <w:r>
        <w:rPr>
          <w:rFonts w:eastAsia="IRNazanin" w:cs="IRNazanin"/>
          <w:color w:val="111111"/>
          <w:sz w:val="28"/>
          <w:szCs w:val="28"/>
          <w:rtl w:val="true"/>
          <w:lang w:bidi="fa-IR"/>
        </w:rPr>
        <w:t>»</w:t>
      </w:r>
      <w:r>
        <w:rPr>
          <w:rStyle w:val="FootnoteAnchor"/>
          <w:rtl w:val="true"/>
        </w:rPr>
        <w:footnoteReference w:id="2324"/>
      </w:r>
      <w:bookmarkStart w:id="1377" w:name="pg11754_113334"/>
    </w:p>
    <w:p>
      <w:pPr>
        <w:pStyle w:val="BookText"/>
        <w:rPr/>
      </w:pPr>
      <w:bookmarkEnd w:id="1377"/>
      <w:r>
        <w:rPr>
          <w:rFonts w:ascii="IRNazanin" w:hAnsi="IRNazanin" w:eastAsia="IRNazanin"/>
          <w:color w:val="111111"/>
          <w:sz w:val="28"/>
          <w:sz w:val="28"/>
          <w:szCs w:val="28"/>
          <w:rtl w:val="true"/>
          <w:lang w:bidi="fa-IR"/>
        </w:rPr>
        <w:t>و فی 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یلحق الاُمّ بالأب، الظاهر ذلک، و إطلاق بعض العبارات یتناوله، و العلّة جاریة فیها، لکنّ الأخبار بین صریح، و ظاهر فی الوالد و لعلّه لأنّه الغالب</w:t>
      </w:r>
      <w:r>
        <w:rPr>
          <w:rFonts w:eastAsia="IRNazanin" w:cs="IRNazanin"/>
          <w:color w:val="111111"/>
          <w:sz w:val="28"/>
          <w:szCs w:val="28"/>
          <w:rtl w:val="true"/>
          <w:lang w:bidi="fa-IR"/>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فی کلمات الفقهاء من صرّح بإلحاق الاُمّ بالأب فی هذا الحکم غیرهما و إن یتناوله إطلاق بعض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فی ذلک، و لعلّه لبداهته لم یصرّحوا به فی کلماتهم و إن کان الحکم ثابتاً عندهم</w:t>
      </w:r>
      <w:r>
        <w:rPr>
          <w:rFonts w:eastAsia="IRNazanin" w:cs="IRNazanin"/>
          <w:color w:val="111111"/>
          <w:sz w:val="28"/>
          <w:szCs w:val="28"/>
          <w:rtl w:val="true"/>
          <w:lang w:bidi="fa-IR"/>
        </w:rPr>
        <w:t>.</w:t>
      </w:r>
    </w:p>
    <w:p>
      <w:pPr>
        <w:pStyle w:val="Heading4"/>
        <w:numPr>
          <w:ilvl w:val="3"/>
          <w:numId w:val="1"/>
        </w:numPr>
        <w:rPr/>
      </w:pPr>
      <w:bookmarkStart w:id="1378" w:name="__RefHeading___Toc9531473_73709187"/>
      <w:bookmarkStart w:id="1379" w:name="_Toc539"/>
      <w:bookmarkEnd w:id="1378"/>
      <w:r>
        <w:rPr>
          <w:rtl w:val="true"/>
        </w:rPr>
        <w:t>آراء أهل السُنّة فی التسویة بین الأولاد فی العطیّة</w:t>
      </w:r>
      <w:bookmarkEnd w:id="1379"/>
    </w:p>
    <w:p>
      <w:pPr>
        <w:pStyle w:val="Heading5"/>
        <w:numPr>
          <w:ilvl w:val="4"/>
          <w:numId w:val="1"/>
        </w:numPr>
        <w:rPr/>
      </w:pPr>
      <w:bookmarkStart w:id="1380" w:name="__RefHeading___Toc9531475_73709187"/>
      <w:bookmarkStart w:id="1381" w:name="_Toc540"/>
      <w:bookmarkEnd w:id="1380"/>
      <w:r>
        <w:rPr>
          <w:rtl w:val="true"/>
        </w:rPr>
        <w:t>الحنابلة قالوا بالوجوب</w:t>
      </w:r>
      <w:bookmarkEnd w:id="1381"/>
    </w:p>
    <w:p>
      <w:p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الإنسان التسویة بین الأولاد فی العطیّة إذا لم یختصّ أحدهم بمعنی، یبیح التفضیل، فإن خصّ بعضهم بعطیّة، أو فاضل بینهم فیها أثم و وجبت علیه التسویة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ردّ ما فضل به البعض، و إمّا إتمام نصیب الآخر</w:t>
      </w:r>
      <w:r>
        <w:rPr>
          <w:rFonts w:eastAsia="IRNazanin" w:cs="IRNazanin"/>
          <w:color w:val="111111"/>
          <w:sz w:val="28"/>
          <w:szCs w:val="28"/>
          <w:rtl w:val="true"/>
          <w:lang w:bidi="fa-IR"/>
        </w:rPr>
        <w:t>...»</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 فی ذلک النصوص المتقدّمة، کحدیث نعمان بن بشیر و غیره، و لأنّ التفضیل بینهم یورث العداوة و البغضاء و قطیعة الرحم، و غیرها من الأدلّة التی ذکرناها فی بیان قول ابن الجنید و أجبنا عنها فلا نعیدها</w:t>
      </w:r>
      <w:r>
        <w:rPr>
          <w:rFonts w:eastAsia="IRNazanin" w:cs="IRNazanin"/>
          <w:color w:val="111111"/>
          <w:sz w:val="28"/>
          <w:szCs w:val="28"/>
          <w:rtl w:val="true"/>
          <w:lang w:bidi="fa-IR"/>
        </w:rPr>
        <w:t>.</w:t>
      </w:r>
    </w:p>
    <w:p>
      <w:pPr>
        <w:pStyle w:val="Heading5"/>
        <w:numPr>
          <w:ilvl w:val="4"/>
          <w:numId w:val="1"/>
        </w:numPr>
        <w:rPr/>
      </w:pPr>
      <w:bookmarkStart w:id="1382" w:name="__RefHeading___Toc9531477_73709187"/>
      <w:bookmarkStart w:id="1383" w:name="_Toc541"/>
      <w:bookmarkEnd w:id="1382"/>
      <w:r>
        <w:rPr>
          <w:rtl w:val="true"/>
        </w:rPr>
        <w:t>و أمّا الشافعیّة و الحنفیّة و المالکیّة</w:t>
      </w:r>
      <w:bookmarkEnd w:id="1383"/>
    </w:p>
    <w:p>
      <w:pPr>
        <w:pStyle w:val="BookText"/>
        <w:rPr/>
      </w:pPr>
      <w:r>
        <w:rPr>
          <w:rFonts w:ascii="IRNazanin" w:hAnsi="IRNazanin" w:eastAsia="IRNazanin"/>
          <w:color w:val="111111"/>
          <w:sz w:val="28"/>
          <w:sz w:val="28"/>
          <w:szCs w:val="28"/>
          <w:rtl w:val="true"/>
          <w:lang w:bidi="fa-IR"/>
        </w:rPr>
        <w:t>، فقالوا باستحباب التسویة و کراهیّة التفضیل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یهب أولاده فالمستحبّ أن یعمّهم، و أن یساوی بین الذکور و الإناث، و به قال مالک و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أن یجعل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وهب لبعض أولاده دون بعض، أو فاضل بینهم، صحّ ذلک و لم یأثم به غیر أنّه قد فعل مکروهاً و 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أبو حنیفة</w:t>
      </w:r>
      <w:r>
        <w:rPr>
          <w:rFonts w:eastAsia="IRNazanin" w:cs="IRNazanin"/>
          <w:color w:val="111111"/>
          <w:sz w:val="28"/>
          <w:szCs w:val="28"/>
          <w:rtl w:val="true"/>
          <w:lang w:bidi="fa-IR"/>
        </w:rPr>
        <w:t>»</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المجموع</w:t>
      </w:r>
      <w:r>
        <w:rPr>
          <w:rStyle w:val="FootnoteAnchor"/>
          <w:rtl w:val="true"/>
        </w:rPr>
        <w:footnoteReference w:id="2328"/>
      </w:r>
      <w:r>
        <w:rPr>
          <w:rFonts w:ascii="IRNazanin" w:hAnsi="IRNazanin" w:eastAsia="IRNazanin"/>
          <w:color w:val="111111"/>
          <w:sz w:val="28"/>
          <w:sz w:val="28"/>
          <w:szCs w:val="28"/>
          <w:rtl w:val="true"/>
          <w:lang w:bidi="fa-IR"/>
        </w:rPr>
        <w:t>و غیرهما</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أسهل 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هبة جمیع ماله لبعض ولده دون بعض أو تفضیل بعضهم علی بعض فی الهبة، فمکروه عند الجمهور، و إن وقع جاز</w:t>
      </w:r>
      <w:r>
        <w:rPr>
          <w:rFonts w:eastAsia="IRNazanin" w:cs="IRNazanin"/>
          <w:color w:val="111111"/>
          <w:sz w:val="28"/>
          <w:szCs w:val="28"/>
          <w:rtl w:val="true"/>
          <w:lang w:bidi="fa-IR"/>
        </w:rPr>
        <w:t>»</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البدائع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أن یسوّی بین ولده فی النحلی، و لا یفضّل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نحل بعضاً و حرم بعضاً جاز من طریق الحکم؛ لأنّه تصرّف فی خالص ملکه لا حقّ لأحدٍ فیه، إلاّ أنّه لا یکون عدلاً</w:t>
      </w:r>
      <w:r>
        <w:rPr>
          <w:rFonts w:eastAsia="IRNazanin" w:cs="IRNazanin"/>
          <w:color w:val="111111"/>
          <w:sz w:val="28"/>
          <w:szCs w:val="28"/>
          <w:rtl w:val="true"/>
          <w:lang w:bidi="fa-IR"/>
        </w:rPr>
        <w:t>»</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أیضاً استندوا بالنصوص المتقدّمة مثل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ساووا بین أولادکم</w:t>
      </w:r>
      <w:r>
        <w:rPr>
          <w:rFonts w:eastAsia="IRNazanin" w:cs="IRNazanin"/>
          <w:color w:val="111111"/>
          <w:sz w:val="28"/>
          <w:szCs w:val="28"/>
          <w:rtl w:val="true"/>
          <w:lang w:bidi="fa-IR"/>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لنعمان بن بشیر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کلّ وُلدکَ نحلته مثل هذا؟</w:t>
      </w:r>
      <w:r>
        <w:rPr>
          <w:rFonts w:eastAsia="Amiri" w:cs="Amiri" w:ascii="Amiri" w:hAnsi="Amiri"/>
          <w:color w:val="111111"/>
          <w:sz w:val="28"/>
          <w:szCs w:val="28"/>
          <w:rtl w:val="true"/>
          <w:lang w:bidi="ar-SA"/>
        </w:rPr>
        <w:t>»</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فارجعه</w:t>
      </w:r>
      <w:r>
        <w:rPr>
          <w:rFonts w:eastAsia="IRNazanin" w:cs="IRNazanin"/>
          <w:color w:val="111111"/>
          <w:sz w:val="28"/>
          <w:szCs w:val="28"/>
          <w:rtl w:val="true"/>
          <w:lang w:bidi="fa-IR"/>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 أنّ الهبة قد صحّت لما أمره بالرجعة، و بأنّ فی التسویة تألیف القلوب، و التفضیل یورث الوحشة بینهم، فکانت التسویة أولی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175/38</w:t>
      </w:r>
      <w:r>
        <w:rPr>
          <w:rFonts w:eastAsia="IRNazanin" w:cs="IRNazanin"/>
          <w:color w:val="111111"/>
          <w:sz w:val="28"/>
          <w:szCs w:val="28"/>
          <w:rtl w:val="true"/>
          <w:lang w:bidi="fa-IR"/>
        </w:rPr>
        <w:t>.</w:t>
      </w:r>
      <w:bookmarkStart w:id="1384" w:name="pg11754_113336"/>
    </w:p>
    <w:p>
      <w:pPr>
        <w:pStyle w:val="Heading2"/>
        <w:numPr>
          <w:ilvl w:val="1"/>
          <w:numId w:val="1"/>
        </w:numPr>
        <w:rPr/>
      </w:pPr>
      <w:bookmarkStart w:id="1385" w:name="__RefHeading___Toc9531479_73709187"/>
      <w:bookmarkStart w:id="1386" w:name="_Toc542"/>
      <w:bookmarkEnd w:id="1384"/>
      <w:bookmarkEnd w:id="1385"/>
      <w:r>
        <w:rPr>
          <w:rtl w:val="true"/>
        </w:rPr>
        <w:t>فهرس المطالب</w:t>
      </w:r>
      <w:bookmarkEnd w:id="1386"/>
    </w:p>
    <w:p>
      <w:pPr>
        <w:pStyle w:val="BookText"/>
        <w:rPr/>
      </w:pPr>
      <w:r>
        <w:rPr>
          <w:rFonts w:ascii="IRNazanin" w:hAnsi="IRNazanin" w:eastAsia="IRNazanin"/>
          <w:color w:val="111111"/>
          <w:sz w:val="28"/>
          <w:sz w:val="28"/>
          <w:szCs w:val="28"/>
          <w:rtl w:val="true"/>
          <w:lang w:bidi="fa-IR"/>
        </w:rPr>
        <w:t>شکر و ثناء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نسب الأطفال و احکام اللقیط</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نَسَبِ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لزوم تسجیل الولادة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الولد بوالدیه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إلحاق الولد بالزّوج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موضوع الفراش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أو مثله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اشتراط الدخول فی اللحوق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إمکان الوط‌ء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الإنزال هو الشرط فی الإلحاق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اللحوق مع الإنزال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أقلّ مدّة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التجاوز عن أقصی مدّة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کون أقصی مدّة الحمل تسعة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 أن یکون أکثر الحمل عشرة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مدّة الحمل سنةٌ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کون أقصی مدّة الحمل سنة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شرائط الإلحاق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إلحاق الولد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التی تنشأ من الإخلال بشرائط الإلحاق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ولد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وط‌ء الشبهة عند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الحلّیة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إلحاق الولد فی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فرعان ینبغی ذکرهما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السنّة فی إلحاق الولد عند الشبهة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أهل السنة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النسب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ولد الزنا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ولد الملاعنة باُمّه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أهل السنّة فی إلحاق ولد الملاعنة بالاُمّ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التلقیح و أطفال الأنابیب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التلقیح لغةً و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التلقیح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التکلیفی فی التلقیح الصناعی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المحاذیر المترتّبة علی التلقیح الصناعی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هذا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بین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الوضعی فی التلقیح الصناعی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التلقیح الصناعی و أطفال الأنابیب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 المحرّمة من التلقیح الصناعی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التلقیح المباحة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المولود بالتلقیح الصناعی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جواز الإقرار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نفوذ الإقرار بالنسب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 تصدیق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الفرق فی الإقرار بین الأب و الاُمّ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اختصاص الإقرار بالأب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الفرق فی الإقرار بین الأب و الاُمّ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السنّة فی الإقرار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 ینبغی ذکرهما فی مبحث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عدم قبول الإنکار بعد 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جواز الإقرار بعد مضیّ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السنّة فی هذین الفرعین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یشترط فی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القائل بعدم جواز التقاط الصبیّ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القائلین بجواز التقاط الصبیّ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صدق اللقیط علی المجنون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فقهاء أهل السنّة فی هذا المبحث</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الرشد فی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علی قول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شرائط الملتقط عند فقهاء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أخذ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أخذ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بین القولین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حضانته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ولایة الملتقط علی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مذاهب أهل السنّة فی أخذ اللقیط و حضانته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الحاق اللقیط بمن ادّعی أنّه ولده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بإسلام اللقیط بالاستلحاق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حرّیة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مذاهب أهل السنّة فی أحکام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التبنّی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النسب بالتبنّی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أدلّة عدم جواز التبنّی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هی علی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انتقال اللقطاء من المؤسّسات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الإعراض عن حضانة اللقیط، أو إعطائه للغیر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به المحرمیّة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التبنّی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و تعلیم الأطفال، و بیان المصادیق و المناهج</w:t>
      </w:r>
    </w:p>
    <w:p>
      <w:pPr>
        <w:pStyle w:val="BookText"/>
        <w:rPr/>
      </w:pPr>
      <w:r>
        <w:rPr>
          <w:rFonts w:ascii="IRNazanin" w:hAnsi="IRNazanin" w:eastAsia="IRNazanin"/>
          <w:color w:val="111111"/>
          <w:sz w:val="28"/>
          <w:sz w:val="28"/>
          <w:szCs w:val="28"/>
          <w:rtl w:val="true"/>
          <w:lang w:bidi="fa-IR"/>
        </w:rPr>
        <w:t>المؤثّر فیها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التربیة و التعلیم و المتولّی فیهما و اهتمام الإسلام بهما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التربیة و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لغةً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عند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لغةً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عند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التربیة و الفرق بینها و بین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الإسلام بتربیة الأطفال و تعلیمهم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الأوّل فی اهتمام الإسلام بأمر التربیة عموماً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 فی ذکر ما دلّ علی ضرورة کون التربیة فی مرحلة الصبا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 فی بیان ما دلّ علی عظم مسئولیّة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الرابع فی ثمرة تربیة الأطفال و تعلیمهم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التربیة و التعلیم و الولایة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الفقهاء فی وجوب التربیة و تعلیم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وجوب التربیة و التعلیم من کلمات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باب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أبواب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حفظ الأطفال عمّا یضرّهم فی کلمات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باب الحضانة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کلماتهم فی أبواب اخری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وجوب التربیة و تعلیم الأطفال و ولایة الأبوین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الکثیرة، و هی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المستمرّة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الاولویة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الأب و الاُمّ فی الولایة علی التربیة و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استحباب التربیة و تعلیم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الوصیّ علی تربیة الصغار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المعلّم علی تربیة الأطفال و تعلیمهم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غیر الأبوین من الأقارب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التعلیم و التربیة هل هو عینیّ أو 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المربّین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 علی تربیة الأیتام و تعلیمهم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ولایة الحاکم علی تربیة الأیتام و تعلیمهم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ولایته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بعض الروایات أو عمومه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الروایات الواردة فی هدایة الأیتام و الجهّال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قاعدة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وجوب حضانة اللقیط</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الثابتة من بعض الأخبار و مذاق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إثباتها من باب ولایة الحسبة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مشروطیّة ولایة الحاکم بفقد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تربیة الصغار علی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عدول المؤمنین علی تربیة الأیتام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تربیة الأولاد و تعلیمهم عند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الحاکم علی تربیة الأیتام عندهم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الأسالیب و المناهج المؤثّرة فی التربیة و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مراحل التربیة و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عن طریق إحیاء شخصیّة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إحیاء شخصیّة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 باسم حسنٍ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الطفل و تکریمه و حبّه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و الترحّم بالطفل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 العطف و الترحّم علی الأطفال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فی قلوب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التوسعة علی العیال و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فی لعبهم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الحذر من الإفراط فی محبّة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بالقدوة و الاُسوة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و الاُسوة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علی مخالفة القول مع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عملاً من سنن الأنبیاء و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العادة</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العادة من أقوم دعائم التربیة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الموعظة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الموعظة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لقمان لابنه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مواعظ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أبناءهم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التشویق و التمجید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أهمّیة هذا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تربیة النبیّ صلی الله علیه و آله و الأئمّة علیهم السلام أولادهم عن طریق التشویق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القصّة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القرآن فی منهج تربیته بالقصّة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القصّة محبّبة للأطفال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طرق اخری للتربیة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عن طریق المسابقة بین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بالملازمة و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الهجر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من طریق التأدیب و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الاُمور التی أُمر بها الأولیاء لتربیة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الأطفال بالاُمور الاعتقادیة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ربط الطفل بالإیمان باللّه تعالی و حبّه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وجوب ربط الطفل باللّه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کلمات الأنبیاء و الأئمّة علیهم السلام فی ربط أولادهم باللّه تعالی و نعمه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الإیمان باللّه تعالی و حبّه فی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الطفل بحبّ النبیّ و أهل بیته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النبی و أهل بیته علیهم السلام واجب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ترسیخ حبّ النبیّ صلی الله علیه و آله و أهل بیته علیهم السلام فی نفس الطفل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أحادیث الرسول صلی الله علیه و آله و أهل بیته علیهم السلام للأطفال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حبّ الرسول صلی الله علیه و آله و أهل بیته علیهم السلام، و فهم کلامهم و طاعتهم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الطفل بحبّ القرآن و تعلیمه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هو مصدر العقیدة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الأطفال علی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تعوید الأطفال علی إقامة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الطهارة و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یلائم ذکرها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تعوید الأطفال علی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الأطفال علی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الأطفال علی الدعاء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القنوت و الدعاء عقیب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تعوید الأطفال علی تسبیح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علی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الأطفال العلوم و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تعلیم السبق و الرمایة و السباحة خاصّة</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کراهیّة تعلیم بعض المکاسب و 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تعوید الأطفال علی الفضائل و 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المقابلة فی الإساءة</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إنفاق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فی المضاجع</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مباشرة الرجل زوجته بمرأی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الأطفال و تربیتهم بالآداب الحسنة المتنوّعة</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الاستئذان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أهل السُنّة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النظافة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الأطفال من ینبغی مصاحبته و من لا ینبغی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المصاحبة مع بعض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ینبغی مصاحبته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الحکماء و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الأولاد برعایة حقوق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الحسن لهم</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معهم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المراء و الجدال معهم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من تحقیرهم و الاستهزاء بهم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من الظلم بهم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عقوبتهم و قبول اعتذارهم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أماناتهم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المبادرة إلی الخیر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و العدالة بین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تفضیل بعض الأولاد فی العطیّة</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التسویة بین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استحباب التسویة بین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کراهیّة التفضیل فی حال المرض أو الإعسار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بالتسویة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أهل السُنّة فی التسویة بین الأولاد فی العطیّة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الولد المخلوق من طریق الاستنساخ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قطع النظر عن جوازه و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طریق آخر غیر الولادة، ولد أم لا؟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للتولّد و الخروج من الرحم موضوعیّة فی تحقّق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علیه لا یصدق علی الولد المستخرج من طریق الاستنساخ أنّه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الظاهر دخالة الولادة فی تحقّق الولد، و المستخرج من طریق الاستنساخ لا یعدّ ولداً للمستخرج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یبعد أن یُقال بوجود الفرق بین النسب و الولد، فالمستخرج بینه و بین المستخرج منه نسب دون الولادة و البنوّة، فالنسبة بینهما عموم و خصوص مطلقاً؛ یعنی أنّ کلّ ولد نسب، و لیس کلّ نسب بولد، م ج 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عنوان النسب لیس حقّاً من الحقوق الاصطلاحیّة، بل هو عنوان جامع حاک عن وجود علقة خاصّة واقعیّة تکوینیّة بین شخصین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موضوع لأحکام شرعیّة أو لحقوق شرعیّة أو عقلائیّة، م ج 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وجه کونه حقّاً للّه لأنّه یحقّق مصلحة للمجتمع، و لأنّه یتضمّن حرماتٍ کلّها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المرأة، و حرمة الاُمومة و الأبوّة، و معنی حرمة المرأة أنّه لا یحلّ مخالطتها إلاّ بطریق الزوجیّة، أو ملک یمینٍ، و بهذا لا ینسب الولد إلاّ لمن خالطها علی أحد الوجهین السابقین، و حرمة الاُبوّة و الاُمومة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و تعالی، أوجب حقوقاً تجب مراعاتها، و لا تمکن هذه الرعایة إلاّ بالمحافظة علی الأنساب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النسب حقّاً للأب لأنّه یترتّب علی ثبوت نسب الولد منه، ثبوت الولایة له علی الولد ما دام صغیراً، و حقّ ضمّ الولد إلیه عند انتهاء حضانة النساء له، و حقّ إرثه و غیرها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النسب حقّاً للاُمّ لانّه من حقّها صیانة الولد من الضیاع، و دفع تهمة الزنا عن نفسها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کودک تطبیقی 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أنّ أصل التسجیل لازم، و أمّا التسجیل فی دوائر الحکومة و أخذ ما یُسمّی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دلیل علیه، فمثلاً فی قدیم الأیّام کانت العادة أن یکتبوا زمان الولادة ظهر ورقة القرآن الکریم، أو کتاب معتبر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فی زماننا هذا بما أنّ الطریق الوحید لإثبات النسب ینحصر بأخذ السجلاّت الشخصیّة، فاللازم البحث حوله، م ج 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الصکّ معرّب أصله چک، و هو کتاب الذی یُکتبُ للعهد فی المعاملات و الأقاریر، أو هو وثیقة بالمال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العلل باسناده 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علی آدم أسماء الأنبیاء و أعمارهم،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بآدم اسم داود النّبی، فاذا عمره فی العالم أربعون سنة،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أقلّ عمر داود و ما أکثر عمری، یا ربّ إن أنا زدتُ داود من عمری ثلاثین سنة أ تثبت ذلک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لداود فی عمره ثلاثین سنة، و کانت له عند اللّه مثبتةً، فذلک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یَمْحُوا اللّهُ ما یَشاءُ وَ یُثْبِتُ وَ عِنْدَهُ 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 من عمر آدم، فهبط علیه ملک الموت لیقبض روحه، فقال له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ملک الموت إنّه قد بقی ثلاثین سنة، فقال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أ لم تجعلها لابنک داود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أذکر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آدم صادقاً لم یذکر و لم یجحد، فمن ذلک الیوم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أن یکتبوا بینهم إذا تداینوا و تعاملوا إلی أجلٍ مسمّی؛ لنسیان آدم و جحوده ما جعل علی نفسه،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مثله ما رواه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و کذا فی أحکام القرآن لابن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نقل الروایة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بأنّ الآیة دالّة إرشاداً علی رجحان الکتابة، فالنتیجة أنّ التسجیل لیس بلازم شرعاً، بل هو راجح عند الشارع، کما أنّه راجح عند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قلنا بأنّها دالّة إرشاداً علی لزوم الکتابة، فالنتیجة لزوم ثبت الأسناد، و لکنّه لیس بلزوم شرعیّ، و کیف کان الإرشاد تابع للمرشد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إلی أنّ الآیة الشریفة إنّما هی بصدد إثبات حجّیة الکتابة فی هذه الاُمور، فالمستفاد منها أصل اعتبار الکتابة فی الدیون و الحقوق و الأنساب و غیرها، کما ذکرناه مفصّلاً فی رسالة حجّیة الکتابة، فراجع، م ج 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الآیة الشریفة دالّة علی ما یحتاج إلیه الولد فی حیاته و نموّه و رشده، و لا یجوز المضارّة فی هذه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القیام بکتابة ولادة الطفل فی الدوائر الرسمیّة، فلا یصدق علیه المضارّة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المضارّة تدفع بأصل الکتابة و لو فی ورقة، أو تدفع بالاعتماد علی الشهرة فی البلد أو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فلا یتوقّف دفع المضارّة علی الکتابة فی المراکز الرسمیّة، م ج 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فی محلّه أنّ نفی الحرج إنّما هو بالنسبة إلی الأحکام الإلزامیّة؛ بمعنی أنّ الآیة الشریفة حاکمة علی التکالیف الإلزامیّة إذا کانت حرجیّة، فلا تدلّ علی جواز الکتابة أو عدم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لسان الآیة إنّما یکون سلبیّاً و لیس إثباتیّاً، و علی هذا فلا یستفاد من الآیات الشریفة ما یدلّ علی لزوم ذلک، م ج 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الإضافة إنّما هی من جهة مسئولیّة الوالد لأعمال الولد، و لیس المقصود العلقة الإضافیّة، و کیف کان، لیس فی النصوص و الروایات أیضاً شیء یدلّ علی لزوم ذلک، و ثبت الولادة فی الأوراق الرسمیّة من الاُمور الجاریة فی زماننا هذا إنّما هو للاستفادة منه فی سائر المراکز الدولیّة، و هکذا جرت العادة فی زماننا، و لکنّه لیس بلازم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أن یُقال بعد عدم الاعتماد علی الشهرة أو بشیء آخر أنّ اللازم أصل الکتابة و لو فی ظهر کتاب، فتأمّل، م ج 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أوجز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البنایة فی شرح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یکون له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ادّعی أخاً أو ابن 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عن ابن عبّاس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للمحقّق البجنوردی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الإجماع عن بعض الفقهاء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هذا عن الحنفیّة فی المبحث الأوّل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شرط الدخول أو الإنزال أو إمکان الوط‌ء یجری فی حقّ من کان یمکن أن یتولّد منه الطفل؛ بأن یکون فی سنّ البلوغ و لو احتمالاً ضعیفاً، فلو لم یکن کذلک؛ بأن یکون طفلاً غیر بالغ قطعاً فلا یجری فی حقّه ذلک و لا یلحق به الولد و إن دخل بالمرأة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الأعظم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 عشراً فما زاد و إن کان خصیّاً أو مجبوباً، ثمّ ولد له ولد بالعقد الدائم بعد الدخول قبلاً أو دبراً، و مضی ستّة أشهر من حین الوط‌ء إلی عشرة لحق به، و لم یجز له نفیه و لا ینتفی عنه إلاّ باللعان، و لو لم یدخل أو جاء لأقلّ من ستّة حیّاً کاملاً أو لأکثر من عشرة، أو کان له دون 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یلحق به، و لا یجوز له إلحاقه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الجامع للأحکام الشرعیة للمحقّق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البحث فی تحقّق الحمل و عدمه، بل الکلام فی الإلحاق و عدمه، و من الواضح أنّ الحمل أعمّ من الإلحاق، و الحقّ فی الجواب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التعلیل علیل جدّاً؛ لعدم اعتبار کون المنیّ لها، و لا دلیل علی اعتبار هذا، فتدبّر، م ج 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مورد الروایة هو الدخول و الإنزال و لکنّه خارج الرحم، مع أنّ المدّعی کفایة أصل الدخول فی الإلحاق من دون شرطیّة الإنزال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الوکاء بالکسر و المدّ خیط تشدّ به الصرّة و الکیس،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القاعدة إنّما هی فی النکاح الدائم؛ لعدم صدق الفراش علی الزوج فی النکاح المنقطع، مع أنّ البحث فی الإلحاق و عدمه عامّ شامل للمتعة أیضاً، م ج 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مستند تحریر الوسیلة،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للشیخ الأراکی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وقوع الولد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21934</w:t>
      </w:r>
      <w:r>
        <w:rPr>
          <w:rFonts w:ascii="IRNazanin" w:hAnsi="IRNazanin" w:eastAsia="IRNazanin"/>
          <w:b w:val="false"/>
          <w:b w:val="false"/>
          <w:bCs w:val="false"/>
          <w:i w:val="false"/>
          <w:i w:val="false"/>
          <w:iCs w:val="false"/>
          <w:color w:val="333333"/>
          <w:sz w:val="20"/>
          <w:sz w:val="20"/>
          <w:szCs w:val="20"/>
          <w:rtl w:val="true"/>
        </w:rPr>
        <w:t>، و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489/14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مشدّدةً، و یکون معناه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یجب علیه قبول الولد متی رزقه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 و لا یجوز نفیه بأن یلحقه بالاُمّ، و فی التهذیب ج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فتلقه؛ أی تقبل؛ لأنّه جاء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تلقت الرحم ماء الفحل إذا قبلته و ارتجت علیه، و فی الاستبصار ج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المخطوط و لا فی المصدر، و لکن ورد فی متن المصحّحة الثانیة، وسائل الشیعة </w:t>
      </w:r>
      <w:r>
        <w:rPr>
          <w:rFonts w:eastAsia="IRNazanin" w:cs="IRNazanin"/>
          <w:b w:val="false"/>
          <w:bCs w:val="false"/>
          <w:i w:val="false"/>
          <w:iCs w:val="false"/>
          <w:color w:val="333333"/>
          <w:sz w:val="20"/>
          <w:szCs w:val="20"/>
        </w:rPr>
        <w:t>379/21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هی البکارة،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اقتضضتها، إذا أزلت قِضّتها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الأولاد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238/25</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إمکانیّة القتل و صلاحیّته إذا زاد عن تسعة أشهر، لا فعلیّة القتل، سیّما مع إسناد القتل إلی الطفل، مع أنّه لیس هکذا، بل البقاء فی البطن أکثر من ذلک خطر علی الاُمّ، و علی هذا لا یرد ما ذکره الشیخ الاراکی قدس سره، م ج 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یخفی ما فیه من أنّ الروایة إنّما هی بصدد بیان مدّة الحمل لا مدّة نموّ الولد، و من الواضح أنّ الحمل من أوّل زمان تستقرّ النطفة، مضافاً إلی إطلاق الولد فی بعض الروایات لأوّل زمان استقرّت النطفة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 ج 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المدخلیّة إنّما هی بحسب المجموع، فلا ینافی مدخلیة أیّام النطفة و العلقة و المضغة، و لا یلزم ضمّ ما لا مدخلیّة له إلی ما له مدخلیّة، م ج 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للفقیه الأراکی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الإمام علیه السلام فی هذا الکلام بصدد بیان عیش الطفل بعد وضع الحمل،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الکلام إخباریّ، فهو یخبر أنّ الولد بعد هذه المدّة یعیش أم لا، و لیس فی مقام بیان أقصی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یستفاد ذلک من الإطلاق المقامی، فتدبّر، م ج ف</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وهب هذا، هو وهب بن وهب أبو البختری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روایة محمّد بن خالد البرقی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ضعیف، عامّی، کذّاب، و قد ورد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أکذب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الفهرست للشیخ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أبواب العدد، قطعة 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محمد بن حکیم لا توثیق له، و أمّا روایة أبان، فقد وقع فی سنده عبید اللّه بن عبد اللّه دهقان، و هو ضعیف، رجال النجاشی؛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الروایة دالّة علی أنّ المرأة إن ادّعت الحبل فاللازم الانتظار إلی تسعة أشهر، و إن لم تدّع الحبل فعدّتها ثلاثة أشهر، و الشاهد علی ذلک روایة محمّد بن حکیم المتقدّمة فراجع، و لیس المراد أنّه إذا انقضی التسعة و لم یتولّد اعتدّت بعدها بثلاثة أشهر؛ فإنّه مضافاً إلی أنّه خلاف الظاهر، مخالف للاعتبار و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روایته الاُخری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ارتابت بعد تسعة أشهر فعلیها بثلاثة أشهر من باب الاحتیاط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هذا الحکم إنّما هو فی فرض الریبة و کانت مرتابة، و أمّا فی غیرها فلیس بلازم، فتدبّر، م ج 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العموم هو الإطلاق، کما هو دأب المتقدّمین من عدم الفرق بینهما إلاّ بعض العبائر منهم، و لکنّه واضح الضعف؛ فإنّ القاعدة إنّما هی بصدد بیان کون الولد ملحقاً بالفراش، و لیست بصدد بیان مقدار أقصی الحمل، و هذا واضح جدّاً، م ج 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کونه أصلاً مثبتاً؛ فإنّ أصالة عدم الزنا لا یثبت کون أقصی الحمل ذلک، م ج 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منهاج الصالحین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منهاج الصالحین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الشیخ المفید، الاعلام بما اتّفقت علیه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هاهنا شبهة یمکن أن تختلج بالبال،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مسألة أقصی مدّة الحمل لیست أمراً تعبّدیاً، بل هو أمر واقعیّ مرهون بالتکوین، و الاختلاف بین الروایات إنّما هو من جهة الاختلاف فی الخارج، ففی بعض الموارد أقصی المدّة عبارة عن تسعة أشهر، و فی بعض آخر عبارة عن سنة، و بناءً علی ذلک لا مجال لتوهّم التعارض بین الروایات جدّاً و لکنّ الدقّة تقتضی أنّ الشارع قد تصرّف تعبّدیاً فی هذا الأمر من جهة إلحاق الولد بالزوج، فتعیین المقدار إنّما هو من هذه الجهة، و لا شکّ أنّ اللحوق أمرٌ تعبّدیّ محض، و علی هذا لا بأس بتوهّم التعارض فی هذا المجال، م ج 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الجمع العرفی بین الطائفتین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الروایات الدالّة علی التسعة بقرینة لفظ الحصر فیها، تکون قرینة علی أنّ الاحتیاط بثلاثة عشر لیس واجباً بحسب الحدّ الشرعی، مضافاً إلی أنّ التعبیر بالاحتیاط خارج عن ضابطة الحدّ الشرعی، فنفس التعبیر قرینة علی أن یکون المعیار الشرعی هو التسعة لا أزید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الحمل علی الغلبة لا یناسب الحصر، سیّما مع النفی بالنسبة إلی الزائد فی هذه الطائفة، مضافاً إلی أنّ الروایات التسع موافقة للشهرة الفتوائیّة، م ج 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التعبیر فی أکثر الروایات إنّما هو مدّة الحمل، أو غایة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بعضها قد عبّر بالعدّة، فالروایات الدالّة علی التسع لیست منحصرة بالتعبیر بالعدّة، فلِمَ لم یأخذ بالتعبیر بغایة الحمل؟ م ج 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ینطبق مع أنّ الإمام علیه السلام قد نفی الزیادة عن السنة فی هذه الروایات، م ج 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للفقیه الأراکی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الجنین لعمر بن غانم،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الإجهاض بین الشرع و القانون و الطّب لفتحیة مصطفی عطوی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أحکام المرأة الحامل لعمر سلیمان الأشقر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و النفاس و الحمل لعمر الأشقر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لحوق الولد بالزوج و إن وطأها واطئ آخر فجوراً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فقه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شرح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أوجز المسالک إلی 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الجواهر الثمینة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شرح بدایة المبتدی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البنایة شرح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فقه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الأنهر فی شرح ملتقی الأبحر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شرح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الفرق بینهما؛ فإنّ قول المرأة فی الفرض الثانی موافق للظاهر، حیث إنّ الظاهر کون الولادة منهما، فیقدّم الظاهر علی الأصل فی هذا المورد من جهة أقوائیّته، و ندرة کون الولد من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أقام الزوج البیّنة علی ما ادّعاه فیتّبع قوله، و لا یصحّ ما ذکره من إمکان إقامة البیّنة من الزوجة علیه؛ فإنّ الأمر بالعکس، فیمکن إقامة البیّنة علی کون الولد من الخارج، و لا یمکن العکس غالباً، م ج 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الفرق بینهما؛ فإنّ قاعدة الید تجری فیما إذا لم یسند إلی سبب خاصّ، بل الدعوی مسندة إلی الید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قاعدة الفراش، فاللازم فیها أصل الدخول، من غیر فرق بین إسناده إلی سبب خاصّ و عدمه؛ فإنّ الملاک أصل الدخول بخلاف الید؛ فإنّ الملاک فیها نفس الید، من دون استناد إلی سبب خاصّ، فتدبّر، م ج 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أنّ قاعدة الفراش لا تدلّ علی احترام الوط‌ء، بل إنّما هی تدلّ علی کون الولد الموجود ملحقاً بالفراش، فأصالة لحوق الولد بالوط‌ء المحترم قاعدة اخری، و الظاهر أنّ مستندها هو ظاهر حال المسلم، فلا تجری فی غیره، م ج 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التی أشرنا إلیها فی الصورة الاُولی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أنّ مع الروایات الموجودة لا مجال لتحقّق موضوع القرعة؛ و هو کون الشیء مشکلاً، و لا ریب فی رفع الإشکال بعد هذه الروایات، و کیف کان لا مجال للرجوع إلی القرعة، م ج 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فی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الشبهة إمّا موضوعیّة أو حکمیة أو مفهومیّة، و کلّ منها إمّا أن تزول بأدنی الالتفات و الفحص، أو تبقی، و الظاهر خروج القسم الأوّل بجمیع أقسامه عن مورد البحث؛ لأنّ المنساق من موارد استعمالاتها، الشبهة المستقرّة منها فی الجملة، کما فی جمیع موارد استعمالات الشکّ، و الشبهة فی الفقه من أوّله 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إن عدّ ذلک من عدم المبالاة فی الدین عند المتشرّعة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فی صحّة استعمالها فی مجرّد الحاصل الزائل یکفی فی عدم صحّة التمسّک بالدلیل؛ لعدم إحراز الموضوع حینئذٍ، و من شرائط التمسّک بالدلیل إحراز موضوعه، فالمراد بها فی المقام ما هو المراد بها فی مورد الرجوع إلی البراءة العقلیّة و النقلیّة فی الشبهات الحکمیّة و الموضوعیّة،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النافع و غیرها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 بموته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190/12</w:t>
      </w:r>
      <w:r>
        <w:rPr>
          <w:rFonts w:ascii="IRNazanin" w:hAnsi="IRNazanin" w:eastAsia="IRNazanin"/>
          <w:b w:val="false"/>
          <w:b w:val="false"/>
          <w:bCs w:val="false"/>
          <w:i w:val="false"/>
          <w:i w:val="false"/>
          <w:iCs w:val="false"/>
          <w:color w:val="333333"/>
          <w:sz w:val="20"/>
          <w:sz w:val="20"/>
          <w:szCs w:val="20"/>
          <w:rtl w:val="true"/>
        </w:rPr>
        <w:t>، و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یأخذ عوضاً من ثمنه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المنهاج، المطبوع فی آخر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ما ذکره السیّد الخوئی، و بین ما ذکره صاحب الجواهر و المستمسک واضح؛ فإنّ الشبهة عندهما شاملة للجهل التقصیری مطلقاً، من دون فرق بین الحکم و المقدّمات، بخلافها عند السیّد الخوئی، فتدبّر، م ج 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هذه الروایة أمران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الشبهة بالنسبة إلی المرأة لا تتحقّق إلاّ فی صورة الجهل بأصل العدّة، و بما أنّ نساء المسلمین یعلمن أنّ علیها العدّة، فلا یتصوّر فی حقّهنّ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یستفاد من الروایة ضابطة للشبهة بالنسبة إلی الجمیع، فیمکن تحقّق الشبهة للرجل بمجرّد الظنّ المطلق مع عدم تحقّق الشبهة فی حقّ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التقیید بالعلم یدلّ علی أنّ الجهل سواء کان قاصراً أو مقصّراً رافع للحکم،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لما ذکره السیّد الخوئی من التفصیل فی الجهل التقصیری بین الجهل بالحکم، و الجهل بالمقدّمات، م ج 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أنّه لا یستفاد من الروایتین اعتبار حصول الظنّ المعتبر؛ فإنّ کلّ 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کونهما فی مورد المرأة، و موضوع العدّة فقط، و لا تکونان فی مقام إعطاء ضابطة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تدلاّن علی وجود العلم لنساء المسلمین فی مسألة العدّة، و هذه المسألة قضیّة خارجیّة لا یمکن استفادة الضابطة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یستفاد منها أنّ العلم فی مقابل الشبهة و من کان عالماً واقعاً أو ظاهراً، لا یتحقّق فی حقّه الشبهة، فالملاک فی الشبهة عدم العلم مطلقاً، من دون فرق بین الحکم و الموضوع و المقدّمات، م ج 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للقرینیّة أبداً، فضلاً عن الناظریّة و التفسیریّة، م ج 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فیمن علم بذلک بأنّ إباحة الفروج متوقّفة علی الإباحة الشرعیّة، فلا یکفی ظنّ الاستحقاق أو احتماله، و لکنّ الکلام فیمن لا یعلم ذلک کما هو الغالب، أو علم و لکن نسی حین العمل، فلا یبعد فی هذا الفرض أن یُقال بکفایة مطلق الظنّ، أو مجرّد اعتقاد الصحّة، و یستفاد هذا القول من الروایات الآتیة فی إلحاق الولد بالواطئ بالشبهة؛ کمعتبرة محمّد بن قیس سیّما ما رواه فی الفقیه عن أبی جعفر علیه السلام فی رجل تزوّج جاریة علی أنّها حرّة، ثمّ جاء رجل فأقام البیّنة علی أنّها جاریته، إلخ، فتدلّ علی أنّ مجرّد الاعتقاد بالحرّیة کافٍ فی صدق الشبهة، و أیضاً لا یخفی أنّ الروایات شاملة غالباً للشبهة الموضوعیّة، فتدبّر، م ج 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195/32</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المصدر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ینقضی تعجّبی أنّه بعد دلالة الروایات المتقدِّمة علی إلحاق الشبهة بالولد الصحیح، فیوسّع شرعاً دائرة الفراش و یشمل الشبهة أیضاً، و یؤیّد ذلک التنویع فی الروایة؛ فإنّ النبیّ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فمقابل الفراش عبارة عن العاهر، و الواطئ بالشبهة لیس عاهراً، فتدبّر، م ج 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للمحقّق البجنوردی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المصحّح فی هامش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یعلم بفساده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المفصّل فی أحکام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المالکی المیسّر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المحقّق فی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هو إیلاج الإنسان ذکره فی فرج امرأة محرّمة من غیر عقد و لا شبهة، و فی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الوط‌ء الذی لیس بمستحقّ شرعاً مع العلم بالتحریم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من یتولّد من ماء الرجل من طریق الزنا یکون ولداً له و الرجل أباً له لغةً و بحسب التکوین و الطبیعة؛ لأنّ الولد فی اللغة حیوان یتولّد من نطفة الآخر من نوعه، و کذا من ولّدته تکون امّاً له، و لکن قد حکم الشارع بعدم النسبة بین ولد الزنا و الزانی و الزانیة و مقصودنا فی المقام التحقیق عن هذا الحکم الشرعی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الاُولی دالّة علی عدم ثبوت الإرث، و لا ملازمة بینه و بین نفی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الملازمة من جهة العکس ثابتة قطعاً، و الروایة الثانیة دالّة علی نفی النسب، و لا ریب فی دلالتها علی ذلک، م ج 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نفی النسب بین المولود و الزانی لیس نقصاً و هتکاً للولد، بل فی الحقیقة إنّما هو دالّ علی عدم صلاحیّة الزانی لکونه أباً للولد، فهو من جهة ارتکابه لهذا العمل الشنیع، و من جهة عدم رعایته لحدود اللّه، لا یصلح تکفّله لاُمور الاُبوّة،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النسب من جانب الولد لیس هتکاً، له بل حرمة و اعتبار له، و إلاّ کان عیسی علی نبیّنا و آله و علیه السلام متولِّداً من غیر أب، و لا نقص له من هذه الجهة، و بهذا الأمر یرتفع الإشکال الموجود فی زماننا من أنّ ولد الزنا لا یکون مقصّراً، فلِمَ لا یثبت النسب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له أحکام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کعدم صلاحیّته لإقامة الجمعة و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إلی توجیه آخر، کأن یُقال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نفی الصلاحیّة لیس إشکالاً جوهریّاً و نقصاً تکوینیّاً بالنسبة إلی نفس الولد، بل بما أنّ الشارع لا یرضی لشیوع الفاحشة، و التصدّی لإقامة الجمعة أو الجماعة توجب لتداعی هذا الأمر، و یقول الناس الإمام ممّن تولّد؟ و من ولّده؟ فإذا اجیب بأنّه تولّد من زنا، فالناس یطّلعون علی هذا الأمر و هذا مقدّمة لشیوع هذا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إمکان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بحسب فطرتهم الدینیّة یستنکرون هذا الأمر، و کان قذراً عندهم، فربّما یکون الاطّلاع علیه موجباً لتباعد الناس عنه، و هذا صار سبباً لکونه کلباس الشهرة، و هتکاً عظیماً له، و هنا توجیهات اخری أیضاً، فتدبّر، م ج 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أحکام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الهندیة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اختلاف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شرح منتهی الإرادات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الاستذکار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کتاب الحجّة علی أهل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اللعان فی اللغة بمعنی الطرد و الإبعاد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منه شرعاً مباهلة خاصّة بین الزوجین، و لعلّ استعمال الملاعنة لإرادة طرد کلّ منهما صاحبه و إبعاده عنه، أو تشبیهاً للعن کلّ منهما نفسه إن کان کاذباً بلعن کلّ منهما صاحبه،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یشترط فی تحقّقه شرائط قد ذکرت فی المطوّلات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لعان و لا حدّ فی التعریض،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اللعان 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شرح بدایة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الإنجاب الصناعی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لقح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أحکام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الاُسرة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المدخل إلی علم الأجنّة الوصفی التجربی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الجدید فی الفتاوی الشرعیّة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جامع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 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الإنجاب فی ضوء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للشیخ الفقیه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رسالتنا حول التلقیح الصناعی أنّا إذا استندنا للحرمة إلی الروایات الواردة فی المقام، فلا شکّ فی أنّ مورد جمیعها عبارة عن الإنسان، مثلاً لا ریب فی أنّ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 نطفته فی رحم یحرم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ظاهر فی الإنسان و منصرف إلیه، و لکن إذا استندنا للحرمة إلی إطلاق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شکّ فی شموله لما یؤخذ من الحیوان؛ فإنّ هذه الآیة صریحة فی أنّ الزوج أو الزوجة إذا ابتغی وراء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الجماع بینهما و استفاد کلّ منهما من الآخر، فلا یجوز،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التلقیح من نطفة الحیوان من مصادیق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 ج 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المتاجرة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الطبیب أدبه و 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247/25</w:t>
      </w:r>
      <w:r>
        <w:rPr>
          <w:rFonts w:ascii="IRNazanin" w:hAnsi="IRNazanin" w:eastAsia="IRNazanin"/>
          <w:b w:val="false"/>
          <w:b w:val="false"/>
          <w:bCs w:val="false"/>
          <w:i w:val="false"/>
          <w:i w:val="false"/>
          <w:iCs w:val="false"/>
          <w:color w:val="333333"/>
          <w:sz w:val="20"/>
          <w:sz w:val="20"/>
          <w:szCs w:val="20"/>
          <w:rtl w:val="true"/>
        </w:rPr>
        <w:t>، 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جامع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توضیح المسائل للمراجع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الفقه للشیرازی،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المسائل المنتخبة للسید الفقیه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فی أجوبة الاستفتاءات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للشیخ الفقیه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الاستدلال بالآیة الاُولی، کما أنّه یمکن التمسّک بالآیة الأخیرة، و بینهما فرق واضح؛ فإنّ الاستدلال بالآیة الاُولی لحرمة التلقیح یحتاج إلی ضمّ قاعدة أدبیّة؛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حذف المتعلّق یدلّ علی العموم، بخلاف الاستدلال بالآیة الأخیرة، فلا یحتاج إلی انضمام هذه القاعدة؛ فإنّه مطلق یشمل موارد التلقیح الصناعی بین الأجنبی و الأجنبیّة؛ فإن جعل نطفة الأجنبی فی رحم المرأة حتّی من دون تحقّق الزنا یعدّ من مصادیق العادّون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الاستدلال بالآیة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وجود التأمّل فی القاعدة الأدبیّة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مخدوش من جهة وجود بعض الروایات الدالّة علی أنّ المقصود من حفظ الفرج فی جمیع الآیات عبارة عن الحفظ عن الزنا إلاّ فی سورة النور؛ فإنّ المقصود فیه هو الحفظ عن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مضافاً إلی القرینة الداخلیّة الدالّة علی أنّ المقصود هو حفظ الفرج عن الزنا،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علی ذلک لا یصحّ الاستدلال بالآیة الاُولی علی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یصحّ الاستدلال بالآیة الأخیرة من جهة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 الإمام المعصوم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لحرمة الاستمناء،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364/28</w:t>
      </w:r>
      <w:r>
        <w:rPr>
          <w:rFonts w:ascii="IRNazanin" w:hAnsi="IRNazanin" w:eastAsia="IRNazanin"/>
          <w:b w:val="false"/>
          <w:b w:val="false"/>
          <w:bCs w:val="false"/>
          <w:i w:val="false"/>
          <w:i w:val="false"/>
          <w:iCs w:val="false"/>
          <w:color w:val="333333"/>
          <w:sz w:val="20"/>
          <w:sz w:val="20"/>
          <w:szCs w:val="20"/>
          <w:rtl w:val="true"/>
        </w:rPr>
        <w:t xml:space="preserve">، کتاب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بحثنا مفصّلاً حول الآیة الشریفة فی رسالتنا حول التلقیح الصناعی فراجع، م ج 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الاستدلال بالآیة الأخیرة إنّما هو من جهة وجود الإطلاق فیها، فالإطلاق ثابت بلا ریب، م ج 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الآیة الشریفة حفظ الفرج من الغیر، و ذلک بقرینة السیاق، فلا تدلّ فیما إذا کانت المرأة تدخل بیدها أو بالآلات الطبّیة منیّ الغیر فی فرجها، هذا، مضافاً إلی ما مرّ من أنّ الروایة الصحیحة تدلّ علی أنّ المقصود من حفظ الفرج فی هذه الآیة الشریفة هو النظر، فلا یشمل لما نحن فیه، و علی هذا فتسقط الآیة عن الاحتجاج، م ج 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ممنوع، و لا ریب فی أنّ الآیة إنّما هی بصدد بیان تحریم النکاح و ذلک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تَجْمَعُوا بَیْنَ الْأُخْتَیْنِ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فهذه قرینة واضحة علی کون الآیة بصدد تحریم النکاح، مضافاً إلی قرینة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بعد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لَکُمْ مَا وَرَاءَ ذَلِکُمْ أَنْ تَبْتَغُوا بِأَمْوَالِکُمْ مُحْصِنِینَ غَیْرَ مُسَافِحِینَ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 ج 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الملاک فی الحرمة مجرّد تلقیح منیّ الرجل مع بویضة المرأة، و لا دخل للرحم؛ فإنّه لو أفرغ ماءه فی الرحم و لم یتولّد منه الولد، فالظاهر عدم استحقاقه لأشدّیة العذاب، فالمستفاد من الروایات عدم خصوصیّته لکون التلقیح فی الرحم، بل یشمل ما إذا کان التلقیح بینهما خارج الرحم، فتأمّل، م ج 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تناسب الحکم و الموضوع یدلّ علی أنّ المراد من الحرمة هی إقرار النطفة فی فرج الأجنبیّة من طریق الزنا، و إلاّ فنفس الإقرار من دونها لا تناسب أشدّیة العذاب من الجمیع، م ج 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ما رواه فی الکافی معتبر عندنا، و السند و إن کان فیه علیّ بن سالم، و هو مردّد بین شخصین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البطائنی الواقفی، و الآخر مجهول، إلاّ أنّه یکفی فی اعتبار السند و توثیق هذا الشخص، التوثیق العامّ من الشیخ المفید فی الإرشاد بالنسبة إلی من یروی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روایة الأجلاّء عنه، فالروایة معتبرة سنداً، م ج 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فقهیّة معاصرة فی معطیات طبّ الحدیث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الولد المتکوّن من طریق الزنا، یعدّ ولد الزنا، و له أحکام خاصّة فی الفقه، بینما أنّ الولد المتولّد من طریق وضع المنیّ فی الرحم المحرّم علیه بطریق الآلات الحدیثة لا یعدّ ولد الزنا و إن قلنا بحرمة هذا العمل، و لکن لا یترتّب علیه أحکام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فالروایة مخصوصة بباب الزنا و لا تشمل ما نحن فیه، م ج 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یستدلّ بهذه الروایات للأصل الأوّلی فی المقام، مضافاً إلی الاستدلال بمذاق الشارع فی باب الفروج و الدماء و الأنساب، و قد بحثنا عنه فی رسالتنا فی التلقیح المصنوعی، و إجماله أنّ الدلیل الثانی لیس بتامّ؛ فإنّ کلمات الفقهاء فی جهة الدلالة علی وجوب الاحتیاط، أو رجحانه فی هذه الأبواب مجملة جدّاً، و أکثرها مشعرة بالرجحان لا الوجوب، و الظاهر أنّه لم یصرّح أحد بالوجوب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کلماتهم ظاهرة فی الرجحان الشدید، مضافاً إلی أنّ مذاق الشارع مستفاد من النصوص الموجودة فی المقام، و لیس دلیلاً مستقلاًّ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الدلیل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الروایات الواردة فی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جمیعها قاصرة الدلالة علی وجوب الاحتیاط فی هذه الأبواب، بل غایة ما تدلّ إنّما هو رجحان الاحتیاط فیها و آکدیته أو علی أنّ الأمر بالاحتیاط لیس مولویّاً شرعیّاً، بل إرشادیّ؛ فإنّ روایة شعیب الحدّاد لیس السؤال فیها من جهة عدم العلم بجواز التزویج، بل الرجل الذی کان من الموالی للإمام علیه السلام یعلم بأنّ التزویج صحیح شرعاً من جهة جریان قاعدة الإلزام، لکنّه استشار الإمام لأجل إقدامه فی ذلک، أو عدم إقدامه، و جواب الإمام علیه السلام فیه قرینة واضحة علی کون الحکم إرشادیّاً، فإنّ التعلیل بأنّ أمر الفرج شدید، و فیه یکون الولد قرینة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ما ورد فی روایة علاء بن سیّابة؛ فإنّ التعبیر بالأحری و بأنّه فیه الولد قرینة علی کونه علیه السلام فی مقام الإرشاد، و بناءً علی ذلک فلا یستفاد من الروایات الواردة أنّ الاحتیاط فی الدماء و الفروج واجب بالوجوب الشرعی المولوی، فالأصل الأوّلی فی المقام هی البراءة العقلیّة أو النقلیّة، من دون فرق بین الأبواب، م ج 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للأراکی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أنّها مستندة إلی الروایات، و علی هذا تکون السیرة مدرکیّاً لا اعتبار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فی محلّه أنّ هذه العبارة من المشهورات التی لا أصل لها؛ فإنّ الفرق بین العلّة و الحکمة إنّما هی فی مورد النفی لا الإثبات؛ بمعنی أنّ الحکمة تلزم من وجودها الوجود، کما أنّ العلّة کذلک، و لکن لا یلزم من نفی الحکمة نفی الحکم، و لکن یلزم من نفی العلّة نفی المعلول و الحکم، و القول بأنّ العلّة مأخوذة فی موضوع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کالإسکار المأخوذ فی موضوع حرمة الخمر، و لکنّ الحکمة غیر داخلة فی موضوع الحکم؛ فإنّ الصلاة واجبة و لا یدخل فی الموضوع عنوان الناهی عن الفحشاء و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أساس له أصلاً، فتدبّر، م ج 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علیک وجود الفرق الواضح بین الاستدلال بالروایات و الاستدلال بالآیات فی المقام، فإنّه إذا استندنا للتحریم إلی الروایات فقط، و قلنا بخصوصیّة قید رحم یحرم علیه، فالتلقیح فی الخارج خارج عن مدلول الروایات، و الحرمة منحصرة بدخول منیّ الرجل فی رحم امرأة یحرم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قلنا بإلغاء الخصوصیّة، و ذهبنا إلی أنّ الرحم لا دخل له فی هذا الحکم، بل الملاک مجرّد تلقیح نطفة الأجنبی مع البویضة الأجنبیّة، فتشمل التلقیح فی الخارج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کان، دلالة الآیات علی خصوصیّة الرحم لا ریب فیها؛ فإنّ إطلاق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جعل المرأة رحمها لغیر زوجها مطلقاً حتّی للاستئجار، م ج 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248/25</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الفقه و 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توضیح المسائل للمراجع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مجمع المسائل للسید الگلبایگانی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 ردود طبقاً لفتاوی السیّد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أنّ الآیة الشریفة لیست فی مقام بیان حقیقة الاُمومة، و أنّ الاُمّ من هی؟ و لیست بصدد بیان أنّ الولادة من الموضع الطبیعی معتبرة فی صدق الاُمومة، بل هی فی مقابل الظهار، و أنّ الظهار لیس سبباً للاُمومة، و یدلّ علی ذلک صدر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إلی أنّ الاستدلال بهذه الآیة علی کون الولادة مقوّمة للاُمومة شرعاً، متوقّف علی کون الشارع بصدد بیان حقیقة الاُمومة شرعاً، مع أنّه لیس کذلک، بل هو تبارک و تعالی بصدد بیان ما هو رائج عند العرف و لیس له معنی خاصّ فی ذلک، م ج 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الجدیدة،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سدیدة فی مسائل 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احتمال رابع لیس ببعید؛ و هو الالتزام بکون صاحب البیضة هی الاُمّ نسباً، و صاحب الرحم هی الاُمّ، و لکن فی حکم امّ الرضاعی؛ من جهة أنّ الغذاء الذی تتغذّی به فی رحم المرأة هو أشدّ تأثیراً من اللّبن فی یوم و لیلة، و علی هذا یکون للولد امّان، و لا تصل النوبة إلی لزوم الاحتیاط فی المقام، م ج 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المنتخبة للسیّد الفقیه السیستانی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العبادات و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للسیّد الفقیه الگلبایگانی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الطّبیة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للمراجع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216/27</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عدم إمکان استفادة الحکم من هذه النصوص؛ فإنّها تدلّ علی أنّ الماء حین الوط‌ء یمکن أن یدخل فی الرحم من دون توجّه للزوج، فالمفروض فیها هو الإنزال مع الوط‌ء، مع أنّ الکلام إنّما هو فی الإلحاق بصاحب الماء من دون وط‌ء صحیح شرعیّ، و هکذا الکلام فی ما رواه فی الإرشاد، م ج 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 بفتح الواو؛ أی ما یتحامل و یتّکئ علی یدیه، أو الوکاء بکسره مثل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یشدّ به رأس القربة،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العینان وکاءُ السَّهِ، فیه استعارة لطیفة؛ لأنه جعل یقظة العینین بمنزلة الحبل،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و الظاهر فی الحدیث أنّه ارید معناه الکنائی؛ أی ما یلزم أن یکون مشدوداً مثل الذکر قد ینفلت، و أعطی زیادةً بغیره، أو أعطی الولد؛ لأنّه استعمل النافلة بمعنی الولد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کون هذا وجهاً مستقلاًّ، بل هو راجع فی الحقیقة إلی الأصل و القاعدة، مضافاً إلی عدم اعتبار الغلبة، و أیضاً مفروض الکلام الإلحاق حتّی مع عدم الغلبة، فتدبّر، م ج 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الفقه و المسائل الطبّیة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ما وراء الفقه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یکثر تأجیر الأرحام فی الدول غیر الإسلامیّة، و هناک شرکات خاصّة فی العالم الغربی مهمّتها البحث عن النساء الراغبات فی تأجیر أرحامهم و الحمل عن غیرهنّ، و فی مدینة لوس‌آنجلس فی الولایات المتحدة الأمریکیة تکوّنت جمعیّة تسمّی جمعیّة الاُمّهات البدیلات، أو الاُمهات المستعارات یتوافد علیها عدد من الأزواج المصابین بنوع من العقم للبحث عن رحم مستعار، أطفال الأنابیب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قراءات فقهیّة معاصرة فی معطیات الطبّ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للسیّد الگلبایگانی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المسائل المنتخبة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وجود دلیل واضح علی ثبوت مهر المثل فی المقام، سیّما إذا کان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یرضاها و مخالفة الزوج؛ فإنّ اشغال رحم الزوجة بغیر إذنه لا یکون مثبتاً لمهر المثل، مضافاً إلی أنّ الظاهر من الفتاوی ثبوت مهر المثل فی موارد الوط‌ء؛ سواء کان بعقد فاسد أو من طریق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موارد التلقیح من دون الوط‌ء، فلا دلیل علی ثبوته، م ج 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مجمع الفقه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منظمة المؤتمر الإسلامی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أخلاقیات التلقیح الصناعی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المتاجرة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الصور، المفصل فی 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ممّا قرّره مجلس الفقه الإسلامی المنعقد فی دورة مؤتمرة الثالث فی عمان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الاُسرة المسلمة فی المهاجر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المتاجرة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الناس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الحلال و الحرام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الفتاوی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الوقائی بین العلم و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باب فی الرجل ینتمی إلی غیر موالیه 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کتاب الإیمان، باب بیان إیمان من رغب عن أبیه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کتاب الطلاق، باب التغلیظ فی الانتفاء ح رقم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 علی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 الوقائی بین العلم و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المتاجرة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للصورة المشروعة من التلقیح الصناعی شروطاً، و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یکون القائم بهذه العملیّة طبیباً مسلماً ثقة؛ لأنّ غیر المسلم لا یؤمن جانبه من حیث حرصه علی المال و إن کان ذلک علی حساب تغییر الأنساب و اختلاطها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ضرورة طبیّة، کانسداد قناة فالوب مثلاً، أو وجود مانع من الالتقاء الجنسی من قبل أحد الزوجین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التأکّد من أنّ التلقیح حصل قطعاً من ماء الزوج و ماء الزوجة فقط، المحرّمات علی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الفتاوی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 علی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الولد للفراش ح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قرارات المجمع الفقه الاسلامی بمکة المکرمة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المتاجرة بالاُمومة و الأعضاء البشریة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الجنین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نقلاً من مجموعة رسائل الشیخ عبد اللّه بن زید آل محمود، المجلّد الثالث، الحکم الإقناعی فی إبطال التلقیح الصناعی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الطبیّة المتعلّقة بالنساء فی الفقه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یسیر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الاُسرة الإسلامیّة فقهاً و 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یکون علیه؟ لاشتغال ذمّته بتکالیف متعدّدة من جهة ثبوت النسب، کلزوم حفظه و تربیته و غیرهما، م ج 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تذکرة الفقهاء،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للسبزواری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المتن، و الظاهر أنّ الصحیح مع عدم تصدیقه،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التی أشرنا إلیها فی بیان أصل المسألة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الإقرار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 بیروت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التنبیه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شرح بدایة المبتدی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للمحقّق البجنوردی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فقه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عقد الجواهر الثمینة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اللقیط و المنبوذ واقع فی جمیع بلاد الدُّنیا، و لا یختصّ ببلد دون اخری، خصوصاً فی أوقات الحوادث العظمی کالقحط و الغلاء و الحروب، أعاذنا اللّه تعالی منها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الاستقلال علی السعی فیما یصلحه، و الدفع عمّا یضرّه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کلمات اللغویّین و لا فی ما یفهمه العرف، و لیس لهذا اللفظ حقیقة شرعیّة،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القید یستفاد إمّا من لفظ الصبیّ، أو من لفظ المنبوذ؛ فإنّ من یستقلّ للسعی لیس منبوذاً، م ج 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کثیر منهم، مضافاً إلی أنّ المجنون لیس مرمیّاً فی الطریق، و لا دلیل معتبر فی الشرع علی الإلحاق من حیث هو لقیط، فالظاهر اختصاص اللقیط بالصبی أو الصبیّة، و لا وجه لإلحاق المجنون، و اللّه العالم، م ج 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 فی فقه أئمّة الحق و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الدمقشیّة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الملاک لیس هی الحاجة و العجز، بل الملاک هو الصغر، م ج 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 فإنّ إطلاق الالتقاط لا یلزم صدق اللقیط علی یوسف؛ فإنّ الإنسان إذا یجد شیئاً أو موجوداً بغتةً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التقطه، و لیس هذا بمعنی کون الشیء لقیطاً، م ج 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المراهق کالبالغ فی کثیر من الأحکام من جهة کفایة حجّة الإسلام، و صحّة صلاته و صیامه و شهادته و غیر ذلک، فعلی هذا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المراهق خارج عن الکبیر فی هذه العبارة، م ج 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الروایات الواردة فی مقام بیان هذه الجهة تأمّل و إشکال جدّاً، بل هی إنّما تکون فی مقام بیان الحکم، من قبیل عدم جواز الاشتراء و الهبة و غیرهما، م ج 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المدار علی هذا ففی البالغ العاقل یمکن أن یتحقّق هذا الملاک مع القطع بعدم جریان أحکام اللقیط فیه، م ج 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 فی فقه أئمّة الحقّ و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مجرّد وجود الأب أو الاُمّ لا یخرجه عن عنوان اللقیط، بل الملاک عدم وجود کافل له، و علی هذا لو لم یکن الأب قادراً علی الکفالة، بل عاجز عن اموره و رماه فی الطریق، فهو من اللقیط و إن کان له أب معیّن، فتدبّر، م ج 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اللقطة، خاتمة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الإرادات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الدمقشیّة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اللقطة شرح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اللقیط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وجوب الحفظ من الملتقط حکم تکلیفیّ، و لیس ولایةٌ علی اللقیط، کما أنّ حقّ الحضانة للاُمّ أو الأب لیس من مصادیق الولایة، م ج 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ثبوت الولایة للملتقط، و قد مرّ المنع فیه، م ج 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ذلک عدم کون الکفّار مکلّفین بالفروع، و الذهاب إلی أنّ التکالیف متوجّهة إلی المسلمین فقط، مع أنّ المشهور ذهبوا إلی کونهم مکلّفین بالفروع کما أنّهم مکلّفون بالاُصول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إلی أنّ ورودها خطابات للمسلمین لا یصلح لأن یکون منشأً للتبادر أو الانصراف، و هذا واضح، و بناءً علی ذلک مع وجود الإطلاق و عدم الدلیل علی الاشتراط لا وجه لهذا الشرط، م ج 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الدمقشیّة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w:t>
      </w:r>
      <w:r>
        <w:rPr>
          <w:rFonts w:ascii="IRNazanin" w:hAnsi="IRNazanin" w:eastAsia="IRNazanin"/>
          <w:b w:val="false"/>
          <w:b w:val="false"/>
          <w:bCs w:val="false"/>
          <w:i w:val="false"/>
          <w:i w:val="false"/>
          <w:iCs w:val="false"/>
          <w:color w:val="333333"/>
          <w:sz w:val="20"/>
          <w:sz w:val="20"/>
          <w:szCs w:val="20"/>
          <w:rtl w:val="true"/>
        </w:rPr>
        <w:t>، و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ascii="IRNazanin" w:hAnsi="IRNazanin" w:eastAsia="IRNazanin"/>
          <w:b w:val="false"/>
          <w:b w:val="false"/>
          <w:bCs w:val="false"/>
          <w:i w:val="false"/>
          <w:i w:val="false"/>
          <w:iCs w:val="false"/>
          <w:color w:val="333333"/>
          <w:sz w:val="20"/>
          <w:sz w:val="20"/>
          <w:szCs w:val="20"/>
          <w:rtl w:val="true"/>
        </w:rPr>
        <w:t>، و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مقتضی ذلک کون الإعانة علی الإثم غیر محرّم أیضاً، مع أنّه لا ریب فی کون الآیة ظاهرة فی حرمة الإعانة علی الإثم، فلا شکّ فی ظهور الآیة فی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ذکره من خروج أکثر المصادیق عن الوجوب، فمضافاً إلی أنّ خروج الکثیر لیس بمستهجن، و قد وقع کثیراً بالنسبة إلی العمومات الواردة فی الشریعة، لا بدّ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أکثر المصادیق خارج عن التعاون موضوعاً و تخصّصاً، و لا تصل النوبة إلی التخصیص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ریب فی أنّ البرّ کما یطلق علی الواجب فیُطلق علی المستحبّ، و الآیة لیست بصدد بیانهما، بل یستفاد الوجوب أو الاستحباب من دلیل خارج، فالآیة تدلّ علی أنّ التعاون علی البرّ لازم، و طبعاً إذا کان التعاون علی الواجب فهو واجب، و إذا کان علی المستحبّ فهو مستحبّ أیضاً، و نحن نعلم أنّ أخذ اللقیط من مصادیق البرّ، و لکن لا نعلم أنّه من قسم الواجب أو المستحبّ، فالآیة لا تدلّ علی أیّ منهما، و هکذا الکلام فی الآیة الثانیة؛ فإنّ الخیر شامل للواجب و المستحبّ، و لا یستفاد أیّ منهما من الآیة، فهذه الآیات لا تدلّ علی الوجوب، کما لا تدلّ علی الاستحباب، م ج 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وجوب إطعام المضطرّ أخصّ ممّا نحن فیه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 ف</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اللقطة، خاتمة شرح مبحث اللقیط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المتّقین فی فقه أئمّة الحقّ و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لیس تفصیلاً فی المسألة؛ فإنّ وجوب حفظ اللقیط عن الهلاکة و التلف أمر یکون ملاکه لزوم حفظ النفس، و لا فرق فیه بین أن یکون اللقیط صبیّاً أو بالغاً، بل الکلام فی الصبیّ الملقوط إنّما هو مع قطع النظر عن التلف و الهلاکة، و الظاهر من مجموع الأدلّة عدم وجود الدلیل علی اللزوم، فالقول الوجیه الاستحباب من حیث هو لقیط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حیث کونه فی معرض التلف یجب حفظه، و اللّه العالم، م ج ف</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اللقطة خاتمة شرح مبحث اللقیط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 لا إشعار فیه بالولایة المصطلحة التی هی سلطنة شرعیّة علی الغیر، و استعمال لفظ الولایة لا یدلّ علی ذلک، و هکذا الکلام فی خبر إسماعیل المدائنی، م ج 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الاقتباس من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وجوب الکفائی أنّه مع وجود شخص آخر یکفله یجوز له أن یسلّمه إلیه، و لا دلیل علی أنّ من شرع الواجب الکفائی یجب علیه إتمامه حتّی مع وجود من یکفله، و لأجل هذا لا مجال للاستصحاب؛ فإنَّ مع وجود شخص آخر للحفظ و الحضانة ینتفی الموضوع بالنسبة إلی الشخص الأوّل، و مع انتفاء الموضوع ینتفی الحکم من جهة أنّ النسبة بین الموضوع و الحکم من قبیل العلّة و المعلول، و أیضاً لا یدلّ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تُبْطِلُوا أَعْمالَکُمْ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لزوم الإتمام؛ فإنّ الإبطال تتوقّف علی عدم وجود شخص آخر للحفظ و الحضانة، و بناءً علی ذلک مع وجود شخص آخر یجوز التسلیم إلیه، م ج 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البنایة فی شرح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752/6</w:t>
      </w:r>
      <w:r>
        <w:rPr>
          <w:rFonts w:ascii="IRNazanin" w:hAnsi="IRNazanin" w:eastAsia="IRNazanin"/>
          <w:b w:val="false"/>
          <w:b w:val="false"/>
          <w:bCs w:val="false"/>
          <w:i w:val="false"/>
          <w:i w:val="false"/>
          <w:iCs w:val="false"/>
          <w:color w:val="333333"/>
          <w:sz w:val="20"/>
          <w:sz w:val="20"/>
          <w:szCs w:val="20"/>
          <w:rtl w:val="true"/>
        </w:rPr>
        <w:t>، البحر الرائق شرح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و کثیر من المصادر المتقدّمة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الاقتباس من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الدمقشیّة،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میراث أهل الملل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للمحقّق البجنوردی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للسید الفقیه الخوئی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474/12</w:t>
      </w:r>
      <w:r>
        <w:rPr>
          <w:rFonts w:ascii="IRNazanin" w:hAnsi="IRNazanin" w:eastAsia="IRNazanin"/>
          <w:b w:val="false"/>
          <w:b w:val="false"/>
          <w:bCs w:val="false"/>
          <w:i w:val="false"/>
          <w:i w:val="false"/>
          <w:iCs w:val="false"/>
          <w:color w:val="333333"/>
          <w:sz w:val="20"/>
          <w:sz w:val="20"/>
          <w:szCs w:val="20"/>
          <w:rtl w:val="true"/>
        </w:rPr>
        <w:t>، و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اللقطة، شرح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اللقیط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 جواز أخذ اللقیط إجازة شرعیّة علی الأخذ و علی التصرّف فی ماله لحفظه، و لا یصحّ الانفکاک بینهما عرفاً، و بناءً علی ذلک لا یبعد قوّة القول الثانی، م ج 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 علی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حاشیة الدسوقی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العزیز شرح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فی هذا الباب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الثامن من الفصل الأوّل فی هذا الباب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هذا الفصل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الإقرار بالبنوّة و التبنّی متفاوتان؛ لأنّ الإقرار بالبنوّة هو اعتراف بنسب حقیقیّ لشخص مجهول النسب، فهو یعترف ببنوّة ولد مخلوق من مائه، فیکون ابناً له ثابت النسب منه، و لیس له نسب آخر یتساوی مع ابنه الثابت نسبه بالفراش، لا فرق بینهما إلاّ فی طریق الإثبات و تثبت له کافّة الحقوق الثابتة للأبناء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التبنّی، فهو استلحاق شخص ولداً معروف النسب لغیره أو مجهول النسب کاللقیط، و یصرّح أنّه یتّخذه ولداً مع کونه لیس ولداً له فی الحقیقة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الاُسرة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للسیّد الفقیه الگلبایگانی 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الأحکام للشیخ الفقیه الصافی 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للشیخ الفقیه الفاضل اللنکرانی بالفارسیة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للسیّد السیستانی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المستفاد من الآیة الشریفة، و فعل النبیّ صلی الله علیه و آله، و قوله بالنسبة إلی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أنّه ابنی، أنّ التبنّی لیس بحرام، بل المحرّم ترتیب أحکام النسب و البنوّة الواقعیّة علیه، و إلاّ فمجرّد التبنّی من غیر ترتیب الأحکام و الآثار لیس بحرام، و الآیة قد صرّحت بأنّ مجرّد کونهم أدعیاء لیس به بأس، بل المحرّم جعلهم أبناءهم،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العقلاء سیرتهم علی أخذ الطفل و حفظه و الإنفاق علیه بمجرّد عنوان الابن و البنوّة، و جعل مقدار من المال بعد وفاتهم له، و مع ذلک لا یترتّبون علیه أحکام البنوّة الواقعیّة،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التبنّی الذی هو أمرٌ رائج بین العقلاء، لیس بحرام، بل الحرام ترتیب الأحکام البنوّة الواقعیّة، فافهم، م ج 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غمض و خفی معناه، فلا یفهمه إلاّ الأذکیاء،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الروایة ظاهرة فی حرمة التبرّی من النسب المنسوب إلیه، و لا یشمل التبرّی بالنسبة إلی الانتفاء من نسب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سلّمنا الإطلاق 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التبنّی لا یدلّ بالالتزام علی نفی النسب عن الغیر، مع أنّه مع فرض الدلالة فالمحرّم نفی النسب عن الغیر لا التبنّی، و لا ملازمة بین الحکمین، فتدبّر، م ج ف</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تدلّ هذه الطائفة الثانیة، هو الملاک فی الانتساب و الإلحاق، و لا تدلّ علی حرمة التبنّی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تدلّ علی أنّه بالتبنّی لا یتحقّق النسب و الإلحاق، و أین هذا بحرمة التبنّی، و هکذا الکلام فی الطائفة الثالثة، م ج 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فی الباب السادس</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رجحان هذا العمل، و لکن لا دلیل علی استحبابه، فتدبّر، م ج 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وجود الفرق بین القسمین، و لا فرق بین أن یکون الآخذ مرکزاً من هذه المراکز أو شخصاً من الأشخاص؛ فإنّه بعد إثبات کون الحفظ و الإنفاق و الإشفاق إلیهم من المستحبّات، فلا فرق بین الآخذ، کما أنّ الدفع إلی شخص آخر، أو مؤسّسة من المؤسّسات لیس من باب الوکالة، بل قد مرّ أنّه مع الدفع إلی الغیر یتبدّل الموضوع؛ فإنّ الموضوع للوجوب أو الاستحباب عدم وجود من یکفله، و مع وجوده فلا حکم للآخر، علی أنّ الوکالة من أحکامها جواز رجوع الموکّل، و أخذ العمل من الوکیل مع عدم جریان هذا فی المقام، فتدبّر، م ج 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الأصل جواز الوکالة فی کلّ شیء، لکن هذا بالنسبة إلی حقّ أو شیء ثابت للشخص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الاُمور الکفائیّة وجوباً أو استحباباً لا معنی للوکالة فیها، کما هو واضح، مضافاً إلی أنّ ما نقل عن الجواهر لیس دالاًّ علی خصوص المقام، بل هو علی نحو الکبری الکلّیة، فتدبّر، م ج 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الثالث من الفصل الأوّل فی الباب الرابع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بالفارسیّة للشیخ الفقیه 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یستفاد من الآیة منع استعمال لفظ الابن فی اللقیط، م ج 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الاُسرة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الإسلامی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أدب الأطفال و سماته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ربا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ربا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رَبَو</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ربب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فی البحث عن اهتمام الإسلام بتربیة الأولاد و تعلیمهم ما یدلّ علی هذا المدّعی، فانتظره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یسبق منّا فی المواضیع التی بحثنا عنها فی الأبواب السابقة، التحقیق عن اهتمام الإسلام بهذا الموضوع؛ لأنّ البحث عنه خارج عن مباحث الفقه الاستدلالی المتداولة فی الکتب الفقهیّة، و لکن لأهمّیة مباحث التربیة لا سیّما تربیة الأطفال، و خاصّة فی عصرنا هذا الذی هجم الکفّار و عملاؤهم علی المسلمین و شبّانهم هجمةً ثقافیّة عالمیّة کی یخرجوهم من النور إلی الظلمات، و من الإسلام و الاعتقاد الراسخ الدینی إلی الکفر و الباطل حتی یکونوا حیاری ضالّین منحرفین عن طریق الحقّ، و وفّق الکفّار فی إعمال مقاصدهم فی بلاد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الأسف أثّر تبلیغات الفاسدة فی أفکار شبّان المسلمین و ضعّف عقائدهم بحیث لا یعتنون بشأن الإسلام و العمل بأحکامه، بل قلّدوا المشرکین و الکفّار فی أفعالهم، و نسأل اللّه تعالی من فضله أن یدفع هذه البلیّة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طرحنا المباحث التی تدلّ علی اهتمام الإسلام بأمر التربیة مثل هذا المبحث و البحث عن أهداف التربیة و غیرها فی ضمن المباحث الفقهیّة الاُخری، و نرجو من اللّه سبحانه أن تکون هذه البدایة حافزاً لروّاد الفکر الإسلامی الفقهی فی هذا العصر فی أن یشحذوا أقلامهم و یحرّکوا هممهم و عزائمهم لیکتبوا فی حقل تربیة الأولاد، و یستوعبوا البحث فیها فقهیّاً، و کذا یکثروا من البحوث و التألیف لتبیان وسائلها و غایاتها لیکون عند من یهمّه أمر التربیة المراجع الوافیة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لاتّباع أفضل الطرق فی إعداد الولد إسلامیّاً، و تکوینه روحیّاً و خلقیاً و فکریّاً إن شاء اللّه تعالی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 آنفاً،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538/10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إحیاء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إحیاء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هذا التعبیر نظیر ما ورد فی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فکما أنّ معنی الإتمام فی هذه الآیة هی الإقامة و الإیجاد و الإحداث، فکذلک فی هذا التعبیر؛ بمعنی أنّ الأخلاق الکریمة و الصفات الحسنة و التأدّب بآداب اللّه لم یکن إلاّ بالإسلام، أو بمعنی أنّ الأخلاق صارت معدومةً فی الجاهلیة، فالبعثة لأجل تحقّق هذه المکارم الحسنة، م ج 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سنن أبی داود کتاب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تفسیر العسکری علیه السلام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 بالهمزة و کسر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فسّر فی خطبة أمیر المؤمنین علیه السلام فی یوم الغدیر بمائة ألف،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الهدایة و التعلیم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التفسیر المنسوب إلی أبی محمّد الحسن العسکری علیه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قریبٌ من هذا المضمون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 المتعلّم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أحکام الصغار، تحقیق عبد الحمید عبد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للسیّد محسن الأمین الحسین العاملی، دار المرتضی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تأدیب الولد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بالفطرة هو التوحید أو معرفة اللّه عزّ و جلّ، و المعنی أنّ اللّه خلق قلوب بنی آدم لقبول الحقّ، کما خلق أعینهم و أسماعهم قابلة للمرئیات و المسموعات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 الملّة و هی الدین و الإسلام، و التوحید التی خلق النّاس علیها و لها و بها؛ أی لأجلها و التمسّک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مولود یولد علی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الابتداء و الاختراع، و الفطرة الحالة منه، کالجلسة و الرکبة،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یولد علی نوع من الجبلّة و الطبع المتهیّئ لقبول الدِّین، فلو ترک علیها لاستمرّ علی لزومها و لم یفارقها إلی غیرها، و إنّما یعدل عنه من یعدل لآفة من آفات البشر و التقلید، ثمّ تمثّل بأولاد الیهود و النصاری فی اتّباعهم لآبائهم و المیل إلی أدیانهم من مقتضی الفطرة السلیمة،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کلّ مولود یولد علی معرفة اللّه و الإقرار به، فلا تجد أحداً إلاّ و هو یقرّ بأنّ له صانعاً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روایات فی تفسیر الفطرة بالتوحید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الکلینی فی الصحیح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فطرهم جمیعاً علی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فطرة الخلق علی التوحید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کذا غیرها، نفس الباب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فطرة الخلق علی التوحید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بشرح العسقلانی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أخرجه البخاری مع اختلاف یسیر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 أبو داود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یلحق المیّت بعد موته،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یلحق المیّت بعد موته، 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الأوّل من الباب الرابع فی المجلّد الأوّل من هذا الکتاب</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استفادة لزوم التربیة و التعلیم من مسألة الحضانة مشکلة جدّاً؛ لأنّه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التعلیم و التربیة لیستا محدودة بحدّ و سنّ معیّن، مع أنّ الحضانة محدودة،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الحضانة من الحقوق الثابتة للمرء أو المرأة، و لیست ولایة لهما، و الظاهر أنّ التعبیر بالولایة فی الحضانة فیه مسامحة ظاهرة،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الحضانة إنّما هی فی الاُمور المرتبطة بالحفظ و المصلحة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التربیة الأخلاقیّة أو العقلیّة، فلا تدخل فیها، و أیضاً الظاهر عدم دخول التعلیم فی مسألة الحضانة، و هذا واضح جدّاً، م ج 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 فی معرفة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للسیّد الخوئی و الشیخ جواد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أحکام صلاة القضاء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الحجر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283/92</w:t>
      </w:r>
      <w:r>
        <w:rPr>
          <w:rFonts w:ascii="IRNazanin" w:hAnsi="IRNazanin" w:eastAsia="IRNazanin"/>
          <w:b w:val="false"/>
          <w:b w:val="false"/>
          <w:bCs w:val="false"/>
          <w:i w:val="false"/>
          <w:i w:val="false"/>
          <w:iCs w:val="false"/>
          <w:color w:val="333333"/>
          <w:sz w:val="20"/>
          <w:sz w:val="20"/>
          <w:szCs w:val="20"/>
          <w:rtl w:val="true"/>
        </w:rPr>
        <w:t>، مصباح الهدی فی شرح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الولد فی الأهل و إن کان صحیحاً لغةً، إلاّ أنّ خطاب الآیة و التکلیف بالنسبة إلی البالغین، و أیضاً مناسبة الحکم و الموضوع و عدم عقاب غیر البالغ یدلّ علی أنّ الآیة الشریفة لا تشمل الأولاد جدّاً، و ما ذکره القرطبی من دخول الولد فی النفس من جهة أنّ الولد بعض منه تکلّف واضح، م ج ف</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إنّما هی بصدد المنع عمّا یکون فعله أو ترکه موجباً لدخول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الأدب، فلیست دالّة علیه، م ج 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دلالة الروایات الآتیة علی وجوب منع الأولاد عمّا أوعد اللّه تعالی علیها النار، فراجع، م ج 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قریباً فی ضمن النصوص التی دلّت علی وجوب التربیة و التعلیم الروایات الواردة فی ذیل الآیة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الآیة علی ذلک ممنوعة جدّاً، فتدبّر، م ج ف</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الآیة بقرینة القبل و البعد ظاهرة فی خصوص اجرة الرضاع و مدّته، و تکون بصدد الإرشاد إلی مقدار الرضاع الذی هو مختلف بحسب الأشخاص و الدفعات، و أیضاً مختلف بحسب الظروف و 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لا دلالة لها علی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مضافاً إلی القطع بعدم لزوم المشورة فی مسألة التربیة و التعلیم و النفقة، م ج 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المضارّة لا تدلّ علی وجوب التربیة و التعلیم، م ج 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 فی جامع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علیه السلام مکّیة فی قول الجمیع، و قال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ذات سیاق یلتئم بسیاق سائر آیات السورة، فهی مکّیة کسائرها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الأحکام للأسترآبادی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المطلب الثالث من المبحث الثانی من هذا الفصل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یستفرّه؛ أی یستکرم امّه و لا یدعو بالسبّ لاُمّه و اللعن و الفحش، هامش الکافی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ذکره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مع اختلاف یسیر،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الحقّ فی هذه النصوص و مثلها هو الحکم الذی یجمع مع الوجوب و الاستحباب، کما أوضحناه فی ذیل مبحث حکم الحضانة و أدلّتها فی الباب الثانی، راجع موسوعة أحکام الأطفال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قرینة علی عدم شمول الأمر و النهی بالنسبة إلی غیر البالغین؛ لوضوح عدم تعلّق النهی بهم،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العمل و إن لم یکن علیهم واجباً أو محرّماً، إلاّ أنّ التأدیب بالنسبة إلی الواجبات أو المحرّمات واجب، فتأدیب الأولیاء واجب، و لا ینافی هذا عدم الوجوب، أو عدم الحرمة بالنسبة إلی الأطفال، م ج 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 أصله من العقّ، بمعنی الشقّ و القطع،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و المقصود منه فی الأحادیث قطع الرحم من جانب الأولاد؛ بأن یعصوا والدیهم، و کذلک من جانب الوالدین؛ بأن لم یعملا بمسئولیّتهما الشرعیّة فی قبال 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تکرّر ذکره فی الأحادیث، و عدّ من الکبائر و أوعد علیه النار، فقد ذکر الصدوق فی الفقیه بإسناده عن محمّد بن سنان، عن الرضا علیه السلام فیما کتب إلیه من جواب مسائله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حرّم اللّه عقوق الوالدین لما فیه من الخروج من التوقیر للّه عزّ و جلّ، و التوقیر للوالدین، و تجنّب کفر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فی الکافی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فی کلام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عقوق الوالدین؛ فإنّ ریح الجنّة یوجد من مسیرة ألف عام، و لا یجدها عاقّ، و لا قاطع، و لا شیخ زان، و لا جار إزاره خیلاء، إنّما الکبریاء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الأولاد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معی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الأعظم،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العقل یدلّ علی أصل لزوم تربیة الإنسان صبیّاً کان أو غیر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لزومه علی الوالدین فلا یحکم به العقل، م ج ف</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و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و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و 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الاولویّة القطعیّة من طریق وجوب النفقة ممنوعة جدّاً؛ فإنّ نفقة الزوجة أو الوالدین أیضاً واجبة مع عدم وجوب التربیة بالنسبة إلیهما، و أمّا من طریق وجوب الحضانة فممنوعة أیضاً؛ خصوصاً بالنسبة إلی وجوب التعلیم، فتدبّر، م ج 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تربیة الأولاد هی أهمّ و أخطر عملیّة تربویّة، یقوم بهذه المهمّة کلا الوالدین، و من المشاعر النبیلة التی أودعها اللّه تعالی فی قلب الأبوین شعور الرحمة بالأولاد و الرأفة بهم، و هو شعور کریم له فی تربیة الأولاد أفضل النتائج و أعظم الآثار، و الاُمّ فی تحمّل المسئولیّة کالأب، بل مسئولیّتها أهمّ و أخطر؛ باعتبار أنّها ملازمة لولدها منذ الولادة، و یستفاد ذلک من بعض الروایات، کقوله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تحت أقدام الاُمّهات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ارید به المعنی الکنائی؛ أی تربیة الاُمّهات لأولادهنّ توجب استحقاقهم للجنّة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بأنّ السلطنة علی التربیة و التعلیم من شئون الولایة، فاستفادة الولایة للاُمّ من الأدلّة مشکلة جدّاً، و أشکل من ذلک الإثبات من طریق الملاک المذکور، م ج 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أدّبها، کما یُخرّج المعلّم تلمیذه، و 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مفعول درّبه و علّمه، و قد خرّجه فی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خرج</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المبحث الثالث من الباب الثانی فی الحضانة من الموسوعة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المبحث الأوّل من الباب الثانی فی الحضانة، ج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المبحث الأوّل من هذا الباب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291/31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التعاون یتقوّم بالطرفین، بأن یُعین أحدهما الآخر و بالعکس، و لکن باعتبار أنّ الأولاد بعد بلوغهم یمکنهم أن یکونوا عوناً لوالدیهم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الوالدین أولادهم و إن لم یکونوا معیناً لهما فعلاً، مضافاً إلی أنّ إطلاق التعاون یصدق و لو لم یعمل بعض المخاطبین بوظیفتهم، فلذا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الأبوان أولادهما علی البرّ و لو لم یکن الأولاد مکلّفاً و قادراً علی تعاونهم فعلاً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الثانی من الفصل الخامس فی الباب الخامس ج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بثبوت ولایة التربیة و التعلیم للاُمّ، فالوصایة بهما لا تحتاج إلی دلیل، و لا یصحّ أن یُقال بعدم الظفر علی الدلیل علی المنع، م ج 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تسلیم الصبیّ إلی المعلّم أمر، و لکن ولایته علی الصبیّ فی التعلیم و التربیة أمرٌ آخر، و لا دلیل جدّاً علی ذلک، م ج ف</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فی البحث عن حکم جنایات الأطفال و تأدیبهم، بأنّه لا خلاف بین الفقهاء فی أنّه یجوز للمعلّم أن یؤدّب الأطفال، و له الولایة فی هذا الأمر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جواز کسب المعلِّم و کذلک جواز ضربه إلی ثلاث ضربات لا یدلاّن علی ولایة المعلّم؛ فإنّ مقتضی الولایة أن یلزم الولیّ الصبیّ بالتربیة و التعلیم، مع أنّ هذا الإلزام من جانب المعلّم غیر ثابت، و لا دلیل علی جواز الإلزام من ناحیته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تحقّق التعلیم ثبت له حقّ من جواز حقّ الاُجرة و الضرب و غیرهما، م ج 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المبحث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المستحقّون للحضانة و مراتبهم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الآیة بصدد الضابطة الکلّیة و القاعدة العامّة فی جمیع الموارد تأمّل واضح، سیّما کونها مجملة من جهة تعیین البعض، و الإجمال لا یناسب کونها ضابطة، فعلی هذا لا یرد ما ذکر من أنّ المورد لا یکون مخصّصاً و لا مجال لهذا البیان أبداً، م ج 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الاحتیاج إلی الحضانة لا یثبت ولایة غیر الأبوین، 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الولایة له بعد فقد الأبوین إنّما هو للحاکم الشرعی، م ج 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الأوّل الباب الثانی، و المبحث الرابع من الفصل الأوّل الباب الثالث</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ذیل المبحث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الحضانة و 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156/12</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کاشتراطهم بأن یکون الحاضن حاضراً،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و بأن لا یکون فی حال الإغماء و السکر،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الرابع فی شروط المستحقّین للحضانة من الباب الثانی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 و المواریث، تراث الشیخ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تلخیص</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فقهیّة هامّة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للإمام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الموسوعة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العروة،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یقوّم بتشدید الواو من التقویم أو بالتخفیف أی لا یقاومها و لا یعادلها،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بحذافیرها أی بأجمعها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أبی محمّد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أبی محمّد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التفسیر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أبی محمّد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التفسیر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تدلّ علی نفی السبیل علی المحسن، و لا تدلّ علی لزوم الإحسان فضلاً عن إثبات الولایة للحاکم بعنوان أنّه محسن، و الظاهر أنّ الفقهاء لم یستدلّوا بها فی مسألة ولایة الفقیه، فراجع، م ج 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الثانی من الفصل الثانی من الباب الرابع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الموسوعة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الثانی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الرابع من الفصل العاشر فی الباب الرابع 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الثالث من الفصل الأوّل فی هذا الباب</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الاقتباس من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الثانی من الموسوعة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الأولاد من منظار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أحکام المرأة و البیت المسلم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متی یؤمر الصبیّ بالصلاة، من طریق حرملة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صحیح، و علیه العمل عند بعض أهل العلم، و أخرجه أبو داود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یؤمر الغلام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الأخیر عن عمرو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 أولادکم بالصلاة و هم أبناء سبع سنین، و اضربوهم علیها و هم أبناء عشر سنین، و فرّقوا بینهم فی المضاجع</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فقه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مع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فقه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شرح مغنی ذوی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الروایة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لشرح مختصر خلیل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الخرشی علی مختصر خلیل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الحضانة هی بفتح الحاء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الولد، و کذا فی نهایة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و فی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شرعاً حفظ من لا یستقلّ باُمور نفسه عمّا یؤذیه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تربیته بما یصلحه، و شبه ذلک فی 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و 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و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الإسلامی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906/9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لابن القیّم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انظر المفصّل فی أحکام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عمل بغیر علم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تحقیق الدکتور صبحی صالح</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تصرّف</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 طریق أهل السنّة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و الروایة متواترة عندهم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ما یناسبه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 و وسط أو فی أوساطنا، و منه حدیث الأئمّة نتقلّب فی الأرض بین أظهرکم أی فی أوساطکم،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التصابی هنا أن یجعل الرجل نفسه مثل الصبی و ینزلها منزلته،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w:t>
      </w:r>
      <w:r>
        <w:rPr>
          <w:rFonts w:ascii="IRNazanin" w:hAnsi="IRNazanin" w:eastAsia="IRNazanin"/>
          <w:b w:val="false"/>
          <w:b w:val="false"/>
          <w:bCs w:val="false"/>
          <w:i w:val="false"/>
          <w:i w:val="false"/>
          <w:iCs w:val="false"/>
          <w:color w:val="333333"/>
          <w:sz w:val="20"/>
          <w:sz w:val="20"/>
          <w:szCs w:val="20"/>
          <w:rtl w:val="true"/>
        </w:rPr>
        <w:t>، و قد عَقَدَ صاحب الوسائل و کذا صاحب المستدرک باباً تحت هذا العنوان،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ج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 صَباءً مثال سَمِع سَماعاً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لعب مع الصبیان، و فی تاج العروس ج </w:t>
      </w:r>
      <w:r>
        <w:rPr>
          <w:rFonts w:eastAsia="IRNazanin" w:cs="IRNazanin"/>
          <w:b w:val="false"/>
          <w:bCs w:val="false"/>
          <w:i w:val="false"/>
          <w:iCs w:val="false"/>
          <w:color w:val="333333"/>
          <w:sz w:val="20"/>
          <w:szCs w:val="20"/>
        </w:rPr>
        <w:t>591/19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صَبی کَرَضِیَ فعل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فعل الصبا، و فی لسان العرب 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وصبی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 فعل الصبیان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عصرنا الحاضر الذی أُسّس الحکومة الإسلامیّة فی إیران نشاهد صبیان حفظوا القرآن بتمامه مع فهم تفسیره و شأن نزوله، و حفظوا الأحادیث الکثیرة فی أبواب مختلفة، بحیث لو سئل منهم قراءة عشرة أحادیث فی موضوع واحد فهم قادرون علی قراءتها، و کان من أظهر انموذجها نابغة العصر السیّد محمّد حسین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إنّه بعون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بالقرآن و بفنون مختلفة، و هو بسبب انسه مع القرآن یستطیع أن یجیب کلّ مسألة یُسأل عنها فی موضوعات مختلفة بآیة من القرآن تتناسب مع ذلک الموضوع، فوجود هؤلاء الأطفال أحسن دلیل بتأثیر التربیة فی هذه الدورة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تأدیب الولد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تأدیب الولد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المبحث الرابع من الفصل السابع فی الباب الأوّل ج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تزحزح عن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باعده و تنحّی،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ألطاف المؤمن و إکرامه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ألطاف المؤمن و إکرامه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45395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تلطّف النبیّ و ترحّمه خاصّاً لأولاده؛ إذ من الطبیعی أنّ کلّ والد یلطف ولده، بل تلطّفه صلی الله علیه و آله و سلم کان بالنسبة إلی أولاد الصحابة و المسلمین عموماً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الأمین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سیرة رسول اللّه صلی الله علیه و آله انّه یخالط أصحابه و یحادثهم، و یداعب صبیانهم و یجلسهم فی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سمع بکاء الصغیر و هو یصلّی خفّف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اسامة بن زید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یأخذنی فیقعدنی علی فخذه، و یقعد الحسن علیه السلام علی فخذه الاُخری، ثمّ یضمّهما 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ارحمهما فإنّی أرحمهما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6003</w:t>
      </w:r>
      <w:r>
        <w:rPr>
          <w:rFonts w:ascii="IRNazanin" w:hAnsi="IRNazanin" w:eastAsia="IRNazanin"/>
          <w:b w:val="false"/>
          <w:b w:val="false"/>
          <w:bCs w:val="false"/>
          <w:i w:val="false"/>
          <w:i w:val="false"/>
          <w:iCs w:val="false"/>
          <w:color w:val="333333"/>
          <w:sz w:val="20"/>
          <w:sz w:val="20"/>
          <w:szCs w:val="20"/>
          <w:rtl w:val="true"/>
        </w:rPr>
        <w:t>، و روی فی مکارم الأخلاق فی آداب جلوس النبیّ صلی الله علیه و آله انّه کان صلی الله علیه و آله یؤتی بالصبیّ الصغیر لیدعو له بالبرکة أو یسمّیه، فیأخذه فیضعه فی حجره تکرمة لأهله، فربما بال الصبیّ علیه، فیصیح بعض من رآه حین بال، فیقول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تزرموا بالصبیّ فیدعه حتّی یقضی بوله، ثمّ یفرغ له من دعائه أو تسمیته، و یبلغ سرور أهله فیه، و لا یرون أنّه یتأذّی ببول صبیّهم، فإذا انصرفوا غسل ثوبه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فضائلهما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رحمة الولد ح </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عن طریق أهل السنّة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هذا المجلّد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 و المِثل،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قدوة إذا کان یقتدی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الأطفال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الوفاء لبنان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بثّ،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بتّ،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له الشهادة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إیمانه غیر مستقرّ و غیر ثابت فی قلبه، بل یزول بأدنی شبهة، فهو کالودیعة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التعلیم و التربیة من منظر الإمام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حدیث جنود العقل و الجهل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مکارم أخلاق علیّ بن الحسین علیهما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قبیح المنظر من دم دمامه کان حقیراً و قبح منظره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 الکبر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الروضة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قریباً فی الفصل القادم عدّة من هذه النصوص إن شاء اللّه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حاوره 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جاوبه،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المجاوبة، استحاره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استنطقه،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الصلاة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التذکیر بالخیر فیما یرقّ له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وعظ، و فی مجمع البحرین ج </w:t>
      </w:r>
      <w:r>
        <w:rPr>
          <w:rFonts w:eastAsia="IRNazanin" w:cs="IRNazanin"/>
          <w:b w:val="false"/>
          <w:bCs w:val="false"/>
          <w:i w:val="false"/>
          <w:iCs w:val="false"/>
          <w:color w:val="333333"/>
          <w:sz w:val="20"/>
          <w:szCs w:val="20"/>
        </w:rPr>
        <w:t>1952/3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 عبارة عن الوصیّة بالتقوی، و الحثّ علی الطاعات، و التحذیر عن المعاصی، و الاغترار بالدنیا و زخارفها، و الوعظ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و التذکیر بالعواقب، تقول وعظته وعظاً و عظة فاتّعظ؛ أی قبل الموعظة، و کذا 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نذکرها قریباً تحت عنوان مواعظ الأئمّة علیهم السلام أبناءهم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 الخصومة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کتاب الصلاة 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قاساها و تحمّل المشاق فی فعلها بلا إعداد أسبابها، و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 و 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ضدّ الرفق</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بالتقدیم و التأخیر فی العبارة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فی آداب المفید و المستفید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الخشونة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لیّن و لین مخفّف منه، و فلان لیّن الجانب؛ أی سهل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أوائل 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الألفاظ الغریبة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تصارعوا، و المصارعة ریاضة بدنیّة عنیفة تجری بین اثنین، یحاول کلّ منهما أن یصرع الآخر علی اصول مقرّرة،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للاستزادة من حدیث أو عمل معهود، فإذا نوّنتها کانت للاستزادة من حدیث أو عمل ما،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إیهاً، بمعنی حسبک،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الفصول المختارة للشیخ المفید رحمه الله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للدمیری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ارتجّ علی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لم یسمّ فاعله، إذا لم یقدر علی القراءة، 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تملّق و العیّ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الأطفال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التربیة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الأطفال أهدافه و سماته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الأطفال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الأطفال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العربی المربّی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أدب الأطفال أهدافه و سماته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فی ضوء القرآن و السنّة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طریق أهل السنّة أخرجه البخاری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352/67</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و طبقات الأصفیاء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بالتقصیر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فی ضوء القرآن و السنّة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صلی الله علیه و آله و سلم إخوان من الرضاعة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379/65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595/9</w:t>
      </w:r>
      <w:r>
        <w:rPr>
          <w:rFonts w:ascii="IRNazanin" w:hAnsi="IRNazanin" w:eastAsia="IRNazanin"/>
          <w:b w:val="false"/>
          <w:b w:val="false"/>
          <w:bCs w:val="false"/>
          <w:i w:val="false"/>
          <w:i w:val="false"/>
          <w:iCs w:val="false"/>
          <w:color w:val="333333"/>
          <w:sz w:val="20"/>
          <w:sz w:val="20"/>
          <w:szCs w:val="20"/>
          <w:rtl w:val="true"/>
        </w:rPr>
        <w:t>، جامع الأحکام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أنّ حبّ الأنصار و علی علیه السلام من الإیمان و علاماته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أخرجه الترمذی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xml:space="preserve">، کتاب المناقب ح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و النسائی فی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کتاب الإیمان باب علامة المنافق 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کتاب الصفوة،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فی ضوء القرآن و السنّة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الأطفال أهدافه و سماته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تأدیب الولد 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فی مقابلة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الإرجاء بمعنی التأخّر؛ لتأخیرهم علیّاً علیه السلام عن مرتبته، و قد یطلق فی مقابلة الوعید به، إلاّ أنّ الأوّل هو المراد هنا،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1381/23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تأدیب الولد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الأمر و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النبی صلی الله علیه و آله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العلم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 الصادق علیه السلام من تعلّم علماً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الأطفال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الطفل فی ضوء القرآن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تعلیم الأولاد القرآن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الإحکام فی معرفة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الثالث من الفصل الأوّل فی هذا الباب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الثالث من الفصل الأوّل فی هذا الباب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ذیل المبحث الثالث من الفصل الأوّل من هذا الباب</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الصلاة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تعلیقات للشیخ الفاضل اللنکرانی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شهر صوم رمضان و فضله ملحق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تکثر أرزاقکم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القنوت فی الوتر 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عنهما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الشدید، و الإمعان فی السیر، و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الشیء؛ یعنی سیروا فی الدین برفق، و ابلغوا الغایة القصوی منه بالرفق لا علی التهافت و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بعد النون، و تشدید المثنّاة من فوق، یقال للرجل إذا انقطع به فی سفره و عطبت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انبتّ، من البتّ بمعنی القطع، فهو مطاوع بتّ،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الکافی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 هذّبه و علّمه، و أمحکه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یلجّ و یتمادی فی المنازعة،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السن،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فی العبادة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عدّة الداعی</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ح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دعاؤه علیه السلام لولده</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المطلب الأوّل من الفصل الأوّل من هذا الباب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الکلمات القصار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طریق أهل السُنّة أیضاً أخرجه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الحجر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مصدر سبق یسبق من بابی ضرب یضرب و نصر ینصر، و معناه التقدّم علی الغیر أو الغلبة علیه، و الرمایة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مصدره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معناه إلقاء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السهم عن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ألقاه، و المقصود منه عند الفقهاء أنّه عقد شرع لفائدة التمرّن علی مباشرة النضال و الاستعداد لممارسة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الصناعات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مدح للعرب، یعترض بها الکلام لتعظیم المخاطب، کأنّهم یثبتون لأبیه زیادة اختصاص باللّه،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اللّه و ناقة اللّه و إن کان کلّ شیء للّه؛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 الدنس و الختم و الذنب،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 علی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و أکثر النسخ الزین بالزاء المعجمة، و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أُمّتی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النسخ عین أُمّتی بالعین المهملة و الیاء المثنّاة من تحت، و لعلّه بمعنی النقد المضروب،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غنی أُمّتی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یخفی بُعدهما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الکذب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توافقهم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المعاصی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8/50:6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التشدید فی الکذب ح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حقّ مَن أساء إلی الأطفال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القطیعة، أی ألزم نفسک صلة صدیقک إذا قطعک، و هکذا بعده</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أی صبّه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رجل؛ أی بالغ یجوز تصرّفه فی ماله، أو هو قول الراوی یمدحه بهذا القول، و کثیراً ما یقال فی المدح إنّه رجل أو فحل، أو بالعکس، هامش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النهی عن نوم رجلین عاریین مختصّ بما إذا کانا تحت لحاف واحد، مع أنّ الأمر بالتفریق بین الأولاد إنّما هو بالنسبة إلی أصل المضاجع؛ سواء کان تحت لحاف واحد أم لا،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فی الأولاد هو التفریق بین المضاجع فقط، و لا خصوصیّة للحاف واحد، مع أنّ الموضوع فی نوم الرجلین فیما إذا کانا تحت لحاف واحد، فتدبّر، م ج 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العروة الوثقی،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 نکتها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تعلیقات عدّة من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تعلیقات عدّة من 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170/14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170/14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فی ضوء القرآن و السنّة و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الاُولی تدلّ علی وجوب الاستئذان لثلاث 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ملکت أیمانکم، 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لم یبلغوا الحلم من الأحرار،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الأطفال الذین لم یبلغوا الحلم، و الثانیة مطلقة لم یقیّد بالصبیّ الممیّز إلاّ بقرینة مناسبة الحکم و الموضوع، و هی غیر واضحة جدّاً فی المقام، لکنّ الظاهر أنّ وجوب الاستئذان أمر طریقیّ لعدم الاطّلاع علی العورة، و لیس واجباً نفسیّاً حتّی یعاقب علی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یستفاد من هذا الوجوب حرمة الاطّلاع علی عورة البالغین و الوالدین، کما هو واضح، م ج ف</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کلمات جمع من المفسّرین أنّ الآیة الشریفة من قبیل الأمر بالأمر؛ بمعنی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 الأولیاء و الوالدین بالأمر بالاستئذان، مع أنّ الظاهر خلاف ذلک، و إنّما الآیة تدلّ علی وجوب الاستئذان لهذه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یجب علی الوالدین إبلاغ هذا التکلیف، لکن هذا مطلب و مسألة الأمر بالأمر مطلب آخر لها آثار مخصوصة قد ذکرها الاُصولیّون فی محلّه، فراجع، م ج ف</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بنینا الوجوب علی ذلک المبنی و قلنا باستفادة الوجوب عن طریق العقل،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حدیث الرفع لکونه ترخیصاً؛ لأنّه کسائر القواعد الکلّیة قابلاً للتخصیص، فکما وقع التخصیص بالنسبة إلی الأحکام الوضعیّة کالضمان، فکذلک یمکن التخصیص بالنسبة إلی الأحکام التکلیفیّة، کعدم جواز النظر إلی عورة البالغ، فعلی هذا ما ذکره النراقی من أنّ المقام أخصّ من حدیث الرفع متین جدّاً، و لا ینبغی الریب فی استفادة الوجوب من الآیة الشریفة علی ذلک المبنی، و قد مرّ أنّ الوجوب طریقیّ لا عقاب علی ترکه، و لا ملازمة بین هذا الوجوب و حرمة الاطّلاع علی عورة الغیر، و علی هذا لا یستفاد من الآیة الشریفة حرمة النظر إلی العورة، و لکن لا ینافی ذلک ثبوت الوجوب الطریقی علی الأطفال، و اللّه العالم، م ج ف</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مبانی العروة الوثقی،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 أبواب أحکام 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السهک و ریح اللحم، و ما یعلق بالید من دسمه،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کراهیة القنازع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ریاضة النفس</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لمّا نسی ذکر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شارکه الشیطان فسمّی بعد تقیّأ الشیطان الملعون ما قد أکل و لم یدخل ما یتقیّؤه فی طعامه، فیجد الطعام قلیلاً، هامش المصدر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التسمیة و التحمید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الطاء و بعدها مثنّاة تحت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تتحرّک و تمتد إلی نواحی الصحفة، و لا تقتصر علی موضع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 الأشربة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وعک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ألم من شدّة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المرض،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انا نعوذُ بکَ من 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شدّته و مشقّته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یسکنها من أُمّتی من أطاب الکلام،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أبواب أحکام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علیه السلام إلی الحارث الهمدانی،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الثلاثة،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1268/613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باب فی النوادر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 السطوة و الاستطالة،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 قرنه یصول إذا سطا علیه و قهره حتّی یذلّ له، هامش البحار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الأولاد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له و رحمه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بین الوراثة و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کتاب الهبة،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و أخرجهما مسلم أیضاً فی صحیحه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الهبات،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11997</w:t>
      </w:r>
      <w:r>
        <w:rPr>
          <w:rFonts w:ascii="IRNazanin" w:hAnsi="IRNazanin" w:eastAsia="IRNazanin"/>
          <w:b w:val="false"/>
          <w:b w:val="false"/>
          <w:bCs w:val="false"/>
          <w:i w:val="false"/>
          <w:i w:val="false"/>
          <w:iCs w:val="false"/>
          <w:color w:val="333333"/>
          <w:sz w:val="20"/>
          <w:sz w:val="20"/>
          <w:szCs w:val="20"/>
          <w:rtl w:val="true"/>
        </w:rPr>
        <w:t>، 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السویّ؛ بمعنی العدل و المعتدل، لا إفراط فیه و لا تفریط، 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فی هامش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لعلّ المواساة هنا ضمنت معنی التسویة، بقرینة تعلّقها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بقرینة 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یصلح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و إن کان قد یستعمل فی الحرمة، و لکن استعماله فی الکراهة کثیرة جدّاً، و یمکن أن یُقال بقرینة السؤال المذکور فی صدر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المورد من الموارد التی یکون التفضیل فیها موجباً للبغض و العداوة، م ج 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شرح العروة الوثقی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کتاب الهبة،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کفایة الأحکام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الهبة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قمت و تصرّفت فیما أعطی أبی لأخی من النحلة حتّی جمعت له، و ذلک لأنّه کان طفلاً، هامش المصدر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الوصیّة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الهبات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التشاحن من الشحناء، و هی العداوة،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الجمیع فی ذکر أدلّة قول الأوّل فی المسألة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و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مذهب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حاشیة ردّ المحتار علی 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المبسوط للسرخسی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38218</Words>
  <Characters>153315</Characters>
  <CharactersWithSpaces>189476</CharactersWithSpaces>
  <Paragraphs>2058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2026-08-22T07:00:25Z</dcterms:created>
  <dc:creator>ghaemiyeh.com</dc:creator>
  <dc:description/>
  <dc:language>en-US</dc:language>
  <cp:lastModifiedBy/>
  <dcterms:modified xsi:type="dcterms:W3CDTF">2026-08-22T10:30:54Z</dcterms:modified>
  <cp:revision>1</cp:revision>
  <dc:subject/>
  <dc:title>موسوعه احکام الاطفال و ادلتها مقارنه تفصیلیه بین مذهب الامامیه و المذاهب الاخری جلد 3</dc:title>
</cp:coreProperties>
</file>

<file path=docProps/custom.xml><?xml version="1.0" encoding="utf-8"?>
<Properties xmlns="http://schemas.openxmlformats.org/officeDocument/2006/custom-properties" xmlns:vt="http://schemas.openxmlformats.org/officeDocument/2006/docPropsVTypes"/>
</file>