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احکام الاطفال و ادلتها مقارنه تفصیلیه بین مذهب الامامیه و المذاهب الاخری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82464_7370918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482466_7370918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482468_73709187">
            <w:r>
              <w:rPr>
                <w:webHidden/>
                <w:rStyle w:val="IndexLink"/>
                <w:rtl w:val="true"/>
              </w:rPr>
              <w:t>تتمة الباب الرابع فی الولایة علی الأطفال</w:t>
            </w:r>
            <w:r>
              <w:rPr>
                <w:rStyle w:val="IndexLink"/>
                <w:rtl w:val="true"/>
              </w:rPr>
              <w:tab/>
            </w:r>
            <w:r>
              <w:rPr>
                <w:rStyle w:val="IndexLink"/>
              </w:rPr>
              <w:t>14</w:t>
            </w:r>
          </w:hyperlink>
        </w:p>
        <w:p>
          <w:pPr>
            <w:pStyle w:val="Contents3"/>
            <w:tabs>
              <w:tab w:val="clear" w:pos="8459"/>
              <w:tab w:val="right" w:pos="9026" w:leader="dot"/>
            </w:tabs>
            <w:rPr/>
          </w:pPr>
          <w:hyperlink w:anchor="__RefHeading___Toc9482470_73709187">
            <w:r>
              <w:rPr>
                <w:webHidden/>
                <w:rStyle w:val="IndexLink"/>
                <w:rtl w:val="true"/>
              </w:rPr>
              <w:t>الفصل السادس فی ولایة الوکیل</w:t>
            </w:r>
            <w:r>
              <w:rPr>
                <w:rStyle w:val="IndexLink"/>
                <w:rtl w:val="true"/>
              </w:rPr>
              <w:tab/>
            </w:r>
            <w:r>
              <w:rPr>
                <w:rStyle w:val="IndexLink"/>
              </w:rPr>
              <w:t>14</w:t>
            </w:r>
          </w:hyperlink>
        </w:p>
        <w:p>
          <w:pPr>
            <w:pStyle w:val="Contents4"/>
            <w:tabs>
              <w:tab w:val="clear" w:pos="8176"/>
              <w:tab w:val="right" w:pos="9026" w:leader="dot"/>
            </w:tabs>
            <w:rPr/>
          </w:pPr>
          <w:hyperlink w:anchor="__RefHeading___Toc9482472_7370918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9482474_73709187">
            <w:r>
              <w:rPr>
                <w:webHidden/>
                <w:rStyle w:val="IndexLink"/>
                <w:rtl w:val="true"/>
              </w:rPr>
              <w:t>المبحث الأوّل</w:t>
            </w:r>
            <w:r>
              <w:rPr>
                <w:rStyle w:val="IndexLink"/>
                <w:rtl w:val="true"/>
              </w:rPr>
              <w:t xml:space="preserve">: </w:t>
            </w:r>
            <w:r>
              <w:rPr>
                <w:rStyle w:val="IndexLink"/>
                <w:rtl w:val="true"/>
              </w:rPr>
              <w:t>معنی الوکالة و ذکر الأقوال فیها</w:t>
            </w:r>
            <w:r>
              <w:rPr>
                <w:rStyle w:val="IndexLink"/>
                <w:rtl w:val="true"/>
              </w:rPr>
              <w:tab/>
            </w:r>
            <w:r>
              <w:rPr>
                <w:rStyle w:val="IndexLink"/>
              </w:rPr>
              <w:t>14</w:t>
            </w:r>
          </w:hyperlink>
        </w:p>
        <w:p>
          <w:pPr>
            <w:pStyle w:val="Contents4"/>
            <w:tabs>
              <w:tab w:val="clear" w:pos="8176"/>
              <w:tab w:val="right" w:pos="9026" w:leader="dot"/>
            </w:tabs>
            <w:rPr/>
          </w:pPr>
          <w:hyperlink w:anchor="__RefHeading___Toc9482476_73709187">
            <w:r>
              <w:rPr>
                <w:webHidden/>
                <w:rStyle w:val="IndexLink"/>
                <w:rtl w:val="true"/>
              </w:rPr>
              <w:t>المبحث الثانی</w:t>
            </w:r>
            <w:r>
              <w:rPr>
                <w:rStyle w:val="IndexLink"/>
                <w:rtl w:val="true"/>
              </w:rPr>
              <w:t xml:space="preserve">: </w:t>
            </w:r>
            <w:r>
              <w:rPr>
                <w:rStyle w:val="IndexLink"/>
                <w:rtl w:val="true"/>
              </w:rPr>
              <w:t>أدلّة هذا الحکم</w:t>
            </w:r>
            <w:r>
              <w:rPr>
                <w:rStyle w:val="IndexLink"/>
                <w:rtl w:val="true"/>
              </w:rPr>
              <w:tab/>
            </w:r>
            <w:r>
              <w:rPr>
                <w:rStyle w:val="IndexLink"/>
              </w:rPr>
              <w:t>19</w:t>
            </w:r>
          </w:hyperlink>
        </w:p>
        <w:p>
          <w:pPr>
            <w:pStyle w:val="Contents4"/>
            <w:tabs>
              <w:tab w:val="clear" w:pos="8176"/>
              <w:tab w:val="right" w:pos="9026" w:leader="dot"/>
            </w:tabs>
            <w:rPr/>
          </w:pPr>
          <w:hyperlink w:anchor="__RefHeading___Toc9482478_73709187">
            <w:r>
              <w:rPr>
                <w:webHidden/>
                <w:rStyle w:val="IndexLink"/>
                <w:rtl w:val="true"/>
              </w:rPr>
              <w:t>المبحث الثالث</w:t>
            </w:r>
            <w:r>
              <w:rPr>
                <w:rStyle w:val="IndexLink"/>
                <w:rtl w:val="true"/>
              </w:rPr>
              <w:t xml:space="preserve">: </w:t>
            </w:r>
            <w:r>
              <w:rPr>
                <w:rStyle w:val="IndexLink"/>
                <w:rtl w:val="true"/>
              </w:rPr>
              <w:t>ولایة الوکیل عند الجمهور من أهل السنّة</w:t>
            </w:r>
            <w:r>
              <w:rPr>
                <w:rStyle w:val="IndexLink"/>
                <w:rtl w:val="true"/>
              </w:rPr>
              <w:tab/>
            </w:r>
            <w:r>
              <w:rPr>
                <w:rStyle w:val="IndexLink"/>
              </w:rPr>
              <w:t>22</w:t>
            </w:r>
          </w:hyperlink>
        </w:p>
        <w:p>
          <w:pPr>
            <w:pStyle w:val="Contents5"/>
            <w:tabs>
              <w:tab w:val="clear" w:pos="7892"/>
              <w:tab w:val="right" w:pos="9026" w:leader="dot"/>
            </w:tabs>
            <w:rPr/>
          </w:pPr>
          <w:hyperlink w:anchor="__RefHeading___Toc9482480_7370918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9482482_73709187">
            <w:r>
              <w:rPr>
                <w:webHidden/>
                <w:rStyle w:val="IndexLink"/>
                <w:rtl w:val="true"/>
              </w:rPr>
              <w:t xml:space="preserve">أ </w:t>
            </w:r>
            <w:r>
              <w:rPr>
                <w:rStyle w:val="IndexLink"/>
                <w:rtl w:val="true"/>
              </w:rPr>
              <w:t xml:space="preserve">- </w:t>
            </w:r>
            <w:r>
              <w:rPr>
                <w:rStyle w:val="IndexLink"/>
                <w:rtl w:val="true"/>
              </w:rPr>
              <w:t>المالکیّة</w:t>
            </w:r>
            <w:r>
              <w:rPr>
                <w:rStyle w:val="IndexLink"/>
                <w:rtl w:val="true"/>
              </w:rPr>
              <w:tab/>
            </w:r>
            <w:r>
              <w:rPr>
                <w:rStyle w:val="IndexLink"/>
              </w:rPr>
              <w:t>22</w:t>
            </w:r>
          </w:hyperlink>
        </w:p>
        <w:p>
          <w:pPr>
            <w:pStyle w:val="Contents5"/>
            <w:tabs>
              <w:tab w:val="clear" w:pos="7892"/>
              <w:tab w:val="right" w:pos="9026" w:leader="dot"/>
            </w:tabs>
            <w:rPr/>
          </w:pPr>
          <w:hyperlink w:anchor="__RefHeading___Toc9482484_73709187">
            <w:r>
              <w:rPr>
                <w:webHidden/>
                <w:rStyle w:val="IndexLink"/>
                <w:rtl w:val="true"/>
              </w:rPr>
              <w:t xml:space="preserve">ب </w:t>
            </w:r>
            <w:r>
              <w:rPr>
                <w:rStyle w:val="IndexLink"/>
                <w:rtl w:val="true"/>
              </w:rPr>
              <w:t xml:space="preserve">- </w:t>
            </w:r>
            <w:r>
              <w:rPr>
                <w:rStyle w:val="IndexLink"/>
                <w:rtl w:val="true"/>
              </w:rPr>
              <w:t>الحنابلة</w:t>
            </w:r>
            <w:r>
              <w:rPr>
                <w:rStyle w:val="IndexLink"/>
                <w:rtl w:val="true"/>
              </w:rPr>
              <w:tab/>
            </w:r>
            <w:r>
              <w:rPr>
                <w:rStyle w:val="IndexLink"/>
              </w:rPr>
              <w:t>23</w:t>
            </w:r>
          </w:hyperlink>
        </w:p>
        <w:p>
          <w:pPr>
            <w:pStyle w:val="Contents5"/>
            <w:tabs>
              <w:tab w:val="clear" w:pos="7892"/>
              <w:tab w:val="right" w:pos="9026" w:leader="dot"/>
            </w:tabs>
            <w:rPr/>
          </w:pPr>
          <w:hyperlink w:anchor="__RefHeading___Toc9482486_73709187">
            <w:r>
              <w:rPr>
                <w:webHidden/>
                <w:rStyle w:val="IndexLink"/>
                <w:rtl w:val="true"/>
              </w:rPr>
              <w:t xml:space="preserve">ج </w:t>
            </w:r>
            <w:r>
              <w:rPr>
                <w:rStyle w:val="IndexLink"/>
                <w:rtl w:val="true"/>
              </w:rPr>
              <w:t xml:space="preserve">- </w:t>
            </w:r>
            <w:r>
              <w:rPr>
                <w:rStyle w:val="IndexLink"/>
                <w:rtl w:val="true"/>
              </w:rPr>
              <w:t>الحنفیّة</w:t>
            </w:r>
            <w:r>
              <w:rPr>
                <w:rStyle w:val="IndexLink"/>
                <w:rtl w:val="true"/>
              </w:rPr>
              <w:tab/>
            </w:r>
            <w:r>
              <w:rPr>
                <w:rStyle w:val="IndexLink"/>
              </w:rPr>
              <w:t>23</w:t>
            </w:r>
          </w:hyperlink>
        </w:p>
        <w:p>
          <w:pPr>
            <w:pStyle w:val="Contents5"/>
            <w:tabs>
              <w:tab w:val="clear" w:pos="7892"/>
              <w:tab w:val="right" w:pos="9026" w:leader="dot"/>
            </w:tabs>
            <w:rPr/>
          </w:pPr>
          <w:hyperlink w:anchor="__RefHeading___Toc9482488_73709187">
            <w:r>
              <w:rPr>
                <w:webHidden/>
                <w:rStyle w:val="IndexLink"/>
                <w:rtl w:val="true"/>
              </w:rPr>
              <w:t xml:space="preserve">د </w:t>
            </w:r>
            <w:r>
              <w:rPr>
                <w:rStyle w:val="IndexLink"/>
                <w:rtl w:val="true"/>
              </w:rPr>
              <w:t xml:space="preserve">- </w:t>
            </w:r>
            <w:r>
              <w:rPr>
                <w:rStyle w:val="IndexLink"/>
                <w:rtl w:val="true"/>
              </w:rPr>
              <w:t>الشافعیّة</w:t>
            </w:r>
            <w:r>
              <w:rPr>
                <w:rStyle w:val="IndexLink"/>
                <w:rtl w:val="true"/>
              </w:rPr>
              <w:tab/>
            </w:r>
            <w:r>
              <w:rPr>
                <w:rStyle w:val="IndexLink"/>
              </w:rPr>
              <w:t>24</w:t>
            </w:r>
          </w:hyperlink>
        </w:p>
        <w:p>
          <w:pPr>
            <w:pStyle w:val="Contents3"/>
            <w:tabs>
              <w:tab w:val="clear" w:pos="8459"/>
              <w:tab w:val="right" w:pos="9026" w:leader="dot"/>
            </w:tabs>
            <w:rPr/>
          </w:pPr>
          <w:hyperlink w:anchor="__RefHeading___Toc9482490_73709187">
            <w:r>
              <w:rPr>
                <w:webHidden/>
                <w:rStyle w:val="IndexLink"/>
                <w:rtl w:val="true"/>
              </w:rPr>
              <w:t>الفصل السابع فی ما یترتّب علی نکاح الصغیرین</w:t>
            </w:r>
            <w:r>
              <w:rPr>
                <w:rStyle w:val="IndexLink"/>
                <w:rtl w:val="true"/>
              </w:rPr>
              <w:tab/>
            </w:r>
            <w:r>
              <w:rPr>
                <w:rStyle w:val="IndexLink"/>
              </w:rPr>
              <w:t>26</w:t>
            </w:r>
          </w:hyperlink>
        </w:p>
        <w:p>
          <w:pPr>
            <w:pStyle w:val="Contents4"/>
            <w:tabs>
              <w:tab w:val="clear" w:pos="8176"/>
              <w:tab w:val="right" w:pos="9026" w:leader="dot"/>
            </w:tabs>
            <w:rPr/>
          </w:pPr>
          <w:hyperlink w:anchor="__RefHeading___Toc9482492_7370918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9482494_73709187">
            <w:r>
              <w:rPr>
                <w:webHidden/>
                <w:rStyle w:val="IndexLink"/>
                <w:rtl w:val="true"/>
              </w:rPr>
              <w:t>المبحث الأوّل</w:t>
            </w:r>
            <w:r>
              <w:rPr>
                <w:rStyle w:val="IndexLink"/>
                <w:rtl w:val="true"/>
              </w:rPr>
              <w:t xml:space="preserve">: </w:t>
            </w:r>
            <w:r>
              <w:rPr>
                <w:rStyle w:val="IndexLink"/>
                <w:rtl w:val="true"/>
              </w:rPr>
              <w:t>التوارث بین الصغیرین</w:t>
            </w:r>
            <w:r>
              <w:rPr>
                <w:rStyle w:val="IndexLink"/>
                <w:rtl w:val="true"/>
              </w:rPr>
              <w:tab/>
            </w:r>
            <w:r>
              <w:rPr>
                <w:rStyle w:val="IndexLink"/>
              </w:rPr>
              <w:t>26</w:t>
            </w:r>
          </w:hyperlink>
        </w:p>
        <w:p>
          <w:pPr>
            <w:pStyle w:val="Contents5"/>
            <w:tabs>
              <w:tab w:val="clear" w:pos="7892"/>
              <w:tab w:val="right" w:pos="9026" w:leader="dot"/>
            </w:tabs>
            <w:rPr/>
          </w:pPr>
          <w:hyperlink w:anchor="__RefHeading___Toc9482496_7370918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9482498_73709187">
            <w:r>
              <w:rPr>
                <w:webHidden/>
                <w:rStyle w:val="IndexLink"/>
                <w:rtl w:val="true"/>
              </w:rPr>
              <w:t>أدلّة توارث الصغیرین عن الآخر</w:t>
            </w:r>
            <w:r>
              <w:rPr>
                <w:rStyle w:val="IndexLink"/>
                <w:rtl w:val="true"/>
              </w:rPr>
              <w:tab/>
            </w:r>
            <w:r>
              <w:rPr>
                <w:rStyle w:val="IndexLink"/>
              </w:rPr>
              <w:t>27</w:t>
            </w:r>
          </w:hyperlink>
        </w:p>
        <w:p>
          <w:pPr>
            <w:pStyle w:val="Contents5"/>
            <w:tabs>
              <w:tab w:val="clear" w:pos="7892"/>
              <w:tab w:val="right" w:pos="9026" w:leader="dot"/>
            </w:tabs>
            <w:rPr/>
          </w:pPr>
          <w:hyperlink w:anchor="__RefHeading___Toc9482500_73709187">
            <w:r>
              <w:rPr>
                <w:webHidden/>
                <w:rStyle w:val="IndexLink"/>
                <w:rtl w:val="true"/>
              </w:rPr>
              <w:t>إذا عقد علی الصغیرین غیر ولیّهما</w:t>
            </w:r>
            <w:r>
              <w:rPr>
                <w:rStyle w:val="IndexLink"/>
                <w:rtl w:val="true"/>
              </w:rPr>
              <w:tab/>
            </w:r>
            <w:r>
              <w:rPr>
                <w:rStyle w:val="IndexLink"/>
              </w:rPr>
              <w:t>28</w:t>
            </w:r>
          </w:hyperlink>
        </w:p>
        <w:p>
          <w:pPr>
            <w:pStyle w:val="Contents5"/>
            <w:tabs>
              <w:tab w:val="clear" w:pos="7892"/>
              <w:tab w:val="right" w:pos="9026" w:leader="dot"/>
            </w:tabs>
            <w:rPr/>
          </w:pPr>
          <w:hyperlink w:anchor="__RefHeading___Toc9482502_73709187">
            <w:r>
              <w:rPr>
                <w:webHidden/>
                <w:rStyle w:val="IndexLink"/>
                <w:rtl w:val="true"/>
              </w:rPr>
              <w:t>الجواب عن شبهتین فی الصحیحة</w:t>
            </w:r>
            <w:r>
              <w:rPr>
                <w:rStyle w:val="IndexLink"/>
                <w:rtl w:val="true"/>
              </w:rPr>
              <w:tab/>
            </w:r>
            <w:r>
              <w:rPr>
                <w:rStyle w:val="IndexLink"/>
              </w:rPr>
              <w:t>31</w:t>
            </w:r>
          </w:hyperlink>
        </w:p>
        <w:p>
          <w:pPr>
            <w:pStyle w:val="Contents5"/>
            <w:tabs>
              <w:tab w:val="clear" w:pos="7892"/>
              <w:tab w:val="right" w:pos="9026" w:leader="dot"/>
            </w:tabs>
            <w:rPr/>
          </w:pPr>
          <w:hyperlink w:anchor="__RefHeading___Toc9482504_73709187">
            <w:r>
              <w:rPr>
                <w:webHidden/>
                <w:rStyle w:val="IndexLink"/>
                <w:rtl w:val="true"/>
              </w:rPr>
              <w:t>رأی بعض أهل السنّة فی المسألة</w:t>
            </w:r>
            <w:r>
              <w:rPr>
                <w:rStyle w:val="IndexLink"/>
                <w:rtl w:val="true"/>
              </w:rPr>
              <w:tab/>
            </w:r>
            <w:r>
              <w:rPr>
                <w:rStyle w:val="IndexLink"/>
              </w:rPr>
              <w:t>32</w:t>
            </w:r>
          </w:hyperlink>
        </w:p>
        <w:p>
          <w:pPr>
            <w:pStyle w:val="Contents4"/>
            <w:tabs>
              <w:tab w:val="clear" w:pos="8176"/>
              <w:tab w:val="right" w:pos="9026" w:leader="dot"/>
            </w:tabs>
            <w:rPr/>
          </w:pPr>
          <w:hyperlink w:anchor="__RefHeading___Toc9482506_73709187">
            <w:r>
              <w:rPr>
                <w:webHidden/>
                <w:rStyle w:val="IndexLink"/>
                <w:rtl w:val="true"/>
              </w:rPr>
              <w:t>المبحث الثانی</w:t>
            </w:r>
            <w:r>
              <w:rPr>
                <w:rStyle w:val="IndexLink"/>
                <w:rtl w:val="true"/>
              </w:rPr>
              <w:t xml:space="preserve">: </w:t>
            </w:r>
            <w:r>
              <w:rPr>
                <w:rStyle w:val="IndexLink"/>
                <w:rtl w:val="true"/>
              </w:rPr>
              <w:t>من علیه المهر</w:t>
            </w:r>
            <w:r>
              <w:rPr>
                <w:rStyle w:val="IndexLink"/>
                <w:rtl w:val="true"/>
              </w:rPr>
              <w:tab/>
            </w:r>
            <w:r>
              <w:rPr>
                <w:rStyle w:val="IndexLink"/>
              </w:rPr>
              <w:t>34</w:t>
            </w:r>
          </w:hyperlink>
        </w:p>
        <w:p>
          <w:pPr>
            <w:pStyle w:val="Contents5"/>
            <w:tabs>
              <w:tab w:val="clear" w:pos="7892"/>
              <w:tab w:val="right" w:pos="9026" w:leader="dot"/>
            </w:tabs>
            <w:rPr/>
          </w:pPr>
          <w:hyperlink w:anchor="__RefHeading___Toc9482508_7370918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9482510_73709187">
            <w:r>
              <w:rPr>
                <w:webHidden/>
                <w:rStyle w:val="IndexLink"/>
                <w:rtl w:val="true"/>
              </w:rPr>
              <w:t>تترتّب علی هذه المسألة فروع</w:t>
            </w:r>
            <w:r>
              <w:rPr>
                <w:rStyle w:val="IndexLink"/>
                <w:rtl w:val="true"/>
              </w:rPr>
              <w:t>:</w:t>
              <w:tab/>
            </w:r>
            <w:r>
              <w:rPr>
                <w:rStyle w:val="IndexLink"/>
              </w:rPr>
              <w:t>38</w:t>
            </w:r>
          </w:hyperlink>
        </w:p>
        <w:p>
          <w:pPr>
            <w:pStyle w:val="Contents5"/>
            <w:tabs>
              <w:tab w:val="clear" w:pos="7892"/>
              <w:tab w:val="right" w:pos="9026" w:leader="dot"/>
            </w:tabs>
            <w:rPr/>
          </w:pPr>
          <w:hyperlink w:anchor="__RefHeading___Toc9482512_73709187">
            <w:r>
              <w:rPr>
                <w:webHidden/>
                <w:rStyle w:val="IndexLink"/>
                <w:rtl w:val="true"/>
              </w:rPr>
              <w:t>رأی بعض أهل السنّة فی ضمان الأب، المهر</w:t>
            </w:r>
            <w:r>
              <w:rPr>
                <w:rStyle w:val="IndexLink"/>
                <w:rtl w:val="true"/>
              </w:rPr>
              <w:t>:</w:t>
              <w:tab/>
            </w:r>
            <w:r>
              <w:rPr>
                <w:rStyle w:val="IndexLink"/>
              </w:rPr>
              <w:t>40</w:t>
            </w:r>
          </w:hyperlink>
        </w:p>
        <w:p>
          <w:pPr>
            <w:pStyle w:val="Contents4"/>
            <w:tabs>
              <w:tab w:val="clear" w:pos="8176"/>
              <w:tab w:val="right" w:pos="9026" w:leader="dot"/>
            </w:tabs>
            <w:rPr/>
          </w:pPr>
          <w:hyperlink w:anchor="__RefHeading___Toc9482514_73709187">
            <w:r>
              <w:rPr>
                <w:webHidden/>
                <w:rStyle w:val="IndexLink"/>
                <w:rtl w:val="true"/>
              </w:rPr>
              <w:t>المبحث الثالث</w:t>
            </w:r>
            <w:r>
              <w:rPr>
                <w:rStyle w:val="IndexLink"/>
                <w:rtl w:val="true"/>
              </w:rPr>
              <w:t xml:space="preserve">: </w:t>
            </w:r>
            <w:r>
              <w:rPr>
                <w:rStyle w:val="IndexLink"/>
                <w:rtl w:val="true"/>
              </w:rPr>
              <w:t>الحرمة بالمصاهرة</w:t>
            </w:r>
            <w:r>
              <w:rPr>
                <w:rStyle w:val="IndexLink"/>
                <w:rtl w:val="true"/>
              </w:rPr>
              <w:tab/>
            </w:r>
            <w:r>
              <w:rPr>
                <w:rStyle w:val="IndexLink"/>
              </w:rPr>
              <w:t>41</w:t>
            </w:r>
          </w:hyperlink>
        </w:p>
        <w:p>
          <w:pPr>
            <w:pStyle w:val="Contents5"/>
            <w:tabs>
              <w:tab w:val="clear" w:pos="7892"/>
              <w:tab w:val="right" w:pos="9026" w:leader="dot"/>
            </w:tabs>
            <w:rPr/>
          </w:pPr>
          <w:hyperlink w:anchor="__RefHeading___Toc9482516_7370918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9482518_73709187">
            <w:r>
              <w:rPr>
                <w:webHidden/>
                <w:rStyle w:val="IndexLink"/>
                <w:rtl w:val="true"/>
              </w:rPr>
              <w:t>المسألة الاُولی</w:t>
            </w:r>
            <w:r>
              <w:rPr>
                <w:rStyle w:val="IndexLink"/>
                <w:rtl w:val="true"/>
              </w:rPr>
              <w:t xml:space="preserve">: </w:t>
            </w:r>
            <w:r>
              <w:rPr>
                <w:rStyle w:val="IndexLink"/>
                <w:rtl w:val="true"/>
              </w:rPr>
              <w:t>نکاح امّ الزوجة الصغیرة</w:t>
            </w:r>
            <w:r>
              <w:rPr>
                <w:rStyle w:val="IndexLink"/>
                <w:rtl w:val="true"/>
              </w:rPr>
              <w:tab/>
            </w:r>
            <w:r>
              <w:rPr>
                <w:rStyle w:val="IndexLink"/>
              </w:rPr>
              <w:t>42</w:t>
            </w:r>
          </w:hyperlink>
        </w:p>
        <w:p>
          <w:pPr>
            <w:pStyle w:val="Contents6"/>
            <w:tabs>
              <w:tab w:val="clear" w:pos="7609"/>
              <w:tab w:val="right" w:pos="9026" w:leader="dot"/>
            </w:tabs>
            <w:rPr/>
          </w:pPr>
          <w:hyperlink w:anchor="__RefHeading___Toc9482520_73709187">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9482522_73709187">
            <w:r>
              <w:rPr>
                <w:webHidden/>
                <w:rStyle w:val="IndexLink"/>
                <w:rtl w:val="true"/>
              </w:rPr>
              <w:t>القول الأوّل</w:t>
            </w:r>
            <w:r>
              <w:rPr>
                <w:rStyle w:val="IndexLink"/>
                <w:rtl w:val="true"/>
              </w:rPr>
              <w:t xml:space="preserve">: </w:t>
            </w:r>
            <w:r>
              <w:rPr>
                <w:rStyle w:val="IndexLink"/>
                <w:rtl w:val="true"/>
              </w:rPr>
              <w:t>عدم الحرمة</w:t>
            </w:r>
            <w:r>
              <w:rPr>
                <w:rStyle w:val="IndexLink"/>
                <w:rtl w:val="true"/>
              </w:rPr>
              <w:tab/>
            </w:r>
            <w:r>
              <w:rPr>
                <w:rStyle w:val="IndexLink"/>
              </w:rPr>
              <w:t>42</w:t>
            </w:r>
          </w:hyperlink>
        </w:p>
        <w:p>
          <w:pPr>
            <w:pStyle w:val="Contents6"/>
            <w:tabs>
              <w:tab w:val="clear" w:pos="7609"/>
              <w:tab w:val="right" w:pos="9026" w:leader="dot"/>
            </w:tabs>
            <w:rPr/>
          </w:pPr>
          <w:hyperlink w:anchor="__RefHeading___Toc9482524_73709187">
            <w:r>
              <w:rPr>
                <w:webHidden/>
                <w:rStyle w:val="IndexLink"/>
                <w:rtl w:val="true"/>
              </w:rPr>
              <w:t>أدلّة قول الأوّل</w:t>
            </w:r>
            <w:r>
              <w:rPr>
                <w:rStyle w:val="IndexLink"/>
                <w:rtl w:val="true"/>
              </w:rPr>
              <w:tab/>
            </w:r>
            <w:r>
              <w:rPr>
                <w:rStyle w:val="IndexLink"/>
              </w:rPr>
              <w:t>43</w:t>
            </w:r>
          </w:hyperlink>
        </w:p>
        <w:p>
          <w:pPr>
            <w:pStyle w:val="Contents6"/>
            <w:tabs>
              <w:tab w:val="clear" w:pos="7609"/>
              <w:tab w:val="right" w:pos="9026" w:leader="dot"/>
            </w:tabs>
            <w:rPr/>
          </w:pPr>
          <w:hyperlink w:anchor="__RefHeading___Toc9482526_73709187">
            <w:r>
              <w:rPr>
                <w:webHidden/>
                <w:rStyle w:val="IndexLink"/>
                <w:rtl w:val="true"/>
              </w:rPr>
              <w:t>الأوّل</w:t>
            </w:r>
            <w:r>
              <w:rPr>
                <w:rStyle w:val="IndexLink"/>
                <w:rtl w:val="true"/>
              </w:rPr>
              <w:t xml:space="preserve">: </w:t>
            </w:r>
            <w:r>
              <w:rPr>
                <w:rStyle w:val="IndexLink"/>
                <w:rtl w:val="true"/>
              </w:rPr>
              <w:t>أصالة الإباحة</w:t>
            </w:r>
            <w:r>
              <w:rPr>
                <w:rStyle w:val="IndexLink"/>
                <w:rtl w:val="true"/>
              </w:rPr>
              <w:tab/>
            </w:r>
            <w:r>
              <w:rPr>
                <w:rStyle w:val="IndexLink"/>
              </w:rPr>
              <w:t>43</w:t>
            </w:r>
          </w:hyperlink>
        </w:p>
        <w:p>
          <w:pPr>
            <w:pStyle w:val="Contents6"/>
            <w:tabs>
              <w:tab w:val="clear" w:pos="7609"/>
              <w:tab w:val="right" w:pos="9026" w:leader="dot"/>
            </w:tabs>
            <w:rPr/>
          </w:pPr>
          <w:hyperlink w:anchor="__RefHeading___Toc9482528_73709187">
            <w:r>
              <w:rPr>
                <w:webHidden/>
                <w:rStyle w:val="IndexLink"/>
                <w:rtl w:val="true"/>
              </w:rPr>
              <w:t>الثانی</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 xml:space="preserve">تعالی </w:t>
            </w:r>
            <w:r>
              <w:rPr>
                <w:rStyle w:val="IndexLink"/>
                <w:rtl w:val="true"/>
              </w:rPr>
              <w:t xml:space="preserve">-: </w:t>
            </w:r>
            <w:r>
              <w:rPr>
                <w:rStyle w:val="IndexLink"/>
                <w:rtl w:val="true"/>
              </w:rPr>
              <w:t>وَ أُمَّهَاتُ نِسَائکُمْ</w:t>
            </w:r>
            <w:r>
              <w:rPr>
                <w:rStyle w:val="IndexLink"/>
                <w:rtl w:val="true"/>
              </w:rPr>
              <w:tab/>
            </w:r>
            <w:r>
              <w:rPr>
                <w:rStyle w:val="IndexLink"/>
              </w:rPr>
              <w:t>44</w:t>
            </w:r>
          </w:hyperlink>
        </w:p>
        <w:p>
          <w:pPr>
            <w:pStyle w:val="Contents6"/>
            <w:tabs>
              <w:tab w:val="clear" w:pos="7609"/>
              <w:tab w:val="right" w:pos="9026" w:leader="dot"/>
            </w:tabs>
            <w:rPr/>
          </w:pPr>
          <w:hyperlink w:anchor="__RefHeading___Toc9482530_73709187">
            <w:r>
              <w:rPr>
                <w:webHidden/>
                <w:rStyle w:val="IndexLink"/>
                <w:rtl w:val="true"/>
              </w:rPr>
              <w:t>الثالث</w:t>
            </w:r>
            <w:r>
              <w:rPr>
                <w:rStyle w:val="IndexLink"/>
                <w:rtl w:val="true"/>
              </w:rPr>
              <w:t xml:space="preserve">: </w:t>
            </w:r>
            <w:r>
              <w:rPr>
                <w:rStyle w:val="IndexLink"/>
                <w:rtl w:val="true"/>
              </w:rPr>
              <w:t>الأخبار الکثیرة</w:t>
            </w:r>
            <w:r>
              <w:rPr>
                <w:rStyle w:val="IndexLink"/>
                <w:rtl w:val="true"/>
              </w:rPr>
              <w:t>:</w:t>
              <w:tab/>
            </w:r>
            <w:r>
              <w:rPr>
                <w:rStyle w:val="IndexLink"/>
              </w:rPr>
              <w:t>46</w:t>
            </w:r>
          </w:hyperlink>
        </w:p>
        <w:p>
          <w:pPr>
            <w:pStyle w:val="Contents6"/>
            <w:tabs>
              <w:tab w:val="clear" w:pos="7609"/>
              <w:tab w:val="right" w:pos="9026" w:leader="dot"/>
            </w:tabs>
            <w:rPr/>
          </w:pPr>
          <w:hyperlink w:anchor="__RefHeading___Toc9482532_73709187">
            <w:r>
              <w:rPr>
                <w:webHidden/>
                <w:rStyle w:val="IndexLink"/>
                <w:rtl w:val="true"/>
              </w:rPr>
              <w:t>القول الثانی حرمة امّ الزوجة الصغیرة علی الزوج</w:t>
            </w:r>
            <w:r>
              <w:rPr>
                <w:rStyle w:val="IndexLink"/>
                <w:rtl w:val="true"/>
              </w:rPr>
              <w:tab/>
            </w:r>
            <w:r>
              <w:rPr>
                <w:rStyle w:val="IndexLink"/>
              </w:rPr>
              <w:t>48</w:t>
            </w:r>
          </w:hyperlink>
        </w:p>
        <w:p>
          <w:pPr>
            <w:pStyle w:val="Contents6"/>
            <w:tabs>
              <w:tab w:val="clear" w:pos="7609"/>
              <w:tab w:val="right" w:pos="9026" w:leader="dot"/>
            </w:tabs>
            <w:rPr/>
          </w:pPr>
          <w:hyperlink w:anchor="__RefHeading___Toc9482534_73709187">
            <w:r>
              <w:rPr>
                <w:webHidden/>
                <w:rStyle w:val="IndexLink"/>
                <w:rtl w:val="true"/>
              </w:rPr>
              <w:t>أدلّة هذا القول</w:t>
            </w:r>
            <w:r>
              <w:rPr>
                <w:rStyle w:val="IndexLink"/>
                <w:rtl w:val="true"/>
              </w:rPr>
              <w:tab/>
            </w:r>
            <w:r>
              <w:rPr>
                <w:rStyle w:val="IndexLink"/>
              </w:rPr>
              <w:t>49</w:t>
            </w:r>
          </w:hyperlink>
        </w:p>
        <w:p>
          <w:pPr>
            <w:pStyle w:val="Contents6"/>
            <w:tabs>
              <w:tab w:val="clear" w:pos="7609"/>
              <w:tab w:val="right" w:pos="9026" w:leader="dot"/>
            </w:tabs>
            <w:rPr/>
          </w:pPr>
          <w:hyperlink w:anchor="__RefHeading___Toc9482536_73709187">
            <w:r>
              <w:rPr>
                <w:webHidden/>
                <w:rStyle w:val="IndexLink"/>
                <w:rtl w:val="true"/>
              </w:rPr>
              <w:t>الترجیح للأخبار التی دلّت علی التحریم</w:t>
            </w:r>
            <w:r>
              <w:rPr>
                <w:rStyle w:val="IndexLink"/>
                <w:rtl w:val="true"/>
              </w:rPr>
              <w:tab/>
            </w:r>
            <w:r>
              <w:rPr>
                <w:rStyle w:val="IndexLink"/>
              </w:rPr>
              <w:t>52</w:t>
            </w:r>
          </w:hyperlink>
        </w:p>
        <w:p>
          <w:pPr>
            <w:pStyle w:val="Contents6"/>
            <w:tabs>
              <w:tab w:val="clear" w:pos="7609"/>
              <w:tab w:val="right" w:pos="9026" w:leader="dot"/>
            </w:tabs>
            <w:rPr/>
          </w:pPr>
          <w:hyperlink w:anchor="__RefHeading___Toc9482538_73709187">
            <w:r>
              <w:rPr>
                <w:webHidden/>
                <w:rStyle w:val="IndexLink"/>
                <w:rtl w:val="true"/>
              </w:rPr>
              <w:t>القول الثالث التوقّف فی المسألة</w:t>
            </w:r>
            <w:r>
              <w:rPr>
                <w:rStyle w:val="IndexLink"/>
                <w:rtl w:val="true"/>
              </w:rPr>
              <w:tab/>
            </w:r>
            <w:r>
              <w:rPr>
                <w:rStyle w:val="IndexLink"/>
              </w:rPr>
              <w:t>53</w:t>
            </w:r>
          </w:hyperlink>
        </w:p>
        <w:p>
          <w:pPr>
            <w:pStyle w:val="Contents6"/>
            <w:tabs>
              <w:tab w:val="clear" w:pos="7609"/>
              <w:tab w:val="right" w:pos="9026" w:leader="dot"/>
            </w:tabs>
            <w:rPr/>
          </w:pPr>
          <w:hyperlink w:anchor="__RefHeading___Toc9482540_73709187">
            <w:r>
              <w:rPr>
                <w:webHidden/>
                <w:rStyle w:val="IndexLink"/>
                <w:rtl w:val="true"/>
              </w:rPr>
              <w:t>آراء فقهاء أهل السنّة فی المسألة</w:t>
            </w:r>
            <w:r>
              <w:rPr>
                <w:rStyle w:val="IndexLink"/>
                <w:rtl w:val="true"/>
              </w:rPr>
              <w:tab/>
            </w:r>
            <w:r>
              <w:rPr>
                <w:rStyle w:val="IndexLink"/>
              </w:rPr>
              <w:t>54</w:t>
            </w:r>
          </w:hyperlink>
        </w:p>
        <w:p>
          <w:pPr>
            <w:pStyle w:val="Contents6"/>
            <w:tabs>
              <w:tab w:val="clear" w:pos="7609"/>
              <w:tab w:val="right" w:pos="9026" w:leader="dot"/>
            </w:tabs>
            <w:rPr/>
          </w:pPr>
          <w:hyperlink w:anchor="__RefHeading___Toc9482542_73709187">
            <w:r>
              <w:rPr>
                <w:webHidden/>
                <w:rStyle w:val="IndexLink"/>
                <w:rtl w:val="true"/>
              </w:rPr>
              <w:t>رأی المحقّق القمّی فی تزویج الصغیرة</w:t>
            </w:r>
            <w:r>
              <w:rPr>
                <w:rStyle w:val="IndexLink"/>
                <w:rtl w:val="true"/>
              </w:rPr>
              <w:tab/>
            </w:r>
            <w:r>
              <w:rPr>
                <w:rStyle w:val="IndexLink"/>
              </w:rPr>
              <w:t>55</w:t>
            </w:r>
          </w:hyperlink>
        </w:p>
        <w:p>
          <w:pPr>
            <w:pStyle w:val="Contents6"/>
            <w:tabs>
              <w:tab w:val="clear" w:pos="7609"/>
              <w:tab w:val="right" w:pos="9026" w:leader="dot"/>
            </w:tabs>
            <w:rPr/>
          </w:pPr>
          <w:hyperlink w:anchor="__RefHeading___Toc9482544_73709187">
            <w:r>
              <w:rPr>
                <w:webHidden/>
                <w:rStyle w:val="IndexLink"/>
                <w:rtl w:val="true"/>
              </w:rPr>
              <w:t>الجواب عن المحقّق القمّی رحمه الله</w:t>
            </w:r>
            <w:r>
              <w:rPr>
                <w:rStyle w:val="IndexLink"/>
                <w:rtl w:val="true"/>
              </w:rPr>
              <w:tab/>
            </w:r>
            <w:r>
              <w:rPr>
                <w:rStyle w:val="IndexLink"/>
              </w:rPr>
              <w:t>61</w:t>
            </w:r>
          </w:hyperlink>
        </w:p>
        <w:p>
          <w:pPr>
            <w:pStyle w:val="Contents5"/>
            <w:tabs>
              <w:tab w:val="clear" w:pos="7892"/>
              <w:tab w:val="right" w:pos="9026" w:leader="dot"/>
            </w:tabs>
            <w:rPr/>
          </w:pPr>
          <w:hyperlink w:anchor="__RefHeading___Toc9482546_73709187">
            <w:r>
              <w:rPr>
                <w:webHidden/>
                <w:rStyle w:val="IndexLink"/>
                <w:rtl w:val="true"/>
              </w:rPr>
              <w:t>المسألة الثانیة و الثالثة حرمة زوجة کلٍّ من الأب و الابن علی الآخر</w:t>
            </w:r>
            <w:r>
              <w:rPr>
                <w:rStyle w:val="IndexLink"/>
                <w:rtl w:val="true"/>
              </w:rPr>
              <w:tab/>
            </w:r>
            <w:r>
              <w:rPr>
                <w:rStyle w:val="IndexLink"/>
              </w:rPr>
              <w:t>65</w:t>
            </w:r>
          </w:hyperlink>
        </w:p>
        <w:p>
          <w:pPr>
            <w:pStyle w:val="Contents4"/>
            <w:tabs>
              <w:tab w:val="clear" w:pos="8176"/>
              <w:tab w:val="right" w:pos="9026" w:leader="dot"/>
            </w:tabs>
            <w:rPr/>
          </w:pPr>
          <w:hyperlink w:anchor="__RefHeading___Toc9482548_73709187">
            <w:r>
              <w:rPr>
                <w:webHidden/>
                <w:rStyle w:val="IndexLink"/>
                <w:rtl w:val="true"/>
              </w:rPr>
              <w:t>المبحث الرابع</w:t>
            </w:r>
            <w:r>
              <w:rPr>
                <w:rStyle w:val="IndexLink"/>
                <w:rtl w:val="true"/>
              </w:rPr>
              <w:t xml:space="preserve">: </w:t>
            </w:r>
            <w:r>
              <w:rPr>
                <w:rStyle w:val="IndexLink"/>
                <w:rtl w:val="true"/>
              </w:rPr>
              <w:t>عدم جواز وط‌ء الزوجة قبل التسع</w:t>
            </w:r>
            <w:r>
              <w:rPr>
                <w:rStyle w:val="IndexLink"/>
                <w:rtl w:val="true"/>
              </w:rPr>
              <w:tab/>
            </w:r>
            <w:r>
              <w:rPr>
                <w:rStyle w:val="IndexLink"/>
              </w:rPr>
              <w:t>68</w:t>
            </w:r>
          </w:hyperlink>
        </w:p>
        <w:p>
          <w:pPr>
            <w:pStyle w:val="Contents5"/>
            <w:tabs>
              <w:tab w:val="clear" w:pos="7892"/>
              <w:tab w:val="right" w:pos="9026" w:leader="dot"/>
            </w:tabs>
            <w:rPr/>
          </w:pPr>
          <w:hyperlink w:anchor="__RefHeading___Toc9482550_7370918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9482552_73709187">
            <w:r>
              <w:rPr>
                <w:webHidden/>
                <w:rStyle w:val="IndexLink"/>
                <w:rtl w:val="true"/>
              </w:rPr>
              <w:t>المطلب الأوّل</w:t>
            </w:r>
            <w:r>
              <w:rPr>
                <w:rStyle w:val="IndexLink"/>
                <w:rtl w:val="true"/>
              </w:rPr>
              <w:t xml:space="preserve">: </w:t>
            </w:r>
            <w:r>
              <w:rPr>
                <w:rStyle w:val="IndexLink"/>
                <w:rtl w:val="true"/>
              </w:rPr>
              <w:t>حرمة وط‌ء الزوجة قبل التسع</w:t>
            </w:r>
            <w:r>
              <w:rPr>
                <w:rStyle w:val="IndexLink"/>
                <w:rtl w:val="true"/>
              </w:rPr>
              <w:tab/>
            </w:r>
            <w:r>
              <w:rPr>
                <w:rStyle w:val="IndexLink"/>
              </w:rPr>
              <w:t>68</w:t>
            </w:r>
          </w:hyperlink>
        </w:p>
        <w:p>
          <w:pPr>
            <w:pStyle w:val="Contents5"/>
            <w:tabs>
              <w:tab w:val="clear" w:pos="7892"/>
              <w:tab w:val="right" w:pos="9026" w:leader="dot"/>
            </w:tabs>
            <w:rPr/>
          </w:pPr>
          <w:hyperlink w:anchor="__RefHeading___Toc9482554_73709187">
            <w:r>
              <w:rPr>
                <w:webHidden/>
                <w:rStyle w:val="IndexLink"/>
                <w:rtl w:val="true"/>
              </w:rPr>
              <w:t>المطلب الثانی</w:t>
            </w:r>
            <w:r>
              <w:rPr>
                <w:rStyle w:val="IndexLink"/>
                <w:rtl w:val="true"/>
              </w:rPr>
              <w:t xml:space="preserve">: </w:t>
            </w:r>
            <w:r>
              <w:rPr>
                <w:rStyle w:val="IndexLink"/>
                <w:rtl w:val="true"/>
              </w:rPr>
              <w:t>حکم الدخول بالزوجة قبل التسع</w:t>
            </w:r>
            <w:r>
              <w:rPr>
                <w:rStyle w:val="IndexLink"/>
                <w:rtl w:val="true"/>
              </w:rPr>
              <w:tab/>
            </w:r>
            <w:r>
              <w:rPr>
                <w:rStyle w:val="IndexLink"/>
              </w:rPr>
              <w:t>70</w:t>
            </w:r>
          </w:hyperlink>
        </w:p>
        <w:p>
          <w:pPr>
            <w:pStyle w:val="Contents5"/>
            <w:tabs>
              <w:tab w:val="clear" w:pos="7892"/>
              <w:tab w:val="right" w:pos="9026" w:leader="dot"/>
            </w:tabs>
            <w:rPr/>
          </w:pPr>
          <w:hyperlink w:anchor="__RefHeading___Toc9482556_73709187">
            <w:r>
              <w:rPr>
                <w:webHidden/>
                <w:rStyle w:val="IndexLink"/>
                <w:rtl w:val="true"/>
              </w:rPr>
              <w:t>المطلب الثالث</w:t>
            </w:r>
            <w:r>
              <w:rPr>
                <w:rStyle w:val="IndexLink"/>
                <w:rtl w:val="true"/>
              </w:rPr>
              <w:t xml:space="preserve">: </w:t>
            </w:r>
            <w:r>
              <w:rPr>
                <w:rStyle w:val="IndexLink"/>
                <w:rtl w:val="true"/>
              </w:rPr>
              <w:t>عدم کون الإفضاء موجباً للبینونة</w:t>
            </w:r>
            <w:r>
              <w:rPr>
                <w:rStyle w:val="IndexLink"/>
                <w:rtl w:val="true"/>
              </w:rPr>
              <w:tab/>
            </w:r>
            <w:r>
              <w:rPr>
                <w:rStyle w:val="IndexLink"/>
              </w:rPr>
              <w:t>73</w:t>
            </w:r>
          </w:hyperlink>
        </w:p>
        <w:p>
          <w:pPr>
            <w:pStyle w:val="Contents5"/>
            <w:tabs>
              <w:tab w:val="clear" w:pos="7892"/>
              <w:tab w:val="right" w:pos="9026" w:leader="dot"/>
            </w:tabs>
            <w:rPr/>
          </w:pPr>
          <w:hyperlink w:anchor="__RefHeading___Toc9482558_73709187">
            <w:r>
              <w:rPr>
                <w:webHidden/>
                <w:rStyle w:val="IndexLink"/>
                <w:rtl w:val="true"/>
              </w:rPr>
              <w:t>المطلب الرابع</w:t>
            </w:r>
            <w:r>
              <w:rPr>
                <w:rStyle w:val="IndexLink"/>
                <w:rtl w:val="true"/>
              </w:rPr>
              <w:t xml:space="preserve">: </w:t>
            </w:r>
            <w:r>
              <w:rPr>
                <w:rStyle w:val="IndexLink"/>
                <w:rtl w:val="true"/>
              </w:rPr>
              <w:t>وجوب الدیة بالإفضاء</w:t>
            </w:r>
            <w:r>
              <w:rPr>
                <w:rStyle w:val="IndexLink"/>
                <w:rtl w:val="true"/>
              </w:rPr>
              <w:tab/>
            </w:r>
            <w:r>
              <w:rPr>
                <w:rStyle w:val="IndexLink"/>
              </w:rPr>
              <w:t>74</w:t>
            </w:r>
          </w:hyperlink>
        </w:p>
        <w:p>
          <w:pPr>
            <w:pStyle w:val="Contents6"/>
            <w:tabs>
              <w:tab w:val="clear" w:pos="7609"/>
              <w:tab w:val="right" w:pos="9026" w:leader="dot"/>
            </w:tabs>
            <w:rPr/>
          </w:pPr>
          <w:hyperlink w:anchor="__RefHeading___Toc9482560_73709187">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9482562_73709187">
            <w:r>
              <w:rPr>
                <w:webHidden/>
                <w:rStyle w:val="IndexLink"/>
                <w:rtl w:val="true"/>
              </w:rPr>
              <w:t>الطائفة الثانیة</w:t>
            </w:r>
            <w:r>
              <w:rPr>
                <w:rStyle w:val="IndexLink"/>
                <w:rtl w:val="true"/>
              </w:rPr>
              <w:t>:</w:t>
              <w:tab/>
            </w:r>
            <w:r>
              <w:rPr>
                <w:rStyle w:val="IndexLink"/>
              </w:rPr>
              <w:t>76</w:t>
            </w:r>
          </w:hyperlink>
        </w:p>
        <w:p>
          <w:pPr>
            <w:pStyle w:val="Contents5"/>
            <w:tabs>
              <w:tab w:val="clear" w:pos="7892"/>
              <w:tab w:val="right" w:pos="9026" w:leader="dot"/>
            </w:tabs>
            <w:rPr/>
          </w:pPr>
          <w:hyperlink w:anchor="__RefHeading___Toc9482564_73709187">
            <w:r>
              <w:rPr>
                <w:webHidden/>
                <w:rStyle w:val="IndexLink"/>
                <w:rtl w:val="true"/>
              </w:rPr>
              <w:t>المطلب الخامس</w:t>
            </w:r>
            <w:r>
              <w:rPr>
                <w:rStyle w:val="IndexLink"/>
                <w:rtl w:val="true"/>
              </w:rPr>
              <w:t xml:space="preserve">: </w:t>
            </w:r>
            <w:r>
              <w:rPr>
                <w:rStyle w:val="IndexLink"/>
                <w:rtl w:val="true"/>
              </w:rPr>
              <w:t>وجوب نفقتها علی الزوج</w:t>
            </w:r>
            <w:r>
              <w:rPr>
                <w:rStyle w:val="IndexLink"/>
                <w:rtl w:val="true"/>
              </w:rPr>
              <w:tab/>
            </w:r>
            <w:r>
              <w:rPr>
                <w:rStyle w:val="IndexLink"/>
              </w:rPr>
              <w:t>78</w:t>
            </w:r>
          </w:hyperlink>
        </w:p>
        <w:p>
          <w:pPr>
            <w:pStyle w:val="Contents5"/>
            <w:tabs>
              <w:tab w:val="clear" w:pos="7892"/>
              <w:tab w:val="right" w:pos="9026" w:leader="dot"/>
            </w:tabs>
            <w:rPr/>
          </w:pPr>
          <w:hyperlink w:anchor="__RefHeading___Toc9482566_73709187">
            <w:r>
              <w:rPr>
                <w:webHidden/>
                <w:rStyle w:val="IndexLink"/>
                <w:rtl w:val="true"/>
              </w:rPr>
              <w:t>المطلب السادس</w:t>
            </w:r>
            <w:r>
              <w:rPr>
                <w:rStyle w:val="IndexLink"/>
                <w:rtl w:val="true"/>
              </w:rPr>
              <w:t xml:space="preserve">: </w:t>
            </w:r>
            <w:r>
              <w:rPr>
                <w:rStyle w:val="IndexLink"/>
                <w:rtl w:val="true"/>
              </w:rPr>
              <w:t>وجوب المهر لها</w:t>
            </w:r>
            <w:r>
              <w:rPr>
                <w:rStyle w:val="IndexLink"/>
                <w:rtl w:val="true"/>
              </w:rPr>
              <w:tab/>
            </w:r>
            <w:r>
              <w:rPr>
                <w:rStyle w:val="IndexLink"/>
              </w:rPr>
              <w:t>79</w:t>
            </w:r>
          </w:hyperlink>
        </w:p>
        <w:p>
          <w:pPr>
            <w:pStyle w:val="Contents5"/>
            <w:tabs>
              <w:tab w:val="clear" w:pos="7892"/>
              <w:tab w:val="right" w:pos="9026" w:leader="dot"/>
            </w:tabs>
            <w:rPr/>
          </w:pPr>
          <w:hyperlink w:anchor="__RefHeading___Toc9482568_73709187">
            <w:r>
              <w:rPr>
                <w:webHidden/>
                <w:rStyle w:val="IndexLink"/>
                <w:rtl w:val="true"/>
              </w:rPr>
              <w:t>المطلب السابع</w:t>
            </w:r>
            <w:r>
              <w:rPr>
                <w:rStyle w:val="IndexLink"/>
                <w:rtl w:val="true"/>
              </w:rPr>
              <w:t xml:space="preserve">: </w:t>
            </w:r>
            <w:r>
              <w:rPr>
                <w:rStyle w:val="IndexLink"/>
                <w:rtl w:val="true"/>
              </w:rPr>
              <w:t>جواز وطئها لو اندمل الموضع</w:t>
            </w:r>
            <w:r>
              <w:rPr>
                <w:rStyle w:val="IndexLink"/>
                <w:rtl w:val="true"/>
              </w:rPr>
              <w:tab/>
            </w:r>
            <w:r>
              <w:rPr>
                <w:rStyle w:val="IndexLink"/>
              </w:rPr>
              <w:t>79</w:t>
            </w:r>
          </w:hyperlink>
        </w:p>
        <w:p>
          <w:pPr>
            <w:pStyle w:val="Contents6"/>
            <w:tabs>
              <w:tab w:val="clear" w:pos="7609"/>
              <w:tab w:val="right" w:pos="9026" w:leader="dot"/>
            </w:tabs>
            <w:rPr/>
          </w:pPr>
          <w:hyperlink w:anchor="__RefHeading___Toc9482570_73709187">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9482572_73709187">
            <w:r>
              <w:rPr>
                <w:webHidden/>
                <w:rStyle w:val="IndexLink"/>
                <w:rtl w:val="true"/>
              </w:rPr>
              <w:t>آراء فقهاء أهل السنّة فی جواز وط‌ء الصغیرة قبل التسع</w:t>
            </w:r>
            <w:r>
              <w:rPr>
                <w:rStyle w:val="IndexLink"/>
                <w:rtl w:val="true"/>
              </w:rPr>
              <w:tab/>
            </w:r>
            <w:r>
              <w:rPr>
                <w:rStyle w:val="IndexLink"/>
              </w:rPr>
              <w:t>80</w:t>
            </w:r>
          </w:hyperlink>
        </w:p>
        <w:p>
          <w:pPr>
            <w:pStyle w:val="Contents6"/>
            <w:tabs>
              <w:tab w:val="clear" w:pos="7609"/>
              <w:tab w:val="right" w:pos="9026" w:leader="dot"/>
            </w:tabs>
            <w:rPr/>
          </w:pPr>
          <w:hyperlink w:anchor="__RefHeading___Toc9482574_73709187">
            <w:r>
              <w:rPr>
                <w:webHidden/>
                <w:rStyle w:val="IndexLink"/>
                <w:rtl w:val="true"/>
              </w:rPr>
              <w:t xml:space="preserve">أ </w:t>
            </w:r>
            <w:r>
              <w:rPr>
                <w:rStyle w:val="IndexLink"/>
                <w:rtl w:val="true"/>
              </w:rPr>
              <w:t xml:space="preserve">- </w:t>
            </w:r>
            <w:r>
              <w:rPr>
                <w:rStyle w:val="IndexLink"/>
                <w:rtl w:val="true"/>
              </w:rPr>
              <w:t>الحنفیّة</w:t>
            </w:r>
            <w:r>
              <w:rPr>
                <w:rStyle w:val="IndexLink"/>
                <w:rtl w:val="true"/>
              </w:rPr>
              <w:tab/>
            </w:r>
            <w:r>
              <w:rPr>
                <w:rStyle w:val="IndexLink"/>
              </w:rPr>
              <w:t>80</w:t>
            </w:r>
          </w:hyperlink>
        </w:p>
        <w:p>
          <w:pPr>
            <w:pStyle w:val="Contents6"/>
            <w:tabs>
              <w:tab w:val="clear" w:pos="7609"/>
              <w:tab w:val="right" w:pos="9026" w:leader="dot"/>
            </w:tabs>
            <w:rPr/>
          </w:pPr>
          <w:hyperlink w:anchor="__RefHeading___Toc9482576_73709187">
            <w:r>
              <w:rPr>
                <w:webHidden/>
                <w:rStyle w:val="IndexLink"/>
                <w:rtl w:val="true"/>
              </w:rPr>
              <w:t xml:space="preserve">ب </w:t>
            </w:r>
            <w:r>
              <w:rPr>
                <w:rStyle w:val="IndexLink"/>
                <w:rtl w:val="true"/>
              </w:rPr>
              <w:t xml:space="preserve">- </w:t>
            </w:r>
            <w:r>
              <w:rPr>
                <w:rStyle w:val="IndexLink"/>
                <w:rtl w:val="true"/>
              </w:rPr>
              <w:t>المالکیّة</w:t>
            </w:r>
            <w:r>
              <w:rPr>
                <w:rStyle w:val="IndexLink"/>
                <w:rtl w:val="true"/>
              </w:rPr>
              <w:tab/>
            </w:r>
            <w:r>
              <w:rPr>
                <w:rStyle w:val="IndexLink"/>
              </w:rPr>
              <w:t>80</w:t>
            </w:r>
          </w:hyperlink>
        </w:p>
        <w:p>
          <w:pPr>
            <w:pStyle w:val="Contents6"/>
            <w:tabs>
              <w:tab w:val="clear" w:pos="7609"/>
              <w:tab w:val="right" w:pos="9026" w:leader="dot"/>
            </w:tabs>
            <w:rPr/>
          </w:pPr>
          <w:hyperlink w:anchor="__RefHeading___Toc9482578_73709187">
            <w:r>
              <w:rPr>
                <w:webHidden/>
                <w:rStyle w:val="IndexLink"/>
                <w:rtl w:val="true"/>
              </w:rPr>
              <w:t xml:space="preserve">ج </w:t>
            </w:r>
            <w:r>
              <w:rPr>
                <w:rStyle w:val="IndexLink"/>
                <w:rtl w:val="true"/>
              </w:rPr>
              <w:t xml:space="preserve">- </w:t>
            </w:r>
            <w:r>
              <w:rPr>
                <w:rStyle w:val="IndexLink"/>
                <w:rtl w:val="true"/>
              </w:rPr>
              <w:t>الحنابلة</w:t>
            </w:r>
            <w:r>
              <w:rPr>
                <w:rStyle w:val="IndexLink"/>
                <w:rtl w:val="true"/>
              </w:rPr>
              <w:tab/>
            </w:r>
            <w:r>
              <w:rPr>
                <w:rStyle w:val="IndexLink"/>
              </w:rPr>
              <w:t>81</w:t>
            </w:r>
          </w:hyperlink>
        </w:p>
        <w:p>
          <w:pPr>
            <w:pStyle w:val="Contents6"/>
            <w:tabs>
              <w:tab w:val="clear" w:pos="7609"/>
              <w:tab w:val="right" w:pos="9026" w:leader="dot"/>
            </w:tabs>
            <w:rPr/>
          </w:pPr>
          <w:hyperlink w:anchor="__RefHeading___Toc9482580_73709187">
            <w:r>
              <w:rPr>
                <w:webHidden/>
                <w:rStyle w:val="IndexLink"/>
                <w:rtl w:val="true"/>
              </w:rPr>
              <w:t xml:space="preserve">د </w:t>
            </w:r>
            <w:r>
              <w:rPr>
                <w:rStyle w:val="IndexLink"/>
                <w:rtl w:val="true"/>
              </w:rPr>
              <w:t xml:space="preserve">- </w:t>
            </w:r>
            <w:r>
              <w:rPr>
                <w:rStyle w:val="IndexLink"/>
                <w:rtl w:val="true"/>
              </w:rPr>
              <w:t>الشافعیّة</w:t>
            </w:r>
            <w:r>
              <w:rPr>
                <w:rStyle w:val="IndexLink"/>
                <w:rtl w:val="true"/>
              </w:rPr>
              <w:tab/>
            </w:r>
            <w:r>
              <w:rPr>
                <w:rStyle w:val="IndexLink"/>
              </w:rPr>
              <w:t>81</w:t>
            </w:r>
          </w:hyperlink>
        </w:p>
        <w:p>
          <w:pPr>
            <w:pStyle w:val="Contents4"/>
            <w:tabs>
              <w:tab w:val="clear" w:pos="8176"/>
              <w:tab w:val="right" w:pos="9026" w:leader="dot"/>
            </w:tabs>
            <w:rPr/>
          </w:pPr>
          <w:hyperlink w:anchor="__RefHeading___Toc9482582_73709187">
            <w:r>
              <w:rPr>
                <w:webHidden/>
                <w:rStyle w:val="IndexLink"/>
                <w:rtl w:val="true"/>
              </w:rPr>
              <w:t>المبحث الخامس</w:t>
            </w:r>
            <w:r>
              <w:rPr>
                <w:rStyle w:val="IndexLink"/>
                <w:rtl w:val="true"/>
              </w:rPr>
              <w:t xml:space="preserve">: </w:t>
            </w:r>
            <w:r>
              <w:rPr>
                <w:rStyle w:val="IndexLink"/>
                <w:rtl w:val="true"/>
              </w:rPr>
              <w:t>حکم نفقة الزوجة الصغیرة</w:t>
            </w:r>
            <w:r>
              <w:rPr>
                <w:rStyle w:val="IndexLink"/>
                <w:rtl w:val="true"/>
              </w:rPr>
              <w:tab/>
            </w:r>
            <w:r>
              <w:rPr>
                <w:rStyle w:val="IndexLink"/>
              </w:rPr>
              <w:t>82</w:t>
            </w:r>
          </w:hyperlink>
        </w:p>
        <w:p>
          <w:pPr>
            <w:pStyle w:val="Contents5"/>
            <w:tabs>
              <w:tab w:val="clear" w:pos="7892"/>
              <w:tab w:val="right" w:pos="9026" w:leader="dot"/>
            </w:tabs>
            <w:rPr/>
          </w:pPr>
          <w:hyperlink w:anchor="__RefHeading___Toc9482584_7370918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9482586_73709187">
            <w:r>
              <w:rPr>
                <w:webHidden/>
                <w:rStyle w:val="IndexLink"/>
                <w:rtl w:val="true"/>
              </w:rPr>
              <w:t>للزوجین بالنسبة إلی وجوب النفقة و عدمه أربع حالاتٍ</w:t>
            </w:r>
            <w:r>
              <w:rPr>
                <w:rStyle w:val="IndexLink"/>
                <w:rtl w:val="true"/>
              </w:rPr>
              <w:tab/>
            </w:r>
            <w:r>
              <w:rPr>
                <w:rStyle w:val="IndexLink"/>
              </w:rPr>
              <w:t>82</w:t>
            </w:r>
          </w:hyperlink>
        </w:p>
        <w:p>
          <w:pPr>
            <w:pStyle w:val="Contents6"/>
            <w:tabs>
              <w:tab w:val="clear" w:pos="7609"/>
              <w:tab w:val="right" w:pos="9026" w:leader="dot"/>
            </w:tabs>
            <w:rPr/>
          </w:pPr>
          <w:hyperlink w:anchor="__RefHeading___Toc9482588_73709187">
            <w:r>
              <w:rPr>
                <w:webHidden/>
                <w:rStyle w:val="IndexLink"/>
                <w:rtl w:val="true"/>
              </w:rPr>
              <w:t>أمّا الاُولی</w:t>
            </w:r>
            <w:r>
              <w:rPr>
                <w:rStyle w:val="IndexLink"/>
                <w:rtl w:val="true"/>
              </w:rPr>
              <w:t xml:space="preserve">: </w:t>
            </w:r>
            <w:r>
              <w:rPr>
                <w:rStyle w:val="IndexLink"/>
                <w:rtl w:val="true"/>
              </w:rPr>
              <w:t>فخارج عن مورد بحثنا الآن</w:t>
            </w:r>
            <w:r>
              <w:rPr>
                <w:rStyle w:val="IndexLink"/>
                <w:rtl w:val="true"/>
              </w:rPr>
              <w:tab/>
            </w:r>
            <w:r>
              <w:rPr>
                <w:rStyle w:val="IndexLink"/>
              </w:rPr>
              <w:t>82</w:t>
            </w:r>
          </w:hyperlink>
        </w:p>
        <w:p>
          <w:pPr>
            <w:pStyle w:val="Contents6"/>
            <w:tabs>
              <w:tab w:val="clear" w:pos="7609"/>
              <w:tab w:val="right" w:pos="9026" w:leader="dot"/>
            </w:tabs>
            <w:rPr/>
          </w:pPr>
          <w:hyperlink w:anchor="__RefHeading___Toc9482590_73709187">
            <w:r>
              <w:rPr>
                <w:webHidden/>
                <w:rStyle w:val="IndexLink"/>
                <w:rtl w:val="true"/>
              </w:rPr>
              <w:t>و أمّا الثانیة</w:t>
            </w:r>
            <w:r>
              <w:rPr>
                <w:rStyle w:val="IndexLink"/>
                <w:rtl w:val="true"/>
              </w:rPr>
              <w:t xml:space="preserve">: </w:t>
            </w:r>
            <w:r>
              <w:rPr>
                <w:rStyle w:val="IndexLink"/>
                <w:rtl w:val="true"/>
              </w:rPr>
              <w:t>فیظهر حکمها ممّا یأتی البحث فی الحالة الثالثة و الرابعة</w:t>
            </w:r>
            <w:r>
              <w:rPr>
                <w:rStyle w:val="IndexLink"/>
                <w:rtl w:val="true"/>
              </w:rPr>
              <w:tab/>
            </w:r>
            <w:r>
              <w:rPr>
                <w:rStyle w:val="IndexLink"/>
              </w:rPr>
              <w:t>82</w:t>
            </w:r>
          </w:hyperlink>
        </w:p>
        <w:p>
          <w:pPr>
            <w:pStyle w:val="Contents6"/>
            <w:tabs>
              <w:tab w:val="clear" w:pos="7609"/>
              <w:tab w:val="right" w:pos="9026" w:leader="dot"/>
            </w:tabs>
            <w:rPr/>
          </w:pPr>
          <w:hyperlink w:anchor="__RefHeading___Toc9482592_73709187">
            <w:r>
              <w:rPr>
                <w:webHidden/>
                <w:rStyle w:val="IndexLink"/>
                <w:rtl w:val="true"/>
              </w:rPr>
              <w:t>و أمّا الثالثة</w:t>
            </w:r>
            <w:r>
              <w:rPr>
                <w:rStyle w:val="IndexLink"/>
                <w:rtl w:val="true"/>
              </w:rPr>
              <w:t xml:space="preserve">: </w:t>
            </w:r>
            <w:r>
              <w:rPr>
                <w:rStyle w:val="IndexLink"/>
                <w:rtl w:val="true"/>
              </w:rPr>
              <w:t>و هی ما إذا کان الزوج کبیراً و الزوجة صغیرة</w:t>
            </w:r>
            <w:r>
              <w:rPr>
                <w:rStyle w:val="IndexLink"/>
                <w:rtl w:val="true"/>
              </w:rPr>
              <w:tab/>
            </w:r>
            <w:r>
              <w:rPr>
                <w:rStyle w:val="IndexLink"/>
              </w:rPr>
              <w:t>82</w:t>
            </w:r>
          </w:hyperlink>
        </w:p>
        <w:p>
          <w:pPr>
            <w:pStyle w:val="Contents6"/>
            <w:tabs>
              <w:tab w:val="clear" w:pos="7609"/>
              <w:tab w:val="right" w:pos="9026" w:leader="dot"/>
            </w:tabs>
            <w:rPr/>
          </w:pPr>
          <w:hyperlink w:anchor="__RefHeading___Toc9482594_73709187">
            <w:r>
              <w:rPr>
                <w:webHidden/>
                <w:rStyle w:val="IndexLink"/>
                <w:rtl w:val="true"/>
              </w:rPr>
              <w:t>لو کانت الزوجة صغیرة؟ قولان</w:t>
            </w:r>
            <w:r>
              <w:rPr>
                <w:rStyle w:val="IndexLink"/>
                <w:rtl w:val="true"/>
              </w:rPr>
              <w:t>:</w:t>
              <w:tab/>
            </w:r>
            <w:r>
              <w:rPr>
                <w:rStyle w:val="IndexLink"/>
              </w:rPr>
              <w:t>82</w:t>
            </w:r>
          </w:hyperlink>
        </w:p>
        <w:p>
          <w:pPr>
            <w:pStyle w:val="Contents6"/>
            <w:tabs>
              <w:tab w:val="clear" w:pos="7609"/>
              <w:tab w:val="right" w:pos="9026" w:leader="dot"/>
            </w:tabs>
            <w:rPr/>
          </w:pPr>
          <w:hyperlink w:anchor="__RefHeading___Toc9482596_73709187">
            <w:r>
              <w:rPr>
                <w:webHidden/>
                <w:rStyle w:val="IndexLink"/>
                <w:rtl w:val="true"/>
              </w:rPr>
              <w:t>القول کون وجوب النفقة، مشروطاً بالتمکین الکامل</w:t>
            </w:r>
            <w:r>
              <w:rPr>
                <w:rStyle w:val="IndexLink"/>
                <w:rtl w:val="true"/>
              </w:rPr>
              <w:tab/>
            </w:r>
            <w:r>
              <w:rPr>
                <w:rStyle w:val="IndexLink"/>
              </w:rPr>
              <w:t>83</w:t>
            </w:r>
          </w:hyperlink>
        </w:p>
        <w:p>
          <w:pPr>
            <w:pStyle w:val="Contents6"/>
            <w:tabs>
              <w:tab w:val="clear" w:pos="7609"/>
              <w:tab w:val="right" w:pos="9026" w:leader="dot"/>
            </w:tabs>
            <w:rPr/>
          </w:pPr>
          <w:hyperlink w:anchor="__RefHeading___Toc9482598_73709187">
            <w:r>
              <w:rPr>
                <w:webHidden/>
                <w:rStyle w:val="IndexLink"/>
                <w:rtl w:val="true"/>
              </w:rPr>
              <w:t>أدلّة اشتراط وجوب النفقة بالتمکین</w:t>
            </w:r>
            <w:r>
              <w:rPr>
                <w:rStyle w:val="IndexLink"/>
                <w:rtl w:val="true"/>
              </w:rPr>
              <w:tab/>
            </w:r>
            <w:r>
              <w:rPr>
                <w:rStyle w:val="IndexLink"/>
              </w:rPr>
              <w:t>84</w:t>
            </w:r>
          </w:hyperlink>
        </w:p>
        <w:p>
          <w:pPr>
            <w:pStyle w:val="Contents6"/>
            <w:tabs>
              <w:tab w:val="clear" w:pos="7609"/>
              <w:tab w:val="right" w:pos="9026" w:leader="dot"/>
            </w:tabs>
            <w:rPr/>
          </w:pPr>
          <w:hyperlink w:anchor="__RefHeading___Toc9482600_73709187">
            <w:r>
              <w:rPr>
                <w:webHidden/>
                <w:rStyle w:val="IndexLink"/>
                <w:rtl w:val="true"/>
              </w:rPr>
              <w:t>القول الثانی اقتضاء عقد النکاح بذاته للنفقة</w:t>
            </w:r>
            <w:r>
              <w:rPr>
                <w:rStyle w:val="IndexLink"/>
                <w:rtl w:val="true"/>
              </w:rPr>
              <w:tab/>
            </w:r>
            <w:r>
              <w:rPr>
                <w:rStyle w:val="IndexLink"/>
              </w:rPr>
              <w:t>90</w:t>
            </w:r>
          </w:hyperlink>
        </w:p>
        <w:p>
          <w:pPr>
            <w:pStyle w:val="Contents6"/>
            <w:tabs>
              <w:tab w:val="clear" w:pos="7609"/>
              <w:tab w:val="right" w:pos="9026" w:leader="dot"/>
            </w:tabs>
            <w:rPr/>
          </w:pPr>
          <w:hyperlink w:anchor="__RefHeading___Toc9482602_73709187">
            <w:r>
              <w:rPr>
                <w:webHidden/>
                <w:rStyle w:val="IndexLink"/>
                <w:rtl w:val="true"/>
              </w:rPr>
              <w:t>أدلّة هذا القول</w:t>
            </w:r>
            <w:r>
              <w:rPr>
                <w:rStyle w:val="IndexLink"/>
                <w:rtl w:val="true"/>
              </w:rPr>
              <w:tab/>
            </w:r>
            <w:r>
              <w:rPr>
                <w:rStyle w:val="IndexLink"/>
              </w:rPr>
              <w:t>92</w:t>
            </w:r>
          </w:hyperlink>
        </w:p>
        <w:p>
          <w:pPr>
            <w:pStyle w:val="Contents6"/>
            <w:tabs>
              <w:tab w:val="clear" w:pos="7609"/>
              <w:tab w:val="right" w:pos="9026" w:leader="dot"/>
            </w:tabs>
            <w:rPr/>
          </w:pPr>
          <w:hyperlink w:anchor="__RefHeading___Toc9482604_73709187">
            <w:r>
              <w:rPr>
                <w:webHidden/>
                <w:rStyle w:val="IndexLink"/>
                <w:rtl w:val="true"/>
              </w:rPr>
              <w:t>الأوّل</w:t>
            </w:r>
            <w:r>
              <w:rPr>
                <w:rStyle w:val="IndexLink"/>
                <w:rtl w:val="true"/>
              </w:rPr>
              <w:t xml:space="preserve">: </w:t>
            </w:r>
            <w:r>
              <w:rPr>
                <w:rStyle w:val="IndexLink"/>
                <w:rtl w:val="true"/>
              </w:rPr>
              <w:t>الآیات</w:t>
            </w:r>
            <w:r>
              <w:rPr>
                <w:rStyle w:val="IndexLink"/>
                <w:rtl w:val="true"/>
              </w:rPr>
              <w:tab/>
            </w:r>
            <w:r>
              <w:rPr>
                <w:rStyle w:val="IndexLink"/>
              </w:rPr>
              <w:t>92</w:t>
            </w:r>
          </w:hyperlink>
        </w:p>
        <w:p>
          <w:pPr>
            <w:pStyle w:val="Contents6"/>
            <w:tabs>
              <w:tab w:val="clear" w:pos="7609"/>
              <w:tab w:val="right" w:pos="9026" w:leader="dot"/>
            </w:tabs>
            <w:rPr/>
          </w:pPr>
          <w:hyperlink w:anchor="__RefHeading___Toc9482606_73709187">
            <w:r>
              <w:rPr>
                <w:webHidden/>
                <w:rStyle w:val="IndexLink"/>
                <w:rtl w:val="true"/>
              </w:rPr>
              <w:t>الثانی</w:t>
            </w:r>
            <w:r>
              <w:rPr>
                <w:rStyle w:val="IndexLink"/>
                <w:rtl w:val="true"/>
              </w:rPr>
              <w:t xml:space="preserve">: </w:t>
            </w:r>
            <w:r>
              <w:rPr>
                <w:rStyle w:val="IndexLink"/>
                <w:rtl w:val="true"/>
              </w:rPr>
              <w:t>الأخبار</w:t>
            </w:r>
            <w:r>
              <w:rPr>
                <w:rStyle w:val="IndexLink"/>
                <w:rtl w:val="true"/>
              </w:rPr>
              <w:t>:</w:t>
              <w:tab/>
            </w:r>
            <w:r>
              <w:rPr>
                <w:rStyle w:val="IndexLink"/>
              </w:rPr>
              <w:t>93</w:t>
            </w:r>
          </w:hyperlink>
        </w:p>
        <w:p>
          <w:pPr>
            <w:pStyle w:val="Contents6"/>
            <w:tabs>
              <w:tab w:val="clear" w:pos="7609"/>
              <w:tab w:val="right" w:pos="9026" w:leader="dot"/>
            </w:tabs>
            <w:rPr/>
          </w:pPr>
          <w:hyperlink w:anchor="__RefHeading___Toc9482608_73709187">
            <w:r>
              <w:rPr>
                <w:webHidden/>
                <w:rStyle w:val="IndexLink"/>
                <w:rtl w:val="true"/>
              </w:rPr>
              <w:t>و أما الحالة الرابعة أن تکون الزوجة کبیرةً و الزوج صغیراً</w:t>
            </w:r>
            <w:r>
              <w:rPr>
                <w:rStyle w:val="IndexLink"/>
                <w:rtl w:val="true"/>
              </w:rPr>
              <w:tab/>
            </w:r>
            <w:r>
              <w:rPr>
                <w:rStyle w:val="IndexLink"/>
              </w:rPr>
              <w:t>97</w:t>
            </w:r>
          </w:hyperlink>
        </w:p>
        <w:p>
          <w:pPr>
            <w:pStyle w:val="Contents6"/>
            <w:tabs>
              <w:tab w:val="clear" w:pos="7609"/>
              <w:tab w:val="right" w:pos="9026" w:leader="dot"/>
            </w:tabs>
            <w:rPr/>
          </w:pPr>
          <w:hyperlink w:anchor="__RefHeading___Toc9482610_73709187">
            <w:r>
              <w:rPr>
                <w:webHidden/>
                <w:rStyle w:val="IndexLink"/>
                <w:rtl w:val="true"/>
              </w:rPr>
              <w:t>القول الأول عدم وجوب النفقة علی الزوج الصغیر</w:t>
            </w:r>
            <w:r>
              <w:rPr>
                <w:rStyle w:val="IndexLink"/>
                <w:rtl w:val="true"/>
              </w:rPr>
              <w:tab/>
            </w:r>
            <w:r>
              <w:rPr>
                <w:rStyle w:val="IndexLink"/>
              </w:rPr>
              <w:t>97</w:t>
            </w:r>
          </w:hyperlink>
        </w:p>
        <w:p>
          <w:pPr>
            <w:pStyle w:val="Contents6"/>
            <w:tabs>
              <w:tab w:val="clear" w:pos="7609"/>
              <w:tab w:val="right" w:pos="9026" w:leader="dot"/>
            </w:tabs>
            <w:rPr/>
          </w:pPr>
          <w:hyperlink w:anchor="__RefHeading___Toc9482612_73709187">
            <w:r>
              <w:rPr>
                <w:webHidden/>
                <w:rStyle w:val="IndexLink"/>
                <w:rtl w:val="true"/>
              </w:rPr>
              <w:t>أدلّة هذا القول</w:t>
            </w:r>
            <w:r>
              <w:rPr>
                <w:rStyle w:val="IndexLink"/>
                <w:rtl w:val="true"/>
              </w:rPr>
              <w:tab/>
            </w:r>
            <w:r>
              <w:rPr>
                <w:rStyle w:val="IndexLink"/>
              </w:rPr>
              <w:t>98</w:t>
            </w:r>
          </w:hyperlink>
        </w:p>
        <w:p>
          <w:pPr>
            <w:pStyle w:val="Contents6"/>
            <w:tabs>
              <w:tab w:val="clear" w:pos="7609"/>
              <w:tab w:val="right" w:pos="9026" w:leader="dot"/>
            </w:tabs>
            <w:rPr/>
          </w:pPr>
          <w:hyperlink w:anchor="__RefHeading___Toc9482614_73709187">
            <w:r>
              <w:rPr>
                <w:webHidden/>
                <w:rStyle w:val="IndexLink"/>
                <w:rtl w:val="true"/>
              </w:rPr>
              <w:t>القول الثانی وجوب نفقة الزوجة علی الزوج الصغیر</w:t>
            </w:r>
            <w:r>
              <w:rPr>
                <w:rStyle w:val="IndexLink"/>
                <w:rtl w:val="true"/>
              </w:rPr>
              <w:tab/>
            </w:r>
            <w:r>
              <w:rPr>
                <w:rStyle w:val="IndexLink"/>
              </w:rPr>
              <w:t>100</w:t>
            </w:r>
          </w:hyperlink>
        </w:p>
        <w:p>
          <w:pPr>
            <w:pStyle w:val="Contents5"/>
            <w:tabs>
              <w:tab w:val="clear" w:pos="7892"/>
              <w:tab w:val="right" w:pos="9026" w:leader="dot"/>
            </w:tabs>
            <w:rPr/>
          </w:pPr>
          <w:hyperlink w:anchor="__RefHeading___Toc9482616_73709187">
            <w:r>
              <w:rPr>
                <w:webHidden/>
                <w:rStyle w:val="IndexLink"/>
                <w:rtl w:val="true"/>
              </w:rPr>
              <w:t>آراء فقهاء أهل السنّة فی نفقة الزوجة الصغیرة</w:t>
            </w:r>
            <w:r>
              <w:rPr>
                <w:rStyle w:val="IndexLink"/>
                <w:rtl w:val="true"/>
              </w:rPr>
              <w:tab/>
            </w:r>
            <w:r>
              <w:rPr>
                <w:rStyle w:val="IndexLink"/>
              </w:rPr>
              <w:t>101</w:t>
            </w:r>
          </w:hyperlink>
        </w:p>
        <w:p>
          <w:pPr>
            <w:pStyle w:val="Contents4"/>
            <w:tabs>
              <w:tab w:val="clear" w:pos="8176"/>
              <w:tab w:val="right" w:pos="9026" w:leader="dot"/>
            </w:tabs>
            <w:rPr/>
          </w:pPr>
          <w:hyperlink w:anchor="__RefHeading___Toc9482618_73709187">
            <w:r>
              <w:rPr>
                <w:webHidden/>
                <w:rStyle w:val="IndexLink"/>
                <w:rtl w:val="true"/>
              </w:rPr>
              <w:t>المبحث السادس</w:t>
            </w:r>
            <w:r>
              <w:rPr>
                <w:rStyle w:val="IndexLink"/>
                <w:rtl w:val="true"/>
              </w:rPr>
              <w:t xml:space="preserve">: </w:t>
            </w:r>
            <w:r>
              <w:rPr>
                <w:rStyle w:val="IndexLink"/>
                <w:rtl w:val="true"/>
              </w:rPr>
              <w:t>حکم عدة الصغیرة فی الطلاق</w:t>
            </w:r>
            <w:r>
              <w:rPr>
                <w:rStyle w:val="IndexLink"/>
                <w:rtl w:val="true"/>
              </w:rPr>
              <w:tab/>
            </w:r>
            <w:r>
              <w:rPr>
                <w:rStyle w:val="IndexLink"/>
              </w:rPr>
              <w:t>104</w:t>
            </w:r>
          </w:hyperlink>
        </w:p>
        <w:p>
          <w:pPr>
            <w:pStyle w:val="Contents5"/>
            <w:tabs>
              <w:tab w:val="clear" w:pos="7892"/>
              <w:tab w:val="right" w:pos="9026" w:leader="dot"/>
            </w:tabs>
            <w:rPr/>
          </w:pPr>
          <w:hyperlink w:anchor="__RefHeading___Toc9482620_7370918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9482622_73709187">
            <w:r>
              <w:rPr>
                <w:webHidden/>
                <w:rStyle w:val="IndexLink"/>
                <w:rtl w:val="true"/>
              </w:rPr>
              <w:t>جواب العلاّمة و الشهید عن استدلال السیّد المرتضی</w:t>
            </w:r>
            <w:r>
              <w:rPr>
                <w:rStyle w:val="IndexLink"/>
                <w:rtl w:val="true"/>
              </w:rPr>
              <w:tab/>
            </w:r>
            <w:r>
              <w:rPr>
                <w:rStyle w:val="IndexLink"/>
              </w:rPr>
              <w:t>106</w:t>
            </w:r>
          </w:hyperlink>
        </w:p>
        <w:p>
          <w:pPr>
            <w:pStyle w:val="Contents5"/>
            <w:tabs>
              <w:tab w:val="clear" w:pos="7892"/>
              <w:tab w:val="right" w:pos="9026" w:leader="dot"/>
            </w:tabs>
            <w:rPr/>
          </w:pPr>
          <w:hyperlink w:anchor="__RefHeading___Toc9482624_73709187">
            <w:r>
              <w:rPr>
                <w:webHidden/>
                <w:rStyle w:val="IndexLink"/>
                <w:rtl w:val="true"/>
              </w:rPr>
              <w:t>الروایات التی تدلّ علی مذهب السیّد المرتضی و أتباعه</w:t>
            </w:r>
            <w:r>
              <w:rPr>
                <w:rStyle w:val="IndexLink"/>
                <w:rtl w:val="true"/>
              </w:rPr>
              <w:tab/>
            </w:r>
            <w:r>
              <w:rPr>
                <w:rStyle w:val="IndexLink"/>
              </w:rPr>
              <w:t>109</w:t>
            </w:r>
          </w:hyperlink>
        </w:p>
        <w:p>
          <w:pPr>
            <w:pStyle w:val="Contents5"/>
            <w:tabs>
              <w:tab w:val="clear" w:pos="7892"/>
              <w:tab w:val="right" w:pos="9026" w:leader="dot"/>
            </w:tabs>
            <w:rPr/>
          </w:pPr>
          <w:hyperlink w:anchor="__RefHeading___Toc9482626_73709187">
            <w:r>
              <w:rPr>
                <w:webHidden/>
                <w:rStyle w:val="IndexLink"/>
                <w:rtl w:val="true"/>
              </w:rPr>
              <w:t>إیضاحٌ</w:t>
            </w:r>
            <w:r>
              <w:rPr>
                <w:rStyle w:val="IndexLink"/>
                <w:rtl w:val="true"/>
              </w:rPr>
              <w:t>:</w:t>
              <w:tab/>
            </w:r>
            <w:r>
              <w:rPr>
                <w:rStyle w:val="IndexLink"/>
              </w:rPr>
              <w:t>111</w:t>
            </w:r>
          </w:hyperlink>
        </w:p>
        <w:p>
          <w:pPr>
            <w:pStyle w:val="Contents5"/>
            <w:tabs>
              <w:tab w:val="clear" w:pos="7892"/>
              <w:tab w:val="right" w:pos="9026" w:leader="dot"/>
            </w:tabs>
            <w:rPr/>
          </w:pPr>
          <w:hyperlink w:anchor="__RefHeading___Toc9482628_73709187">
            <w:r>
              <w:rPr>
                <w:webHidden/>
                <w:rStyle w:val="IndexLink"/>
                <w:rtl w:val="true"/>
              </w:rPr>
              <w:t>عدم وجوب العدّة علی الزوجة الصغیرة</w:t>
            </w:r>
            <w:r>
              <w:rPr>
                <w:rStyle w:val="IndexLink"/>
                <w:rtl w:val="true"/>
              </w:rPr>
              <w:tab/>
            </w:r>
            <w:r>
              <w:rPr>
                <w:rStyle w:val="IndexLink"/>
              </w:rPr>
              <w:t>111</w:t>
            </w:r>
          </w:hyperlink>
        </w:p>
        <w:p>
          <w:pPr>
            <w:pStyle w:val="Contents5"/>
            <w:tabs>
              <w:tab w:val="clear" w:pos="7892"/>
              <w:tab w:val="right" w:pos="9026" w:leader="dot"/>
            </w:tabs>
            <w:rPr/>
          </w:pPr>
          <w:hyperlink w:anchor="__RefHeading___Toc9482630_73709187">
            <w:r>
              <w:rPr>
                <w:webHidden/>
                <w:rStyle w:val="IndexLink"/>
                <w:rtl w:val="true"/>
              </w:rPr>
              <w:t>أدلّة عدم ثبوت العدّة للصغیرة</w:t>
            </w:r>
            <w:r>
              <w:rPr>
                <w:rStyle w:val="IndexLink"/>
                <w:rtl w:val="true"/>
              </w:rPr>
              <w:tab/>
            </w:r>
            <w:r>
              <w:rPr>
                <w:rStyle w:val="IndexLink"/>
              </w:rPr>
              <w:t>113</w:t>
            </w:r>
          </w:hyperlink>
        </w:p>
        <w:p>
          <w:pPr>
            <w:pStyle w:val="Contents5"/>
            <w:tabs>
              <w:tab w:val="clear" w:pos="7892"/>
              <w:tab w:val="right" w:pos="9026" w:leader="dot"/>
            </w:tabs>
            <w:rPr/>
          </w:pPr>
          <w:hyperlink w:anchor="__RefHeading___Toc9482632_73709187">
            <w:r>
              <w:rPr>
                <w:webHidden/>
                <w:rStyle w:val="IndexLink"/>
                <w:rtl w:val="true"/>
              </w:rPr>
              <w:t>وجوب عدّة الوفاة علی الزوجة الصغیرة</w:t>
            </w:r>
            <w:r>
              <w:rPr>
                <w:rStyle w:val="IndexLink"/>
                <w:rtl w:val="true"/>
              </w:rPr>
              <w:tab/>
            </w:r>
            <w:r>
              <w:rPr>
                <w:rStyle w:val="IndexLink"/>
              </w:rPr>
              <w:t>115</w:t>
            </w:r>
          </w:hyperlink>
        </w:p>
        <w:p>
          <w:pPr>
            <w:pStyle w:val="Contents5"/>
            <w:tabs>
              <w:tab w:val="clear" w:pos="7892"/>
              <w:tab w:val="right" w:pos="9026" w:leader="dot"/>
            </w:tabs>
            <w:rPr/>
          </w:pPr>
          <w:hyperlink w:anchor="__RefHeading___Toc9482634_73709187">
            <w:r>
              <w:rPr>
                <w:webHidden/>
                <w:rStyle w:val="IndexLink"/>
                <w:rtl w:val="true"/>
              </w:rPr>
              <w:t>رأی فقهاء أهل السنّة فی عدّة الصغیرة</w:t>
            </w:r>
            <w:r>
              <w:rPr>
                <w:rStyle w:val="IndexLink"/>
                <w:rtl w:val="true"/>
              </w:rPr>
              <w:tab/>
            </w:r>
            <w:r>
              <w:rPr>
                <w:rStyle w:val="IndexLink"/>
              </w:rPr>
              <w:t>118</w:t>
            </w:r>
          </w:hyperlink>
        </w:p>
        <w:p>
          <w:pPr>
            <w:pStyle w:val="Contents5"/>
            <w:tabs>
              <w:tab w:val="clear" w:pos="7892"/>
              <w:tab w:val="right" w:pos="9026" w:leader="dot"/>
            </w:tabs>
            <w:rPr/>
          </w:pPr>
          <w:hyperlink w:anchor="__RefHeading___Toc9482636_73709187">
            <w:r>
              <w:rPr>
                <w:webHidden/>
                <w:rStyle w:val="IndexLink"/>
                <w:rtl w:val="true"/>
              </w:rPr>
              <w:t>وجوب الحداد علی الزوجة الصغیرة</w:t>
            </w:r>
            <w:r>
              <w:rPr>
                <w:rStyle w:val="IndexLink"/>
                <w:rtl w:val="true"/>
              </w:rPr>
              <w:tab/>
            </w:r>
            <w:r>
              <w:rPr>
                <w:rStyle w:val="IndexLink"/>
              </w:rPr>
              <w:t>119</w:t>
            </w:r>
          </w:hyperlink>
        </w:p>
        <w:p>
          <w:pPr>
            <w:pStyle w:val="Contents4"/>
            <w:tabs>
              <w:tab w:val="clear" w:pos="8176"/>
              <w:tab w:val="right" w:pos="9026" w:leader="dot"/>
            </w:tabs>
            <w:rPr/>
          </w:pPr>
          <w:hyperlink w:anchor="__RefHeading___Toc9482638_73709187">
            <w:r>
              <w:rPr>
                <w:webHidden/>
                <w:rStyle w:val="IndexLink"/>
                <w:rtl w:val="true"/>
              </w:rPr>
              <w:t>المبحث السابع</w:t>
            </w:r>
            <w:r>
              <w:rPr>
                <w:rStyle w:val="IndexLink"/>
                <w:rtl w:val="true"/>
              </w:rPr>
              <w:t xml:space="preserve">: </w:t>
            </w:r>
            <w:r>
              <w:rPr>
                <w:rStyle w:val="IndexLink"/>
                <w:rtl w:val="true"/>
              </w:rPr>
              <w:t>عدم الولایة علی الطلاق</w:t>
            </w:r>
            <w:r>
              <w:rPr>
                <w:rStyle w:val="IndexLink"/>
                <w:rtl w:val="true"/>
              </w:rPr>
              <w:tab/>
            </w:r>
            <w:r>
              <w:rPr>
                <w:rStyle w:val="IndexLink"/>
              </w:rPr>
              <w:t>123</w:t>
            </w:r>
          </w:hyperlink>
        </w:p>
        <w:p>
          <w:pPr>
            <w:pStyle w:val="Contents5"/>
            <w:tabs>
              <w:tab w:val="clear" w:pos="7892"/>
              <w:tab w:val="right" w:pos="9026" w:leader="dot"/>
            </w:tabs>
            <w:rPr/>
          </w:pPr>
          <w:hyperlink w:anchor="__RefHeading___Toc9482640_7370918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9482642_73709187">
            <w:r>
              <w:rPr>
                <w:webHidden/>
                <w:rStyle w:val="IndexLink"/>
                <w:rtl w:val="true"/>
              </w:rPr>
              <w:t>أدلّة عدم جواز طلاق الولیّ عن الصبیّ‌</w:t>
            </w:r>
            <w:r>
              <w:rPr>
                <w:rStyle w:val="IndexLink"/>
                <w:rtl w:val="true"/>
              </w:rPr>
              <w:tab/>
            </w:r>
            <w:r>
              <w:rPr>
                <w:rStyle w:val="IndexLink"/>
              </w:rPr>
              <w:t>124</w:t>
            </w:r>
          </w:hyperlink>
        </w:p>
        <w:p>
          <w:pPr>
            <w:pStyle w:val="Contents5"/>
            <w:tabs>
              <w:tab w:val="clear" w:pos="7892"/>
              <w:tab w:val="right" w:pos="9026" w:leader="dot"/>
            </w:tabs>
            <w:rPr/>
          </w:pPr>
          <w:hyperlink w:anchor="__RefHeading___Toc9482644_73709187">
            <w:r>
              <w:rPr>
                <w:webHidden/>
                <w:rStyle w:val="IndexLink"/>
                <w:rtl w:val="true"/>
              </w:rPr>
              <w:t>آراء فقهاء أهل السنّة فی هذه المسألة</w:t>
            </w:r>
            <w:r>
              <w:rPr>
                <w:rStyle w:val="IndexLink"/>
                <w:rtl w:val="true"/>
              </w:rPr>
              <w:tab/>
            </w:r>
            <w:r>
              <w:rPr>
                <w:rStyle w:val="IndexLink"/>
              </w:rPr>
              <w:t>126</w:t>
            </w:r>
          </w:hyperlink>
        </w:p>
        <w:p>
          <w:pPr>
            <w:pStyle w:val="Contents5"/>
            <w:tabs>
              <w:tab w:val="clear" w:pos="7892"/>
              <w:tab w:val="right" w:pos="9026" w:leader="dot"/>
            </w:tabs>
            <w:rPr/>
          </w:pPr>
          <w:hyperlink w:anchor="__RefHeading___Toc9482646_73709187">
            <w:r>
              <w:rPr>
                <w:webHidden/>
                <w:rStyle w:val="IndexLink"/>
                <w:rtl w:val="true"/>
              </w:rPr>
              <w:t>تنبیه</w:t>
            </w:r>
            <w:r>
              <w:rPr>
                <w:rStyle w:val="IndexLink"/>
                <w:rtl w:val="true"/>
              </w:rPr>
              <w:tab/>
            </w:r>
            <w:r>
              <w:rPr>
                <w:rStyle w:val="IndexLink"/>
              </w:rPr>
              <w:t>130</w:t>
            </w:r>
          </w:hyperlink>
        </w:p>
        <w:p>
          <w:pPr>
            <w:pStyle w:val="Contents3"/>
            <w:tabs>
              <w:tab w:val="clear" w:pos="8459"/>
              <w:tab w:val="right" w:pos="9026" w:leader="dot"/>
            </w:tabs>
            <w:rPr/>
          </w:pPr>
          <w:hyperlink w:anchor="__RefHeading___Toc9482648_73709187">
            <w:r>
              <w:rPr>
                <w:webHidden/>
                <w:rStyle w:val="IndexLink"/>
                <w:rtl w:val="true"/>
              </w:rPr>
              <w:t>الفصل الثامن فی النظر إلی الصبیّ و الصبیّة و لمسهما و تقبیلهما</w:t>
            </w:r>
            <w:r>
              <w:rPr>
                <w:rStyle w:val="IndexLink"/>
                <w:rtl w:val="true"/>
              </w:rPr>
              <w:tab/>
            </w:r>
            <w:r>
              <w:rPr>
                <w:rStyle w:val="IndexLink"/>
              </w:rPr>
              <w:t>132</w:t>
            </w:r>
          </w:hyperlink>
        </w:p>
        <w:p>
          <w:pPr>
            <w:pStyle w:val="Contents4"/>
            <w:tabs>
              <w:tab w:val="clear" w:pos="8176"/>
              <w:tab w:val="right" w:pos="9026" w:leader="dot"/>
            </w:tabs>
            <w:rPr/>
          </w:pPr>
          <w:hyperlink w:anchor="__RefHeading___Toc9482650_73709187">
            <w:r>
              <w:rPr>
                <w:webHidden/>
                <w:rStyle w:val="IndexLink"/>
                <w:rtl w:val="true"/>
              </w:rPr>
              <w:t>تمهید</w:t>
            </w:r>
            <w:r>
              <w:rPr>
                <w:rStyle w:val="IndexLink"/>
                <w:rtl w:val="true"/>
              </w:rPr>
              <w:tab/>
            </w:r>
            <w:r>
              <w:rPr>
                <w:rStyle w:val="IndexLink"/>
              </w:rPr>
              <w:t>132</w:t>
            </w:r>
          </w:hyperlink>
        </w:p>
        <w:p>
          <w:pPr>
            <w:pStyle w:val="Contents4"/>
            <w:tabs>
              <w:tab w:val="clear" w:pos="8176"/>
              <w:tab w:val="right" w:pos="9026" w:leader="dot"/>
            </w:tabs>
            <w:rPr/>
          </w:pPr>
          <w:hyperlink w:anchor="__RefHeading___Toc9482652_73709187">
            <w:r>
              <w:rPr>
                <w:webHidden/>
                <w:rStyle w:val="IndexLink"/>
                <w:rtl w:val="true"/>
              </w:rPr>
              <w:t>المبحث الأوّل</w:t>
            </w:r>
            <w:r>
              <w:rPr>
                <w:rStyle w:val="IndexLink"/>
                <w:rtl w:val="true"/>
              </w:rPr>
              <w:t xml:space="preserve">: </w:t>
            </w:r>
            <w:r>
              <w:rPr>
                <w:rStyle w:val="IndexLink"/>
                <w:rtl w:val="true"/>
              </w:rPr>
              <w:t>النظر إلی جسد الصبیّة و الصبیّ و عورتهما</w:t>
            </w:r>
            <w:r>
              <w:rPr>
                <w:rStyle w:val="IndexLink"/>
                <w:rtl w:val="true"/>
              </w:rPr>
              <w:tab/>
            </w:r>
            <w:r>
              <w:rPr>
                <w:rStyle w:val="IndexLink"/>
              </w:rPr>
              <w:t>134</w:t>
            </w:r>
          </w:hyperlink>
        </w:p>
        <w:p>
          <w:pPr>
            <w:pStyle w:val="Contents5"/>
            <w:tabs>
              <w:tab w:val="clear" w:pos="7892"/>
              <w:tab w:val="right" w:pos="9026" w:leader="dot"/>
            </w:tabs>
            <w:rPr/>
          </w:pPr>
          <w:hyperlink w:anchor="__RefHeading___Toc9482654_73709187">
            <w:r>
              <w:rPr>
                <w:webHidden/>
                <w:rStyle w:val="IndexLink"/>
                <w:rtl w:val="true"/>
              </w:rPr>
              <w:t xml:space="preserve">أ </w:t>
            </w:r>
            <w:r>
              <w:rPr>
                <w:rStyle w:val="IndexLink"/>
                <w:rtl w:val="true"/>
              </w:rPr>
              <w:t xml:space="preserve">- </w:t>
            </w:r>
            <w:r>
              <w:rPr>
                <w:rStyle w:val="IndexLink"/>
                <w:rtl w:val="true"/>
              </w:rPr>
              <w:t>النظر إلی الصبیّة</w:t>
            </w:r>
            <w:r>
              <w:rPr>
                <w:rStyle w:val="IndexLink"/>
                <w:rtl w:val="true"/>
              </w:rPr>
              <w:tab/>
            </w:r>
            <w:r>
              <w:rPr>
                <w:rStyle w:val="IndexLink"/>
              </w:rPr>
              <w:t>134</w:t>
            </w:r>
          </w:hyperlink>
        </w:p>
        <w:p>
          <w:pPr>
            <w:pStyle w:val="Contents6"/>
            <w:tabs>
              <w:tab w:val="clear" w:pos="7609"/>
              <w:tab w:val="right" w:pos="9026" w:leader="dot"/>
            </w:tabs>
            <w:rPr/>
          </w:pPr>
          <w:hyperlink w:anchor="__RefHeading___Toc9482656_73709187">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9482658_73709187">
            <w:r>
              <w:rPr>
                <w:webHidden/>
                <w:rStyle w:val="IndexLink"/>
                <w:rtl w:val="true"/>
              </w:rPr>
              <w:t>أدلّة جواز النظر إلی الصغیرة</w:t>
            </w:r>
            <w:r>
              <w:rPr>
                <w:rStyle w:val="IndexLink"/>
                <w:rtl w:val="true"/>
              </w:rPr>
              <w:tab/>
            </w:r>
            <w:r>
              <w:rPr>
                <w:rStyle w:val="IndexLink"/>
              </w:rPr>
              <w:t>135</w:t>
            </w:r>
          </w:hyperlink>
        </w:p>
        <w:p>
          <w:pPr>
            <w:pStyle w:val="Contents6"/>
            <w:tabs>
              <w:tab w:val="clear" w:pos="7609"/>
              <w:tab w:val="right" w:pos="9026" w:leader="dot"/>
            </w:tabs>
            <w:rPr/>
          </w:pPr>
          <w:hyperlink w:anchor="__RefHeading___Toc9482660_73709187">
            <w:r>
              <w:rPr>
                <w:webHidden/>
                <w:rStyle w:val="IndexLink"/>
                <w:rtl w:val="true"/>
              </w:rPr>
              <w:t>عدم جواز النظر إلی الصغیرة مع تلذّذ و شهوة</w:t>
            </w:r>
            <w:r>
              <w:rPr>
                <w:rStyle w:val="IndexLink"/>
                <w:rtl w:val="true"/>
              </w:rPr>
              <w:tab/>
            </w:r>
            <w:r>
              <w:rPr>
                <w:rStyle w:val="IndexLink"/>
              </w:rPr>
              <w:t>139</w:t>
            </w:r>
          </w:hyperlink>
        </w:p>
        <w:p>
          <w:pPr>
            <w:pStyle w:val="Contents5"/>
            <w:tabs>
              <w:tab w:val="clear" w:pos="7892"/>
              <w:tab w:val="right" w:pos="9026" w:leader="dot"/>
            </w:tabs>
            <w:rPr/>
          </w:pPr>
          <w:hyperlink w:anchor="__RefHeading___Toc9482662_73709187">
            <w:r>
              <w:rPr>
                <w:webHidden/>
                <w:rStyle w:val="IndexLink"/>
                <w:rtl w:val="true"/>
              </w:rPr>
              <w:t>ب</w:t>
            </w:r>
            <w:r>
              <w:rPr>
                <w:rStyle w:val="IndexLink"/>
                <w:rtl w:val="true"/>
              </w:rPr>
              <w:t xml:space="preserve">: </w:t>
            </w:r>
            <w:r>
              <w:rPr>
                <w:rStyle w:val="IndexLink"/>
                <w:rtl w:val="true"/>
              </w:rPr>
              <w:t>نظر المرأة إلی الصغیر</w:t>
            </w:r>
            <w:r>
              <w:rPr>
                <w:rStyle w:val="IndexLink"/>
                <w:rtl w:val="true"/>
              </w:rPr>
              <w:tab/>
            </w:r>
            <w:r>
              <w:rPr>
                <w:rStyle w:val="IndexLink"/>
              </w:rPr>
              <w:t>140</w:t>
            </w:r>
          </w:hyperlink>
        </w:p>
        <w:p>
          <w:pPr>
            <w:pStyle w:val="Contents5"/>
            <w:tabs>
              <w:tab w:val="clear" w:pos="7892"/>
              <w:tab w:val="right" w:pos="9026" w:leader="dot"/>
            </w:tabs>
            <w:rPr/>
          </w:pPr>
          <w:hyperlink w:anchor="__RefHeading___Toc9482664_73709187">
            <w:r>
              <w:rPr>
                <w:webHidden/>
                <w:rStyle w:val="IndexLink"/>
                <w:rtl w:val="true"/>
              </w:rPr>
              <w:t>ج</w:t>
            </w:r>
            <w:r>
              <w:rPr>
                <w:rStyle w:val="IndexLink"/>
                <w:rtl w:val="true"/>
              </w:rPr>
              <w:t xml:space="preserve">: </w:t>
            </w:r>
            <w:r>
              <w:rPr>
                <w:rStyle w:val="IndexLink"/>
                <w:rtl w:val="true"/>
              </w:rPr>
              <w:t>نظر الصبیّ إلی المرأة الأجنبیّة</w:t>
            </w:r>
            <w:r>
              <w:rPr>
                <w:rStyle w:val="IndexLink"/>
                <w:rtl w:val="true"/>
              </w:rPr>
              <w:tab/>
            </w:r>
            <w:r>
              <w:rPr>
                <w:rStyle w:val="IndexLink"/>
              </w:rPr>
              <w:t>141</w:t>
            </w:r>
          </w:hyperlink>
        </w:p>
        <w:p>
          <w:pPr>
            <w:pStyle w:val="Contents6"/>
            <w:tabs>
              <w:tab w:val="clear" w:pos="7609"/>
              <w:tab w:val="right" w:pos="9026" w:leader="dot"/>
            </w:tabs>
            <w:rPr/>
          </w:pPr>
          <w:hyperlink w:anchor="__RefHeading___Toc9482666_7370918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9482668_73709187">
            <w:r>
              <w:rPr>
                <w:webHidden/>
                <w:rStyle w:val="IndexLink"/>
                <w:rtl w:val="true"/>
              </w:rPr>
              <w:t>إیضاح</w:t>
            </w:r>
            <w:r>
              <w:rPr>
                <w:rStyle w:val="IndexLink"/>
                <w:rtl w:val="true"/>
              </w:rPr>
              <w:tab/>
            </w:r>
            <w:r>
              <w:rPr>
                <w:rStyle w:val="IndexLink"/>
              </w:rPr>
              <w:t>146</w:t>
            </w:r>
          </w:hyperlink>
        </w:p>
        <w:p>
          <w:pPr>
            <w:pStyle w:val="Contents5"/>
            <w:tabs>
              <w:tab w:val="clear" w:pos="7892"/>
              <w:tab w:val="right" w:pos="9026" w:leader="dot"/>
            </w:tabs>
            <w:rPr/>
          </w:pPr>
          <w:hyperlink w:anchor="__RefHeading___Toc9482670_73709187">
            <w:r>
              <w:rPr>
                <w:webHidden/>
                <w:rStyle w:val="IndexLink"/>
                <w:rtl w:val="true"/>
              </w:rPr>
              <w:t>د</w:t>
            </w:r>
            <w:r>
              <w:rPr>
                <w:rStyle w:val="IndexLink"/>
                <w:rtl w:val="true"/>
              </w:rPr>
              <w:t xml:space="preserve">: </w:t>
            </w:r>
            <w:r>
              <w:rPr>
                <w:rStyle w:val="IndexLink"/>
                <w:rtl w:val="true"/>
              </w:rPr>
              <w:t>النظر إلی عورة الصغیرة</w:t>
            </w:r>
            <w:r>
              <w:rPr>
                <w:rStyle w:val="IndexLink"/>
                <w:rtl w:val="true"/>
              </w:rPr>
              <w:tab/>
            </w:r>
            <w:r>
              <w:rPr>
                <w:rStyle w:val="IndexLink"/>
              </w:rPr>
              <w:t>146</w:t>
            </w:r>
          </w:hyperlink>
        </w:p>
        <w:p>
          <w:pPr>
            <w:pStyle w:val="Contents5"/>
            <w:tabs>
              <w:tab w:val="clear" w:pos="7892"/>
              <w:tab w:val="right" w:pos="9026" w:leader="dot"/>
            </w:tabs>
            <w:rPr/>
          </w:pPr>
          <w:hyperlink w:anchor="__RefHeading___Toc9482672_73709187">
            <w:r>
              <w:rPr>
                <w:webHidden/>
                <w:rStyle w:val="IndexLink"/>
                <w:rtl w:val="true"/>
              </w:rPr>
              <w:t>ه</w:t>
            </w:r>
            <w:r>
              <w:rPr>
                <w:rStyle w:val="IndexLink"/>
                <w:rtl w:val="true"/>
              </w:rPr>
              <w:t xml:space="preserve">: </w:t>
            </w:r>
            <w:r>
              <w:rPr>
                <w:rStyle w:val="IndexLink"/>
                <w:rtl w:val="true"/>
              </w:rPr>
              <w:t>نظر الممیّز إلی عورة الرجل أو المرأة</w:t>
            </w:r>
            <w:r>
              <w:rPr>
                <w:rStyle w:val="IndexLink"/>
                <w:rtl w:val="true"/>
              </w:rPr>
              <w:tab/>
            </w:r>
            <w:r>
              <w:rPr>
                <w:rStyle w:val="IndexLink"/>
              </w:rPr>
              <w:t>147</w:t>
            </w:r>
          </w:hyperlink>
        </w:p>
        <w:p>
          <w:pPr>
            <w:pStyle w:val="Contents4"/>
            <w:tabs>
              <w:tab w:val="clear" w:pos="8176"/>
              <w:tab w:val="right" w:pos="9026" w:leader="dot"/>
            </w:tabs>
            <w:rPr/>
          </w:pPr>
          <w:hyperlink w:anchor="__RefHeading___Toc9482674_73709187">
            <w:r>
              <w:rPr>
                <w:webHidden/>
                <w:rStyle w:val="IndexLink"/>
                <w:rtl w:val="true"/>
              </w:rPr>
              <w:t>المبحث الثانی</w:t>
            </w:r>
            <w:r>
              <w:rPr>
                <w:rStyle w:val="IndexLink"/>
                <w:rtl w:val="true"/>
              </w:rPr>
              <w:t xml:space="preserve">: </w:t>
            </w:r>
            <w:r>
              <w:rPr>
                <w:rStyle w:val="IndexLink"/>
                <w:rtl w:val="true"/>
              </w:rPr>
              <w:t>لمس الصبیّة و الصبیّ‌</w:t>
            </w:r>
            <w:r>
              <w:rPr>
                <w:rStyle w:val="IndexLink"/>
                <w:rtl w:val="true"/>
              </w:rPr>
              <w:tab/>
            </w:r>
            <w:r>
              <w:rPr>
                <w:rStyle w:val="IndexLink"/>
              </w:rPr>
              <w:t>152</w:t>
            </w:r>
          </w:hyperlink>
        </w:p>
        <w:p>
          <w:pPr>
            <w:pStyle w:val="Contents4"/>
            <w:tabs>
              <w:tab w:val="clear" w:pos="8176"/>
              <w:tab w:val="right" w:pos="9026" w:leader="dot"/>
            </w:tabs>
            <w:rPr/>
          </w:pPr>
          <w:hyperlink w:anchor="__RefHeading___Toc9482676_73709187">
            <w:r>
              <w:rPr>
                <w:webHidden/>
                <w:rStyle w:val="IndexLink"/>
                <w:rtl w:val="true"/>
              </w:rPr>
              <w:t>المبحث الثالث</w:t>
            </w:r>
            <w:r>
              <w:rPr>
                <w:rStyle w:val="IndexLink"/>
                <w:rtl w:val="true"/>
              </w:rPr>
              <w:t xml:space="preserve">: </w:t>
            </w:r>
            <w:r>
              <w:rPr>
                <w:rStyle w:val="IndexLink"/>
                <w:rtl w:val="true"/>
              </w:rPr>
              <w:t>تقبیل الرجل الصبیّة و المرأة للصبیّ‌</w:t>
            </w:r>
            <w:r>
              <w:rPr>
                <w:rStyle w:val="IndexLink"/>
                <w:rtl w:val="true"/>
              </w:rPr>
              <w:tab/>
            </w:r>
            <w:r>
              <w:rPr>
                <w:rStyle w:val="IndexLink"/>
              </w:rPr>
              <w:t>155</w:t>
            </w:r>
          </w:hyperlink>
        </w:p>
        <w:p>
          <w:pPr>
            <w:pStyle w:val="Contents5"/>
            <w:tabs>
              <w:tab w:val="clear" w:pos="7892"/>
              <w:tab w:val="right" w:pos="9026" w:leader="dot"/>
            </w:tabs>
            <w:rPr/>
          </w:pPr>
          <w:hyperlink w:anchor="__RefHeading___Toc9482678_7370918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9482680_73709187">
            <w:r>
              <w:rPr>
                <w:webHidden/>
                <w:rStyle w:val="IndexLink"/>
                <w:rtl w:val="true"/>
              </w:rPr>
              <w:t>المطلب الأوّل</w:t>
            </w:r>
            <w:r>
              <w:rPr>
                <w:rStyle w:val="IndexLink"/>
                <w:rtl w:val="true"/>
              </w:rPr>
              <w:t xml:space="preserve">: </w:t>
            </w:r>
            <w:r>
              <w:rPr>
                <w:rStyle w:val="IndexLink"/>
                <w:rtl w:val="true"/>
              </w:rPr>
              <w:t>تقبیلهما قبل أن یأتی علیهما ستّ سنین</w:t>
            </w:r>
            <w:r>
              <w:rPr>
                <w:rStyle w:val="IndexLink"/>
                <w:rtl w:val="true"/>
              </w:rPr>
              <w:tab/>
            </w:r>
            <w:r>
              <w:rPr>
                <w:rStyle w:val="IndexLink"/>
              </w:rPr>
              <w:t>155</w:t>
            </w:r>
          </w:hyperlink>
        </w:p>
        <w:p>
          <w:pPr>
            <w:pStyle w:val="Contents6"/>
            <w:tabs>
              <w:tab w:val="clear" w:pos="7609"/>
              <w:tab w:val="right" w:pos="9026" w:leader="dot"/>
            </w:tabs>
            <w:rPr/>
          </w:pPr>
          <w:hyperlink w:anchor="__RefHeading___Toc9482682_73709187">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9482684_73709187">
            <w:r>
              <w:rPr>
                <w:webHidden/>
                <w:rStyle w:val="IndexLink"/>
                <w:rtl w:val="true"/>
              </w:rPr>
              <w:t>أدلّة هذا الحکم</w:t>
            </w:r>
            <w:r>
              <w:rPr>
                <w:rStyle w:val="IndexLink"/>
                <w:rtl w:val="true"/>
              </w:rPr>
              <w:tab/>
            </w:r>
            <w:r>
              <w:rPr>
                <w:rStyle w:val="IndexLink"/>
              </w:rPr>
              <w:t>155</w:t>
            </w:r>
          </w:hyperlink>
        </w:p>
        <w:p>
          <w:pPr>
            <w:pStyle w:val="Contents5"/>
            <w:tabs>
              <w:tab w:val="clear" w:pos="7892"/>
              <w:tab w:val="right" w:pos="9026" w:leader="dot"/>
            </w:tabs>
            <w:rPr/>
          </w:pPr>
          <w:hyperlink w:anchor="__RefHeading___Toc9482686_73709187">
            <w:r>
              <w:rPr>
                <w:webHidden/>
                <w:rStyle w:val="IndexLink"/>
                <w:rtl w:val="true"/>
              </w:rPr>
              <w:t>المطلب الثانی</w:t>
            </w:r>
            <w:r>
              <w:rPr>
                <w:rStyle w:val="IndexLink"/>
                <w:rtl w:val="true"/>
              </w:rPr>
              <w:t xml:space="preserve">: </w:t>
            </w:r>
            <w:r>
              <w:rPr>
                <w:rStyle w:val="IndexLink"/>
                <w:rtl w:val="true"/>
              </w:rPr>
              <w:t>تقبیلها بعد أن یأتی علیها ستّ سنین</w:t>
            </w:r>
            <w:r>
              <w:rPr>
                <w:rStyle w:val="IndexLink"/>
                <w:rtl w:val="true"/>
              </w:rPr>
              <w:tab/>
            </w:r>
            <w:r>
              <w:rPr>
                <w:rStyle w:val="IndexLink"/>
              </w:rPr>
              <w:t>160</w:t>
            </w:r>
          </w:hyperlink>
        </w:p>
        <w:p>
          <w:pPr>
            <w:pStyle w:val="Contents6"/>
            <w:tabs>
              <w:tab w:val="clear" w:pos="7609"/>
              <w:tab w:val="right" w:pos="9026" w:leader="dot"/>
            </w:tabs>
            <w:rPr/>
          </w:pPr>
          <w:hyperlink w:anchor="__RefHeading___Toc9482688_73709187">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9482690_73709187">
            <w:r>
              <w:rPr>
                <w:webHidden/>
                <w:rStyle w:val="IndexLink"/>
                <w:rtl w:val="true"/>
              </w:rPr>
              <w:t>إیضاح</w:t>
            </w:r>
            <w:r>
              <w:rPr>
                <w:rStyle w:val="IndexLink"/>
                <w:rtl w:val="true"/>
              </w:rPr>
              <w:tab/>
            </w:r>
            <w:r>
              <w:rPr>
                <w:rStyle w:val="IndexLink"/>
              </w:rPr>
              <w:t>162</w:t>
            </w:r>
          </w:hyperlink>
        </w:p>
        <w:p>
          <w:pPr>
            <w:pStyle w:val="Contents6"/>
            <w:tabs>
              <w:tab w:val="clear" w:pos="7609"/>
              <w:tab w:val="right" w:pos="9026" w:leader="dot"/>
            </w:tabs>
            <w:rPr/>
          </w:pPr>
          <w:hyperlink w:anchor="__RefHeading___Toc9482692_73709187">
            <w:r>
              <w:rPr>
                <w:webHidden/>
                <w:rStyle w:val="IndexLink"/>
                <w:rtl w:val="true"/>
              </w:rPr>
              <w:t>أنظار فقهاء أهل السنّة فی مباحث هذا الفصل</w:t>
            </w:r>
            <w:r>
              <w:rPr>
                <w:rStyle w:val="IndexLink"/>
                <w:rtl w:val="true"/>
              </w:rPr>
              <w:tab/>
            </w:r>
            <w:r>
              <w:rPr>
                <w:rStyle w:val="IndexLink"/>
              </w:rPr>
              <w:t>163</w:t>
            </w:r>
          </w:hyperlink>
        </w:p>
        <w:p>
          <w:pPr>
            <w:pStyle w:val="Contents3"/>
            <w:tabs>
              <w:tab w:val="clear" w:pos="8459"/>
              <w:tab w:val="right" w:pos="9026" w:leader="dot"/>
            </w:tabs>
            <w:rPr/>
          </w:pPr>
          <w:hyperlink w:anchor="__RefHeading___Toc9482694_73709187">
            <w:r>
              <w:rPr>
                <w:webHidden/>
                <w:rStyle w:val="IndexLink"/>
                <w:rtl w:val="true"/>
              </w:rPr>
              <w:t>الفصل التاسع فی ولایة الأب و الجدّ علی أموال الصغار</w:t>
            </w:r>
            <w:r>
              <w:rPr>
                <w:rStyle w:val="IndexLink"/>
                <w:rtl w:val="true"/>
              </w:rPr>
              <w:tab/>
            </w:r>
            <w:r>
              <w:rPr>
                <w:rStyle w:val="IndexLink"/>
              </w:rPr>
              <w:t>169</w:t>
            </w:r>
          </w:hyperlink>
        </w:p>
        <w:p>
          <w:pPr>
            <w:pStyle w:val="Contents4"/>
            <w:tabs>
              <w:tab w:val="clear" w:pos="8176"/>
              <w:tab w:val="right" w:pos="9026" w:leader="dot"/>
            </w:tabs>
            <w:rPr/>
          </w:pPr>
          <w:hyperlink w:anchor="__RefHeading___Toc9482696_73709187">
            <w:r>
              <w:rPr>
                <w:webHidden/>
                <w:rStyle w:val="IndexLink"/>
                <w:rtl w:val="true"/>
              </w:rPr>
              <w:t>تمهید</w:t>
            </w:r>
            <w:r>
              <w:rPr>
                <w:rStyle w:val="IndexLink"/>
                <w:rtl w:val="true"/>
              </w:rPr>
              <w:tab/>
            </w:r>
            <w:r>
              <w:rPr>
                <w:rStyle w:val="IndexLink"/>
              </w:rPr>
              <w:t>169</w:t>
            </w:r>
          </w:hyperlink>
        </w:p>
        <w:p>
          <w:pPr>
            <w:pStyle w:val="Contents4"/>
            <w:tabs>
              <w:tab w:val="clear" w:pos="8176"/>
              <w:tab w:val="right" w:pos="9026" w:leader="dot"/>
            </w:tabs>
            <w:rPr/>
          </w:pPr>
          <w:hyperlink w:anchor="__RefHeading___Toc9482698_73709187">
            <w:r>
              <w:rPr>
                <w:webHidden/>
                <w:rStyle w:val="IndexLink"/>
                <w:rtl w:val="true"/>
              </w:rPr>
              <w:t>المبحث الأوّل</w:t>
            </w:r>
            <w:r>
              <w:rPr>
                <w:rStyle w:val="IndexLink"/>
                <w:rtl w:val="true"/>
              </w:rPr>
              <w:t xml:space="preserve">: </w:t>
            </w:r>
            <w:r>
              <w:rPr>
                <w:rStyle w:val="IndexLink"/>
                <w:rtl w:val="true"/>
              </w:rPr>
              <w:t>ثبوت ولایة الأب و الجدّ علی الأموال و أدلّتها</w:t>
            </w:r>
            <w:r>
              <w:rPr>
                <w:rStyle w:val="IndexLink"/>
                <w:rtl w:val="true"/>
              </w:rPr>
              <w:tab/>
            </w:r>
            <w:r>
              <w:rPr>
                <w:rStyle w:val="IndexLink"/>
              </w:rPr>
              <w:t>171</w:t>
            </w:r>
          </w:hyperlink>
        </w:p>
        <w:p>
          <w:pPr>
            <w:pStyle w:val="Contents5"/>
            <w:tabs>
              <w:tab w:val="clear" w:pos="7892"/>
              <w:tab w:val="right" w:pos="9026" w:leader="dot"/>
            </w:tabs>
            <w:rPr/>
          </w:pPr>
          <w:hyperlink w:anchor="__RefHeading___Toc9482700_7370918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9482702_73709187">
            <w:r>
              <w:rPr>
                <w:webHidden/>
                <w:rStyle w:val="IndexLink"/>
                <w:rtl w:val="true"/>
              </w:rPr>
              <w:t>إیراد المحقّق الاصفهانی و الجواب عنه</w:t>
            </w:r>
            <w:r>
              <w:rPr>
                <w:rStyle w:val="IndexLink"/>
                <w:rtl w:val="true"/>
              </w:rPr>
              <w:tab/>
            </w:r>
            <w:r>
              <w:rPr>
                <w:rStyle w:val="IndexLink"/>
              </w:rPr>
              <w:t>177</w:t>
            </w:r>
          </w:hyperlink>
        </w:p>
        <w:p>
          <w:pPr>
            <w:pStyle w:val="Contents5"/>
            <w:tabs>
              <w:tab w:val="clear" w:pos="7892"/>
              <w:tab w:val="right" w:pos="9026" w:leader="dot"/>
            </w:tabs>
            <w:rPr/>
          </w:pPr>
          <w:hyperlink w:anchor="__RefHeading___Toc9482704_73709187">
            <w:r>
              <w:rPr>
                <w:webHidden/>
                <w:rStyle w:val="IndexLink"/>
                <w:rtl w:val="true"/>
              </w:rPr>
              <w:t>إیراد المحقّق الإیروانی و السیّد الخوئی و الجواب عنهما</w:t>
            </w:r>
            <w:r>
              <w:rPr>
                <w:rStyle w:val="IndexLink"/>
                <w:rtl w:val="true"/>
              </w:rPr>
              <w:tab/>
            </w:r>
            <w:r>
              <w:rPr>
                <w:rStyle w:val="IndexLink"/>
              </w:rPr>
              <w:t>178</w:t>
            </w:r>
          </w:hyperlink>
        </w:p>
        <w:p>
          <w:pPr>
            <w:pStyle w:val="Contents5"/>
            <w:tabs>
              <w:tab w:val="clear" w:pos="7892"/>
              <w:tab w:val="right" w:pos="9026" w:leader="dot"/>
            </w:tabs>
            <w:rPr/>
          </w:pPr>
          <w:hyperlink w:anchor="__RefHeading___Toc9482706_73709187">
            <w:r>
              <w:rPr>
                <w:webHidden/>
                <w:rStyle w:val="IndexLink"/>
                <w:rtl w:val="true"/>
              </w:rPr>
              <w:t>الایراد علی الاستدلال بهذه الأخبار و الجواب عنه</w:t>
            </w:r>
            <w:r>
              <w:rPr>
                <w:rStyle w:val="IndexLink"/>
                <w:rtl w:val="true"/>
              </w:rPr>
              <w:tab/>
            </w:r>
            <w:r>
              <w:rPr>
                <w:rStyle w:val="IndexLink"/>
              </w:rPr>
              <w:t>181</w:t>
            </w:r>
          </w:hyperlink>
        </w:p>
        <w:p>
          <w:pPr>
            <w:pStyle w:val="Contents5"/>
            <w:tabs>
              <w:tab w:val="clear" w:pos="7892"/>
              <w:tab w:val="right" w:pos="9026" w:leader="dot"/>
            </w:tabs>
            <w:rPr/>
          </w:pPr>
          <w:hyperlink w:anchor="__RefHeading___Toc9482708_73709187">
            <w:r>
              <w:rPr>
                <w:webHidden/>
                <w:rStyle w:val="IndexLink"/>
                <w:rtl w:val="true"/>
              </w:rPr>
              <w:t>«</w:t>
            </w:r>
            <w:r>
              <w:rPr>
                <w:rStyle w:val="IndexLink"/>
                <w:rtl w:val="true"/>
              </w:rPr>
              <w:t>الولایة علی أموال الصغار عند فقهاء أهل السنّة</w:t>
            </w:r>
            <w:r>
              <w:rPr>
                <w:rStyle w:val="IndexLink"/>
                <w:rtl w:val="true"/>
              </w:rPr>
              <w:t>»</w:t>
              <w:tab/>
            </w:r>
            <w:r>
              <w:rPr>
                <w:rStyle w:val="IndexLink"/>
              </w:rPr>
              <w:t>186</w:t>
            </w:r>
          </w:hyperlink>
        </w:p>
        <w:p>
          <w:pPr>
            <w:pStyle w:val="Contents4"/>
            <w:tabs>
              <w:tab w:val="clear" w:pos="8176"/>
              <w:tab w:val="right" w:pos="9026" w:leader="dot"/>
            </w:tabs>
            <w:rPr/>
          </w:pPr>
          <w:hyperlink w:anchor="__RefHeading___Toc9482710_73709187">
            <w:r>
              <w:rPr>
                <w:webHidden/>
                <w:rStyle w:val="IndexLink"/>
                <w:rtl w:val="true"/>
              </w:rPr>
              <w:t>المبحث الثانی</w:t>
            </w:r>
            <w:r>
              <w:rPr>
                <w:rStyle w:val="IndexLink"/>
                <w:rtl w:val="true"/>
              </w:rPr>
              <w:t xml:space="preserve">: </w:t>
            </w:r>
            <w:r>
              <w:rPr>
                <w:rStyle w:val="IndexLink"/>
                <w:rtl w:val="true"/>
              </w:rPr>
              <w:t>تعمیم الولایة للأجداد کلّهم</w:t>
            </w:r>
            <w:r>
              <w:rPr>
                <w:rStyle w:val="IndexLink"/>
                <w:rtl w:val="true"/>
              </w:rPr>
              <w:tab/>
            </w:r>
            <w:r>
              <w:rPr>
                <w:rStyle w:val="IndexLink"/>
              </w:rPr>
              <w:t>189</w:t>
            </w:r>
          </w:hyperlink>
        </w:p>
        <w:p>
          <w:pPr>
            <w:pStyle w:val="Contents5"/>
            <w:tabs>
              <w:tab w:val="clear" w:pos="7892"/>
              <w:tab w:val="right" w:pos="9026" w:leader="dot"/>
            </w:tabs>
            <w:rPr/>
          </w:pPr>
          <w:hyperlink w:anchor="__RefHeading___Toc9482712_7370918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9482714_73709187">
            <w:r>
              <w:rPr>
                <w:webHidden/>
                <w:rStyle w:val="IndexLink"/>
                <w:rtl w:val="true"/>
              </w:rPr>
              <w:t>المطلب الأوّل</w:t>
            </w:r>
            <w:r>
              <w:rPr>
                <w:rStyle w:val="IndexLink"/>
                <w:rtl w:val="true"/>
              </w:rPr>
              <w:t xml:space="preserve">: </w:t>
            </w:r>
            <w:r>
              <w:rPr>
                <w:rStyle w:val="IndexLink"/>
                <w:rtl w:val="true"/>
              </w:rPr>
              <w:t>عدم اختصاص الولایة بالجدّ الدانی</w:t>
            </w:r>
            <w:r>
              <w:rPr>
                <w:rStyle w:val="IndexLink"/>
                <w:rtl w:val="true"/>
              </w:rPr>
              <w:tab/>
            </w:r>
            <w:r>
              <w:rPr>
                <w:rStyle w:val="IndexLink"/>
              </w:rPr>
              <w:t>189</w:t>
            </w:r>
          </w:hyperlink>
        </w:p>
        <w:p>
          <w:pPr>
            <w:pStyle w:val="Contents6"/>
            <w:tabs>
              <w:tab w:val="clear" w:pos="7609"/>
              <w:tab w:val="right" w:pos="9026" w:leader="dot"/>
            </w:tabs>
            <w:rPr/>
          </w:pPr>
          <w:hyperlink w:anchor="__RefHeading___Toc9482716_73709187">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9482718_73709187">
            <w:r>
              <w:rPr>
                <w:webHidden/>
                <w:rStyle w:val="IndexLink"/>
                <w:rtl w:val="true"/>
              </w:rPr>
              <w:t>الإیراد علی الاستدلال و الجواب عنه</w:t>
            </w:r>
            <w:r>
              <w:rPr>
                <w:rStyle w:val="IndexLink"/>
                <w:rtl w:val="true"/>
              </w:rPr>
              <w:tab/>
            </w:r>
            <w:r>
              <w:rPr>
                <w:rStyle w:val="IndexLink"/>
              </w:rPr>
              <w:t>190</w:t>
            </w:r>
          </w:hyperlink>
        </w:p>
        <w:p>
          <w:pPr>
            <w:pStyle w:val="Contents5"/>
            <w:tabs>
              <w:tab w:val="clear" w:pos="7892"/>
              <w:tab w:val="right" w:pos="9026" w:leader="dot"/>
            </w:tabs>
            <w:rPr/>
          </w:pPr>
          <w:hyperlink w:anchor="__RefHeading___Toc9482720_73709187">
            <w:r>
              <w:rPr>
                <w:webHidden/>
                <w:rStyle w:val="IndexLink"/>
                <w:rtl w:val="true"/>
              </w:rPr>
              <w:t>المطلب الثانی</w:t>
            </w:r>
            <w:r>
              <w:rPr>
                <w:rStyle w:val="IndexLink"/>
                <w:rtl w:val="true"/>
              </w:rPr>
              <w:t xml:space="preserve">: </w:t>
            </w:r>
            <w:r>
              <w:rPr>
                <w:rStyle w:val="IndexLink"/>
                <w:rtl w:val="true"/>
              </w:rPr>
              <w:t>کون الأجداد فی مرتبة واحدة</w:t>
            </w:r>
            <w:r>
              <w:rPr>
                <w:rStyle w:val="IndexLink"/>
                <w:rtl w:val="true"/>
              </w:rPr>
              <w:tab/>
            </w:r>
            <w:r>
              <w:rPr>
                <w:rStyle w:val="IndexLink"/>
              </w:rPr>
              <w:t>191</w:t>
            </w:r>
          </w:hyperlink>
        </w:p>
        <w:p>
          <w:pPr>
            <w:pStyle w:val="Contents5"/>
            <w:tabs>
              <w:tab w:val="clear" w:pos="7892"/>
              <w:tab w:val="right" w:pos="9026" w:leader="dot"/>
            </w:tabs>
            <w:rPr/>
          </w:pPr>
          <w:hyperlink w:anchor="__RefHeading___Toc9482722_73709187">
            <w:r>
              <w:rPr>
                <w:webHidden/>
                <w:rStyle w:val="IndexLink"/>
                <w:rtl w:val="true"/>
              </w:rPr>
              <w:t>المطلب الثالث</w:t>
            </w:r>
            <w:r>
              <w:rPr>
                <w:rStyle w:val="IndexLink"/>
                <w:rtl w:val="true"/>
              </w:rPr>
              <w:t xml:space="preserve">: </w:t>
            </w:r>
            <w:r>
              <w:rPr>
                <w:rStyle w:val="IndexLink"/>
                <w:rtl w:val="true"/>
              </w:rPr>
              <w:t>تقارن تصرّف الأب و الجدّ</w:t>
            </w:r>
            <w:r>
              <w:rPr>
                <w:rStyle w:val="IndexLink"/>
                <w:rtl w:val="true"/>
              </w:rPr>
              <w:tab/>
            </w:r>
            <w:r>
              <w:rPr>
                <w:rStyle w:val="IndexLink"/>
              </w:rPr>
              <w:t>193</w:t>
            </w:r>
          </w:hyperlink>
        </w:p>
        <w:p>
          <w:pPr>
            <w:pStyle w:val="Contents6"/>
            <w:tabs>
              <w:tab w:val="clear" w:pos="7609"/>
              <w:tab w:val="right" w:pos="9026" w:leader="dot"/>
            </w:tabs>
            <w:rPr/>
          </w:pPr>
          <w:hyperlink w:anchor="__RefHeading___Toc9482724_73709187">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9482726_73709187">
            <w:r>
              <w:rPr>
                <w:webHidden/>
                <w:rStyle w:val="IndexLink"/>
                <w:rtl w:val="true"/>
              </w:rPr>
              <w:t>آراء فقهاء أهل السنّة فی مسائل هذا المبحث</w:t>
            </w:r>
            <w:r>
              <w:rPr>
                <w:rStyle w:val="IndexLink"/>
                <w:rtl w:val="true"/>
              </w:rPr>
              <w:tab/>
            </w:r>
            <w:r>
              <w:rPr>
                <w:rStyle w:val="IndexLink"/>
              </w:rPr>
              <w:t>195</w:t>
            </w:r>
          </w:hyperlink>
        </w:p>
        <w:p>
          <w:pPr>
            <w:pStyle w:val="Contents4"/>
            <w:tabs>
              <w:tab w:val="clear" w:pos="8176"/>
              <w:tab w:val="right" w:pos="9026" w:leader="dot"/>
            </w:tabs>
            <w:rPr/>
          </w:pPr>
          <w:hyperlink w:anchor="__RefHeading___Toc9482728_73709187">
            <w:r>
              <w:rPr>
                <w:webHidden/>
                <w:rStyle w:val="IndexLink"/>
                <w:rtl w:val="true"/>
              </w:rPr>
              <w:t>المبحث الثالث</w:t>
            </w:r>
            <w:r>
              <w:rPr>
                <w:rStyle w:val="IndexLink"/>
                <w:rtl w:val="true"/>
              </w:rPr>
              <w:t xml:space="preserve">: </w:t>
            </w:r>
            <w:r>
              <w:rPr>
                <w:rStyle w:val="IndexLink"/>
                <w:rtl w:val="true"/>
              </w:rPr>
              <w:t>شرائط ولایة الأب و الجدّ علی أموال الصغار</w:t>
            </w:r>
            <w:r>
              <w:rPr>
                <w:rStyle w:val="IndexLink"/>
                <w:rtl w:val="true"/>
              </w:rPr>
              <w:tab/>
            </w:r>
            <w:r>
              <w:rPr>
                <w:rStyle w:val="IndexLink"/>
              </w:rPr>
              <w:t>197</w:t>
            </w:r>
          </w:hyperlink>
        </w:p>
        <w:p>
          <w:pPr>
            <w:pStyle w:val="Contents5"/>
            <w:tabs>
              <w:tab w:val="clear" w:pos="7892"/>
              <w:tab w:val="right" w:pos="9026" w:leader="dot"/>
            </w:tabs>
            <w:rPr/>
          </w:pPr>
          <w:hyperlink w:anchor="__RefHeading___Toc9482730_7370918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9482732_73709187">
            <w:r>
              <w:rPr>
                <w:webHidden/>
                <w:rStyle w:val="IndexLink"/>
                <w:rtl w:val="true"/>
              </w:rPr>
              <w:t>المطلب الأوّل</w:t>
            </w:r>
            <w:r>
              <w:rPr>
                <w:rStyle w:val="IndexLink"/>
                <w:rtl w:val="true"/>
              </w:rPr>
              <w:t xml:space="preserve">: </w:t>
            </w:r>
            <w:r>
              <w:rPr>
                <w:rStyle w:val="IndexLink"/>
                <w:rtl w:val="true"/>
              </w:rPr>
              <w:t>اشتراط العدالة</w:t>
            </w:r>
            <w:r>
              <w:rPr>
                <w:rStyle w:val="IndexLink"/>
                <w:rtl w:val="true"/>
              </w:rPr>
              <w:tab/>
            </w:r>
            <w:r>
              <w:rPr>
                <w:rStyle w:val="IndexLink"/>
              </w:rPr>
              <w:t>197</w:t>
            </w:r>
          </w:hyperlink>
        </w:p>
        <w:p>
          <w:pPr>
            <w:pStyle w:val="Contents6"/>
            <w:tabs>
              <w:tab w:val="clear" w:pos="7609"/>
              <w:tab w:val="right" w:pos="9026" w:leader="dot"/>
            </w:tabs>
            <w:rPr/>
          </w:pPr>
          <w:hyperlink w:anchor="__RefHeading___Toc9482734_73709187">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9482736_73709187">
            <w:r>
              <w:rPr>
                <w:webHidden/>
                <w:rStyle w:val="IndexLink"/>
                <w:rtl w:val="true"/>
              </w:rPr>
              <w:t>أقوال</w:t>
            </w:r>
            <w:r>
              <w:rPr>
                <w:rStyle w:val="IndexLink"/>
                <w:rtl w:val="true"/>
              </w:rPr>
              <w:t>:</w:t>
              <w:tab/>
            </w:r>
            <w:r>
              <w:rPr>
                <w:rStyle w:val="IndexLink"/>
              </w:rPr>
              <w:t>197</w:t>
            </w:r>
          </w:hyperlink>
        </w:p>
        <w:p>
          <w:pPr>
            <w:pStyle w:val="Contents6"/>
            <w:tabs>
              <w:tab w:val="clear" w:pos="7609"/>
              <w:tab w:val="right" w:pos="9026" w:leader="dot"/>
            </w:tabs>
            <w:rPr/>
          </w:pPr>
          <w:hyperlink w:anchor="__RefHeading___Toc9482738_73709187">
            <w:r>
              <w:rPr>
                <w:webHidden/>
                <w:rStyle w:val="IndexLink"/>
                <w:rtl w:val="true"/>
              </w:rPr>
              <w:t>القول الأوّل</w:t>
            </w:r>
            <w:r>
              <w:rPr>
                <w:rStyle w:val="IndexLink"/>
                <w:rtl w:val="true"/>
              </w:rPr>
              <w:t xml:space="preserve">: </w:t>
            </w:r>
            <w:r>
              <w:rPr>
                <w:rStyle w:val="IndexLink"/>
                <w:rtl w:val="true"/>
              </w:rPr>
              <w:t>أنّه یعتبر فی موضوع ولایة الأب و الجدّ العدالة</w:t>
            </w:r>
            <w:r>
              <w:rPr>
                <w:rStyle w:val="IndexLink"/>
                <w:rtl w:val="true"/>
              </w:rPr>
              <w:tab/>
            </w:r>
            <w:r>
              <w:rPr>
                <w:rStyle w:val="IndexLink"/>
              </w:rPr>
              <w:t>197</w:t>
            </w:r>
          </w:hyperlink>
        </w:p>
        <w:p>
          <w:pPr>
            <w:pStyle w:val="Contents6"/>
            <w:tabs>
              <w:tab w:val="clear" w:pos="7609"/>
              <w:tab w:val="right" w:pos="9026" w:leader="dot"/>
            </w:tabs>
            <w:rPr/>
          </w:pPr>
          <w:hyperlink w:anchor="__RefHeading___Toc9482740_73709187">
            <w:r>
              <w:rPr>
                <w:webHidden/>
                <w:rStyle w:val="IndexLink"/>
                <w:rtl w:val="true"/>
              </w:rPr>
              <w:t>أدلّة هذا الشرط‌</w:t>
            </w:r>
            <w:r>
              <w:rPr>
                <w:rStyle w:val="IndexLink"/>
                <w:rtl w:val="true"/>
              </w:rPr>
              <w:tab/>
            </w:r>
            <w:r>
              <w:rPr>
                <w:rStyle w:val="IndexLink"/>
              </w:rPr>
              <w:t>198</w:t>
            </w:r>
          </w:hyperlink>
        </w:p>
        <w:p>
          <w:pPr>
            <w:pStyle w:val="Contents6"/>
            <w:tabs>
              <w:tab w:val="clear" w:pos="7609"/>
              <w:tab w:val="right" w:pos="9026" w:leader="dot"/>
            </w:tabs>
            <w:rPr/>
          </w:pPr>
          <w:hyperlink w:anchor="__RefHeading___Toc9482742_73709187">
            <w:r>
              <w:rPr>
                <w:webHidden/>
                <w:rStyle w:val="IndexLink"/>
                <w:rtl w:val="true"/>
              </w:rPr>
              <w:t>الجواب عن الاستدلال بآیة النبأ</w:t>
            </w:r>
            <w:r>
              <w:rPr>
                <w:rStyle w:val="IndexLink"/>
                <w:rtl w:val="true"/>
              </w:rPr>
              <w:tab/>
            </w:r>
            <w:r>
              <w:rPr>
                <w:rStyle w:val="IndexLink"/>
              </w:rPr>
              <w:t>201</w:t>
            </w:r>
          </w:hyperlink>
        </w:p>
        <w:p>
          <w:pPr>
            <w:pStyle w:val="Contents6"/>
            <w:tabs>
              <w:tab w:val="clear" w:pos="7609"/>
              <w:tab w:val="right" w:pos="9026" w:leader="dot"/>
            </w:tabs>
            <w:rPr/>
          </w:pPr>
          <w:hyperlink w:anchor="__RefHeading___Toc9482744_73709187">
            <w:r>
              <w:rPr>
                <w:webHidden/>
                <w:rStyle w:val="IndexLink"/>
                <w:rtl w:val="true"/>
              </w:rPr>
              <w:t>إیضاحٌ‌</w:t>
            </w:r>
            <w:r>
              <w:rPr>
                <w:rStyle w:val="IndexLink"/>
                <w:rtl w:val="true"/>
              </w:rPr>
              <w:tab/>
            </w:r>
            <w:r>
              <w:rPr>
                <w:rStyle w:val="IndexLink"/>
              </w:rPr>
              <w:t>203</w:t>
            </w:r>
          </w:hyperlink>
        </w:p>
        <w:p>
          <w:pPr>
            <w:pStyle w:val="Contents6"/>
            <w:tabs>
              <w:tab w:val="clear" w:pos="7609"/>
              <w:tab w:val="right" w:pos="9026" w:leader="dot"/>
            </w:tabs>
            <w:rPr/>
          </w:pPr>
          <w:hyperlink w:anchor="__RefHeading___Toc9482746_73709187">
            <w:r>
              <w:rPr>
                <w:webHidden/>
                <w:rStyle w:val="IndexLink"/>
                <w:rtl w:val="true"/>
              </w:rPr>
              <w:t>القول الثانی عدم اشتراط العدالة فی ثبوت الولایة للأب و الجدّ</w:t>
            </w:r>
            <w:r>
              <w:rPr>
                <w:rStyle w:val="IndexLink"/>
                <w:rtl w:val="true"/>
              </w:rPr>
              <w:tab/>
            </w:r>
            <w:r>
              <w:rPr>
                <w:rStyle w:val="IndexLink"/>
              </w:rPr>
              <w:t>204</w:t>
            </w:r>
          </w:hyperlink>
        </w:p>
        <w:p>
          <w:pPr>
            <w:pStyle w:val="Contents6"/>
            <w:tabs>
              <w:tab w:val="clear" w:pos="7609"/>
              <w:tab w:val="right" w:pos="9026" w:leader="dot"/>
            </w:tabs>
            <w:rPr/>
          </w:pPr>
          <w:hyperlink w:anchor="__RefHeading___Toc9482748_73709187">
            <w:r>
              <w:rPr>
                <w:webHidden/>
                <w:rStyle w:val="IndexLink"/>
                <w:rtl w:val="true"/>
              </w:rPr>
              <w:t>أدلّة قول الثانی</w:t>
            </w:r>
            <w:r>
              <w:rPr>
                <w:rStyle w:val="IndexLink"/>
                <w:rtl w:val="true"/>
              </w:rPr>
              <w:tab/>
            </w:r>
            <w:r>
              <w:rPr>
                <w:rStyle w:val="IndexLink"/>
              </w:rPr>
              <w:t>205</w:t>
            </w:r>
          </w:hyperlink>
        </w:p>
        <w:p>
          <w:pPr>
            <w:pStyle w:val="Contents6"/>
            <w:tabs>
              <w:tab w:val="clear" w:pos="7609"/>
              <w:tab w:val="right" w:pos="9026" w:leader="dot"/>
            </w:tabs>
            <w:rPr/>
          </w:pPr>
          <w:hyperlink w:anchor="__RefHeading___Toc9482750_73709187">
            <w:r>
              <w:rPr>
                <w:webHidden/>
                <w:rStyle w:val="IndexLink"/>
                <w:rtl w:val="true"/>
              </w:rPr>
              <w:t>القول الثالث</w:t>
            </w:r>
            <w:r>
              <w:rPr>
                <w:rStyle w:val="IndexLink"/>
                <w:rtl w:val="true"/>
              </w:rPr>
              <w:t xml:space="preserve">: </w:t>
            </w:r>
            <w:r>
              <w:rPr>
                <w:rStyle w:val="IndexLink"/>
                <w:rtl w:val="true"/>
              </w:rPr>
              <w:t>التوقّف فی المسألة</w:t>
            </w:r>
            <w:r>
              <w:rPr>
                <w:rStyle w:val="IndexLink"/>
                <w:rtl w:val="true"/>
              </w:rPr>
              <w:tab/>
            </w:r>
            <w:r>
              <w:rPr>
                <w:rStyle w:val="IndexLink"/>
              </w:rPr>
              <w:t>211</w:t>
            </w:r>
          </w:hyperlink>
        </w:p>
        <w:p>
          <w:pPr>
            <w:pStyle w:val="Contents6"/>
            <w:tabs>
              <w:tab w:val="clear" w:pos="7609"/>
              <w:tab w:val="right" w:pos="9026" w:leader="dot"/>
            </w:tabs>
            <w:rPr/>
          </w:pPr>
          <w:hyperlink w:anchor="__RefHeading___Toc9482752_73709187">
            <w:r>
              <w:rPr>
                <w:webHidden/>
                <w:rStyle w:val="IndexLink"/>
                <w:rtl w:val="true"/>
              </w:rPr>
              <w:t>اشتراط العدالة فی الولایة علی الأموال، عند بعض أهل السنّة</w:t>
            </w:r>
            <w:r>
              <w:rPr>
                <w:rStyle w:val="IndexLink"/>
                <w:rtl w:val="true"/>
              </w:rPr>
              <w:tab/>
            </w:r>
            <w:r>
              <w:rPr>
                <w:rStyle w:val="IndexLink"/>
              </w:rPr>
              <w:t>212</w:t>
            </w:r>
          </w:hyperlink>
        </w:p>
        <w:p>
          <w:pPr>
            <w:pStyle w:val="Contents5"/>
            <w:tabs>
              <w:tab w:val="clear" w:pos="7892"/>
              <w:tab w:val="right" w:pos="9026" w:leader="dot"/>
            </w:tabs>
            <w:rPr/>
          </w:pPr>
          <w:hyperlink w:anchor="__RefHeading___Toc9482754_73709187">
            <w:r>
              <w:rPr>
                <w:webHidden/>
                <w:rStyle w:val="IndexLink"/>
                <w:rtl w:val="true"/>
              </w:rPr>
              <w:t>المطلب الثانی</w:t>
            </w:r>
            <w:r>
              <w:rPr>
                <w:rStyle w:val="IndexLink"/>
                <w:rtl w:val="true"/>
              </w:rPr>
              <w:t xml:space="preserve">: </w:t>
            </w:r>
            <w:r>
              <w:rPr>
                <w:rStyle w:val="IndexLink"/>
                <w:rtl w:val="true"/>
              </w:rPr>
              <w:t>اشتراط المصلحة أو عدم المفسدة</w:t>
            </w:r>
            <w:r>
              <w:rPr>
                <w:rStyle w:val="IndexLink"/>
                <w:rtl w:val="true"/>
              </w:rPr>
              <w:tab/>
            </w:r>
            <w:r>
              <w:rPr>
                <w:rStyle w:val="IndexLink"/>
              </w:rPr>
              <w:t>213</w:t>
            </w:r>
          </w:hyperlink>
        </w:p>
        <w:p>
          <w:pPr>
            <w:pStyle w:val="Contents6"/>
            <w:tabs>
              <w:tab w:val="clear" w:pos="7609"/>
              <w:tab w:val="right" w:pos="9026" w:leader="dot"/>
            </w:tabs>
            <w:rPr/>
          </w:pPr>
          <w:hyperlink w:anchor="__RefHeading___Toc9482756_7370918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9482758_73709187">
            <w:r>
              <w:rPr>
                <w:webHidden/>
                <w:rStyle w:val="IndexLink"/>
                <w:rtl w:val="true"/>
              </w:rPr>
              <w:t>کون نفوذ تصرّفات الأب و الجدّ منوطاً بعدم المفسدة</w:t>
            </w:r>
            <w:r>
              <w:rPr>
                <w:rStyle w:val="IndexLink"/>
                <w:rtl w:val="true"/>
              </w:rPr>
              <w:tab/>
            </w:r>
            <w:r>
              <w:rPr>
                <w:rStyle w:val="IndexLink"/>
              </w:rPr>
              <w:t>215</w:t>
            </w:r>
          </w:hyperlink>
        </w:p>
        <w:p>
          <w:pPr>
            <w:pStyle w:val="Contents6"/>
            <w:tabs>
              <w:tab w:val="clear" w:pos="7609"/>
              <w:tab w:val="right" w:pos="9026" w:leader="dot"/>
            </w:tabs>
            <w:rPr/>
          </w:pPr>
          <w:hyperlink w:anchor="__RefHeading___Toc9482760_73709187">
            <w:r>
              <w:rPr>
                <w:webHidden/>
                <w:rStyle w:val="IndexLink"/>
                <w:rtl w:val="true"/>
              </w:rPr>
              <w:t>تصرّفات الولیّ مشروطٌ بالمصلحة</w:t>
            </w:r>
            <w:r>
              <w:rPr>
                <w:rStyle w:val="IndexLink"/>
                <w:rtl w:val="true"/>
              </w:rPr>
              <w:tab/>
            </w:r>
            <w:r>
              <w:rPr>
                <w:rStyle w:val="IndexLink"/>
              </w:rPr>
              <w:t>218</w:t>
            </w:r>
          </w:hyperlink>
        </w:p>
        <w:p>
          <w:pPr>
            <w:pStyle w:val="Contents6"/>
            <w:tabs>
              <w:tab w:val="clear" w:pos="7609"/>
              <w:tab w:val="right" w:pos="9026" w:leader="dot"/>
            </w:tabs>
            <w:rPr/>
          </w:pPr>
          <w:hyperlink w:anchor="__RefHeading___Toc9482762_73709187">
            <w:r>
              <w:rPr>
                <w:webHidden/>
                <w:rStyle w:val="IndexLink"/>
                <w:rtl w:val="true"/>
              </w:rPr>
              <w:t>أدلّة اعتبار المصلحة فی تصرّفات الأب و الجدّ</w:t>
            </w:r>
            <w:r>
              <w:rPr>
                <w:rStyle w:val="IndexLink"/>
                <w:rtl w:val="true"/>
              </w:rPr>
              <w:tab/>
            </w:r>
            <w:r>
              <w:rPr>
                <w:rStyle w:val="IndexLink"/>
              </w:rPr>
              <w:t>219</w:t>
            </w:r>
          </w:hyperlink>
        </w:p>
        <w:p>
          <w:pPr>
            <w:pStyle w:val="Contents6"/>
            <w:tabs>
              <w:tab w:val="clear" w:pos="7609"/>
              <w:tab w:val="right" w:pos="9026" w:leader="dot"/>
            </w:tabs>
            <w:rPr/>
          </w:pPr>
          <w:hyperlink w:anchor="__RefHeading___Toc9482764_73709187">
            <w:r>
              <w:rPr>
                <w:webHidden/>
                <w:rStyle w:val="IndexLink"/>
                <w:rtl w:val="true"/>
              </w:rPr>
              <w:t>مناقشة الشیخ الأعظم علی الاستدلال بالآیة و الجواب عنه</w:t>
            </w:r>
            <w:r>
              <w:rPr>
                <w:rStyle w:val="IndexLink"/>
                <w:rtl w:val="true"/>
              </w:rPr>
              <w:tab/>
            </w:r>
            <w:r>
              <w:rPr>
                <w:rStyle w:val="IndexLink"/>
              </w:rPr>
              <w:t>223</w:t>
            </w:r>
          </w:hyperlink>
        </w:p>
        <w:p>
          <w:pPr>
            <w:pStyle w:val="Contents6"/>
            <w:tabs>
              <w:tab w:val="clear" w:pos="7609"/>
              <w:tab w:val="right" w:pos="9026" w:leader="dot"/>
            </w:tabs>
            <w:rPr/>
          </w:pPr>
          <w:hyperlink w:anchor="__RefHeading___Toc9482766_73709187">
            <w:r>
              <w:rPr>
                <w:webHidden/>
                <w:rStyle w:val="IndexLink"/>
                <w:rtl w:val="true"/>
              </w:rPr>
              <w:t>اشتراط إحراز المصلحة أو عدم المفسدة</w:t>
            </w:r>
            <w:r>
              <w:rPr>
                <w:rStyle w:val="IndexLink"/>
                <w:rtl w:val="true"/>
              </w:rPr>
              <w:tab/>
            </w:r>
            <w:r>
              <w:rPr>
                <w:rStyle w:val="IndexLink"/>
              </w:rPr>
              <w:t>227</w:t>
            </w:r>
          </w:hyperlink>
        </w:p>
        <w:p>
          <w:pPr>
            <w:pStyle w:val="Contents6"/>
            <w:tabs>
              <w:tab w:val="clear" w:pos="7609"/>
              <w:tab w:val="right" w:pos="9026" w:leader="dot"/>
            </w:tabs>
            <w:rPr/>
          </w:pPr>
          <w:hyperlink w:anchor="__RefHeading___Toc9482768_73709187">
            <w:r>
              <w:rPr>
                <w:webHidden/>
                <w:rStyle w:val="IndexLink"/>
                <w:rtl w:val="true"/>
              </w:rPr>
              <w:t>آراء جمهور أهل السنّة فی مسائل هذا البحث</w:t>
            </w:r>
            <w:r>
              <w:rPr>
                <w:rStyle w:val="IndexLink"/>
                <w:rtl w:val="true"/>
              </w:rPr>
              <w:tab/>
            </w:r>
            <w:r>
              <w:rPr>
                <w:rStyle w:val="IndexLink"/>
              </w:rPr>
              <w:t>229</w:t>
            </w:r>
          </w:hyperlink>
        </w:p>
        <w:p>
          <w:pPr>
            <w:pStyle w:val="Contents4"/>
            <w:tabs>
              <w:tab w:val="clear" w:pos="8176"/>
              <w:tab w:val="right" w:pos="9026" w:leader="dot"/>
            </w:tabs>
            <w:rPr/>
          </w:pPr>
          <w:hyperlink w:anchor="__RefHeading___Toc9482770_73709187">
            <w:r>
              <w:rPr>
                <w:webHidden/>
                <w:rStyle w:val="IndexLink"/>
                <w:rtl w:val="true"/>
              </w:rPr>
              <w:t>المبحث الرابع</w:t>
            </w:r>
            <w:r>
              <w:rPr>
                <w:rStyle w:val="IndexLink"/>
                <w:rtl w:val="true"/>
              </w:rPr>
              <w:t xml:space="preserve">: </w:t>
            </w:r>
            <w:r>
              <w:rPr>
                <w:rStyle w:val="IndexLink"/>
                <w:rtl w:val="true"/>
              </w:rPr>
              <w:t>ولایة الوصیّ علی أموال الصغار</w:t>
            </w:r>
            <w:r>
              <w:rPr>
                <w:rStyle w:val="IndexLink"/>
                <w:rtl w:val="true"/>
              </w:rPr>
              <w:tab/>
            </w:r>
            <w:r>
              <w:rPr>
                <w:rStyle w:val="IndexLink"/>
              </w:rPr>
              <w:t>231</w:t>
            </w:r>
          </w:hyperlink>
        </w:p>
        <w:p>
          <w:pPr>
            <w:pStyle w:val="Contents5"/>
            <w:tabs>
              <w:tab w:val="clear" w:pos="7892"/>
              <w:tab w:val="right" w:pos="9026" w:leader="dot"/>
            </w:tabs>
            <w:rPr/>
          </w:pPr>
          <w:hyperlink w:anchor="__RefHeading___Toc9482772_7370918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9482774_73709187">
            <w:r>
              <w:rPr>
                <w:webHidden/>
                <w:rStyle w:val="IndexLink"/>
                <w:rtl w:val="true"/>
              </w:rPr>
              <w:t>المطلب الأوّل</w:t>
            </w:r>
            <w:r>
              <w:rPr>
                <w:rStyle w:val="IndexLink"/>
                <w:rtl w:val="true"/>
              </w:rPr>
              <w:t xml:space="preserve">: </w:t>
            </w:r>
            <w:r>
              <w:rPr>
                <w:rStyle w:val="IndexLink"/>
                <w:rtl w:val="true"/>
              </w:rPr>
              <w:t>ولایة الوصیّ و أدلّتها</w:t>
            </w:r>
            <w:r>
              <w:rPr>
                <w:rStyle w:val="IndexLink"/>
                <w:rtl w:val="true"/>
              </w:rPr>
              <w:tab/>
            </w:r>
            <w:r>
              <w:rPr>
                <w:rStyle w:val="IndexLink"/>
              </w:rPr>
              <w:t>231</w:t>
            </w:r>
          </w:hyperlink>
        </w:p>
        <w:p>
          <w:pPr>
            <w:pStyle w:val="Contents6"/>
            <w:tabs>
              <w:tab w:val="clear" w:pos="7609"/>
              <w:tab w:val="right" w:pos="9026" w:leader="dot"/>
            </w:tabs>
            <w:rPr/>
          </w:pPr>
          <w:hyperlink w:anchor="__RefHeading___Toc9482776_73709187">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9482778_73709187">
            <w:r>
              <w:rPr>
                <w:webHidden/>
                <w:rStyle w:val="IndexLink"/>
                <w:rtl w:val="true"/>
              </w:rPr>
              <w:t>أدلّة ولایة الوصی علی أموال الصغار</w:t>
            </w:r>
            <w:r>
              <w:rPr>
                <w:rStyle w:val="IndexLink"/>
                <w:rtl w:val="true"/>
              </w:rPr>
              <w:tab/>
            </w:r>
            <w:r>
              <w:rPr>
                <w:rStyle w:val="IndexLink"/>
              </w:rPr>
              <w:t>232</w:t>
            </w:r>
          </w:hyperlink>
        </w:p>
        <w:p>
          <w:pPr>
            <w:pStyle w:val="Contents6"/>
            <w:tabs>
              <w:tab w:val="clear" w:pos="7609"/>
              <w:tab w:val="right" w:pos="9026" w:leader="dot"/>
            </w:tabs>
            <w:rPr/>
          </w:pPr>
          <w:hyperlink w:anchor="__RefHeading___Toc9482780_73709187">
            <w:r>
              <w:rPr>
                <w:webHidden/>
                <w:rStyle w:val="IndexLink"/>
                <w:rtl w:val="true"/>
              </w:rPr>
              <w:t>آراء فقهاء أهل السنّة فی ولایة الوصیّ علی أموال الصغار</w:t>
            </w:r>
            <w:r>
              <w:rPr>
                <w:rStyle w:val="IndexLink"/>
                <w:rtl w:val="true"/>
              </w:rPr>
              <w:tab/>
            </w:r>
            <w:r>
              <w:rPr>
                <w:rStyle w:val="IndexLink"/>
              </w:rPr>
              <w:t>235</w:t>
            </w:r>
          </w:hyperlink>
        </w:p>
        <w:p>
          <w:pPr>
            <w:pStyle w:val="Contents5"/>
            <w:tabs>
              <w:tab w:val="clear" w:pos="7892"/>
              <w:tab w:val="right" w:pos="9026" w:leader="dot"/>
            </w:tabs>
            <w:rPr/>
          </w:pPr>
          <w:hyperlink w:anchor="__RefHeading___Toc9482782_73709187">
            <w:r>
              <w:rPr>
                <w:webHidden/>
                <w:rStyle w:val="IndexLink"/>
                <w:rtl w:val="true"/>
              </w:rPr>
              <w:t>المطلب الثانی</w:t>
            </w:r>
            <w:r>
              <w:rPr>
                <w:rStyle w:val="IndexLink"/>
                <w:rtl w:val="true"/>
              </w:rPr>
              <w:t xml:space="preserve">: </w:t>
            </w:r>
            <w:r>
              <w:rPr>
                <w:rStyle w:val="IndexLink"/>
                <w:rtl w:val="true"/>
              </w:rPr>
              <w:t>فی بیان شرائطها</w:t>
            </w:r>
            <w:r>
              <w:rPr>
                <w:rStyle w:val="IndexLink"/>
                <w:rtl w:val="true"/>
              </w:rPr>
              <w:t>:</w:t>
              <w:tab/>
            </w:r>
            <w:r>
              <w:rPr>
                <w:rStyle w:val="IndexLink"/>
              </w:rPr>
              <w:t>238</w:t>
            </w:r>
          </w:hyperlink>
        </w:p>
        <w:p>
          <w:pPr>
            <w:pStyle w:val="Contents6"/>
            <w:tabs>
              <w:tab w:val="clear" w:pos="7609"/>
              <w:tab w:val="right" w:pos="9026" w:leader="dot"/>
            </w:tabs>
            <w:rPr/>
          </w:pPr>
          <w:hyperlink w:anchor="__RefHeading___Toc9482784_73709187">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9482786_73709187">
            <w:r>
              <w:rPr>
                <w:webHidden/>
                <w:rStyle w:val="IndexLink"/>
                <w:rtl w:val="true"/>
              </w:rPr>
              <w:t>اشتراط تصرّفات الوصیّ للمصلحة عند أهل السنّة</w:t>
            </w:r>
            <w:r>
              <w:rPr>
                <w:rStyle w:val="IndexLink"/>
                <w:rtl w:val="true"/>
              </w:rPr>
              <w:tab/>
            </w:r>
            <w:r>
              <w:rPr>
                <w:rStyle w:val="IndexLink"/>
              </w:rPr>
              <w:t>239</w:t>
            </w:r>
          </w:hyperlink>
        </w:p>
        <w:p>
          <w:pPr>
            <w:pStyle w:val="Contents4"/>
            <w:tabs>
              <w:tab w:val="clear" w:pos="8176"/>
              <w:tab w:val="right" w:pos="9026" w:leader="dot"/>
            </w:tabs>
            <w:rPr/>
          </w:pPr>
          <w:hyperlink w:anchor="__RefHeading___Toc9482788_73709187">
            <w:r>
              <w:rPr>
                <w:webHidden/>
                <w:rStyle w:val="IndexLink"/>
                <w:rtl w:val="true"/>
              </w:rPr>
              <w:t>المبحث الخامس</w:t>
            </w:r>
            <w:r>
              <w:rPr>
                <w:rStyle w:val="IndexLink"/>
                <w:rtl w:val="true"/>
              </w:rPr>
              <w:t xml:space="preserve">: </w:t>
            </w:r>
            <w:r>
              <w:rPr>
                <w:rStyle w:val="IndexLink"/>
                <w:rtl w:val="true"/>
              </w:rPr>
              <w:t>نفوذ تصرفات الوکیل علی أموال الصغار</w:t>
            </w:r>
            <w:r>
              <w:rPr>
                <w:rStyle w:val="IndexLink"/>
                <w:rtl w:val="true"/>
              </w:rPr>
              <w:tab/>
            </w:r>
            <w:r>
              <w:rPr>
                <w:rStyle w:val="IndexLink"/>
              </w:rPr>
              <w:t>241</w:t>
            </w:r>
          </w:hyperlink>
        </w:p>
        <w:p>
          <w:pPr>
            <w:pStyle w:val="Contents3"/>
            <w:tabs>
              <w:tab w:val="clear" w:pos="8459"/>
              <w:tab w:val="right" w:pos="9026" w:leader="dot"/>
            </w:tabs>
            <w:rPr/>
          </w:pPr>
          <w:hyperlink w:anchor="__RefHeading___Toc9482790_73709187">
            <w:r>
              <w:rPr>
                <w:webHidden/>
                <w:rStyle w:val="IndexLink"/>
                <w:rtl w:val="true"/>
              </w:rPr>
              <w:t>الفصل العاشر فی ولایة الحاکم، و القاضی و عدول المؤمنین علی أموال الصغار</w:t>
            </w:r>
            <w:r>
              <w:rPr>
                <w:rStyle w:val="IndexLink"/>
                <w:rtl w:val="true"/>
              </w:rPr>
              <w:tab/>
            </w:r>
            <w:r>
              <w:rPr>
                <w:rStyle w:val="IndexLink"/>
              </w:rPr>
              <w:t>243</w:t>
            </w:r>
          </w:hyperlink>
        </w:p>
        <w:p>
          <w:pPr>
            <w:pStyle w:val="Contents4"/>
            <w:tabs>
              <w:tab w:val="clear" w:pos="8176"/>
              <w:tab w:val="right" w:pos="9026" w:leader="dot"/>
            </w:tabs>
            <w:rPr/>
          </w:pPr>
          <w:hyperlink w:anchor="__RefHeading___Toc9482792_7370918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9482794_73709187">
            <w:r>
              <w:rPr>
                <w:webHidden/>
                <w:rStyle w:val="IndexLink"/>
                <w:rtl w:val="true"/>
              </w:rPr>
              <w:t>المبحث الأوّل</w:t>
            </w:r>
            <w:r>
              <w:rPr>
                <w:rStyle w:val="IndexLink"/>
                <w:rtl w:val="true"/>
              </w:rPr>
              <w:t xml:space="preserve">: </w:t>
            </w:r>
            <w:r>
              <w:rPr>
                <w:rStyle w:val="IndexLink"/>
                <w:rtl w:val="true"/>
              </w:rPr>
              <w:t>ولایة الحاکم</w:t>
            </w:r>
            <w:r>
              <w:rPr>
                <w:rStyle w:val="IndexLink"/>
                <w:rtl w:val="true"/>
              </w:rPr>
              <w:tab/>
            </w:r>
            <w:r>
              <w:rPr>
                <w:rStyle w:val="IndexLink"/>
              </w:rPr>
              <w:t>243</w:t>
            </w:r>
          </w:hyperlink>
        </w:p>
        <w:p>
          <w:pPr>
            <w:pStyle w:val="Contents5"/>
            <w:tabs>
              <w:tab w:val="clear" w:pos="7892"/>
              <w:tab w:val="right" w:pos="9026" w:leader="dot"/>
            </w:tabs>
            <w:rPr/>
          </w:pPr>
          <w:hyperlink w:anchor="__RefHeading___Toc9482796_7370918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9482798_73709187">
            <w:r>
              <w:rPr>
                <w:webHidden/>
                <w:rStyle w:val="IndexLink"/>
                <w:rtl w:val="true"/>
              </w:rPr>
              <w:t>أدلّة ولایة الحاکم علی أموال الصغار</w:t>
            </w:r>
            <w:r>
              <w:rPr>
                <w:rStyle w:val="IndexLink"/>
                <w:rtl w:val="true"/>
              </w:rPr>
              <w:tab/>
            </w:r>
            <w:r>
              <w:rPr>
                <w:rStyle w:val="IndexLink"/>
              </w:rPr>
              <w:t>246</w:t>
            </w:r>
          </w:hyperlink>
        </w:p>
        <w:p>
          <w:pPr>
            <w:pStyle w:val="Contents5"/>
            <w:tabs>
              <w:tab w:val="clear" w:pos="7892"/>
              <w:tab w:val="right" w:pos="9026" w:leader="dot"/>
            </w:tabs>
            <w:rPr/>
          </w:pPr>
          <w:hyperlink w:anchor="__RefHeading___Toc9482800_73709187">
            <w:r>
              <w:rPr>
                <w:webHidden/>
                <w:rStyle w:val="IndexLink"/>
                <w:rtl w:val="true"/>
              </w:rPr>
              <w:t>إیراد المحقّق الخوئی علی الاستدلال بالآیة و الجواب عنه</w:t>
            </w:r>
            <w:r>
              <w:rPr>
                <w:rStyle w:val="IndexLink"/>
                <w:rtl w:val="true"/>
              </w:rPr>
              <w:tab/>
            </w:r>
            <w:r>
              <w:rPr>
                <w:rStyle w:val="IndexLink"/>
              </w:rPr>
              <w:t>248</w:t>
            </w:r>
          </w:hyperlink>
        </w:p>
        <w:p>
          <w:pPr>
            <w:pStyle w:val="Contents5"/>
            <w:tabs>
              <w:tab w:val="clear" w:pos="7892"/>
              <w:tab w:val="right" w:pos="9026" w:leader="dot"/>
            </w:tabs>
            <w:rPr/>
          </w:pPr>
          <w:hyperlink w:anchor="__RefHeading___Toc9482802_73709187">
            <w:r>
              <w:rPr>
                <w:webHidden/>
                <w:rStyle w:val="IndexLink"/>
                <w:rtl w:val="true"/>
              </w:rPr>
              <w:t>الإیراد علی الاستدلال بالصحیحة و الجواب عنه</w:t>
            </w:r>
            <w:r>
              <w:rPr>
                <w:rStyle w:val="IndexLink"/>
                <w:rtl w:val="true"/>
              </w:rPr>
              <w:tab/>
            </w:r>
            <w:r>
              <w:rPr>
                <w:rStyle w:val="IndexLink"/>
              </w:rPr>
              <w:t>254</w:t>
            </w:r>
          </w:hyperlink>
        </w:p>
        <w:p>
          <w:pPr>
            <w:pStyle w:val="Contents5"/>
            <w:tabs>
              <w:tab w:val="clear" w:pos="7892"/>
              <w:tab w:val="right" w:pos="9026" w:leader="dot"/>
            </w:tabs>
            <w:rPr/>
          </w:pPr>
          <w:hyperlink w:anchor="__RefHeading___Toc9482804_73709187">
            <w:r>
              <w:rPr>
                <w:webHidden/>
                <w:rStyle w:val="IndexLink"/>
                <w:rtl w:val="true"/>
              </w:rPr>
              <w:t>جواز التصرّف فی أموال الصغار حسبةً‌</w:t>
            </w:r>
            <w:r>
              <w:rPr>
                <w:rStyle w:val="IndexLink"/>
                <w:rtl w:val="true"/>
              </w:rPr>
              <w:tab/>
            </w:r>
            <w:r>
              <w:rPr>
                <w:rStyle w:val="IndexLink"/>
              </w:rPr>
              <w:t>267</w:t>
            </w:r>
          </w:hyperlink>
        </w:p>
        <w:p>
          <w:pPr>
            <w:pStyle w:val="Contents5"/>
            <w:tabs>
              <w:tab w:val="clear" w:pos="7892"/>
              <w:tab w:val="right" w:pos="9026" w:leader="dot"/>
            </w:tabs>
            <w:rPr/>
          </w:pPr>
          <w:hyperlink w:anchor="__RefHeading___Toc9482806_73709187">
            <w:r>
              <w:rPr>
                <w:webHidden/>
                <w:rStyle w:val="IndexLink"/>
                <w:rtl w:val="true"/>
              </w:rPr>
              <w:t>ولایة الحاکم علی أموال الصبیّ عند فقهاء أهل السنّة</w:t>
            </w:r>
            <w:r>
              <w:rPr>
                <w:rStyle w:val="IndexLink"/>
                <w:rtl w:val="true"/>
              </w:rPr>
              <w:tab/>
            </w:r>
            <w:r>
              <w:rPr>
                <w:rStyle w:val="IndexLink"/>
              </w:rPr>
              <w:t>269</w:t>
            </w:r>
          </w:hyperlink>
        </w:p>
        <w:p>
          <w:pPr>
            <w:pStyle w:val="Contents4"/>
            <w:tabs>
              <w:tab w:val="clear" w:pos="8176"/>
              <w:tab w:val="right" w:pos="9026" w:leader="dot"/>
            </w:tabs>
            <w:rPr/>
          </w:pPr>
          <w:hyperlink w:anchor="__RefHeading___Toc9482808_73709187">
            <w:r>
              <w:rPr>
                <w:webHidden/>
                <w:rStyle w:val="IndexLink"/>
                <w:rtl w:val="true"/>
              </w:rPr>
              <w:t>المبحث الثانی</w:t>
            </w:r>
            <w:r>
              <w:rPr>
                <w:rStyle w:val="IndexLink"/>
                <w:rtl w:val="true"/>
              </w:rPr>
              <w:t xml:space="preserve">: </w:t>
            </w:r>
            <w:r>
              <w:rPr>
                <w:rStyle w:val="IndexLink"/>
                <w:rtl w:val="true"/>
              </w:rPr>
              <w:t>اعتبار المصلحة فی تصرّفات الحاکم و أمینه</w:t>
            </w:r>
            <w:r>
              <w:rPr>
                <w:rStyle w:val="IndexLink"/>
                <w:rtl w:val="true"/>
              </w:rPr>
              <w:tab/>
            </w:r>
            <w:r>
              <w:rPr>
                <w:rStyle w:val="IndexLink"/>
              </w:rPr>
              <w:t>271</w:t>
            </w:r>
          </w:hyperlink>
        </w:p>
        <w:p>
          <w:pPr>
            <w:pStyle w:val="Contents5"/>
            <w:tabs>
              <w:tab w:val="clear" w:pos="7892"/>
              <w:tab w:val="right" w:pos="9026" w:leader="dot"/>
            </w:tabs>
            <w:rPr/>
          </w:pPr>
          <w:hyperlink w:anchor="__RefHeading___Toc9482810_7370918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9482812_73709187">
            <w:r>
              <w:rPr>
                <w:webHidden/>
                <w:rStyle w:val="IndexLink"/>
                <w:rtl w:val="true"/>
              </w:rPr>
              <w:t>فیه أقوال</w:t>
            </w:r>
            <w:r>
              <w:rPr>
                <w:rStyle w:val="IndexLink"/>
                <w:rtl w:val="true"/>
              </w:rPr>
              <w:t>:</w:t>
              <w:tab/>
            </w:r>
            <w:r>
              <w:rPr>
                <w:rStyle w:val="IndexLink"/>
              </w:rPr>
              <w:t>271</w:t>
            </w:r>
          </w:hyperlink>
        </w:p>
        <w:p>
          <w:pPr>
            <w:pStyle w:val="Contents6"/>
            <w:tabs>
              <w:tab w:val="clear" w:pos="7609"/>
              <w:tab w:val="right" w:pos="9026" w:leader="dot"/>
            </w:tabs>
            <w:rPr/>
          </w:pPr>
          <w:hyperlink w:anchor="__RefHeading___Toc9482814_73709187">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9482816_73709187">
            <w:r>
              <w:rPr>
                <w:webHidden/>
                <w:rStyle w:val="IndexLink"/>
                <w:rtl w:val="true"/>
              </w:rPr>
              <w:t>اعتبار المصلحة فی تصرّفات الحاکم</w:t>
            </w:r>
            <w:r>
              <w:rPr>
                <w:rStyle w:val="IndexLink"/>
                <w:rtl w:val="true"/>
              </w:rPr>
              <w:tab/>
            </w:r>
            <w:r>
              <w:rPr>
                <w:rStyle w:val="IndexLink"/>
              </w:rPr>
              <w:t>271</w:t>
            </w:r>
          </w:hyperlink>
        </w:p>
        <w:p>
          <w:pPr>
            <w:pStyle w:val="Contents6"/>
            <w:tabs>
              <w:tab w:val="clear" w:pos="7609"/>
              <w:tab w:val="right" w:pos="9026" w:leader="dot"/>
            </w:tabs>
            <w:rPr/>
          </w:pPr>
          <w:hyperlink w:anchor="__RefHeading___Toc9482818_73709187">
            <w:r>
              <w:rPr>
                <w:webHidden/>
                <w:rStyle w:val="IndexLink"/>
                <w:rtl w:val="true"/>
              </w:rPr>
              <w:t>أدلّة هذا الحکم</w:t>
            </w:r>
            <w:r>
              <w:rPr>
                <w:rStyle w:val="IndexLink"/>
                <w:rtl w:val="true"/>
              </w:rPr>
              <w:tab/>
            </w:r>
            <w:r>
              <w:rPr>
                <w:rStyle w:val="IndexLink"/>
              </w:rPr>
              <w:t>273</w:t>
            </w:r>
          </w:hyperlink>
        </w:p>
        <w:p>
          <w:pPr>
            <w:pStyle w:val="Contents6"/>
            <w:tabs>
              <w:tab w:val="clear" w:pos="7609"/>
              <w:tab w:val="right" w:pos="9026" w:leader="dot"/>
            </w:tabs>
            <w:rPr/>
          </w:pPr>
          <w:hyperlink w:anchor="__RefHeading___Toc9482820_73709187">
            <w:r>
              <w:rPr>
                <w:webHidden/>
                <w:rStyle w:val="IndexLink"/>
                <w:rtl w:val="true"/>
              </w:rPr>
              <w:t>الأوّل</w:t>
            </w:r>
            <w:r>
              <w:rPr>
                <w:rStyle w:val="IndexLink"/>
                <w:rtl w:val="true"/>
              </w:rPr>
              <w:t xml:space="preserve">: </w:t>
            </w:r>
            <w:r>
              <w:rPr>
                <w:rStyle w:val="IndexLink"/>
                <w:rtl w:val="true"/>
              </w:rPr>
              <w:t xml:space="preserve">الآیات </w:t>
            </w:r>
            <w:r>
              <w:rPr>
                <w:rStyle w:val="IndexLink"/>
                <w:rtl w:val="true"/>
              </w:rPr>
              <w:t>-:</w:t>
              <w:tab/>
            </w:r>
            <w:r>
              <w:rPr>
                <w:rStyle w:val="IndexLink"/>
              </w:rPr>
              <w:t>273</w:t>
            </w:r>
          </w:hyperlink>
        </w:p>
        <w:p>
          <w:pPr>
            <w:pStyle w:val="Contents6"/>
            <w:tabs>
              <w:tab w:val="clear" w:pos="7609"/>
              <w:tab w:val="right" w:pos="9026" w:leader="dot"/>
            </w:tabs>
            <w:rPr/>
          </w:pPr>
          <w:hyperlink w:anchor="__RefHeading___Toc9482822_73709187">
            <w:r>
              <w:rPr>
                <w:webHidden/>
                <w:rStyle w:val="IndexLink"/>
                <w:rtl w:val="true"/>
              </w:rPr>
              <w:t>الثانی</w:t>
            </w:r>
            <w:r>
              <w:rPr>
                <w:rStyle w:val="IndexLink"/>
                <w:rtl w:val="true"/>
              </w:rPr>
              <w:t xml:space="preserve">: </w:t>
            </w:r>
            <w:r>
              <w:rPr>
                <w:rStyle w:val="IndexLink"/>
                <w:rtl w:val="true"/>
              </w:rPr>
              <w:t xml:space="preserve">النصوص </w:t>
            </w:r>
            <w:r>
              <w:rPr>
                <w:rStyle w:val="IndexLink"/>
                <w:rtl w:val="true"/>
              </w:rPr>
              <w:t>-:</w:t>
              <w:tab/>
            </w:r>
            <w:r>
              <w:rPr>
                <w:rStyle w:val="IndexLink"/>
              </w:rPr>
              <w:t>275</w:t>
            </w:r>
          </w:hyperlink>
        </w:p>
        <w:p>
          <w:pPr>
            <w:pStyle w:val="Contents6"/>
            <w:tabs>
              <w:tab w:val="clear" w:pos="7609"/>
              <w:tab w:val="right" w:pos="9026" w:leader="dot"/>
            </w:tabs>
            <w:rPr/>
          </w:pPr>
          <w:hyperlink w:anchor="__RefHeading___Toc9482824_73709187">
            <w:r>
              <w:rPr>
                <w:webHidden/>
                <w:rStyle w:val="IndexLink"/>
                <w:rtl w:val="true"/>
              </w:rPr>
              <w:t>توهّم التعارض و الجواب عنه</w:t>
            </w:r>
            <w:r>
              <w:rPr>
                <w:rStyle w:val="IndexLink"/>
                <w:rtl w:val="true"/>
              </w:rPr>
              <w:tab/>
            </w:r>
            <w:r>
              <w:rPr>
                <w:rStyle w:val="IndexLink"/>
              </w:rPr>
              <w:t>278</w:t>
            </w:r>
          </w:hyperlink>
        </w:p>
        <w:p>
          <w:pPr>
            <w:pStyle w:val="Contents6"/>
            <w:tabs>
              <w:tab w:val="clear" w:pos="7609"/>
              <w:tab w:val="right" w:pos="9026" w:leader="dot"/>
            </w:tabs>
            <w:rPr/>
          </w:pPr>
          <w:hyperlink w:anchor="__RefHeading___Toc9482826_73709187">
            <w:r>
              <w:rPr>
                <w:webHidden/>
                <w:rStyle w:val="IndexLink"/>
                <w:rtl w:val="true"/>
              </w:rPr>
              <w:t>فرعان</w:t>
            </w:r>
            <w:r>
              <w:rPr>
                <w:rStyle w:val="IndexLink"/>
                <w:rtl w:val="true"/>
              </w:rPr>
              <w:tab/>
            </w:r>
            <w:r>
              <w:rPr>
                <w:rStyle w:val="IndexLink"/>
              </w:rPr>
              <w:t>280</w:t>
            </w:r>
          </w:hyperlink>
        </w:p>
        <w:p>
          <w:pPr>
            <w:pStyle w:val="Contents6"/>
            <w:tabs>
              <w:tab w:val="clear" w:pos="7609"/>
              <w:tab w:val="right" w:pos="9026" w:leader="dot"/>
            </w:tabs>
            <w:rPr/>
          </w:pPr>
          <w:hyperlink w:anchor="__RefHeading___Toc9482828_73709187">
            <w:r>
              <w:rPr>
                <w:webHidden/>
                <w:rStyle w:val="IndexLink"/>
                <w:rtl w:val="true"/>
              </w:rPr>
              <w:t>اعتبار الأصلحیّة فی تصرّفات الحاکم</w:t>
            </w:r>
            <w:r>
              <w:rPr>
                <w:rStyle w:val="IndexLink"/>
                <w:rtl w:val="true"/>
              </w:rPr>
              <w:tab/>
            </w:r>
            <w:r>
              <w:rPr>
                <w:rStyle w:val="IndexLink"/>
              </w:rPr>
              <w:t>285</w:t>
            </w:r>
          </w:hyperlink>
        </w:p>
        <w:p>
          <w:pPr>
            <w:pStyle w:val="Contents6"/>
            <w:tabs>
              <w:tab w:val="clear" w:pos="7609"/>
              <w:tab w:val="right" w:pos="9026" w:leader="dot"/>
            </w:tabs>
            <w:rPr/>
          </w:pPr>
          <w:hyperlink w:anchor="__RefHeading___Toc9482830_73709187">
            <w:r>
              <w:rPr>
                <w:webHidden/>
                <w:rStyle w:val="IndexLink"/>
                <w:rtl w:val="true"/>
              </w:rPr>
              <w:t>عدم اعتبار المصلحة فی تصرّفات الحاکم</w:t>
            </w:r>
            <w:r>
              <w:rPr>
                <w:rStyle w:val="IndexLink"/>
                <w:rtl w:val="true"/>
              </w:rPr>
              <w:tab/>
            </w:r>
            <w:r>
              <w:rPr>
                <w:rStyle w:val="IndexLink"/>
              </w:rPr>
              <w:t>288</w:t>
            </w:r>
          </w:hyperlink>
        </w:p>
        <w:p>
          <w:pPr>
            <w:pStyle w:val="Contents6"/>
            <w:tabs>
              <w:tab w:val="clear" w:pos="7609"/>
              <w:tab w:val="right" w:pos="9026" w:leader="dot"/>
            </w:tabs>
            <w:rPr/>
          </w:pPr>
          <w:hyperlink w:anchor="__RefHeading___Toc9482832_73709187">
            <w:r>
              <w:rPr>
                <w:webHidden/>
                <w:rStyle w:val="IndexLink"/>
                <w:rtl w:val="true"/>
              </w:rPr>
              <w:t>أدلّة هذا القول</w:t>
            </w:r>
            <w:r>
              <w:rPr>
                <w:rStyle w:val="IndexLink"/>
                <w:rtl w:val="true"/>
              </w:rPr>
              <w:tab/>
            </w:r>
            <w:r>
              <w:rPr>
                <w:rStyle w:val="IndexLink"/>
              </w:rPr>
              <w:t>288</w:t>
            </w:r>
          </w:hyperlink>
        </w:p>
        <w:p>
          <w:pPr>
            <w:pStyle w:val="Contents6"/>
            <w:tabs>
              <w:tab w:val="clear" w:pos="7609"/>
              <w:tab w:val="right" w:pos="9026" w:leader="dot"/>
            </w:tabs>
            <w:rPr/>
          </w:pPr>
          <w:hyperlink w:anchor="__RefHeading___Toc9482834_73709187">
            <w:r>
              <w:rPr>
                <w:webHidden/>
                <w:rStyle w:val="IndexLink"/>
                <w:rtl w:val="true"/>
              </w:rPr>
              <w:t>اعتبار المصلحة فی ولایة الحاکم عند فقهاء أهل السنّة</w:t>
            </w:r>
            <w:r>
              <w:rPr>
                <w:rStyle w:val="IndexLink"/>
                <w:rtl w:val="true"/>
              </w:rPr>
              <w:tab/>
            </w:r>
            <w:r>
              <w:rPr>
                <w:rStyle w:val="IndexLink"/>
              </w:rPr>
              <w:t>289</w:t>
            </w:r>
          </w:hyperlink>
        </w:p>
        <w:p>
          <w:pPr>
            <w:pStyle w:val="Contents4"/>
            <w:tabs>
              <w:tab w:val="clear" w:pos="8176"/>
              <w:tab w:val="right" w:pos="9026" w:leader="dot"/>
            </w:tabs>
            <w:rPr/>
          </w:pPr>
          <w:hyperlink w:anchor="__RefHeading___Toc9482836_73709187">
            <w:r>
              <w:rPr>
                <w:webHidden/>
                <w:rStyle w:val="IndexLink"/>
                <w:rtl w:val="true"/>
              </w:rPr>
              <w:t>المبحث الثالث</w:t>
            </w:r>
            <w:r>
              <w:rPr>
                <w:rStyle w:val="IndexLink"/>
                <w:rtl w:val="true"/>
              </w:rPr>
              <w:t xml:space="preserve">: </w:t>
            </w:r>
            <w:r>
              <w:rPr>
                <w:rStyle w:val="IndexLink"/>
                <w:rtl w:val="true"/>
              </w:rPr>
              <w:t>ولایة القضاة</w:t>
            </w:r>
            <w:r>
              <w:rPr>
                <w:rStyle w:val="IndexLink"/>
                <w:rtl w:val="true"/>
              </w:rPr>
              <w:tab/>
            </w:r>
            <w:r>
              <w:rPr>
                <w:rStyle w:val="IndexLink"/>
              </w:rPr>
              <w:t>292</w:t>
            </w:r>
          </w:hyperlink>
        </w:p>
        <w:p>
          <w:pPr>
            <w:pStyle w:val="Contents5"/>
            <w:tabs>
              <w:tab w:val="clear" w:pos="7892"/>
              <w:tab w:val="right" w:pos="9026" w:leader="dot"/>
            </w:tabs>
            <w:rPr/>
          </w:pPr>
          <w:hyperlink w:anchor="__RefHeading___Toc9482838_73709187">
            <w:r>
              <w:rPr>
                <w:webHidden/>
                <w:rStyle w:val="IndexLink"/>
                <w:rtl w:val="true"/>
              </w:rPr>
              <w:t>تمهید</w:t>
            </w:r>
            <w:r>
              <w:rPr>
                <w:rStyle w:val="IndexLink"/>
                <w:rtl w:val="true"/>
              </w:rPr>
              <w:tab/>
            </w:r>
            <w:r>
              <w:rPr>
                <w:rStyle w:val="IndexLink"/>
              </w:rPr>
              <w:t>292</w:t>
            </w:r>
          </w:hyperlink>
        </w:p>
        <w:p>
          <w:pPr>
            <w:pStyle w:val="Contents5"/>
            <w:tabs>
              <w:tab w:val="clear" w:pos="7892"/>
              <w:tab w:val="right" w:pos="9026" w:leader="dot"/>
            </w:tabs>
            <w:rPr/>
          </w:pPr>
          <w:hyperlink w:anchor="__RefHeading___Toc9482840_73709187">
            <w:r>
              <w:rPr>
                <w:webHidden/>
                <w:rStyle w:val="IndexLink"/>
                <w:rtl w:val="true"/>
              </w:rPr>
              <w:t>أدلّة ولایة القضاة علی أموال الصغار</w:t>
            </w:r>
            <w:r>
              <w:rPr>
                <w:rStyle w:val="IndexLink"/>
                <w:rtl w:val="true"/>
              </w:rPr>
              <w:tab/>
            </w:r>
            <w:r>
              <w:rPr>
                <w:rStyle w:val="IndexLink"/>
              </w:rPr>
              <w:t>295</w:t>
            </w:r>
          </w:hyperlink>
        </w:p>
        <w:p>
          <w:pPr>
            <w:pStyle w:val="Contents5"/>
            <w:tabs>
              <w:tab w:val="clear" w:pos="7892"/>
              <w:tab w:val="right" w:pos="9026" w:leader="dot"/>
            </w:tabs>
            <w:rPr/>
          </w:pPr>
          <w:hyperlink w:anchor="__RefHeading___Toc9482842_73709187">
            <w:r>
              <w:rPr>
                <w:webHidden/>
                <w:rStyle w:val="IndexLink"/>
                <w:rtl w:val="true"/>
              </w:rPr>
              <w:t>ولایة القضاة علی أموال الأیتام عند فقهاء أهل السنّة</w:t>
            </w:r>
            <w:r>
              <w:rPr>
                <w:rStyle w:val="IndexLink"/>
                <w:rtl w:val="true"/>
              </w:rPr>
              <w:tab/>
            </w:r>
            <w:r>
              <w:rPr>
                <w:rStyle w:val="IndexLink"/>
              </w:rPr>
              <w:t>300</w:t>
            </w:r>
          </w:hyperlink>
        </w:p>
        <w:p>
          <w:pPr>
            <w:pStyle w:val="Contents5"/>
            <w:tabs>
              <w:tab w:val="clear" w:pos="7892"/>
              <w:tab w:val="right" w:pos="9026" w:leader="dot"/>
            </w:tabs>
            <w:rPr/>
          </w:pPr>
          <w:hyperlink w:anchor="__RefHeading___Toc9482844_73709187">
            <w:r>
              <w:rPr>
                <w:webHidden/>
                <w:rStyle w:val="IndexLink"/>
                <w:rtl w:val="true"/>
              </w:rPr>
              <w:t>تذکرةٌ‌</w:t>
            </w:r>
            <w:r>
              <w:rPr>
                <w:rStyle w:val="IndexLink"/>
                <w:rtl w:val="true"/>
              </w:rPr>
              <w:tab/>
            </w:r>
            <w:r>
              <w:rPr>
                <w:rStyle w:val="IndexLink"/>
              </w:rPr>
              <w:t>301</w:t>
            </w:r>
          </w:hyperlink>
        </w:p>
        <w:p>
          <w:pPr>
            <w:pStyle w:val="Contents4"/>
            <w:tabs>
              <w:tab w:val="clear" w:pos="8176"/>
              <w:tab w:val="right" w:pos="9026" w:leader="dot"/>
            </w:tabs>
            <w:rPr/>
          </w:pPr>
          <w:hyperlink w:anchor="__RefHeading___Toc9482846_73709187">
            <w:r>
              <w:rPr>
                <w:webHidden/>
                <w:rStyle w:val="IndexLink"/>
                <w:rtl w:val="true"/>
              </w:rPr>
              <w:t>المبحث الرابع</w:t>
            </w:r>
            <w:r>
              <w:rPr>
                <w:rStyle w:val="IndexLink"/>
                <w:rtl w:val="true"/>
              </w:rPr>
              <w:t xml:space="preserve">: </w:t>
            </w:r>
            <w:r>
              <w:rPr>
                <w:rStyle w:val="IndexLink"/>
                <w:rtl w:val="true"/>
              </w:rPr>
              <w:t>ولایة عدول المؤمنین</w:t>
            </w:r>
            <w:r>
              <w:rPr>
                <w:rStyle w:val="IndexLink"/>
                <w:rtl w:val="true"/>
              </w:rPr>
              <w:tab/>
            </w:r>
            <w:r>
              <w:rPr>
                <w:rStyle w:val="IndexLink"/>
              </w:rPr>
              <w:t>303</w:t>
            </w:r>
          </w:hyperlink>
        </w:p>
        <w:p>
          <w:pPr>
            <w:pStyle w:val="Contents5"/>
            <w:tabs>
              <w:tab w:val="clear" w:pos="7892"/>
              <w:tab w:val="right" w:pos="9026" w:leader="dot"/>
            </w:tabs>
            <w:rPr/>
          </w:pPr>
          <w:hyperlink w:anchor="__RefHeading___Toc9482848_7370918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9482850_73709187">
            <w:r>
              <w:rPr>
                <w:webHidden/>
                <w:rStyle w:val="IndexLink"/>
                <w:rtl w:val="true"/>
              </w:rPr>
              <w:t>فیه أقوال</w:t>
            </w:r>
            <w:r>
              <w:rPr>
                <w:rStyle w:val="IndexLink"/>
                <w:rtl w:val="true"/>
              </w:rPr>
              <w:t>:</w:t>
              <w:tab/>
            </w:r>
            <w:r>
              <w:rPr>
                <w:rStyle w:val="IndexLink"/>
              </w:rPr>
              <w:t>303</w:t>
            </w:r>
          </w:hyperlink>
        </w:p>
        <w:p>
          <w:pPr>
            <w:pStyle w:val="Contents6"/>
            <w:tabs>
              <w:tab w:val="clear" w:pos="7609"/>
              <w:tab w:val="right" w:pos="9026" w:leader="dot"/>
            </w:tabs>
            <w:rPr/>
          </w:pPr>
          <w:hyperlink w:anchor="__RefHeading___Toc9482852_73709187">
            <w:r>
              <w:rPr>
                <w:webHidden/>
                <w:rStyle w:val="IndexLink"/>
                <w:rtl w:val="true"/>
              </w:rPr>
              <w:t>الأوّل</w:t>
            </w:r>
            <w:r>
              <w:rPr>
                <w:rStyle w:val="IndexLink"/>
                <w:rtl w:val="true"/>
              </w:rPr>
              <w:t xml:space="preserve">: </w:t>
            </w:r>
            <w:r>
              <w:rPr>
                <w:rStyle w:val="IndexLink"/>
                <w:rtl w:val="true"/>
              </w:rPr>
              <w:t>ثبوت الولایة لهم</w:t>
            </w:r>
            <w:r>
              <w:rPr>
                <w:rStyle w:val="IndexLink"/>
                <w:rtl w:val="true"/>
              </w:rPr>
              <w:tab/>
            </w:r>
            <w:r>
              <w:rPr>
                <w:rStyle w:val="IndexLink"/>
              </w:rPr>
              <w:t>303</w:t>
            </w:r>
          </w:hyperlink>
        </w:p>
        <w:p>
          <w:pPr>
            <w:pStyle w:val="Contents6"/>
            <w:tabs>
              <w:tab w:val="clear" w:pos="7609"/>
              <w:tab w:val="right" w:pos="9026" w:leader="dot"/>
            </w:tabs>
            <w:rPr/>
          </w:pPr>
          <w:hyperlink w:anchor="__RefHeading___Toc9482854_73709187">
            <w:r>
              <w:rPr>
                <w:webHidden/>
                <w:rStyle w:val="IndexLink"/>
                <w:rtl w:val="true"/>
              </w:rPr>
              <w:t>أدلّة هذا الحکم</w:t>
            </w:r>
            <w:r>
              <w:rPr>
                <w:rStyle w:val="IndexLink"/>
                <w:rtl w:val="true"/>
              </w:rPr>
              <w:tab/>
            </w:r>
            <w:r>
              <w:rPr>
                <w:rStyle w:val="IndexLink"/>
              </w:rPr>
              <w:t>307</w:t>
            </w:r>
          </w:hyperlink>
        </w:p>
        <w:p>
          <w:pPr>
            <w:pStyle w:val="Contents6"/>
            <w:tabs>
              <w:tab w:val="clear" w:pos="7609"/>
              <w:tab w:val="right" w:pos="9026" w:leader="dot"/>
            </w:tabs>
            <w:rPr/>
          </w:pPr>
          <w:hyperlink w:anchor="__RefHeading___Toc9482856_73709187">
            <w:r>
              <w:rPr>
                <w:webHidden/>
                <w:rStyle w:val="IndexLink"/>
                <w:rtl w:val="true"/>
              </w:rPr>
              <w:t>القول الثانی عدم ولایة عدول المؤمنین علی أموال الأیتام</w:t>
            </w:r>
            <w:r>
              <w:rPr>
                <w:rStyle w:val="IndexLink"/>
                <w:rtl w:val="true"/>
              </w:rPr>
              <w:tab/>
            </w:r>
            <w:r>
              <w:rPr>
                <w:rStyle w:val="IndexLink"/>
              </w:rPr>
              <w:t>314</w:t>
            </w:r>
          </w:hyperlink>
        </w:p>
        <w:p>
          <w:pPr>
            <w:pStyle w:val="Contents6"/>
            <w:tabs>
              <w:tab w:val="clear" w:pos="7609"/>
              <w:tab w:val="right" w:pos="9026" w:leader="dot"/>
            </w:tabs>
            <w:rPr/>
          </w:pPr>
          <w:hyperlink w:anchor="__RefHeading___Toc9482858_73709187">
            <w:r>
              <w:rPr>
                <w:webHidden/>
                <w:rStyle w:val="IndexLink"/>
                <w:rtl w:val="true"/>
              </w:rPr>
              <w:t>یجوز لعدول المؤمنین نصب القیّم للأیتام</w:t>
            </w:r>
            <w:r>
              <w:rPr>
                <w:rStyle w:val="IndexLink"/>
                <w:rtl w:val="true"/>
              </w:rPr>
              <w:tab/>
            </w:r>
            <w:r>
              <w:rPr>
                <w:rStyle w:val="IndexLink"/>
              </w:rPr>
              <w:t>315</w:t>
            </w:r>
          </w:hyperlink>
        </w:p>
        <w:p>
          <w:pPr>
            <w:pStyle w:val="Contents6"/>
            <w:tabs>
              <w:tab w:val="clear" w:pos="7609"/>
              <w:tab w:val="right" w:pos="9026" w:leader="dot"/>
            </w:tabs>
            <w:rPr/>
          </w:pPr>
          <w:hyperlink w:anchor="__RefHeading___Toc9482860_73709187">
            <w:r>
              <w:rPr>
                <w:webHidden/>
                <w:rStyle w:val="IndexLink"/>
                <w:rtl w:val="true"/>
              </w:rPr>
              <w:t>عدم ثبوت الولایة علی أموال الصغار للفسّاق</w:t>
            </w:r>
            <w:r>
              <w:rPr>
                <w:rStyle w:val="IndexLink"/>
                <w:rtl w:val="true"/>
              </w:rPr>
              <w:tab/>
            </w:r>
            <w:r>
              <w:rPr>
                <w:rStyle w:val="IndexLink"/>
              </w:rPr>
              <w:t>317</w:t>
            </w:r>
          </w:hyperlink>
        </w:p>
        <w:p>
          <w:pPr>
            <w:pStyle w:val="Contents6"/>
            <w:tabs>
              <w:tab w:val="clear" w:pos="7609"/>
              <w:tab w:val="right" w:pos="9026" w:leader="dot"/>
            </w:tabs>
            <w:rPr/>
          </w:pPr>
          <w:hyperlink w:anchor="__RefHeading___Toc9482862_73709187">
            <w:r>
              <w:rPr>
                <w:webHidden/>
                <w:rStyle w:val="IndexLink"/>
                <w:rtl w:val="true"/>
              </w:rPr>
              <w:t>آراء مذاهب أهل السنّة فی المسألة</w:t>
            </w:r>
            <w:r>
              <w:rPr>
                <w:rStyle w:val="IndexLink"/>
                <w:rtl w:val="true"/>
              </w:rPr>
              <w:tab/>
            </w:r>
            <w:r>
              <w:rPr>
                <w:rStyle w:val="IndexLink"/>
              </w:rPr>
              <w:t>319</w:t>
            </w:r>
          </w:hyperlink>
        </w:p>
        <w:p>
          <w:pPr>
            <w:pStyle w:val="Contents4"/>
            <w:tabs>
              <w:tab w:val="clear" w:pos="8176"/>
              <w:tab w:val="right" w:pos="9026" w:leader="dot"/>
            </w:tabs>
            <w:rPr/>
          </w:pPr>
          <w:hyperlink w:anchor="__RefHeading___Toc9482864_73709187">
            <w:r>
              <w:rPr>
                <w:webHidden/>
                <w:rStyle w:val="IndexLink"/>
                <w:rtl w:val="true"/>
              </w:rPr>
              <w:t>المبحث الخامس</w:t>
            </w:r>
            <w:r>
              <w:rPr>
                <w:rStyle w:val="IndexLink"/>
                <w:rtl w:val="true"/>
              </w:rPr>
              <w:t xml:space="preserve">: </w:t>
            </w:r>
            <w:r>
              <w:rPr>
                <w:rStyle w:val="IndexLink"/>
                <w:rtl w:val="true"/>
              </w:rPr>
              <w:t>شرائط ولایة عدول المؤمنین</w:t>
            </w:r>
            <w:r>
              <w:rPr>
                <w:rStyle w:val="IndexLink"/>
                <w:rtl w:val="true"/>
              </w:rPr>
              <w:tab/>
            </w:r>
            <w:r>
              <w:rPr>
                <w:rStyle w:val="IndexLink"/>
              </w:rPr>
              <w:t>321</w:t>
            </w:r>
          </w:hyperlink>
        </w:p>
        <w:p>
          <w:pPr>
            <w:pStyle w:val="Contents5"/>
            <w:tabs>
              <w:tab w:val="clear" w:pos="7892"/>
              <w:tab w:val="right" w:pos="9026" w:leader="dot"/>
            </w:tabs>
            <w:rPr/>
          </w:pPr>
          <w:hyperlink w:anchor="__RefHeading___Toc9482866_7370918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9482868_73709187">
            <w:r>
              <w:rPr>
                <w:webHidden/>
                <w:rStyle w:val="IndexLink"/>
                <w:rtl w:val="true"/>
              </w:rPr>
              <w:t>عدم اشتراط ولایة عدول المؤمنین بتعذّر الإذن من الفقیه</w:t>
            </w:r>
            <w:r>
              <w:rPr>
                <w:rStyle w:val="IndexLink"/>
                <w:rtl w:val="true"/>
              </w:rPr>
              <w:tab/>
            </w:r>
            <w:r>
              <w:rPr>
                <w:rStyle w:val="IndexLink"/>
              </w:rPr>
              <w:t>324</w:t>
            </w:r>
          </w:hyperlink>
        </w:p>
        <w:p>
          <w:pPr>
            <w:pStyle w:val="Contents5"/>
            <w:tabs>
              <w:tab w:val="clear" w:pos="7892"/>
              <w:tab w:val="right" w:pos="9026" w:leader="dot"/>
            </w:tabs>
            <w:rPr/>
          </w:pPr>
          <w:hyperlink w:anchor="__RefHeading___Toc9482870_73709187">
            <w:r>
              <w:rPr>
                <w:webHidden/>
                <w:rStyle w:val="IndexLink"/>
                <w:rtl w:val="true"/>
              </w:rPr>
              <w:t>تذکرةٌ‌</w:t>
            </w:r>
            <w:r>
              <w:rPr>
                <w:rStyle w:val="IndexLink"/>
                <w:rtl w:val="true"/>
              </w:rPr>
              <w:tab/>
            </w:r>
            <w:r>
              <w:rPr>
                <w:rStyle w:val="IndexLink"/>
              </w:rPr>
              <w:t>328</w:t>
            </w:r>
          </w:hyperlink>
        </w:p>
        <w:p>
          <w:pPr>
            <w:pStyle w:val="Contents2"/>
            <w:tabs>
              <w:tab w:val="clear" w:pos="8743"/>
              <w:tab w:val="right" w:pos="9026" w:leader="dot"/>
            </w:tabs>
            <w:rPr/>
          </w:pPr>
          <w:hyperlink w:anchor="__RefHeading___Toc9482872_73709187">
            <w:r>
              <w:rPr>
                <w:webHidden/>
                <w:rStyle w:val="IndexLink"/>
                <w:rtl w:val="true"/>
              </w:rPr>
              <w:t>الباب الخامس فی بیان موارد تصرّف الأولیاء</w:t>
            </w:r>
            <w:r>
              <w:rPr>
                <w:rStyle w:val="IndexLink"/>
                <w:rtl w:val="true"/>
              </w:rPr>
              <w:tab/>
            </w:r>
            <w:r>
              <w:rPr>
                <w:rStyle w:val="IndexLink"/>
              </w:rPr>
              <w:t>329</w:t>
            </w:r>
          </w:hyperlink>
        </w:p>
        <w:p>
          <w:pPr>
            <w:pStyle w:val="Contents3"/>
            <w:tabs>
              <w:tab w:val="clear" w:pos="8459"/>
              <w:tab w:val="right" w:pos="9026" w:leader="dot"/>
            </w:tabs>
            <w:rPr/>
          </w:pPr>
          <w:hyperlink w:anchor="__RefHeading___Toc9482874_73709187">
            <w:r>
              <w:rPr>
                <w:webHidden/>
                <w:rStyle w:val="IndexLink"/>
                <w:rtl w:val="true"/>
              </w:rPr>
              <w:t>تمهید</w:t>
            </w:r>
            <w:r>
              <w:rPr>
                <w:rStyle w:val="IndexLink"/>
                <w:rtl w:val="true"/>
              </w:rPr>
              <w:tab/>
            </w:r>
            <w:r>
              <w:rPr>
                <w:rStyle w:val="IndexLink"/>
              </w:rPr>
              <w:t>329</w:t>
            </w:r>
          </w:hyperlink>
        </w:p>
        <w:p>
          <w:pPr>
            <w:pStyle w:val="Contents3"/>
            <w:tabs>
              <w:tab w:val="clear" w:pos="8459"/>
              <w:tab w:val="right" w:pos="9026" w:leader="dot"/>
            </w:tabs>
            <w:rPr/>
          </w:pPr>
          <w:hyperlink w:anchor="__RefHeading___Toc9482876_73709187">
            <w:r>
              <w:rPr>
                <w:webHidden/>
                <w:rStyle w:val="IndexLink"/>
                <w:rtl w:val="true"/>
              </w:rPr>
              <w:t>الفصل الأوّل فی البیع و الشراء و الاتّجار و المصالحة بمال الصبیّ</w:t>
            </w:r>
            <w:r>
              <w:rPr>
                <w:rStyle w:val="IndexLink"/>
                <w:rtl w:val="true"/>
              </w:rPr>
              <w:tab/>
            </w:r>
            <w:r>
              <w:rPr>
                <w:rStyle w:val="IndexLink"/>
              </w:rPr>
              <w:t>331</w:t>
            </w:r>
          </w:hyperlink>
        </w:p>
        <w:p>
          <w:pPr>
            <w:pStyle w:val="Contents4"/>
            <w:tabs>
              <w:tab w:val="clear" w:pos="8176"/>
              <w:tab w:val="right" w:pos="9026" w:leader="dot"/>
            </w:tabs>
            <w:rPr/>
          </w:pPr>
          <w:hyperlink w:anchor="__RefHeading___Toc9482878_7370918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9482880_73709187">
            <w:r>
              <w:rPr>
                <w:webHidden/>
                <w:rStyle w:val="IndexLink"/>
                <w:rtl w:val="true"/>
              </w:rPr>
              <w:t>المبحث الأوّل</w:t>
            </w:r>
            <w:r>
              <w:rPr>
                <w:rStyle w:val="IndexLink"/>
                <w:rtl w:val="true"/>
              </w:rPr>
              <w:t xml:space="preserve">: </w:t>
            </w:r>
            <w:r>
              <w:rPr>
                <w:rStyle w:val="IndexLink"/>
                <w:rtl w:val="true"/>
              </w:rPr>
              <w:t>البیع و الشراء و الاتّجار بمال الصبیّ‌</w:t>
            </w:r>
            <w:r>
              <w:rPr>
                <w:rStyle w:val="IndexLink"/>
                <w:rtl w:val="true"/>
              </w:rPr>
              <w:tab/>
            </w:r>
            <w:r>
              <w:rPr>
                <w:rStyle w:val="IndexLink"/>
              </w:rPr>
              <w:t>331</w:t>
            </w:r>
          </w:hyperlink>
        </w:p>
        <w:p>
          <w:pPr>
            <w:pStyle w:val="Contents5"/>
            <w:tabs>
              <w:tab w:val="clear" w:pos="7892"/>
              <w:tab w:val="right" w:pos="9026" w:leader="dot"/>
            </w:tabs>
            <w:rPr/>
          </w:pPr>
          <w:hyperlink w:anchor="__RefHeading___Toc9482882_7370918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9482884_73709187">
            <w:r>
              <w:rPr>
                <w:webHidden/>
                <w:rStyle w:val="IndexLink"/>
                <w:rtl w:val="true"/>
              </w:rPr>
              <w:t>أدلّة جواز البیع و الشراء بمال الطفل</w:t>
            </w:r>
            <w:r>
              <w:rPr>
                <w:rStyle w:val="IndexLink"/>
                <w:rtl w:val="true"/>
              </w:rPr>
              <w:tab/>
            </w:r>
            <w:r>
              <w:rPr>
                <w:rStyle w:val="IndexLink"/>
              </w:rPr>
              <w:t>333</w:t>
            </w:r>
          </w:hyperlink>
        </w:p>
        <w:p>
          <w:pPr>
            <w:pStyle w:val="Contents5"/>
            <w:tabs>
              <w:tab w:val="clear" w:pos="7892"/>
              <w:tab w:val="right" w:pos="9026" w:leader="dot"/>
            </w:tabs>
            <w:rPr/>
          </w:pPr>
          <w:hyperlink w:anchor="__RefHeading___Toc9482886_73709187">
            <w:r>
              <w:rPr>
                <w:webHidden/>
                <w:rStyle w:val="IndexLink"/>
                <w:rtl w:val="true"/>
              </w:rPr>
              <w:t>آراء فقهاء أهل السنّة فی هذه المسألة</w:t>
            </w:r>
            <w:r>
              <w:rPr>
                <w:rStyle w:val="IndexLink"/>
                <w:rtl w:val="true"/>
              </w:rPr>
              <w:tab/>
            </w:r>
            <w:r>
              <w:rPr>
                <w:rStyle w:val="IndexLink"/>
              </w:rPr>
              <w:t>335</w:t>
            </w:r>
          </w:hyperlink>
        </w:p>
        <w:p>
          <w:pPr>
            <w:pStyle w:val="Contents4"/>
            <w:tabs>
              <w:tab w:val="clear" w:pos="8176"/>
              <w:tab w:val="right" w:pos="9026" w:leader="dot"/>
            </w:tabs>
            <w:rPr/>
          </w:pPr>
          <w:hyperlink w:anchor="__RefHeading___Toc9482888_73709187">
            <w:r>
              <w:rPr>
                <w:webHidden/>
                <w:rStyle w:val="IndexLink"/>
                <w:rtl w:val="true"/>
              </w:rPr>
              <w:t>المبحث الثانی</w:t>
            </w:r>
            <w:r>
              <w:rPr>
                <w:rStyle w:val="IndexLink"/>
                <w:rtl w:val="true"/>
              </w:rPr>
              <w:t xml:space="preserve">: </w:t>
            </w:r>
            <w:r>
              <w:rPr>
                <w:rStyle w:val="IndexLink"/>
                <w:rtl w:val="true"/>
              </w:rPr>
              <w:t>الفروع التی تنشأ من ولایة الأولیاء علی أموال الصغار</w:t>
            </w:r>
            <w:r>
              <w:rPr>
                <w:rStyle w:val="IndexLink"/>
                <w:rtl w:val="true"/>
              </w:rPr>
              <w:tab/>
            </w:r>
            <w:r>
              <w:rPr>
                <w:rStyle w:val="IndexLink"/>
              </w:rPr>
              <w:t>339</w:t>
            </w:r>
          </w:hyperlink>
        </w:p>
        <w:p>
          <w:pPr>
            <w:pStyle w:val="Contents5"/>
            <w:tabs>
              <w:tab w:val="clear" w:pos="7892"/>
              <w:tab w:val="right" w:pos="9026" w:leader="dot"/>
            </w:tabs>
            <w:rPr/>
          </w:pPr>
          <w:hyperlink w:anchor="__RefHeading___Toc9482890_7370918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9482892_73709187">
            <w:r>
              <w:rPr>
                <w:webHidden/>
                <w:rStyle w:val="IndexLink"/>
                <w:rtl w:val="true"/>
              </w:rPr>
              <w:t>آراء فقهاء أهل السنّة فی اختلاف الوصیّ مع الصغیر</w:t>
            </w:r>
            <w:r>
              <w:rPr>
                <w:rStyle w:val="IndexLink"/>
                <w:rtl w:val="true"/>
              </w:rPr>
              <w:tab/>
            </w:r>
            <w:r>
              <w:rPr>
                <w:rStyle w:val="IndexLink"/>
              </w:rPr>
              <w:t>356</w:t>
            </w:r>
          </w:hyperlink>
        </w:p>
        <w:p>
          <w:pPr>
            <w:pStyle w:val="Contents4"/>
            <w:tabs>
              <w:tab w:val="clear" w:pos="8176"/>
              <w:tab w:val="right" w:pos="9026" w:leader="dot"/>
            </w:tabs>
            <w:rPr/>
          </w:pPr>
          <w:hyperlink w:anchor="__RefHeading___Toc9482894_73709187">
            <w:r>
              <w:rPr>
                <w:webHidden/>
                <w:rStyle w:val="IndexLink"/>
                <w:rtl w:val="true"/>
              </w:rPr>
              <w:t>المبحث الثالث</w:t>
            </w:r>
            <w:r>
              <w:rPr>
                <w:rStyle w:val="IndexLink"/>
                <w:rtl w:val="true"/>
              </w:rPr>
              <w:t xml:space="preserve">: </w:t>
            </w:r>
            <w:r>
              <w:rPr>
                <w:rStyle w:val="IndexLink"/>
                <w:rtl w:val="true"/>
              </w:rPr>
              <w:t>المصالحة بمال الطفل</w:t>
            </w:r>
            <w:r>
              <w:rPr>
                <w:rStyle w:val="IndexLink"/>
                <w:rtl w:val="true"/>
              </w:rPr>
              <w:tab/>
            </w:r>
            <w:r>
              <w:rPr>
                <w:rStyle w:val="IndexLink"/>
              </w:rPr>
              <w:t>358</w:t>
            </w:r>
          </w:hyperlink>
        </w:p>
        <w:p>
          <w:pPr>
            <w:pStyle w:val="Contents5"/>
            <w:tabs>
              <w:tab w:val="clear" w:pos="7892"/>
              <w:tab w:val="right" w:pos="9026" w:leader="dot"/>
            </w:tabs>
            <w:rPr/>
          </w:pPr>
          <w:hyperlink w:anchor="__RefHeading___Toc9482896_7370918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9482898_73709187">
            <w:r>
              <w:rPr>
                <w:webHidden/>
                <w:rStyle w:val="IndexLink"/>
                <w:rtl w:val="true"/>
              </w:rPr>
              <w:t>أدلّة جواز المصالحة بمال الطفل</w:t>
            </w:r>
            <w:r>
              <w:rPr>
                <w:rStyle w:val="IndexLink"/>
                <w:rtl w:val="true"/>
              </w:rPr>
              <w:tab/>
            </w:r>
            <w:r>
              <w:rPr>
                <w:rStyle w:val="IndexLink"/>
              </w:rPr>
              <w:t>359</w:t>
            </w:r>
          </w:hyperlink>
        </w:p>
        <w:p>
          <w:pPr>
            <w:pStyle w:val="Contents5"/>
            <w:tabs>
              <w:tab w:val="clear" w:pos="7892"/>
              <w:tab w:val="right" w:pos="9026" w:leader="dot"/>
            </w:tabs>
            <w:rPr/>
          </w:pPr>
          <w:hyperlink w:anchor="__RefHeading___Toc9482900_73709187">
            <w:r>
              <w:rPr>
                <w:webHidden/>
                <w:rStyle w:val="IndexLink"/>
                <w:rtl w:val="true"/>
              </w:rPr>
              <w:t>عدم تبرئة ذمّة من علیه الحقّ‌</w:t>
            </w:r>
            <w:r>
              <w:rPr>
                <w:rStyle w:val="IndexLink"/>
                <w:rtl w:val="true"/>
              </w:rPr>
              <w:tab/>
            </w:r>
            <w:r>
              <w:rPr>
                <w:rStyle w:val="IndexLink"/>
              </w:rPr>
              <w:t>360</w:t>
            </w:r>
          </w:hyperlink>
        </w:p>
        <w:p>
          <w:pPr>
            <w:pStyle w:val="Contents5"/>
            <w:tabs>
              <w:tab w:val="clear" w:pos="7892"/>
              <w:tab w:val="right" w:pos="9026" w:leader="dot"/>
            </w:tabs>
            <w:rPr/>
          </w:pPr>
          <w:hyperlink w:anchor="__RefHeading___Toc9482902_73709187">
            <w:r>
              <w:rPr>
                <w:webHidden/>
                <w:rStyle w:val="IndexLink"/>
                <w:rtl w:val="true"/>
              </w:rPr>
              <w:t>حکم المصالحة بمال الصبیّ عند فقهاء أهل السنّة</w:t>
            </w:r>
            <w:r>
              <w:rPr>
                <w:rStyle w:val="IndexLink"/>
                <w:rtl w:val="true"/>
              </w:rPr>
              <w:tab/>
            </w:r>
            <w:r>
              <w:rPr>
                <w:rStyle w:val="IndexLink"/>
              </w:rPr>
              <w:t>362</w:t>
            </w:r>
          </w:hyperlink>
        </w:p>
        <w:p>
          <w:pPr>
            <w:pStyle w:val="Contents3"/>
            <w:tabs>
              <w:tab w:val="clear" w:pos="8459"/>
              <w:tab w:val="right" w:pos="9026" w:leader="dot"/>
            </w:tabs>
            <w:rPr/>
          </w:pPr>
          <w:hyperlink w:anchor="__RefHeading___Toc9482904_73709187">
            <w:r>
              <w:rPr>
                <w:webHidden/>
                <w:rStyle w:val="IndexLink"/>
                <w:rtl w:val="true"/>
              </w:rPr>
              <w:t>الفصل الثانی فی الاُمور التی هی من شئون الاتّجار</w:t>
            </w:r>
            <w:r>
              <w:rPr>
                <w:rStyle w:val="IndexLink"/>
                <w:rtl w:val="true"/>
              </w:rPr>
              <w:tab/>
            </w:r>
            <w:r>
              <w:rPr>
                <w:rStyle w:val="IndexLink"/>
              </w:rPr>
              <w:t>364</w:t>
            </w:r>
          </w:hyperlink>
        </w:p>
        <w:p>
          <w:pPr>
            <w:pStyle w:val="Contents4"/>
            <w:tabs>
              <w:tab w:val="clear" w:pos="8176"/>
              <w:tab w:val="right" w:pos="9026" w:leader="dot"/>
            </w:tabs>
            <w:rPr/>
          </w:pPr>
          <w:hyperlink w:anchor="__RefHeading___Toc9482906_7370918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9482908_73709187">
            <w:r>
              <w:rPr>
                <w:webHidden/>
                <w:rStyle w:val="IndexLink"/>
                <w:rtl w:val="true"/>
              </w:rPr>
              <w:t>المبحث الأوّل</w:t>
            </w:r>
            <w:r>
              <w:rPr>
                <w:rStyle w:val="IndexLink"/>
                <w:rtl w:val="true"/>
              </w:rPr>
              <w:t xml:space="preserve">: </w:t>
            </w:r>
            <w:r>
              <w:rPr>
                <w:rStyle w:val="IndexLink"/>
                <w:rtl w:val="true"/>
              </w:rPr>
              <w:t>المضاربة و الإبضاع بمال الیتیم</w:t>
            </w:r>
            <w:r>
              <w:rPr>
                <w:rStyle w:val="IndexLink"/>
                <w:rtl w:val="true"/>
              </w:rPr>
              <w:tab/>
            </w:r>
            <w:r>
              <w:rPr>
                <w:rStyle w:val="IndexLink"/>
              </w:rPr>
              <w:t>365</w:t>
            </w:r>
          </w:hyperlink>
        </w:p>
        <w:p>
          <w:pPr>
            <w:pStyle w:val="Contents5"/>
            <w:tabs>
              <w:tab w:val="clear" w:pos="7892"/>
              <w:tab w:val="right" w:pos="9026" w:leader="dot"/>
            </w:tabs>
            <w:rPr/>
          </w:pPr>
          <w:hyperlink w:anchor="__RefHeading___Toc9482910_7370918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9482912_73709187">
            <w:r>
              <w:rPr>
                <w:webHidden/>
                <w:rStyle w:val="IndexLink"/>
                <w:rtl w:val="true"/>
              </w:rPr>
              <w:t>أدلّة هذین الحکمین</w:t>
            </w:r>
            <w:r>
              <w:rPr>
                <w:rStyle w:val="IndexLink"/>
                <w:rtl w:val="true"/>
              </w:rPr>
              <w:tab/>
            </w:r>
            <w:r>
              <w:rPr>
                <w:rStyle w:val="IndexLink"/>
              </w:rPr>
              <w:t>368</w:t>
            </w:r>
          </w:hyperlink>
        </w:p>
        <w:p>
          <w:pPr>
            <w:pStyle w:val="Contents5"/>
            <w:tabs>
              <w:tab w:val="clear" w:pos="7892"/>
              <w:tab w:val="right" w:pos="9026" w:leader="dot"/>
            </w:tabs>
            <w:rPr/>
          </w:pPr>
          <w:hyperlink w:anchor="__RefHeading___Toc9482914_73709187">
            <w:r>
              <w:rPr>
                <w:webHidden/>
                <w:rStyle w:val="IndexLink"/>
                <w:rtl w:val="true"/>
              </w:rPr>
              <w:t>المضاربة و الإبضاع بمال الصبیّ عند أهل السنّة</w:t>
            </w:r>
            <w:r>
              <w:rPr>
                <w:rStyle w:val="IndexLink"/>
                <w:rtl w:val="true"/>
              </w:rPr>
              <w:tab/>
            </w:r>
            <w:r>
              <w:rPr>
                <w:rStyle w:val="IndexLink"/>
              </w:rPr>
              <w:t>370</w:t>
            </w:r>
          </w:hyperlink>
        </w:p>
        <w:p>
          <w:pPr>
            <w:pStyle w:val="Contents4"/>
            <w:tabs>
              <w:tab w:val="clear" w:pos="8176"/>
              <w:tab w:val="right" w:pos="9026" w:leader="dot"/>
            </w:tabs>
            <w:rPr/>
          </w:pPr>
          <w:hyperlink w:anchor="__RefHeading___Toc9482916_73709187">
            <w:r>
              <w:rPr>
                <w:webHidden/>
                <w:rStyle w:val="IndexLink"/>
                <w:rtl w:val="true"/>
              </w:rPr>
              <w:t>المبحث الثانی</w:t>
            </w:r>
            <w:r>
              <w:rPr>
                <w:rStyle w:val="IndexLink"/>
                <w:rtl w:val="true"/>
              </w:rPr>
              <w:t xml:space="preserve">: </w:t>
            </w:r>
            <w:r>
              <w:rPr>
                <w:rStyle w:val="IndexLink"/>
                <w:rtl w:val="true"/>
              </w:rPr>
              <w:t>الرهن و الارتهان و الإقراض و الاقتراض</w:t>
            </w:r>
            <w:r>
              <w:rPr>
                <w:rStyle w:val="IndexLink"/>
                <w:rtl w:val="true"/>
              </w:rPr>
              <w:tab/>
            </w:r>
            <w:r>
              <w:rPr>
                <w:rStyle w:val="IndexLink"/>
              </w:rPr>
              <w:t>374</w:t>
            </w:r>
          </w:hyperlink>
        </w:p>
        <w:p>
          <w:pPr>
            <w:pStyle w:val="Contents5"/>
            <w:tabs>
              <w:tab w:val="clear" w:pos="7892"/>
              <w:tab w:val="right" w:pos="9026" w:leader="dot"/>
            </w:tabs>
            <w:rPr/>
          </w:pPr>
          <w:hyperlink w:anchor="__RefHeading___Toc9482918_7370918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9482920_73709187">
            <w:r>
              <w:rPr>
                <w:webHidden/>
                <w:rStyle w:val="IndexLink"/>
                <w:rtl w:val="true"/>
              </w:rPr>
              <w:t>أدلّة جواز رهن مال الصّبی</w:t>
            </w:r>
            <w:r>
              <w:rPr>
                <w:rStyle w:val="IndexLink"/>
                <w:rtl w:val="true"/>
              </w:rPr>
              <w:tab/>
            </w:r>
            <w:r>
              <w:rPr>
                <w:rStyle w:val="IndexLink"/>
              </w:rPr>
              <w:t>376</w:t>
            </w:r>
          </w:hyperlink>
        </w:p>
        <w:p>
          <w:pPr>
            <w:pStyle w:val="Contents5"/>
            <w:tabs>
              <w:tab w:val="clear" w:pos="7892"/>
              <w:tab w:val="right" w:pos="9026" w:leader="dot"/>
            </w:tabs>
            <w:rPr/>
          </w:pPr>
          <w:hyperlink w:anchor="__RefHeading___Toc9482922_73709187">
            <w:r>
              <w:rPr>
                <w:webHidden/>
                <w:rStyle w:val="IndexLink"/>
                <w:rtl w:val="true"/>
              </w:rPr>
              <w:t>الارتهان للصغیر</w:t>
            </w:r>
            <w:r>
              <w:rPr>
                <w:rStyle w:val="IndexLink"/>
                <w:rtl w:val="true"/>
              </w:rPr>
              <w:tab/>
            </w:r>
            <w:r>
              <w:rPr>
                <w:rStyle w:val="IndexLink"/>
              </w:rPr>
              <w:t>377</w:t>
            </w:r>
          </w:hyperlink>
        </w:p>
        <w:p>
          <w:pPr>
            <w:pStyle w:val="Contents5"/>
            <w:tabs>
              <w:tab w:val="clear" w:pos="7892"/>
              <w:tab w:val="right" w:pos="9026" w:leader="dot"/>
            </w:tabs>
            <w:rPr/>
          </w:pPr>
          <w:hyperlink w:anchor="__RefHeading___Toc9482924_73709187">
            <w:r>
              <w:rPr>
                <w:webHidden/>
                <w:rStyle w:val="IndexLink"/>
                <w:rtl w:val="true"/>
              </w:rPr>
              <w:t>اشتراط کون الرهن مساویاً لمال الصغیر أو أزید</w:t>
            </w:r>
            <w:r>
              <w:rPr>
                <w:rStyle w:val="IndexLink"/>
                <w:rtl w:val="true"/>
              </w:rPr>
              <w:tab/>
            </w:r>
            <w:r>
              <w:rPr>
                <w:rStyle w:val="IndexLink"/>
              </w:rPr>
              <w:t>379</w:t>
            </w:r>
          </w:hyperlink>
        </w:p>
        <w:p>
          <w:pPr>
            <w:pStyle w:val="Contents5"/>
            <w:tabs>
              <w:tab w:val="clear" w:pos="7892"/>
              <w:tab w:val="right" w:pos="9026" w:leader="dot"/>
            </w:tabs>
            <w:rPr/>
          </w:pPr>
          <w:hyperlink w:anchor="__RefHeading___Toc9482926_73709187">
            <w:r>
              <w:rPr>
                <w:webHidden/>
                <w:rStyle w:val="IndexLink"/>
                <w:rtl w:val="true"/>
              </w:rPr>
              <w:t>آراء فقهاء أهل السنّة فی المسائل التی تقدّمت</w:t>
            </w:r>
            <w:r>
              <w:rPr>
                <w:rStyle w:val="IndexLink"/>
                <w:rtl w:val="true"/>
              </w:rPr>
              <w:tab/>
            </w:r>
            <w:r>
              <w:rPr>
                <w:rStyle w:val="IndexLink"/>
              </w:rPr>
              <w:t>380</w:t>
            </w:r>
          </w:hyperlink>
        </w:p>
        <w:p>
          <w:pPr>
            <w:pStyle w:val="Contents5"/>
            <w:tabs>
              <w:tab w:val="clear" w:pos="7892"/>
              <w:tab w:val="right" w:pos="9026" w:leader="dot"/>
            </w:tabs>
            <w:rPr/>
          </w:pPr>
          <w:hyperlink w:anchor="__RefHeading___Toc9482928_73709187">
            <w:r>
              <w:rPr>
                <w:webHidden/>
                <w:rStyle w:val="IndexLink"/>
                <w:rtl w:val="true"/>
              </w:rPr>
              <w:t>اقتراض الولیّ من مال الصبیّ‌</w:t>
            </w:r>
            <w:r>
              <w:rPr>
                <w:rStyle w:val="IndexLink"/>
                <w:rtl w:val="true"/>
              </w:rPr>
              <w:tab/>
            </w:r>
            <w:r>
              <w:rPr>
                <w:rStyle w:val="IndexLink"/>
              </w:rPr>
              <w:t>385</w:t>
            </w:r>
          </w:hyperlink>
        </w:p>
        <w:p>
          <w:pPr>
            <w:pStyle w:val="Contents5"/>
            <w:tabs>
              <w:tab w:val="clear" w:pos="7892"/>
              <w:tab w:val="right" w:pos="9026" w:leader="dot"/>
            </w:tabs>
            <w:rPr/>
          </w:pPr>
          <w:hyperlink w:anchor="__RefHeading___Toc9482930_73709187">
            <w:r>
              <w:rPr>
                <w:webHidden/>
                <w:rStyle w:val="IndexLink"/>
                <w:rtl w:val="true"/>
              </w:rPr>
              <w:t>أدلّة جواز اقتراض الولیّ من مال الصبیّ‌</w:t>
            </w:r>
            <w:r>
              <w:rPr>
                <w:rStyle w:val="IndexLink"/>
                <w:rtl w:val="true"/>
              </w:rPr>
              <w:tab/>
            </w:r>
            <w:r>
              <w:rPr>
                <w:rStyle w:val="IndexLink"/>
              </w:rPr>
              <w:t>386</w:t>
            </w:r>
          </w:hyperlink>
        </w:p>
        <w:p>
          <w:pPr>
            <w:pStyle w:val="Contents5"/>
            <w:tabs>
              <w:tab w:val="clear" w:pos="7892"/>
              <w:tab w:val="right" w:pos="9026" w:leader="dot"/>
            </w:tabs>
            <w:rPr/>
          </w:pPr>
          <w:hyperlink w:anchor="__RefHeading___Toc9482932_73709187">
            <w:r>
              <w:rPr>
                <w:webHidden/>
                <w:rStyle w:val="IndexLink"/>
                <w:rtl w:val="true"/>
              </w:rPr>
              <w:t>عدم جواز الاقتراض من مال الصبیّ‌</w:t>
            </w:r>
            <w:r>
              <w:rPr>
                <w:rStyle w:val="IndexLink"/>
                <w:rtl w:val="true"/>
              </w:rPr>
              <w:tab/>
            </w:r>
            <w:r>
              <w:rPr>
                <w:rStyle w:val="IndexLink"/>
              </w:rPr>
              <w:t>387</w:t>
            </w:r>
          </w:hyperlink>
        </w:p>
        <w:p>
          <w:pPr>
            <w:pStyle w:val="Contents5"/>
            <w:tabs>
              <w:tab w:val="clear" w:pos="7892"/>
              <w:tab w:val="right" w:pos="9026" w:leader="dot"/>
            </w:tabs>
            <w:rPr/>
          </w:pPr>
          <w:hyperlink w:anchor="__RefHeading___Toc9482934_73709187">
            <w:r>
              <w:rPr>
                <w:webHidden/>
                <w:rStyle w:val="IndexLink"/>
                <w:rtl w:val="true"/>
              </w:rPr>
              <w:t>اقتراض الولیّ من مال الصبیّ عند فقهاء أهل السنّة</w:t>
            </w:r>
            <w:r>
              <w:rPr>
                <w:rStyle w:val="IndexLink"/>
                <w:rtl w:val="true"/>
              </w:rPr>
              <w:tab/>
            </w:r>
            <w:r>
              <w:rPr>
                <w:rStyle w:val="IndexLink"/>
              </w:rPr>
              <w:t>388</w:t>
            </w:r>
          </w:hyperlink>
        </w:p>
        <w:p>
          <w:pPr>
            <w:pStyle w:val="Contents4"/>
            <w:tabs>
              <w:tab w:val="clear" w:pos="8176"/>
              <w:tab w:val="right" w:pos="9026" w:leader="dot"/>
            </w:tabs>
            <w:rPr/>
          </w:pPr>
          <w:hyperlink w:anchor="__RefHeading___Toc9482936_73709187">
            <w:r>
              <w:rPr>
                <w:webHidden/>
                <w:rStyle w:val="IndexLink"/>
                <w:rtl w:val="true"/>
              </w:rPr>
              <w:t>المبحث الثالث</w:t>
            </w:r>
            <w:r>
              <w:rPr>
                <w:rStyle w:val="IndexLink"/>
                <w:rtl w:val="true"/>
              </w:rPr>
              <w:t xml:space="preserve">: </w:t>
            </w:r>
            <w:r>
              <w:rPr>
                <w:rStyle w:val="IndexLink"/>
                <w:rtl w:val="true"/>
              </w:rPr>
              <w:t>إیداعُ مال الصبیّ و عاریته</w:t>
            </w:r>
            <w:r>
              <w:rPr>
                <w:rStyle w:val="IndexLink"/>
                <w:rtl w:val="true"/>
              </w:rPr>
              <w:tab/>
            </w:r>
            <w:r>
              <w:rPr>
                <w:rStyle w:val="IndexLink"/>
              </w:rPr>
              <w:t>389</w:t>
            </w:r>
          </w:hyperlink>
        </w:p>
        <w:p>
          <w:pPr>
            <w:pStyle w:val="Contents5"/>
            <w:tabs>
              <w:tab w:val="clear" w:pos="7892"/>
              <w:tab w:val="right" w:pos="9026" w:leader="dot"/>
            </w:tabs>
            <w:rPr/>
          </w:pPr>
          <w:hyperlink w:anchor="__RefHeading___Toc9482938_7370918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9482940_73709187">
            <w:r>
              <w:rPr>
                <w:webHidden/>
                <w:rStyle w:val="IndexLink"/>
                <w:rtl w:val="true"/>
              </w:rPr>
              <w:t>أدلّة جواز إیداع مال الصبیّ‌</w:t>
            </w:r>
            <w:r>
              <w:rPr>
                <w:rStyle w:val="IndexLink"/>
                <w:rtl w:val="true"/>
              </w:rPr>
              <w:tab/>
            </w:r>
            <w:r>
              <w:rPr>
                <w:rStyle w:val="IndexLink"/>
              </w:rPr>
              <w:t>391</w:t>
            </w:r>
          </w:hyperlink>
        </w:p>
        <w:p>
          <w:pPr>
            <w:pStyle w:val="Contents5"/>
            <w:tabs>
              <w:tab w:val="clear" w:pos="7892"/>
              <w:tab w:val="right" w:pos="9026" w:leader="dot"/>
            </w:tabs>
            <w:rPr/>
          </w:pPr>
          <w:hyperlink w:anchor="__RefHeading___Toc9482942_73709187">
            <w:r>
              <w:rPr>
                <w:webHidden/>
                <w:rStyle w:val="IndexLink"/>
                <w:rtl w:val="true"/>
              </w:rPr>
              <w:t>الإیداع و العاریة فی مال الصبیّ عند فقهاء أهل السنّة</w:t>
            </w:r>
            <w:r>
              <w:rPr>
                <w:rStyle w:val="IndexLink"/>
                <w:rtl w:val="true"/>
              </w:rPr>
              <w:tab/>
            </w:r>
            <w:r>
              <w:rPr>
                <w:rStyle w:val="IndexLink"/>
              </w:rPr>
              <w:t>391</w:t>
            </w:r>
          </w:hyperlink>
        </w:p>
        <w:p>
          <w:pPr>
            <w:pStyle w:val="Contents5"/>
            <w:tabs>
              <w:tab w:val="clear" w:pos="7892"/>
              <w:tab w:val="right" w:pos="9026" w:leader="dot"/>
            </w:tabs>
            <w:rPr/>
          </w:pPr>
          <w:hyperlink w:anchor="__RefHeading___Toc9482944_73709187">
            <w:r>
              <w:rPr>
                <w:webHidden/>
                <w:rStyle w:val="IndexLink"/>
                <w:rtl w:val="true"/>
              </w:rPr>
              <w:t>إیضاح</w:t>
            </w:r>
            <w:r>
              <w:rPr>
                <w:rStyle w:val="IndexLink"/>
                <w:rtl w:val="true"/>
              </w:rPr>
              <w:tab/>
            </w:r>
            <w:r>
              <w:rPr>
                <w:rStyle w:val="IndexLink"/>
              </w:rPr>
              <w:t>393</w:t>
            </w:r>
          </w:hyperlink>
        </w:p>
        <w:p>
          <w:pPr>
            <w:pStyle w:val="Contents3"/>
            <w:tabs>
              <w:tab w:val="clear" w:pos="8459"/>
              <w:tab w:val="right" w:pos="9026" w:leader="dot"/>
            </w:tabs>
            <w:rPr/>
          </w:pPr>
          <w:hyperlink w:anchor="__RefHeading___Toc9482946_73709187">
            <w:r>
              <w:rPr>
                <w:webHidden/>
                <w:rStyle w:val="IndexLink"/>
                <w:rtl w:val="true"/>
              </w:rPr>
              <w:t>الفصل الثالث فی إجارة الولیّ الصبیّ أو ماله</w:t>
            </w:r>
            <w:r>
              <w:rPr>
                <w:rStyle w:val="IndexLink"/>
                <w:rtl w:val="true"/>
              </w:rPr>
              <w:tab/>
            </w:r>
            <w:r>
              <w:rPr>
                <w:rStyle w:val="IndexLink"/>
              </w:rPr>
              <w:t>394</w:t>
            </w:r>
          </w:hyperlink>
        </w:p>
        <w:p>
          <w:pPr>
            <w:pStyle w:val="Contents4"/>
            <w:tabs>
              <w:tab w:val="clear" w:pos="8176"/>
              <w:tab w:val="right" w:pos="9026" w:leader="dot"/>
            </w:tabs>
            <w:rPr/>
          </w:pPr>
          <w:hyperlink w:anchor="__RefHeading___Toc9482948_7370918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9482950_73709187">
            <w:r>
              <w:rPr>
                <w:webHidden/>
                <w:rStyle w:val="IndexLink"/>
                <w:rtl w:val="true"/>
              </w:rPr>
              <w:t>المبحث الأوّل</w:t>
            </w:r>
            <w:r>
              <w:rPr>
                <w:rStyle w:val="IndexLink"/>
                <w:rtl w:val="true"/>
              </w:rPr>
              <w:t xml:space="preserve">: </w:t>
            </w:r>
            <w:r>
              <w:rPr>
                <w:rStyle w:val="IndexLink"/>
                <w:rtl w:val="true"/>
              </w:rPr>
              <w:t>إجارة الولیّ نفس الصبیّ‌</w:t>
            </w:r>
            <w:r>
              <w:rPr>
                <w:rStyle w:val="IndexLink"/>
                <w:rtl w:val="true"/>
              </w:rPr>
              <w:tab/>
            </w:r>
            <w:r>
              <w:rPr>
                <w:rStyle w:val="IndexLink"/>
              </w:rPr>
              <w:t>397</w:t>
            </w:r>
          </w:hyperlink>
        </w:p>
        <w:p>
          <w:pPr>
            <w:pStyle w:val="Contents5"/>
            <w:tabs>
              <w:tab w:val="clear" w:pos="7892"/>
              <w:tab w:val="right" w:pos="9026" w:leader="dot"/>
            </w:tabs>
            <w:rPr/>
          </w:pPr>
          <w:hyperlink w:anchor="__RefHeading___Toc9482952_7370918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9482954_73709187">
            <w:r>
              <w:rPr>
                <w:webHidden/>
                <w:rStyle w:val="IndexLink"/>
                <w:rtl w:val="true"/>
              </w:rPr>
              <w:t>جواز فسخ الصبیّ بعد بلوغه و رشده</w:t>
            </w:r>
            <w:r>
              <w:rPr>
                <w:rStyle w:val="IndexLink"/>
                <w:rtl w:val="true"/>
              </w:rPr>
              <w:tab/>
            </w:r>
            <w:r>
              <w:rPr>
                <w:rStyle w:val="IndexLink"/>
              </w:rPr>
              <w:t>401</w:t>
            </w:r>
          </w:hyperlink>
        </w:p>
        <w:p>
          <w:pPr>
            <w:pStyle w:val="Contents5"/>
            <w:tabs>
              <w:tab w:val="clear" w:pos="7892"/>
              <w:tab w:val="right" w:pos="9026" w:leader="dot"/>
            </w:tabs>
            <w:rPr/>
          </w:pPr>
          <w:hyperlink w:anchor="__RefHeading___Toc9482956_73709187">
            <w:r>
              <w:rPr>
                <w:webHidden/>
                <w:rStyle w:val="IndexLink"/>
                <w:rtl w:val="true"/>
              </w:rPr>
              <w:t>عدم جواز فسخ الصبیّ بعد بلوغه و رشده</w:t>
            </w:r>
            <w:r>
              <w:rPr>
                <w:rStyle w:val="IndexLink"/>
                <w:rtl w:val="true"/>
              </w:rPr>
              <w:tab/>
            </w:r>
            <w:r>
              <w:rPr>
                <w:rStyle w:val="IndexLink"/>
              </w:rPr>
              <w:t>403</w:t>
            </w:r>
          </w:hyperlink>
        </w:p>
        <w:p>
          <w:pPr>
            <w:pStyle w:val="Contents6"/>
            <w:tabs>
              <w:tab w:val="clear" w:pos="7609"/>
              <w:tab w:val="right" w:pos="9026" w:leader="dot"/>
            </w:tabs>
            <w:rPr/>
          </w:pPr>
          <w:hyperlink w:anchor="__RefHeading___Toc9482958_73709187">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9482960_73709187">
            <w:r>
              <w:rPr>
                <w:webHidden/>
                <w:rStyle w:val="IndexLink"/>
                <w:rtl w:val="true"/>
              </w:rPr>
              <w:t>أدلّة هذا القول</w:t>
            </w:r>
            <w:r>
              <w:rPr>
                <w:rStyle w:val="IndexLink"/>
                <w:rtl w:val="true"/>
              </w:rPr>
              <w:tab/>
            </w:r>
            <w:r>
              <w:rPr>
                <w:rStyle w:val="IndexLink"/>
              </w:rPr>
              <w:t>404</w:t>
            </w:r>
          </w:hyperlink>
        </w:p>
        <w:p>
          <w:pPr>
            <w:pStyle w:val="Contents4"/>
            <w:tabs>
              <w:tab w:val="clear" w:pos="8176"/>
              <w:tab w:val="right" w:pos="9026" w:leader="dot"/>
            </w:tabs>
            <w:rPr/>
          </w:pPr>
          <w:hyperlink w:anchor="__RefHeading___Toc9482962_73709187">
            <w:r>
              <w:rPr>
                <w:webHidden/>
                <w:rStyle w:val="IndexLink"/>
                <w:rtl w:val="true"/>
              </w:rPr>
              <w:t>المبحث الثانی</w:t>
            </w:r>
            <w:r>
              <w:rPr>
                <w:rStyle w:val="IndexLink"/>
                <w:rtl w:val="true"/>
              </w:rPr>
              <w:t xml:space="preserve">: </w:t>
            </w:r>
            <w:r>
              <w:rPr>
                <w:rStyle w:val="IndexLink"/>
                <w:rtl w:val="true"/>
              </w:rPr>
              <w:t>إجارة الولیّ ما یملکه الصبیّ‌</w:t>
            </w:r>
            <w:r>
              <w:rPr>
                <w:rStyle w:val="IndexLink"/>
                <w:rtl w:val="true"/>
              </w:rPr>
              <w:tab/>
            </w:r>
            <w:r>
              <w:rPr>
                <w:rStyle w:val="IndexLink"/>
              </w:rPr>
              <w:t>407</w:t>
            </w:r>
          </w:hyperlink>
        </w:p>
        <w:p>
          <w:pPr>
            <w:pStyle w:val="Contents5"/>
            <w:tabs>
              <w:tab w:val="clear" w:pos="7892"/>
              <w:tab w:val="right" w:pos="9026" w:leader="dot"/>
            </w:tabs>
            <w:rPr/>
          </w:pPr>
          <w:hyperlink w:anchor="__RefHeading___Toc9482964_7370918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9482966_73709187">
            <w:r>
              <w:rPr>
                <w:webHidden/>
                <w:rStyle w:val="IndexLink"/>
                <w:rtl w:val="true"/>
              </w:rPr>
              <w:t>فرع</w:t>
            </w:r>
            <w:r>
              <w:rPr>
                <w:rStyle w:val="IndexLink"/>
                <w:rtl w:val="true"/>
              </w:rPr>
              <w:tab/>
            </w:r>
            <w:r>
              <w:rPr>
                <w:rStyle w:val="IndexLink"/>
              </w:rPr>
              <w:t>411</w:t>
            </w:r>
          </w:hyperlink>
        </w:p>
        <w:p>
          <w:pPr>
            <w:pStyle w:val="Contents5"/>
            <w:tabs>
              <w:tab w:val="clear" w:pos="7892"/>
              <w:tab w:val="right" w:pos="9026" w:leader="dot"/>
            </w:tabs>
            <w:rPr/>
          </w:pPr>
          <w:hyperlink w:anchor="__RefHeading___Toc9482968_73709187">
            <w:r>
              <w:rPr>
                <w:webHidden/>
                <w:rStyle w:val="IndexLink"/>
                <w:rtl w:val="true"/>
              </w:rPr>
              <w:t>إجارة الولیّ نفس الصبیّ أو ماله عند فقهاء أهل السنّة</w:t>
            </w:r>
            <w:r>
              <w:rPr>
                <w:rStyle w:val="IndexLink"/>
                <w:rtl w:val="true"/>
              </w:rPr>
              <w:t>:</w:t>
              <w:tab/>
            </w:r>
            <w:r>
              <w:rPr>
                <w:rStyle w:val="IndexLink"/>
              </w:rPr>
              <w:t>412</w:t>
            </w:r>
          </w:hyperlink>
        </w:p>
        <w:p>
          <w:pPr>
            <w:pStyle w:val="Contents4"/>
            <w:tabs>
              <w:tab w:val="clear" w:pos="8176"/>
              <w:tab w:val="right" w:pos="9026" w:leader="dot"/>
            </w:tabs>
            <w:rPr/>
          </w:pPr>
          <w:hyperlink w:anchor="__RefHeading___Toc9482970_73709187">
            <w:r>
              <w:rPr>
                <w:webHidden/>
                <w:rStyle w:val="IndexLink"/>
                <w:rtl w:val="true"/>
              </w:rPr>
              <w:t>المبحث الثالث</w:t>
            </w:r>
            <w:r>
              <w:rPr>
                <w:rStyle w:val="IndexLink"/>
                <w:rtl w:val="true"/>
              </w:rPr>
              <w:t xml:space="preserve">: </w:t>
            </w:r>
            <w:r>
              <w:rPr>
                <w:rStyle w:val="IndexLink"/>
                <w:rtl w:val="true"/>
              </w:rPr>
              <w:t>جواز أخذ الاُجرة من مال الطفل</w:t>
            </w:r>
            <w:r>
              <w:rPr>
                <w:rStyle w:val="IndexLink"/>
                <w:rtl w:val="true"/>
              </w:rPr>
              <w:tab/>
            </w:r>
            <w:r>
              <w:rPr>
                <w:rStyle w:val="IndexLink"/>
              </w:rPr>
              <w:t>416</w:t>
            </w:r>
          </w:hyperlink>
        </w:p>
        <w:p>
          <w:pPr>
            <w:pStyle w:val="Contents5"/>
            <w:tabs>
              <w:tab w:val="clear" w:pos="7892"/>
              <w:tab w:val="right" w:pos="9026" w:leader="dot"/>
            </w:tabs>
            <w:rPr/>
          </w:pPr>
          <w:hyperlink w:anchor="__RefHeading___Toc9482972_7370918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9482974_73709187">
            <w:r>
              <w:rPr>
                <w:webHidden/>
                <w:rStyle w:val="IndexLink"/>
                <w:rtl w:val="true"/>
              </w:rPr>
              <w:t>المقام الأوّل</w:t>
            </w:r>
            <w:r>
              <w:rPr>
                <w:rStyle w:val="IndexLink"/>
                <w:rtl w:val="true"/>
              </w:rPr>
              <w:t xml:space="preserve">: </w:t>
            </w:r>
            <w:r>
              <w:rPr>
                <w:rStyle w:val="IndexLink"/>
                <w:rtl w:val="true"/>
              </w:rPr>
              <w:t>أن یکون المتولّی فقیراً</w:t>
            </w:r>
            <w:r>
              <w:rPr>
                <w:rStyle w:val="IndexLink"/>
                <w:rtl w:val="true"/>
              </w:rPr>
              <w:tab/>
            </w:r>
            <w:r>
              <w:rPr>
                <w:rStyle w:val="IndexLink"/>
              </w:rPr>
              <w:t>416</w:t>
            </w:r>
          </w:hyperlink>
        </w:p>
        <w:p>
          <w:pPr>
            <w:pStyle w:val="Contents6"/>
            <w:tabs>
              <w:tab w:val="clear" w:pos="7609"/>
              <w:tab w:val="right" w:pos="9026" w:leader="dot"/>
            </w:tabs>
            <w:rPr/>
          </w:pPr>
          <w:hyperlink w:anchor="__RefHeading___Toc9482976_73709187">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9482978_73709187">
            <w:r>
              <w:rPr>
                <w:webHidden/>
                <w:rStyle w:val="IndexLink"/>
                <w:rtl w:val="true"/>
              </w:rPr>
              <w:t>أدلّة جواز أخذ الولیّ اجرة المثل</w:t>
            </w:r>
            <w:r>
              <w:rPr>
                <w:rStyle w:val="IndexLink"/>
                <w:rtl w:val="true"/>
              </w:rPr>
              <w:tab/>
            </w:r>
            <w:r>
              <w:rPr>
                <w:rStyle w:val="IndexLink"/>
              </w:rPr>
              <w:t>421</w:t>
            </w:r>
          </w:hyperlink>
        </w:p>
        <w:p>
          <w:pPr>
            <w:pStyle w:val="Contents6"/>
            <w:tabs>
              <w:tab w:val="clear" w:pos="7609"/>
              <w:tab w:val="right" w:pos="9026" w:leader="dot"/>
            </w:tabs>
            <w:rPr/>
          </w:pPr>
          <w:hyperlink w:anchor="__RefHeading___Toc9482980_73709187">
            <w:r>
              <w:rPr>
                <w:webHidden/>
                <w:rStyle w:val="IndexLink"/>
                <w:rtl w:val="true"/>
              </w:rPr>
              <w:t>المناقشة فی الاستدلال بالآیة</w:t>
            </w:r>
            <w:r>
              <w:rPr>
                <w:rStyle w:val="IndexLink"/>
                <w:rtl w:val="true"/>
              </w:rPr>
              <w:tab/>
            </w:r>
            <w:r>
              <w:rPr>
                <w:rStyle w:val="IndexLink"/>
              </w:rPr>
              <w:t>429</w:t>
            </w:r>
          </w:hyperlink>
        </w:p>
        <w:p>
          <w:pPr>
            <w:pStyle w:val="Contents6"/>
            <w:tabs>
              <w:tab w:val="clear" w:pos="7609"/>
              <w:tab w:val="right" w:pos="9026" w:leader="dot"/>
            </w:tabs>
            <w:rPr/>
          </w:pPr>
          <w:hyperlink w:anchor="__RefHeading___Toc9482982_73709187">
            <w:r>
              <w:rPr>
                <w:webHidden/>
                <w:rStyle w:val="IndexLink"/>
                <w:rtl w:val="true"/>
              </w:rPr>
              <w:t>المناقشة فی الاستدلال بالموثّقة</w:t>
            </w:r>
            <w:r>
              <w:rPr>
                <w:rStyle w:val="IndexLink"/>
                <w:rtl w:val="true"/>
              </w:rPr>
              <w:tab/>
            </w:r>
            <w:r>
              <w:rPr>
                <w:rStyle w:val="IndexLink"/>
              </w:rPr>
              <w:t>431</w:t>
            </w:r>
          </w:hyperlink>
        </w:p>
        <w:p>
          <w:pPr>
            <w:pStyle w:val="Contents6"/>
            <w:tabs>
              <w:tab w:val="clear" w:pos="7609"/>
              <w:tab w:val="right" w:pos="9026" w:leader="dot"/>
            </w:tabs>
            <w:rPr/>
          </w:pPr>
          <w:hyperlink w:anchor="__RefHeading___Toc9482984_73709187">
            <w:r>
              <w:rPr>
                <w:webHidden/>
                <w:rStyle w:val="IndexLink"/>
                <w:rtl w:val="true"/>
              </w:rPr>
              <w:t>جواز أخذ الاُجرة</w:t>
            </w:r>
            <w:r>
              <w:rPr>
                <w:rStyle w:val="IndexLink"/>
                <w:rtl w:val="true"/>
              </w:rPr>
              <w:tab/>
            </w:r>
            <w:r>
              <w:rPr>
                <w:rStyle w:val="IndexLink"/>
              </w:rPr>
              <w:t>434</w:t>
            </w:r>
          </w:hyperlink>
        </w:p>
        <w:p>
          <w:pPr>
            <w:pStyle w:val="Contents6"/>
            <w:tabs>
              <w:tab w:val="clear" w:pos="7609"/>
              <w:tab w:val="right" w:pos="9026" w:leader="dot"/>
            </w:tabs>
            <w:rPr/>
          </w:pPr>
          <w:hyperlink w:anchor="__RefHeading___Toc9482986_73709187">
            <w:r>
              <w:rPr>
                <w:webHidden/>
                <w:rStyle w:val="IndexLink"/>
                <w:rtl w:val="true"/>
              </w:rPr>
              <w:t>أدلّة جواز أخذ الاُجرة مع الغنی</w:t>
            </w:r>
            <w:r>
              <w:rPr>
                <w:rStyle w:val="IndexLink"/>
                <w:rtl w:val="true"/>
              </w:rPr>
              <w:tab/>
            </w:r>
            <w:r>
              <w:rPr>
                <w:rStyle w:val="IndexLink"/>
              </w:rPr>
              <w:t>435</w:t>
            </w:r>
          </w:hyperlink>
        </w:p>
        <w:p>
          <w:pPr>
            <w:pStyle w:val="Contents6"/>
            <w:tabs>
              <w:tab w:val="clear" w:pos="7609"/>
              <w:tab w:val="right" w:pos="9026" w:leader="dot"/>
            </w:tabs>
            <w:rPr/>
          </w:pPr>
          <w:hyperlink w:anchor="__RefHeading___Toc9482988_73709187">
            <w:r>
              <w:rPr>
                <w:webHidden/>
                <w:rStyle w:val="IndexLink"/>
                <w:rtl w:val="true"/>
              </w:rPr>
              <w:t>اُمور هامّة ینبغی ذکرها</w:t>
            </w:r>
            <w:r>
              <w:rPr>
                <w:rStyle w:val="IndexLink"/>
                <w:rtl w:val="true"/>
              </w:rPr>
              <w:tab/>
            </w:r>
            <w:r>
              <w:rPr>
                <w:rStyle w:val="IndexLink"/>
              </w:rPr>
              <w:t>437</w:t>
            </w:r>
          </w:hyperlink>
        </w:p>
        <w:p>
          <w:pPr>
            <w:pStyle w:val="Contents6"/>
            <w:tabs>
              <w:tab w:val="clear" w:pos="7609"/>
              <w:tab w:val="right" w:pos="9026" w:leader="dot"/>
            </w:tabs>
            <w:rPr/>
          </w:pPr>
          <w:hyperlink w:anchor="__RefHeading___Toc9482990_73709187">
            <w:r>
              <w:rPr>
                <w:webHidden/>
                <w:rStyle w:val="IndexLink"/>
                <w:rtl w:val="true"/>
              </w:rPr>
              <w:t>آراء فقهاء أهل السنّة فی جواز أخذ الاُجرة من مال الطفل</w:t>
            </w:r>
            <w:r>
              <w:rPr>
                <w:rStyle w:val="IndexLink"/>
                <w:rtl w:val="true"/>
              </w:rPr>
              <w:t>:</w:t>
              <w:tab/>
            </w:r>
            <w:r>
              <w:rPr>
                <w:rStyle w:val="IndexLink"/>
              </w:rPr>
              <w:t>440</w:t>
            </w:r>
          </w:hyperlink>
        </w:p>
        <w:p>
          <w:pPr>
            <w:pStyle w:val="Contents3"/>
            <w:tabs>
              <w:tab w:val="clear" w:pos="8459"/>
              <w:tab w:val="right" w:pos="9026" w:leader="dot"/>
            </w:tabs>
            <w:rPr/>
          </w:pPr>
          <w:hyperlink w:anchor="__RefHeading___Toc9482992_73709187">
            <w:r>
              <w:rPr>
                <w:webHidden/>
                <w:rStyle w:val="IndexLink"/>
                <w:rtl w:val="true"/>
              </w:rPr>
              <w:t>الفصل الرابع فی استیفاء حقوق الطفل</w:t>
            </w:r>
            <w:r>
              <w:rPr>
                <w:rStyle w:val="IndexLink"/>
                <w:rtl w:val="true"/>
              </w:rPr>
              <w:tab/>
            </w:r>
            <w:r>
              <w:rPr>
                <w:rStyle w:val="IndexLink"/>
              </w:rPr>
              <w:t>445</w:t>
            </w:r>
          </w:hyperlink>
        </w:p>
        <w:p>
          <w:pPr>
            <w:pStyle w:val="Contents4"/>
            <w:tabs>
              <w:tab w:val="clear" w:pos="8176"/>
              <w:tab w:val="right" w:pos="9026" w:leader="dot"/>
            </w:tabs>
            <w:rPr/>
          </w:pPr>
          <w:hyperlink w:anchor="__RefHeading___Toc9482994_73709187">
            <w:r>
              <w:rPr>
                <w:webHidden/>
                <w:rStyle w:val="IndexLink"/>
                <w:rtl w:val="true"/>
              </w:rPr>
              <w:t>تمهید</w:t>
            </w:r>
            <w:r>
              <w:rPr>
                <w:rStyle w:val="IndexLink"/>
                <w:rtl w:val="true"/>
              </w:rPr>
              <w:tab/>
            </w:r>
            <w:r>
              <w:rPr>
                <w:rStyle w:val="IndexLink"/>
              </w:rPr>
              <w:t>445</w:t>
            </w:r>
          </w:hyperlink>
        </w:p>
        <w:p>
          <w:pPr>
            <w:pStyle w:val="Contents4"/>
            <w:tabs>
              <w:tab w:val="clear" w:pos="8176"/>
              <w:tab w:val="right" w:pos="9026" w:leader="dot"/>
            </w:tabs>
            <w:rPr/>
          </w:pPr>
          <w:hyperlink w:anchor="__RefHeading___Toc9482996_73709187">
            <w:r>
              <w:rPr>
                <w:webHidden/>
                <w:rStyle w:val="IndexLink"/>
                <w:rtl w:val="true"/>
              </w:rPr>
              <w:t>المبحث الأوّل</w:t>
            </w:r>
            <w:r>
              <w:rPr>
                <w:rStyle w:val="IndexLink"/>
                <w:rtl w:val="true"/>
              </w:rPr>
              <w:t xml:space="preserve">: </w:t>
            </w:r>
            <w:r>
              <w:rPr>
                <w:rStyle w:val="IndexLink"/>
                <w:rtl w:val="true"/>
              </w:rPr>
              <w:t>استیفاء حقّ الشفعة</w:t>
            </w:r>
            <w:r>
              <w:rPr>
                <w:rStyle w:val="IndexLink"/>
                <w:rtl w:val="true"/>
              </w:rPr>
              <w:tab/>
            </w:r>
            <w:r>
              <w:rPr>
                <w:rStyle w:val="IndexLink"/>
              </w:rPr>
              <w:t>446</w:t>
            </w:r>
          </w:hyperlink>
        </w:p>
        <w:p>
          <w:pPr>
            <w:pStyle w:val="Contents5"/>
            <w:tabs>
              <w:tab w:val="clear" w:pos="7892"/>
              <w:tab w:val="right" w:pos="9026" w:leader="dot"/>
            </w:tabs>
            <w:rPr/>
          </w:pPr>
          <w:hyperlink w:anchor="__RefHeading___Toc9482998_7370918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9483000_73709187">
            <w:r>
              <w:rPr>
                <w:webHidden/>
                <w:rStyle w:val="IndexLink"/>
                <w:rtl w:val="true"/>
              </w:rPr>
              <w:t>أدلّة استیفاء حق الشفعة للصبیّ‌</w:t>
            </w:r>
            <w:r>
              <w:rPr>
                <w:rStyle w:val="IndexLink"/>
                <w:rtl w:val="true"/>
              </w:rPr>
              <w:tab/>
            </w:r>
            <w:r>
              <w:rPr>
                <w:rStyle w:val="IndexLink"/>
              </w:rPr>
              <w:t>447</w:t>
            </w:r>
          </w:hyperlink>
        </w:p>
        <w:p>
          <w:pPr>
            <w:pStyle w:val="Contents5"/>
            <w:tabs>
              <w:tab w:val="clear" w:pos="7892"/>
              <w:tab w:val="right" w:pos="9026" w:leader="dot"/>
            </w:tabs>
            <w:rPr/>
          </w:pPr>
          <w:hyperlink w:anchor="__RefHeading___Toc9483002_73709187">
            <w:r>
              <w:rPr>
                <w:webHidden/>
                <w:rStyle w:val="IndexLink"/>
                <w:rtl w:val="true"/>
              </w:rPr>
              <w:t>للصبی أخذ الشفعة بعد البلوغ</w:t>
            </w:r>
            <w:r>
              <w:rPr>
                <w:rStyle w:val="IndexLink"/>
                <w:rtl w:val="true"/>
              </w:rPr>
              <w:tab/>
            </w:r>
            <w:r>
              <w:rPr>
                <w:rStyle w:val="IndexLink"/>
              </w:rPr>
              <w:t>448</w:t>
            </w:r>
          </w:hyperlink>
        </w:p>
        <w:p>
          <w:pPr>
            <w:pStyle w:val="Contents5"/>
            <w:tabs>
              <w:tab w:val="clear" w:pos="7892"/>
              <w:tab w:val="right" w:pos="9026" w:leader="dot"/>
            </w:tabs>
            <w:rPr/>
          </w:pPr>
          <w:hyperlink w:anchor="__RefHeading___Toc9483004_73709187">
            <w:r>
              <w:rPr>
                <w:webHidden/>
                <w:rStyle w:val="IndexLink"/>
                <w:rtl w:val="true"/>
              </w:rPr>
              <w:t>لیس للصبی أخذ الشفعة بعد البلوغ</w:t>
            </w:r>
            <w:r>
              <w:rPr>
                <w:rStyle w:val="IndexLink"/>
                <w:rtl w:val="true"/>
              </w:rPr>
              <w:tab/>
            </w:r>
            <w:r>
              <w:rPr>
                <w:rStyle w:val="IndexLink"/>
              </w:rPr>
              <w:t>449</w:t>
            </w:r>
          </w:hyperlink>
        </w:p>
        <w:p>
          <w:pPr>
            <w:pStyle w:val="Contents5"/>
            <w:tabs>
              <w:tab w:val="clear" w:pos="7892"/>
              <w:tab w:val="right" w:pos="9026" w:leader="dot"/>
            </w:tabs>
            <w:rPr/>
          </w:pPr>
          <w:hyperlink w:anchor="__RefHeading___Toc9483006_73709187">
            <w:r>
              <w:rPr>
                <w:webHidden/>
                <w:rStyle w:val="IndexLink"/>
                <w:rtl w:val="true"/>
              </w:rPr>
              <w:t>أخذ الولیّ الشفعة عند فقهاء أهل السنّة</w:t>
            </w:r>
            <w:r>
              <w:rPr>
                <w:rStyle w:val="IndexLink"/>
                <w:rtl w:val="true"/>
              </w:rPr>
              <w:tab/>
            </w:r>
            <w:r>
              <w:rPr>
                <w:rStyle w:val="IndexLink"/>
              </w:rPr>
              <w:t>450</w:t>
            </w:r>
          </w:hyperlink>
        </w:p>
        <w:p>
          <w:pPr>
            <w:pStyle w:val="Contents4"/>
            <w:tabs>
              <w:tab w:val="clear" w:pos="8176"/>
              <w:tab w:val="right" w:pos="9026" w:leader="dot"/>
            </w:tabs>
            <w:rPr/>
          </w:pPr>
          <w:hyperlink w:anchor="__RefHeading___Toc9483008_73709187">
            <w:r>
              <w:rPr>
                <w:webHidden/>
                <w:rStyle w:val="IndexLink"/>
                <w:rtl w:val="true"/>
              </w:rPr>
              <w:t>المبحث الثانی</w:t>
            </w:r>
            <w:r>
              <w:rPr>
                <w:rStyle w:val="IndexLink"/>
                <w:rtl w:val="true"/>
              </w:rPr>
              <w:t xml:space="preserve">: </w:t>
            </w:r>
            <w:r>
              <w:rPr>
                <w:rStyle w:val="IndexLink"/>
                <w:rtl w:val="true"/>
              </w:rPr>
              <w:t>استیفاء حقّ الخیار للصبیّ‌</w:t>
            </w:r>
            <w:r>
              <w:rPr>
                <w:rStyle w:val="IndexLink"/>
                <w:rtl w:val="true"/>
              </w:rPr>
              <w:tab/>
            </w:r>
            <w:r>
              <w:rPr>
                <w:rStyle w:val="IndexLink"/>
              </w:rPr>
              <w:t>454</w:t>
            </w:r>
          </w:hyperlink>
        </w:p>
        <w:p>
          <w:pPr>
            <w:pStyle w:val="Contents5"/>
            <w:tabs>
              <w:tab w:val="clear" w:pos="7892"/>
              <w:tab w:val="right" w:pos="9026" w:leader="dot"/>
            </w:tabs>
            <w:rPr/>
          </w:pPr>
          <w:hyperlink w:anchor="__RefHeading___Toc9483010_7370918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9483012_73709187">
            <w:r>
              <w:rPr>
                <w:webHidden/>
                <w:rStyle w:val="IndexLink"/>
                <w:rtl w:val="true"/>
              </w:rPr>
              <w:t>ثبوت الخیار للولیّ فی حال کونه موجباً و قابلاً باعتبارین</w:t>
            </w:r>
            <w:r>
              <w:rPr>
                <w:rStyle w:val="IndexLink"/>
                <w:rtl w:val="true"/>
              </w:rPr>
              <w:tab/>
            </w:r>
            <w:r>
              <w:rPr>
                <w:rStyle w:val="IndexLink"/>
              </w:rPr>
              <w:t>457</w:t>
            </w:r>
          </w:hyperlink>
        </w:p>
        <w:p>
          <w:pPr>
            <w:pStyle w:val="Contents6"/>
            <w:tabs>
              <w:tab w:val="clear" w:pos="7609"/>
              <w:tab w:val="right" w:pos="9026" w:leader="dot"/>
            </w:tabs>
            <w:rPr/>
          </w:pPr>
          <w:hyperlink w:anchor="__RefHeading___Toc9483014_73709187">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9483016_73709187">
            <w:r>
              <w:rPr>
                <w:webHidden/>
                <w:rStyle w:val="IndexLink"/>
                <w:rtl w:val="true"/>
              </w:rPr>
              <w:t>القول الأوّل</w:t>
            </w:r>
            <w:r>
              <w:rPr>
                <w:rStyle w:val="IndexLink"/>
                <w:rtl w:val="true"/>
              </w:rPr>
              <w:t xml:space="preserve">: </w:t>
            </w:r>
            <w:r>
              <w:rPr>
                <w:rStyle w:val="IndexLink"/>
                <w:rtl w:val="true"/>
              </w:rPr>
              <w:t>ثبوت الخیار للولیّ ما لم یشترط سقوطه</w:t>
            </w:r>
            <w:r>
              <w:rPr>
                <w:rStyle w:val="IndexLink"/>
                <w:rtl w:val="true"/>
              </w:rPr>
              <w:tab/>
            </w:r>
            <w:r>
              <w:rPr>
                <w:rStyle w:val="IndexLink"/>
              </w:rPr>
              <w:t>457</w:t>
            </w:r>
          </w:hyperlink>
        </w:p>
        <w:p>
          <w:pPr>
            <w:pStyle w:val="Contents6"/>
            <w:tabs>
              <w:tab w:val="clear" w:pos="7609"/>
              <w:tab w:val="right" w:pos="9026" w:leader="dot"/>
            </w:tabs>
            <w:rPr/>
          </w:pPr>
          <w:hyperlink w:anchor="__RefHeading___Toc9483018_73709187">
            <w:r>
              <w:rPr>
                <w:webHidden/>
                <w:rStyle w:val="IndexLink"/>
                <w:rtl w:val="true"/>
              </w:rPr>
              <w:t>القول الثانی</w:t>
            </w:r>
            <w:r>
              <w:rPr>
                <w:rStyle w:val="IndexLink"/>
                <w:rtl w:val="true"/>
              </w:rPr>
              <w:t xml:space="preserve">: </w:t>
            </w:r>
            <w:r>
              <w:rPr>
                <w:rStyle w:val="IndexLink"/>
                <w:rtl w:val="true"/>
              </w:rPr>
              <w:t>عدم ثبوت الخیار للولیّ أصلاً</w:t>
            </w:r>
            <w:r>
              <w:rPr>
                <w:rStyle w:val="IndexLink"/>
                <w:rtl w:val="true"/>
              </w:rPr>
              <w:tab/>
            </w:r>
            <w:r>
              <w:rPr>
                <w:rStyle w:val="IndexLink"/>
              </w:rPr>
              <w:t>458</w:t>
            </w:r>
          </w:hyperlink>
        </w:p>
        <w:p>
          <w:pPr>
            <w:pStyle w:val="Contents6"/>
            <w:tabs>
              <w:tab w:val="clear" w:pos="7609"/>
              <w:tab w:val="right" w:pos="9026" w:leader="dot"/>
            </w:tabs>
            <w:rPr/>
          </w:pPr>
          <w:hyperlink w:anchor="__RefHeading___Toc9483020_73709187">
            <w:r>
              <w:rPr>
                <w:webHidden/>
                <w:rStyle w:val="IndexLink"/>
                <w:rtl w:val="true"/>
              </w:rPr>
              <w:t>القول الثالث</w:t>
            </w:r>
            <w:r>
              <w:rPr>
                <w:rStyle w:val="IndexLink"/>
                <w:rtl w:val="true"/>
              </w:rPr>
              <w:t xml:space="preserve">: - </w:t>
            </w:r>
            <w:r>
              <w:rPr>
                <w:rStyle w:val="IndexLink"/>
                <w:rtl w:val="true"/>
              </w:rPr>
              <w:t xml:space="preserve">و لعلّه هو الأقوی </w:t>
            </w:r>
            <w:r>
              <w:rPr>
                <w:rStyle w:val="IndexLink"/>
                <w:rtl w:val="true"/>
              </w:rPr>
              <w:t xml:space="preserve">- </w:t>
            </w:r>
            <w:r>
              <w:rPr>
                <w:rStyle w:val="IndexLink"/>
                <w:rtl w:val="true"/>
              </w:rPr>
              <w:t>التوقّف فی المسألة</w:t>
            </w:r>
            <w:r>
              <w:rPr>
                <w:rStyle w:val="IndexLink"/>
                <w:rtl w:val="true"/>
              </w:rPr>
              <w:tab/>
            </w:r>
            <w:r>
              <w:rPr>
                <w:rStyle w:val="IndexLink"/>
              </w:rPr>
              <w:t>459</w:t>
            </w:r>
          </w:hyperlink>
        </w:p>
        <w:p>
          <w:pPr>
            <w:pStyle w:val="Contents6"/>
            <w:tabs>
              <w:tab w:val="clear" w:pos="7609"/>
              <w:tab w:val="right" w:pos="9026" w:leader="dot"/>
            </w:tabs>
            <w:rPr/>
          </w:pPr>
          <w:hyperlink w:anchor="__RefHeading___Toc9483022_73709187">
            <w:r>
              <w:rPr>
                <w:webHidden/>
                <w:rStyle w:val="IndexLink"/>
                <w:rtl w:val="true"/>
              </w:rPr>
              <w:t>فرع</w:t>
            </w:r>
            <w:r>
              <w:rPr>
                <w:rStyle w:val="IndexLink"/>
                <w:rtl w:val="true"/>
              </w:rPr>
              <w:tab/>
            </w:r>
            <w:r>
              <w:rPr>
                <w:rStyle w:val="IndexLink"/>
              </w:rPr>
              <w:t>459</w:t>
            </w:r>
          </w:hyperlink>
        </w:p>
        <w:p>
          <w:pPr>
            <w:pStyle w:val="Contents5"/>
            <w:tabs>
              <w:tab w:val="clear" w:pos="7892"/>
              <w:tab w:val="right" w:pos="9026" w:leader="dot"/>
            </w:tabs>
            <w:rPr/>
          </w:pPr>
          <w:hyperlink w:anchor="__RefHeading___Toc9483024_73709187">
            <w:r>
              <w:rPr>
                <w:webHidden/>
                <w:rStyle w:val="IndexLink"/>
                <w:rtl w:val="true"/>
              </w:rPr>
              <w:t>استیفاء حقّ الخیار عند فقهاء أهل السنّة</w:t>
            </w:r>
            <w:r>
              <w:rPr>
                <w:rStyle w:val="IndexLink"/>
                <w:rtl w:val="true"/>
              </w:rPr>
              <w:tab/>
            </w:r>
            <w:r>
              <w:rPr>
                <w:rStyle w:val="IndexLink"/>
              </w:rPr>
              <w:t>459</w:t>
            </w:r>
          </w:hyperlink>
        </w:p>
        <w:p>
          <w:pPr>
            <w:pStyle w:val="Contents4"/>
            <w:tabs>
              <w:tab w:val="clear" w:pos="8176"/>
              <w:tab w:val="right" w:pos="9026" w:leader="dot"/>
            </w:tabs>
            <w:rPr/>
          </w:pPr>
          <w:hyperlink w:anchor="__RefHeading___Toc9483026_73709187">
            <w:r>
              <w:rPr>
                <w:webHidden/>
                <w:rStyle w:val="IndexLink"/>
                <w:rtl w:val="true"/>
              </w:rPr>
              <w:t>المبحث الثالث</w:t>
            </w:r>
            <w:r>
              <w:rPr>
                <w:rStyle w:val="IndexLink"/>
                <w:rtl w:val="true"/>
              </w:rPr>
              <w:t xml:space="preserve">: </w:t>
            </w:r>
            <w:r>
              <w:rPr>
                <w:rStyle w:val="IndexLink"/>
                <w:rtl w:val="true"/>
              </w:rPr>
              <w:t>الولایة علی القبول و القبض فی الهبة</w:t>
            </w:r>
            <w:r>
              <w:rPr>
                <w:rStyle w:val="IndexLink"/>
                <w:rtl w:val="true"/>
              </w:rPr>
              <w:tab/>
            </w:r>
            <w:r>
              <w:rPr>
                <w:rStyle w:val="IndexLink"/>
              </w:rPr>
              <w:t>462</w:t>
            </w:r>
          </w:hyperlink>
        </w:p>
        <w:p>
          <w:pPr>
            <w:pStyle w:val="Contents5"/>
            <w:tabs>
              <w:tab w:val="clear" w:pos="7892"/>
              <w:tab w:val="right" w:pos="9026" w:leader="dot"/>
            </w:tabs>
            <w:rPr/>
          </w:pPr>
          <w:hyperlink w:anchor="__RefHeading___Toc9483028_7370918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9483030_73709187">
            <w:r>
              <w:rPr>
                <w:webHidden/>
                <w:rStyle w:val="IndexLink"/>
                <w:rtl w:val="true"/>
              </w:rPr>
              <w:t>المطلب الأوّل</w:t>
            </w:r>
            <w:r>
              <w:rPr>
                <w:rStyle w:val="IndexLink"/>
                <w:rtl w:val="true"/>
              </w:rPr>
              <w:t xml:space="preserve">: </w:t>
            </w:r>
            <w:r>
              <w:rPr>
                <w:rStyle w:val="IndexLink"/>
                <w:rtl w:val="true"/>
              </w:rPr>
              <w:t>الولایة علی قبول الهبة</w:t>
            </w:r>
            <w:r>
              <w:rPr>
                <w:rStyle w:val="IndexLink"/>
                <w:rtl w:val="true"/>
              </w:rPr>
              <w:tab/>
            </w:r>
            <w:r>
              <w:rPr>
                <w:rStyle w:val="IndexLink"/>
              </w:rPr>
              <w:t>462</w:t>
            </w:r>
          </w:hyperlink>
        </w:p>
        <w:p>
          <w:pPr>
            <w:pStyle w:val="Contents6"/>
            <w:tabs>
              <w:tab w:val="clear" w:pos="7609"/>
              <w:tab w:val="right" w:pos="9026" w:leader="dot"/>
            </w:tabs>
            <w:rPr/>
          </w:pPr>
          <w:hyperlink w:anchor="__RefHeading___Toc9483032_73709187">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9483034_73709187">
            <w:r>
              <w:rPr>
                <w:webHidden/>
                <w:rStyle w:val="IndexLink"/>
                <w:rtl w:val="true"/>
              </w:rPr>
              <w:t>أدلّة جواز الهبة بالمعاطاة</w:t>
            </w:r>
            <w:r>
              <w:rPr>
                <w:rStyle w:val="IndexLink"/>
                <w:rtl w:val="true"/>
              </w:rPr>
              <w:tab/>
            </w:r>
            <w:r>
              <w:rPr>
                <w:rStyle w:val="IndexLink"/>
              </w:rPr>
              <w:t>465</w:t>
            </w:r>
          </w:hyperlink>
        </w:p>
        <w:p>
          <w:pPr>
            <w:pStyle w:val="Contents6"/>
            <w:tabs>
              <w:tab w:val="clear" w:pos="7609"/>
              <w:tab w:val="right" w:pos="9026" w:leader="dot"/>
            </w:tabs>
            <w:rPr/>
          </w:pPr>
          <w:hyperlink w:anchor="__RefHeading___Toc9483036_73709187">
            <w:r>
              <w:rPr>
                <w:webHidden/>
                <w:rStyle w:val="IndexLink"/>
                <w:rtl w:val="true"/>
              </w:rPr>
              <w:t>إیضاح</w:t>
            </w:r>
            <w:r>
              <w:rPr>
                <w:rStyle w:val="IndexLink"/>
                <w:rtl w:val="true"/>
              </w:rPr>
              <w:tab/>
            </w:r>
            <w:r>
              <w:rPr>
                <w:rStyle w:val="IndexLink"/>
              </w:rPr>
              <w:t>466</w:t>
            </w:r>
          </w:hyperlink>
        </w:p>
        <w:p>
          <w:pPr>
            <w:pStyle w:val="Contents6"/>
            <w:tabs>
              <w:tab w:val="clear" w:pos="7609"/>
              <w:tab w:val="right" w:pos="9026" w:leader="dot"/>
            </w:tabs>
            <w:rPr/>
          </w:pPr>
          <w:hyperlink w:anchor="__RefHeading___Toc9483038_73709187">
            <w:r>
              <w:rPr>
                <w:webHidden/>
                <w:rStyle w:val="IndexLink"/>
                <w:rtl w:val="true"/>
              </w:rPr>
              <w:t>قبول الولیّ الهبة و الهدیة للصبی</w:t>
            </w:r>
            <w:r>
              <w:rPr>
                <w:rStyle w:val="IndexLink"/>
                <w:rtl w:val="true"/>
              </w:rPr>
              <w:tab/>
            </w:r>
            <w:r>
              <w:rPr>
                <w:rStyle w:val="IndexLink"/>
              </w:rPr>
              <w:t>467</w:t>
            </w:r>
          </w:hyperlink>
        </w:p>
        <w:p>
          <w:pPr>
            <w:pStyle w:val="Contents6"/>
            <w:tabs>
              <w:tab w:val="clear" w:pos="7609"/>
              <w:tab w:val="right" w:pos="9026" w:leader="dot"/>
            </w:tabs>
            <w:rPr/>
          </w:pPr>
          <w:hyperlink w:anchor="__RefHeading___Toc9483040_73709187">
            <w:r>
              <w:rPr>
                <w:webHidden/>
                <w:rStyle w:val="IndexLink"/>
                <w:rtl w:val="true"/>
              </w:rPr>
              <w:t>فرع</w:t>
            </w:r>
            <w:r>
              <w:rPr>
                <w:rStyle w:val="IndexLink"/>
                <w:rtl w:val="true"/>
              </w:rPr>
              <w:tab/>
            </w:r>
            <w:r>
              <w:rPr>
                <w:rStyle w:val="IndexLink"/>
              </w:rPr>
              <w:t>469</w:t>
            </w:r>
          </w:hyperlink>
        </w:p>
        <w:p>
          <w:pPr>
            <w:pStyle w:val="Contents6"/>
            <w:tabs>
              <w:tab w:val="clear" w:pos="7609"/>
              <w:tab w:val="right" w:pos="9026" w:leader="dot"/>
            </w:tabs>
            <w:rPr/>
          </w:pPr>
          <w:hyperlink w:anchor="__RefHeading___Toc9483042_73709187">
            <w:r>
              <w:rPr>
                <w:webHidden/>
                <w:rStyle w:val="IndexLink"/>
                <w:rtl w:val="true"/>
              </w:rPr>
              <w:t>آراء فقهاء أهل السنّة فی المسألة</w:t>
            </w:r>
            <w:r>
              <w:rPr>
                <w:rStyle w:val="IndexLink"/>
                <w:rtl w:val="true"/>
              </w:rPr>
              <w:tab/>
            </w:r>
            <w:r>
              <w:rPr>
                <w:rStyle w:val="IndexLink"/>
              </w:rPr>
              <w:t>470</w:t>
            </w:r>
          </w:hyperlink>
        </w:p>
        <w:p>
          <w:pPr>
            <w:pStyle w:val="Contents5"/>
            <w:tabs>
              <w:tab w:val="clear" w:pos="7892"/>
              <w:tab w:val="right" w:pos="9026" w:leader="dot"/>
            </w:tabs>
            <w:rPr/>
          </w:pPr>
          <w:hyperlink w:anchor="__RefHeading___Toc9483044_73709187">
            <w:r>
              <w:rPr>
                <w:webHidden/>
                <w:rStyle w:val="IndexLink"/>
                <w:rtl w:val="true"/>
              </w:rPr>
              <w:t>المطلب الثانی</w:t>
            </w:r>
            <w:r>
              <w:rPr>
                <w:rStyle w:val="IndexLink"/>
                <w:rtl w:val="true"/>
              </w:rPr>
              <w:t xml:space="preserve">: </w:t>
            </w:r>
            <w:r>
              <w:rPr>
                <w:rStyle w:val="IndexLink"/>
                <w:rtl w:val="true"/>
              </w:rPr>
              <w:t>الولایة علی قبض الهبة</w:t>
            </w:r>
            <w:r>
              <w:rPr>
                <w:rStyle w:val="IndexLink"/>
                <w:rtl w:val="true"/>
              </w:rPr>
              <w:tab/>
            </w:r>
            <w:r>
              <w:rPr>
                <w:rStyle w:val="IndexLink"/>
              </w:rPr>
              <w:t>471</w:t>
            </w:r>
          </w:hyperlink>
        </w:p>
        <w:p>
          <w:pPr>
            <w:pStyle w:val="Contents6"/>
            <w:tabs>
              <w:tab w:val="clear" w:pos="7609"/>
              <w:tab w:val="right" w:pos="9026" w:leader="dot"/>
            </w:tabs>
            <w:rPr/>
          </w:pPr>
          <w:hyperlink w:anchor="__RefHeading___Toc9483046_73709187">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9483048_73709187">
            <w:r>
              <w:rPr>
                <w:webHidden/>
                <w:rStyle w:val="IndexLink"/>
                <w:rtl w:val="true"/>
              </w:rPr>
              <w:t>أدلّة قبض الولیّ الهبة للصبیّ‌</w:t>
            </w:r>
            <w:r>
              <w:rPr>
                <w:rStyle w:val="IndexLink"/>
                <w:rtl w:val="true"/>
              </w:rPr>
              <w:tab/>
            </w:r>
            <w:r>
              <w:rPr>
                <w:rStyle w:val="IndexLink"/>
              </w:rPr>
              <w:t>474</w:t>
            </w:r>
          </w:hyperlink>
        </w:p>
        <w:p>
          <w:pPr>
            <w:pStyle w:val="Contents6"/>
            <w:tabs>
              <w:tab w:val="clear" w:pos="7609"/>
              <w:tab w:val="right" w:pos="9026" w:leader="dot"/>
            </w:tabs>
            <w:rPr/>
          </w:pPr>
          <w:hyperlink w:anchor="__RefHeading___Toc9483050_73709187">
            <w:r>
              <w:rPr>
                <w:webHidden/>
                <w:rStyle w:val="IndexLink"/>
                <w:rtl w:val="true"/>
              </w:rPr>
              <w:t>اشتراک الصدقة و الهبة فی القبض</w:t>
            </w:r>
            <w:r>
              <w:rPr>
                <w:rStyle w:val="IndexLink"/>
                <w:rtl w:val="true"/>
              </w:rPr>
              <w:tab/>
            </w:r>
            <w:r>
              <w:rPr>
                <w:rStyle w:val="IndexLink"/>
              </w:rPr>
              <w:t>476</w:t>
            </w:r>
          </w:hyperlink>
        </w:p>
        <w:p>
          <w:pPr>
            <w:pStyle w:val="Contents6"/>
            <w:tabs>
              <w:tab w:val="clear" w:pos="7609"/>
              <w:tab w:val="right" w:pos="9026" w:leader="dot"/>
            </w:tabs>
            <w:rPr/>
          </w:pPr>
          <w:hyperlink w:anchor="__RefHeading___Toc9483052_73709187">
            <w:r>
              <w:rPr>
                <w:webHidden/>
                <w:rStyle w:val="IndexLink"/>
                <w:rtl w:val="true"/>
              </w:rPr>
              <w:t>فروع</w:t>
            </w:r>
            <w:r>
              <w:rPr>
                <w:rStyle w:val="IndexLink"/>
                <w:rtl w:val="true"/>
              </w:rPr>
              <w:tab/>
            </w:r>
            <w:r>
              <w:rPr>
                <w:rStyle w:val="IndexLink"/>
              </w:rPr>
              <w:t>476</w:t>
            </w:r>
          </w:hyperlink>
        </w:p>
        <w:p>
          <w:pPr>
            <w:pStyle w:val="Contents6"/>
            <w:tabs>
              <w:tab w:val="clear" w:pos="7609"/>
              <w:tab w:val="right" w:pos="9026" w:leader="dot"/>
            </w:tabs>
            <w:rPr/>
          </w:pPr>
          <w:hyperlink w:anchor="__RefHeading___Toc9483054_73709187">
            <w:r>
              <w:rPr>
                <w:webHidden/>
                <w:rStyle w:val="IndexLink"/>
                <w:rtl w:val="true"/>
              </w:rPr>
              <w:t>الأوّل</w:t>
            </w:r>
            <w:r>
              <w:rPr>
                <w:rStyle w:val="IndexLink"/>
                <w:rtl w:val="true"/>
              </w:rPr>
              <w:t xml:space="preserve">: </w:t>
            </w:r>
            <w:r>
              <w:rPr>
                <w:rStyle w:val="IndexLink"/>
                <w:rtl w:val="true"/>
              </w:rPr>
              <w:t>هل یعتبر قصد القبض عن الطفل بعد الهبة لیتمحّض القبض للهبة أو لا یعتبر؟ قولان</w:t>
            </w:r>
            <w:r>
              <w:rPr>
                <w:rStyle w:val="IndexLink"/>
                <w:rtl w:val="true"/>
              </w:rPr>
              <w:t>:</w:t>
              <w:tab/>
            </w:r>
            <w:r>
              <w:rPr>
                <w:rStyle w:val="IndexLink"/>
              </w:rPr>
              <w:t>476</w:t>
            </w:r>
          </w:hyperlink>
        </w:p>
        <w:p>
          <w:pPr>
            <w:pStyle w:val="Contents6"/>
            <w:tabs>
              <w:tab w:val="clear" w:pos="7609"/>
              <w:tab w:val="right" w:pos="9026" w:leader="dot"/>
            </w:tabs>
            <w:rPr/>
          </w:pPr>
          <w:hyperlink w:anchor="__RefHeading___Toc9483056_73709187">
            <w:r>
              <w:rPr>
                <w:webHidden/>
                <w:rStyle w:val="IndexLink"/>
                <w:rtl w:val="true"/>
              </w:rPr>
              <w:t>الفرع الثانی</w:t>
            </w:r>
            <w:r>
              <w:rPr>
                <w:rStyle w:val="IndexLink"/>
                <w:rtl w:val="true"/>
              </w:rPr>
              <w:t xml:space="preserve">: </w:t>
            </w:r>
            <w:r>
              <w:rPr>
                <w:rStyle w:val="IndexLink"/>
                <w:rtl w:val="true"/>
              </w:rPr>
              <w:t>أنّه هل للوصیّ أن یتولّی القبض عن الطفل أم لا؟ قولان</w:t>
            </w:r>
            <w:r>
              <w:rPr>
                <w:rStyle w:val="IndexLink"/>
                <w:rtl w:val="true"/>
              </w:rPr>
              <w:t>:</w:t>
              <w:tab/>
            </w:r>
            <w:r>
              <w:rPr>
                <w:rStyle w:val="IndexLink"/>
              </w:rPr>
              <w:t>477</w:t>
            </w:r>
          </w:hyperlink>
        </w:p>
        <w:p>
          <w:pPr>
            <w:pStyle w:val="Contents6"/>
            <w:tabs>
              <w:tab w:val="clear" w:pos="7609"/>
              <w:tab w:val="right" w:pos="9026" w:leader="dot"/>
            </w:tabs>
            <w:rPr/>
          </w:pPr>
          <w:hyperlink w:anchor="__RefHeading___Toc9483058_73709187">
            <w:r>
              <w:rPr>
                <w:webHidden/>
                <w:rStyle w:val="IndexLink"/>
                <w:rtl w:val="true"/>
              </w:rPr>
              <w:t>الفرع الثالث</w:t>
            </w:r>
            <w:r>
              <w:rPr>
                <w:rStyle w:val="IndexLink"/>
                <w:rtl w:val="true"/>
              </w:rPr>
              <w:t xml:space="preserve">: </w:t>
            </w:r>
            <w:r>
              <w:rPr>
                <w:rStyle w:val="IndexLink"/>
                <w:rtl w:val="true"/>
              </w:rPr>
              <w:t>قال العلاّمة</w:t>
            </w:r>
            <w:r>
              <w:rPr>
                <w:rStyle w:val="IndexLink"/>
                <w:rtl w:val="true"/>
              </w:rPr>
              <w:t>: «</w:t>
            </w:r>
            <w:r>
              <w:rPr>
                <w:rStyle w:val="IndexLink"/>
                <w:rtl w:val="true"/>
              </w:rPr>
              <w:t>و للولیّ أن یهب مال الطفل بشرط الثواب مع المصلحة</w:t>
            </w:r>
            <w:r>
              <w:rPr>
                <w:rStyle w:val="IndexLink"/>
                <w:rtl w:val="true"/>
              </w:rPr>
              <w:tab/>
            </w:r>
            <w:r>
              <w:rPr>
                <w:rStyle w:val="IndexLink"/>
              </w:rPr>
              <w:t>478</w:t>
            </w:r>
          </w:hyperlink>
        </w:p>
        <w:p>
          <w:pPr>
            <w:pStyle w:val="Contents6"/>
            <w:tabs>
              <w:tab w:val="clear" w:pos="7609"/>
              <w:tab w:val="right" w:pos="9026" w:leader="dot"/>
            </w:tabs>
            <w:rPr/>
          </w:pPr>
          <w:hyperlink w:anchor="__RefHeading___Toc9483060_73709187">
            <w:r>
              <w:rPr>
                <w:webHidden/>
                <w:rStyle w:val="IndexLink"/>
                <w:rtl w:val="true"/>
              </w:rPr>
              <w:t>آراء فقهاء أهل السنّة فی الولایة علی قبض الهبة</w:t>
            </w:r>
            <w:r>
              <w:rPr>
                <w:rStyle w:val="IndexLink"/>
                <w:rtl w:val="true"/>
              </w:rPr>
              <w:tab/>
            </w:r>
            <w:r>
              <w:rPr>
                <w:rStyle w:val="IndexLink"/>
              </w:rPr>
              <w:t>478</w:t>
            </w:r>
          </w:hyperlink>
        </w:p>
        <w:p>
          <w:pPr>
            <w:pStyle w:val="Contents4"/>
            <w:tabs>
              <w:tab w:val="clear" w:pos="8176"/>
              <w:tab w:val="right" w:pos="9026" w:leader="dot"/>
            </w:tabs>
            <w:rPr/>
          </w:pPr>
          <w:hyperlink w:anchor="__RefHeading___Toc9483062_73709187">
            <w:r>
              <w:rPr>
                <w:webHidden/>
                <w:rStyle w:val="IndexLink"/>
                <w:rtl w:val="true"/>
              </w:rPr>
              <w:t>المبحث الرابع</w:t>
            </w:r>
            <w:r>
              <w:rPr>
                <w:rStyle w:val="IndexLink"/>
                <w:rtl w:val="true"/>
              </w:rPr>
              <w:t xml:space="preserve">: </w:t>
            </w:r>
            <w:r>
              <w:rPr>
                <w:rStyle w:val="IndexLink"/>
                <w:rtl w:val="true"/>
              </w:rPr>
              <w:t>الولایة علی القبض فی الوقف علی الأطفال</w:t>
            </w:r>
            <w:r>
              <w:rPr>
                <w:rStyle w:val="IndexLink"/>
                <w:rtl w:val="true"/>
              </w:rPr>
              <w:tab/>
            </w:r>
            <w:r>
              <w:rPr>
                <w:rStyle w:val="IndexLink"/>
              </w:rPr>
              <w:t>483</w:t>
            </w:r>
          </w:hyperlink>
        </w:p>
        <w:p>
          <w:pPr>
            <w:pStyle w:val="Contents5"/>
            <w:tabs>
              <w:tab w:val="clear" w:pos="7892"/>
              <w:tab w:val="right" w:pos="9026" w:leader="dot"/>
            </w:tabs>
            <w:rPr/>
          </w:pPr>
          <w:hyperlink w:anchor="__RefHeading___Toc9483064_7370918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9483066_73709187">
            <w:r>
              <w:rPr>
                <w:webHidden/>
                <w:rStyle w:val="IndexLink"/>
                <w:rtl w:val="true"/>
              </w:rPr>
              <w:t>المطلب الأوّل</w:t>
            </w:r>
            <w:r>
              <w:rPr>
                <w:rStyle w:val="IndexLink"/>
                <w:rtl w:val="true"/>
              </w:rPr>
              <w:t xml:space="preserve">: </w:t>
            </w:r>
            <w:r>
              <w:rPr>
                <w:rStyle w:val="IndexLink"/>
                <w:rtl w:val="true"/>
              </w:rPr>
              <w:t>أن یتولّی الأب أو الجدّ أو الوصیّ القبض عن الصغیر</w:t>
            </w:r>
            <w:r>
              <w:rPr>
                <w:rStyle w:val="IndexLink"/>
                <w:rtl w:val="true"/>
              </w:rPr>
              <w:tab/>
            </w:r>
            <w:r>
              <w:rPr>
                <w:rStyle w:val="IndexLink"/>
              </w:rPr>
              <w:t>483</w:t>
            </w:r>
          </w:hyperlink>
        </w:p>
        <w:p>
          <w:pPr>
            <w:pStyle w:val="Contents6"/>
            <w:tabs>
              <w:tab w:val="clear" w:pos="7609"/>
              <w:tab w:val="right" w:pos="9026" w:leader="dot"/>
            </w:tabs>
            <w:rPr/>
          </w:pPr>
          <w:hyperlink w:anchor="__RefHeading___Toc9483068_73709187">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9483070_73709187">
            <w:r>
              <w:rPr>
                <w:webHidden/>
                <w:rStyle w:val="IndexLink"/>
                <w:rtl w:val="true"/>
              </w:rPr>
              <w:t>أدلّة هذا الحکم</w:t>
            </w:r>
            <w:r>
              <w:rPr>
                <w:rStyle w:val="IndexLink"/>
                <w:rtl w:val="true"/>
              </w:rPr>
              <w:tab/>
            </w:r>
            <w:r>
              <w:rPr>
                <w:rStyle w:val="IndexLink"/>
              </w:rPr>
              <w:t>485</w:t>
            </w:r>
          </w:hyperlink>
        </w:p>
        <w:p>
          <w:pPr>
            <w:pStyle w:val="Contents5"/>
            <w:tabs>
              <w:tab w:val="clear" w:pos="7892"/>
              <w:tab w:val="right" w:pos="9026" w:leader="dot"/>
            </w:tabs>
            <w:rPr/>
          </w:pPr>
          <w:hyperlink w:anchor="__RefHeading___Toc9483072_73709187">
            <w:r>
              <w:rPr>
                <w:webHidden/>
                <w:rStyle w:val="IndexLink"/>
                <w:rtl w:val="true"/>
              </w:rPr>
              <w:t>المطلب الثانی</w:t>
            </w:r>
            <w:r>
              <w:rPr>
                <w:rStyle w:val="IndexLink"/>
                <w:rtl w:val="true"/>
              </w:rPr>
              <w:t xml:space="preserve">: </w:t>
            </w:r>
            <w:r>
              <w:rPr>
                <w:rStyle w:val="IndexLink"/>
                <w:rtl w:val="true"/>
              </w:rPr>
              <w:t>اعتبار قصد القبض أو عدمه عن الصبیّ‌</w:t>
            </w:r>
            <w:r>
              <w:rPr>
                <w:rStyle w:val="IndexLink"/>
                <w:rtl w:val="true"/>
              </w:rPr>
              <w:tab/>
            </w:r>
            <w:r>
              <w:rPr>
                <w:rStyle w:val="IndexLink"/>
              </w:rPr>
              <w:t>485</w:t>
            </w:r>
          </w:hyperlink>
        </w:p>
        <w:p>
          <w:pPr>
            <w:pStyle w:val="Contents6"/>
            <w:tabs>
              <w:tab w:val="clear" w:pos="7609"/>
              <w:tab w:val="right" w:pos="9026" w:leader="dot"/>
            </w:tabs>
            <w:rPr/>
          </w:pPr>
          <w:hyperlink w:anchor="__RefHeading___Toc9483074_73709187">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9483076_73709187">
            <w:r>
              <w:rPr>
                <w:webHidden/>
                <w:rStyle w:val="IndexLink"/>
                <w:rtl w:val="true"/>
              </w:rPr>
              <w:t>أدلّة عدم اعتبار قصد القبض عن الصبیّ‌</w:t>
            </w:r>
            <w:r>
              <w:rPr>
                <w:rStyle w:val="IndexLink"/>
                <w:rtl w:val="true"/>
              </w:rPr>
              <w:tab/>
            </w:r>
            <w:r>
              <w:rPr>
                <w:rStyle w:val="IndexLink"/>
              </w:rPr>
              <w:t>488</w:t>
            </w:r>
          </w:hyperlink>
        </w:p>
        <w:p>
          <w:pPr>
            <w:pStyle w:val="Contents6"/>
            <w:tabs>
              <w:tab w:val="clear" w:pos="7609"/>
              <w:tab w:val="right" w:pos="9026" w:leader="dot"/>
            </w:tabs>
            <w:rPr/>
          </w:pPr>
          <w:hyperlink w:anchor="__RefHeading___Toc9483078_73709187">
            <w:r>
              <w:rPr>
                <w:webHidden/>
                <w:rStyle w:val="IndexLink"/>
                <w:rtl w:val="true"/>
              </w:rPr>
              <w:t>فرع</w:t>
            </w:r>
            <w:r>
              <w:rPr>
                <w:rStyle w:val="IndexLink"/>
                <w:rtl w:val="true"/>
              </w:rPr>
              <w:tab/>
            </w:r>
            <w:r>
              <w:rPr>
                <w:rStyle w:val="IndexLink"/>
              </w:rPr>
              <w:t>492</w:t>
            </w:r>
          </w:hyperlink>
        </w:p>
        <w:p>
          <w:pPr>
            <w:pStyle w:val="Contents6"/>
            <w:tabs>
              <w:tab w:val="clear" w:pos="7609"/>
              <w:tab w:val="right" w:pos="9026" w:leader="dot"/>
            </w:tabs>
            <w:rPr/>
          </w:pPr>
          <w:hyperlink w:anchor="__RefHeading___Toc9483080_73709187">
            <w:r>
              <w:rPr>
                <w:webHidden/>
                <w:rStyle w:val="IndexLink"/>
                <w:rtl w:val="true"/>
              </w:rPr>
              <w:t>الولایة علی القبول و القبض فی الوقف عند أهل السنّة</w:t>
            </w:r>
            <w:r>
              <w:rPr>
                <w:rStyle w:val="IndexLink"/>
                <w:rtl w:val="true"/>
              </w:rPr>
              <w:tab/>
            </w:r>
            <w:r>
              <w:rPr>
                <w:rStyle w:val="IndexLink"/>
              </w:rPr>
              <w:t>492</w:t>
            </w:r>
          </w:hyperlink>
        </w:p>
        <w:p>
          <w:pPr>
            <w:pStyle w:val="Contents4"/>
            <w:tabs>
              <w:tab w:val="clear" w:pos="8176"/>
              <w:tab w:val="right" w:pos="9026" w:leader="dot"/>
            </w:tabs>
            <w:rPr/>
          </w:pPr>
          <w:hyperlink w:anchor="__RefHeading___Toc9483082_73709187">
            <w:r>
              <w:rPr>
                <w:webHidden/>
                <w:rStyle w:val="IndexLink"/>
                <w:rtl w:val="true"/>
              </w:rPr>
              <w:t>المبحث الخامس</w:t>
            </w:r>
            <w:r>
              <w:rPr>
                <w:rStyle w:val="IndexLink"/>
                <w:rtl w:val="true"/>
              </w:rPr>
              <w:t xml:space="preserve">: </w:t>
            </w:r>
            <w:r>
              <w:rPr>
                <w:rStyle w:val="IndexLink"/>
                <w:rtl w:val="true"/>
              </w:rPr>
              <w:t>الولایة علی قبول الوصیّة للصغیر</w:t>
            </w:r>
            <w:r>
              <w:rPr>
                <w:rStyle w:val="IndexLink"/>
                <w:rtl w:val="true"/>
              </w:rPr>
              <w:tab/>
            </w:r>
            <w:r>
              <w:rPr>
                <w:rStyle w:val="IndexLink"/>
              </w:rPr>
              <w:t>498</w:t>
            </w:r>
          </w:hyperlink>
        </w:p>
        <w:p>
          <w:pPr>
            <w:pStyle w:val="Contents5"/>
            <w:tabs>
              <w:tab w:val="clear" w:pos="7892"/>
              <w:tab w:val="right" w:pos="9026" w:leader="dot"/>
            </w:tabs>
            <w:rPr/>
          </w:pPr>
          <w:hyperlink w:anchor="__RefHeading___Toc9483084_7370918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9483086_73709187">
            <w:r>
              <w:rPr>
                <w:webHidden/>
                <w:rStyle w:val="IndexLink"/>
                <w:rtl w:val="true"/>
              </w:rPr>
              <w:t>الولایة علی القبول فی الوصیّة للصغیر عند فقهاء أهل السنّة</w:t>
            </w:r>
            <w:r>
              <w:rPr>
                <w:rStyle w:val="IndexLink"/>
                <w:rtl w:val="true"/>
              </w:rPr>
              <w:tab/>
            </w:r>
            <w:r>
              <w:rPr>
                <w:rStyle w:val="IndexLink"/>
              </w:rPr>
              <w:t>501</w:t>
            </w:r>
          </w:hyperlink>
        </w:p>
        <w:p>
          <w:pPr>
            <w:pStyle w:val="Contents3"/>
            <w:tabs>
              <w:tab w:val="clear" w:pos="8459"/>
              <w:tab w:val="right" w:pos="9026" w:leader="dot"/>
            </w:tabs>
            <w:rPr/>
          </w:pPr>
          <w:hyperlink w:anchor="__RefHeading___Toc9483088_73709187">
            <w:r>
              <w:rPr>
                <w:webHidden/>
                <w:rStyle w:val="IndexLink"/>
                <w:rtl w:val="true"/>
              </w:rPr>
              <w:t>الفصل الخامس فی الوصیة بالولایة</w:t>
            </w:r>
            <w:r>
              <w:rPr>
                <w:rStyle w:val="IndexLink"/>
                <w:rtl w:val="true"/>
              </w:rPr>
              <w:tab/>
            </w:r>
            <w:r>
              <w:rPr>
                <w:rStyle w:val="IndexLink"/>
              </w:rPr>
              <w:t>504</w:t>
            </w:r>
          </w:hyperlink>
        </w:p>
        <w:p>
          <w:pPr>
            <w:pStyle w:val="Contents4"/>
            <w:tabs>
              <w:tab w:val="clear" w:pos="8176"/>
              <w:tab w:val="right" w:pos="9026" w:leader="dot"/>
            </w:tabs>
            <w:rPr/>
          </w:pPr>
          <w:hyperlink w:anchor="__RefHeading___Toc9483090_73709187">
            <w:r>
              <w:rPr>
                <w:webHidden/>
                <w:rStyle w:val="IndexLink"/>
                <w:rtl w:val="true"/>
              </w:rPr>
              <w:t>تمهید</w:t>
            </w:r>
            <w:r>
              <w:rPr>
                <w:rStyle w:val="IndexLink"/>
                <w:rtl w:val="true"/>
              </w:rPr>
              <w:tab/>
            </w:r>
            <w:r>
              <w:rPr>
                <w:rStyle w:val="IndexLink"/>
              </w:rPr>
              <w:t>504</w:t>
            </w:r>
          </w:hyperlink>
        </w:p>
        <w:p>
          <w:pPr>
            <w:pStyle w:val="Contents4"/>
            <w:tabs>
              <w:tab w:val="clear" w:pos="8176"/>
              <w:tab w:val="right" w:pos="9026" w:leader="dot"/>
            </w:tabs>
            <w:rPr/>
          </w:pPr>
          <w:hyperlink w:anchor="__RefHeading___Toc9483092_73709187">
            <w:r>
              <w:rPr>
                <w:webHidden/>
                <w:rStyle w:val="IndexLink"/>
                <w:rtl w:val="true"/>
              </w:rPr>
              <w:t>المبحث الأوّل</w:t>
            </w:r>
            <w:r>
              <w:rPr>
                <w:rStyle w:val="IndexLink"/>
                <w:rtl w:val="true"/>
              </w:rPr>
              <w:t xml:space="preserve">: </w:t>
            </w:r>
            <w:r>
              <w:rPr>
                <w:rStyle w:val="IndexLink"/>
                <w:rtl w:val="true"/>
              </w:rPr>
              <w:t>تعریفها و أرکانها</w:t>
            </w:r>
            <w:r>
              <w:rPr>
                <w:rStyle w:val="IndexLink"/>
                <w:rtl w:val="true"/>
              </w:rPr>
              <w:tab/>
            </w:r>
            <w:r>
              <w:rPr>
                <w:rStyle w:val="IndexLink"/>
              </w:rPr>
              <w:t>505</w:t>
            </w:r>
          </w:hyperlink>
        </w:p>
        <w:p>
          <w:pPr>
            <w:pStyle w:val="Contents5"/>
            <w:tabs>
              <w:tab w:val="clear" w:pos="7892"/>
              <w:tab w:val="right" w:pos="9026" w:leader="dot"/>
            </w:tabs>
            <w:rPr/>
          </w:pPr>
          <w:hyperlink w:anchor="__RefHeading___Toc9483094_73709187">
            <w:r>
              <w:rPr>
                <w:webHidden/>
                <w:rStyle w:val="IndexLink"/>
                <w:rtl w:val="true"/>
              </w:rPr>
              <w:t xml:space="preserve">أ </w:t>
            </w:r>
            <w:r>
              <w:rPr>
                <w:rStyle w:val="IndexLink"/>
                <w:rtl w:val="true"/>
              </w:rPr>
              <w:t xml:space="preserve">- </w:t>
            </w:r>
            <w:r>
              <w:rPr>
                <w:rStyle w:val="IndexLink"/>
                <w:rtl w:val="true"/>
              </w:rPr>
              <w:t>تعریفها</w:t>
            </w:r>
            <w:r>
              <w:rPr>
                <w:rStyle w:val="IndexLink"/>
                <w:rtl w:val="true"/>
              </w:rPr>
              <w:tab/>
            </w:r>
            <w:r>
              <w:rPr>
                <w:rStyle w:val="IndexLink"/>
              </w:rPr>
              <w:t>505</w:t>
            </w:r>
          </w:hyperlink>
        </w:p>
        <w:p>
          <w:pPr>
            <w:pStyle w:val="Contents5"/>
            <w:tabs>
              <w:tab w:val="clear" w:pos="7892"/>
              <w:tab w:val="right" w:pos="9026" w:leader="dot"/>
            </w:tabs>
            <w:rPr/>
          </w:pPr>
          <w:hyperlink w:anchor="__RefHeading___Toc9483096_73709187">
            <w:r>
              <w:rPr>
                <w:webHidden/>
                <w:rStyle w:val="IndexLink"/>
                <w:rtl w:val="true"/>
              </w:rPr>
              <w:t xml:space="preserve">ب </w:t>
            </w:r>
            <w:r>
              <w:rPr>
                <w:rStyle w:val="IndexLink"/>
                <w:rtl w:val="true"/>
              </w:rPr>
              <w:t xml:space="preserve">- </w:t>
            </w:r>
            <w:r>
              <w:rPr>
                <w:rStyle w:val="IndexLink"/>
                <w:rtl w:val="true"/>
              </w:rPr>
              <w:t>أرکانها</w:t>
            </w:r>
            <w:r>
              <w:rPr>
                <w:rStyle w:val="IndexLink"/>
                <w:rtl w:val="true"/>
              </w:rPr>
              <w:tab/>
            </w:r>
            <w:r>
              <w:rPr>
                <w:rStyle w:val="IndexLink"/>
              </w:rPr>
              <w:t>505</w:t>
            </w:r>
          </w:hyperlink>
        </w:p>
        <w:p>
          <w:pPr>
            <w:pStyle w:val="Contents6"/>
            <w:tabs>
              <w:tab w:val="clear" w:pos="7609"/>
              <w:tab w:val="right" w:pos="9026" w:leader="dot"/>
            </w:tabs>
            <w:rPr/>
          </w:pPr>
          <w:hyperlink w:anchor="__RefHeading___Toc9483098_73709187">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9483100_73709187">
            <w:r>
              <w:rPr>
                <w:webHidden/>
                <w:rStyle w:val="IndexLink"/>
                <w:rtl w:val="true"/>
              </w:rPr>
              <w:t>إیضاح</w:t>
            </w:r>
            <w:r>
              <w:rPr>
                <w:rStyle w:val="IndexLink"/>
                <w:rtl w:val="true"/>
              </w:rPr>
              <w:tab/>
            </w:r>
            <w:r>
              <w:rPr>
                <w:rStyle w:val="IndexLink"/>
              </w:rPr>
              <w:t>507</w:t>
            </w:r>
          </w:hyperlink>
        </w:p>
        <w:p>
          <w:pPr>
            <w:pStyle w:val="Contents4"/>
            <w:tabs>
              <w:tab w:val="clear" w:pos="8176"/>
              <w:tab w:val="right" w:pos="9026" w:leader="dot"/>
            </w:tabs>
            <w:rPr/>
          </w:pPr>
          <w:hyperlink w:anchor="__RefHeading___Toc9483102_73709187">
            <w:r>
              <w:rPr>
                <w:webHidden/>
                <w:rStyle w:val="IndexLink"/>
                <w:rtl w:val="true"/>
              </w:rPr>
              <w:t>المبحث الثانی</w:t>
            </w:r>
            <w:r>
              <w:rPr>
                <w:rStyle w:val="IndexLink"/>
                <w:rtl w:val="true"/>
              </w:rPr>
              <w:t xml:space="preserve">: </w:t>
            </w:r>
            <w:r>
              <w:rPr>
                <w:rStyle w:val="IndexLink"/>
                <w:rtl w:val="true"/>
              </w:rPr>
              <w:t>ولایة الأب و الجدّ فی الوصیّة بأُمور أولادهم</w:t>
            </w:r>
            <w:r>
              <w:rPr>
                <w:rStyle w:val="IndexLink"/>
                <w:rtl w:val="true"/>
              </w:rPr>
              <w:tab/>
            </w:r>
            <w:r>
              <w:rPr>
                <w:rStyle w:val="IndexLink"/>
              </w:rPr>
              <w:t>509</w:t>
            </w:r>
          </w:hyperlink>
        </w:p>
        <w:p>
          <w:pPr>
            <w:pStyle w:val="Contents5"/>
            <w:tabs>
              <w:tab w:val="clear" w:pos="7892"/>
              <w:tab w:val="right" w:pos="9026" w:leader="dot"/>
            </w:tabs>
            <w:rPr/>
          </w:pPr>
          <w:hyperlink w:anchor="__RefHeading___Toc9483104_7370918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9483106_73709187">
            <w:r>
              <w:rPr>
                <w:webHidden/>
                <w:rStyle w:val="IndexLink"/>
                <w:rtl w:val="true"/>
              </w:rPr>
              <w:t>أدلّة جواز الوصیّة بالولایة</w:t>
            </w:r>
            <w:r>
              <w:rPr>
                <w:rStyle w:val="IndexLink"/>
                <w:rtl w:val="true"/>
              </w:rPr>
              <w:tab/>
            </w:r>
            <w:r>
              <w:rPr>
                <w:rStyle w:val="IndexLink"/>
              </w:rPr>
              <w:t>511</w:t>
            </w:r>
          </w:hyperlink>
        </w:p>
        <w:p>
          <w:pPr>
            <w:pStyle w:val="Contents5"/>
            <w:tabs>
              <w:tab w:val="clear" w:pos="7892"/>
              <w:tab w:val="right" w:pos="9026" w:leader="dot"/>
            </w:tabs>
            <w:rPr/>
          </w:pPr>
          <w:hyperlink w:anchor="__RefHeading___Toc9483108_73709187">
            <w:r>
              <w:rPr>
                <w:webHidden/>
                <w:rStyle w:val="IndexLink"/>
                <w:rtl w:val="true"/>
              </w:rPr>
              <w:t>فرع</w:t>
            </w:r>
            <w:r>
              <w:rPr>
                <w:rStyle w:val="IndexLink"/>
                <w:rtl w:val="true"/>
              </w:rPr>
              <w:tab/>
            </w:r>
            <w:r>
              <w:rPr>
                <w:rStyle w:val="IndexLink"/>
              </w:rPr>
              <w:t>514</w:t>
            </w:r>
          </w:hyperlink>
        </w:p>
        <w:p>
          <w:pPr>
            <w:pStyle w:val="Contents5"/>
            <w:tabs>
              <w:tab w:val="clear" w:pos="7892"/>
              <w:tab w:val="right" w:pos="9026" w:leader="dot"/>
            </w:tabs>
            <w:rPr/>
          </w:pPr>
          <w:hyperlink w:anchor="__RefHeading___Toc9483110_73709187">
            <w:r>
              <w:rPr>
                <w:webHidden/>
                <w:rStyle w:val="IndexLink"/>
                <w:rtl w:val="true"/>
              </w:rPr>
              <w:t>آراء فقهاء أهل السنّة فی الوصیّة بالولایة</w:t>
            </w:r>
            <w:r>
              <w:rPr>
                <w:rStyle w:val="IndexLink"/>
                <w:rtl w:val="true"/>
              </w:rPr>
              <w:tab/>
            </w:r>
            <w:r>
              <w:rPr>
                <w:rStyle w:val="IndexLink"/>
              </w:rPr>
              <w:t>514</w:t>
            </w:r>
          </w:hyperlink>
        </w:p>
        <w:p>
          <w:pPr>
            <w:pStyle w:val="Contents5"/>
            <w:tabs>
              <w:tab w:val="clear" w:pos="7892"/>
              <w:tab w:val="right" w:pos="9026" w:leader="dot"/>
            </w:tabs>
            <w:rPr/>
          </w:pPr>
          <w:hyperlink w:anchor="__RefHeading___Toc9483112_73709187">
            <w:r>
              <w:rPr>
                <w:webHidden/>
                <w:rStyle w:val="IndexLink"/>
                <w:rtl w:val="true"/>
              </w:rPr>
              <w:t>إیضاح</w:t>
            </w:r>
            <w:r>
              <w:rPr>
                <w:rStyle w:val="IndexLink"/>
                <w:rtl w:val="true"/>
              </w:rPr>
              <w:tab/>
            </w:r>
            <w:r>
              <w:rPr>
                <w:rStyle w:val="IndexLink"/>
              </w:rPr>
              <w:t>517</w:t>
            </w:r>
          </w:hyperlink>
        </w:p>
        <w:p>
          <w:pPr>
            <w:pStyle w:val="Contents4"/>
            <w:tabs>
              <w:tab w:val="clear" w:pos="8176"/>
              <w:tab w:val="right" w:pos="9026" w:leader="dot"/>
            </w:tabs>
            <w:rPr/>
          </w:pPr>
          <w:hyperlink w:anchor="__RefHeading___Toc9483114_73709187">
            <w:r>
              <w:rPr>
                <w:webHidden/>
                <w:rStyle w:val="IndexLink"/>
                <w:rtl w:val="true"/>
              </w:rPr>
              <w:t>المبحث الثالث</w:t>
            </w:r>
            <w:r>
              <w:rPr>
                <w:rStyle w:val="IndexLink"/>
                <w:rtl w:val="true"/>
              </w:rPr>
              <w:t xml:space="preserve">: </w:t>
            </w:r>
            <w:r>
              <w:rPr>
                <w:rStyle w:val="IndexLink"/>
                <w:rtl w:val="true"/>
              </w:rPr>
              <w:t>ولایة الوصیّ فی المقام</w:t>
            </w:r>
            <w:r>
              <w:rPr>
                <w:rStyle w:val="IndexLink"/>
                <w:rtl w:val="true"/>
              </w:rPr>
              <w:tab/>
            </w:r>
            <w:r>
              <w:rPr>
                <w:rStyle w:val="IndexLink"/>
              </w:rPr>
              <w:t>519</w:t>
            </w:r>
          </w:hyperlink>
        </w:p>
        <w:p>
          <w:pPr>
            <w:pStyle w:val="Contents5"/>
            <w:tabs>
              <w:tab w:val="clear" w:pos="7892"/>
              <w:tab w:val="right" w:pos="9026" w:leader="dot"/>
            </w:tabs>
            <w:rPr/>
          </w:pPr>
          <w:hyperlink w:anchor="__RefHeading___Toc9483116_7370918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9483118_73709187">
            <w:r>
              <w:rPr>
                <w:webHidden/>
                <w:rStyle w:val="IndexLink"/>
                <w:rtl w:val="true"/>
              </w:rPr>
              <w:t>أدلّة الصورة الاُولی</w:t>
            </w:r>
            <w:r>
              <w:rPr>
                <w:rStyle w:val="IndexLink"/>
                <w:rtl w:val="true"/>
              </w:rPr>
              <w:tab/>
            </w:r>
            <w:r>
              <w:rPr>
                <w:rStyle w:val="IndexLink"/>
              </w:rPr>
              <w:t>519</w:t>
            </w:r>
          </w:hyperlink>
        </w:p>
        <w:p>
          <w:pPr>
            <w:pStyle w:val="Contents5"/>
            <w:tabs>
              <w:tab w:val="clear" w:pos="7892"/>
              <w:tab w:val="right" w:pos="9026" w:leader="dot"/>
            </w:tabs>
            <w:rPr/>
          </w:pPr>
          <w:hyperlink w:anchor="__RefHeading___Toc9483120_73709187">
            <w:r>
              <w:rPr>
                <w:webHidden/>
                <w:rStyle w:val="IndexLink"/>
                <w:rtl w:val="true"/>
              </w:rPr>
              <w:t>عدم جواز الوصیّة بالولایة</w:t>
            </w:r>
            <w:r>
              <w:rPr>
                <w:rStyle w:val="IndexLink"/>
                <w:rtl w:val="true"/>
              </w:rPr>
              <w:t>:</w:t>
              <w:tab/>
            </w:r>
            <w:r>
              <w:rPr>
                <w:rStyle w:val="IndexLink"/>
              </w:rPr>
              <w:t>521</w:t>
            </w:r>
          </w:hyperlink>
        </w:p>
        <w:p>
          <w:pPr>
            <w:pStyle w:val="Contents5"/>
            <w:tabs>
              <w:tab w:val="clear" w:pos="7892"/>
              <w:tab w:val="right" w:pos="9026" w:leader="dot"/>
            </w:tabs>
            <w:rPr/>
          </w:pPr>
          <w:hyperlink w:anchor="__RefHeading___Toc9483122_73709187">
            <w:r>
              <w:rPr>
                <w:webHidden/>
                <w:rStyle w:val="IndexLink"/>
                <w:rtl w:val="true"/>
              </w:rPr>
              <w:t>إطلاق الوصیّة</w:t>
            </w:r>
            <w:r>
              <w:rPr>
                <w:rStyle w:val="IndexLink"/>
                <w:rtl w:val="true"/>
              </w:rPr>
              <w:tab/>
            </w:r>
            <w:r>
              <w:rPr>
                <w:rStyle w:val="IndexLink"/>
              </w:rPr>
              <w:t>523</w:t>
            </w:r>
          </w:hyperlink>
        </w:p>
        <w:p>
          <w:pPr>
            <w:pStyle w:val="Contents5"/>
            <w:tabs>
              <w:tab w:val="clear" w:pos="7892"/>
              <w:tab w:val="right" w:pos="9026" w:leader="dot"/>
            </w:tabs>
            <w:rPr/>
          </w:pPr>
          <w:hyperlink w:anchor="__RefHeading___Toc9483124_73709187">
            <w:r>
              <w:rPr>
                <w:webHidden/>
                <w:rStyle w:val="IndexLink"/>
                <w:rtl w:val="true"/>
              </w:rPr>
              <w:t>جواز الوصیّة بالولایة</w:t>
            </w:r>
            <w:r>
              <w:rPr>
                <w:rStyle w:val="IndexLink"/>
                <w:rtl w:val="true"/>
              </w:rPr>
              <w:tab/>
            </w:r>
            <w:r>
              <w:rPr>
                <w:rStyle w:val="IndexLink"/>
              </w:rPr>
              <w:t>525</w:t>
            </w:r>
          </w:hyperlink>
        </w:p>
        <w:p>
          <w:pPr>
            <w:pStyle w:val="Contents5"/>
            <w:tabs>
              <w:tab w:val="clear" w:pos="7892"/>
              <w:tab w:val="right" w:pos="9026" w:leader="dot"/>
            </w:tabs>
            <w:rPr/>
          </w:pPr>
          <w:hyperlink w:anchor="__RefHeading___Toc9483126_73709187">
            <w:r>
              <w:rPr>
                <w:webHidden/>
                <w:rStyle w:val="IndexLink"/>
                <w:rtl w:val="true"/>
              </w:rPr>
              <w:t>آراء فقهاء أهل السنّة فی الوصیة بالولایة من الوصیّ‌</w:t>
            </w:r>
            <w:r>
              <w:rPr>
                <w:rStyle w:val="IndexLink"/>
                <w:rtl w:val="true"/>
              </w:rPr>
              <w:tab/>
            </w:r>
            <w:r>
              <w:rPr>
                <w:rStyle w:val="IndexLink"/>
              </w:rPr>
              <w:t>528</w:t>
            </w:r>
          </w:hyperlink>
        </w:p>
        <w:p>
          <w:pPr>
            <w:pStyle w:val="Contents4"/>
            <w:tabs>
              <w:tab w:val="clear" w:pos="8176"/>
              <w:tab w:val="right" w:pos="9026" w:leader="dot"/>
            </w:tabs>
            <w:rPr/>
          </w:pPr>
          <w:hyperlink w:anchor="__RefHeading___Toc9483128_73709187">
            <w:r>
              <w:rPr>
                <w:webHidden/>
                <w:rStyle w:val="IndexLink"/>
                <w:rtl w:val="true"/>
              </w:rPr>
              <w:t>المبحث الرابع</w:t>
            </w:r>
            <w:r>
              <w:rPr>
                <w:rStyle w:val="IndexLink"/>
                <w:rtl w:val="true"/>
              </w:rPr>
              <w:t xml:space="preserve">: </w:t>
            </w:r>
            <w:r>
              <w:rPr>
                <w:rStyle w:val="IndexLink"/>
                <w:rtl w:val="true"/>
              </w:rPr>
              <w:t>عدم ولایة الحاکم علی الوصیة بالولایة</w:t>
            </w:r>
            <w:r>
              <w:rPr>
                <w:rStyle w:val="IndexLink"/>
                <w:rtl w:val="true"/>
              </w:rPr>
              <w:tab/>
            </w:r>
            <w:r>
              <w:rPr>
                <w:rStyle w:val="IndexLink"/>
              </w:rPr>
              <w:t>531</w:t>
            </w:r>
          </w:hyperlink>
        </w:p>
        <w:p>
          <w:pPr>
            <w:pStyle w:val="Contents5"/>
            <w:tabs>
              <w:tab w:val="clear" w:pos="7892"/>
              <w:tab w:val="right" w:pos="9026" w:leader="dot"/>
            </w:tabs>
            <w:rPr/>
          </w:pPr>
          <w:hyperlink w:anchor="__RefHeading___Toc9483130_7370918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9483132_73709187">
            <w:r>
              <w:rPr>
                <w:webHidden/>
                <w:rStyle w:val="IndexLink"/>
                <w:rtl w:val="true"/>
              </w:rPr>
              <w:t>أدلّة عدم جواز الوصیّة بالولایة للحاکم</w:t>
            </w:r>
            <w:r>
              <w:rPr>
                <w:rStyle w:val="IndexLink"/>
                <w:rtl w:val="true"/>
              </w:rPr>
              <w:tab/>
            </w:r>
            <w:r>
              <w:rPr>
                <w:rStyle w:val="IndexLink"/>
              </w:rPr>
              <w:t>532</w:t>
            </w:r>
          </w:hyperlink>
        </w:p>
        <w:p>
          <w:pPr>
            <w:pStyle w:val="Contents5"/>
            <w:tabs>
              <w:tab w:val="clear" w:pos="7892"/>
              <w:tab w:val="right" w:pos="9026" w:leader="dot"/>
            </w:tabs>
            <w:rPr/>
          </w:pPr>
          <w:hyperlink w:anchor="__RefHeading___Toc9483134_73709187">
            <w:r>
              <w:rPr>
                <w:webHidden/>
                <w:rStyle w:val="IndexLink"/>
                <w:rtl w:val="true"/>
              </w:rPr>
              <w:t>فرع</w:t>
            </w:r>
            <w:r>
              <w:rPr>
                <w:rStyle w:val="IndexLink"/>
                <w:rtl w:val="true"/>
              </w:rPr>
              <w:tab/>
            </w:r>
            <w:r>
              <w:rPr>
                <w:rStyle w:val="IndexLink"/>
              </w:rPr>
              <w:t>533</w:t>
            </w:r>
          </w:hyperlink>
        </w:p>
        <w:p>
          <w:pPr>
            <w:pStyle w:val="Contents5"/>
            <w:tabs>
              <w:tab w:val="clear" w:pos="7892"/>
              <w:tab w:val="right" w:pos="9026" w:leader="dot"/>
            </w:tabs>
            <w:rPr/>
          </w:pPr>
          <w:hyperlink w:anchor="__RefHeading___Toc9483136_73709187">
            <w:r>
              <w:rPr>
                <w:webHidden/>
                <w:rStyle w:val="IndexLink"/>
                <w:rtl w:val="true"/>
              </w:rPr>
              <w:t>إیضاح</w:t>
            </w:r>
            <w:r>
              <w:rPr>
                <w:rStyle w:val="IndexLink"/>
                <w:rtl w:val="true"/>
              </w:rPr>
              <w:tab/>
            </w:r>
            <w:r>
              <w:rPr>
                <w:rStyle w:val="IndexLink"/>
              </w:rPr>
              <w:t>533</w:t>
            </w:r>
          </w:hyperlink>
        </w:p>
        <w:p>
          <w:pPr>
            <w:pStyle w:val="Contents4"/>
            <w:tabs>
              <w:tab w:val="clear" w:pos="8176"/>
              <w:tab w:val="right" w:pos="9026" w:leader="dot"/>
            </w:tabs>
            <w:rPr/>
          </w:pPr>
          <w:hyperlink w:anchor="__RefHeading___Toc9483138_73709187">
            <w:r>
              <w:rPr>
                <w:webHidden/>
                <w:rStyle w:val="IndexLink"/>
                <w:rtl w:val="true"/>
              </w:rPr>
              <w:t>المبحث الخامس</w:t>
            </w:r>
            <w:r>
              <w:rPr>
                <w:rStyle w:val="IndexLink"/>
                <w:rtl w:val="true"/>
              </w:rPr>
              <w:t xml:space="preserve">: </w:t>
            </w:r>
            <w:r>
              <w:rPr>
                <w:rStyle w:val="IndexLink"/>
                <w:rtl w:val="true"/>
              </w:rPr>
              <w:t>عدم تولّی الاُمّ الوصیّة بالولایة</w:t>
            </w:r>
            <w:r>
              <w:rPr>
                <w:rStyle w:val="IndexLink"/>
                <w:rtl w:val="true"/>
              </w:rPr>
              <w:tab/>
            </w:r>
            <w:r>
              <w:rPr>
                <w:rStyle w:val="IndexLink"/>
              </w:rPr>
              <w:t>535</w:t>
            </w:r>
          </w:hyperlink>
        </w:p>
        <w:p>
          <w:pPr>
            <w:pStyle w:val="Contents5"/>
            <w:tabs>
              <w:tab w:val="clear" w:pos="7892"/>
              <w:tab w:val="right" w:pos="9026" w:leader="dot"/>
            </w:tabs>
            <w:rPr/>
          </w:pPr>
          <w:hyperlink w:anchor="__RefHeading___Toc9483140_7370918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9483142_73709187">
            <w:r>
              <w:rPr>
                <w:webHidden/>
                <w:rStyle w:val="IndexLink"/>
                <w:rtl w:val="true"/>
              </w:rPr>
              <w:t>فرع</w:t>
            </w:r>
            <w:r>
              <w:rPr>
                <w:rStyle w:val="IndexLink"/>
                <w:rtl w:val="true"/>
              </w:rPr>
              <w:tab/>
            </w:r>
            <w:r>
              <w:rPr>
                <w:rStyle w:val="IndexLink"/>
              </w:rPr>
              <w:t>537</w:t>
            </w:r>
          </w:hyperlink>
        </w:p>
        <w:p>
          <w:pPr>
            <w:pStyle w:val="Contents5"/>
            <w:tabs>
              <w:tab w:val="clear" w:pos="7892"/>
              <w:tab w:val="right" w:pos="9026" w:leader="dot"/>
            </w:tabs>
            <w:rPr/>
          </w:pPr>
          <w:hyperlink w:anchor="__RefHeading___Toc9483144_73709187">
            <w:r>
              <w:rPr>
                <w:webHidden/>
                <w:rStyle w:val="IndexLink"/>
                <w:rtl w:val="true"/>
              </w:rPr>
              <w:t>آراء فقهاء أهل السنّة فی الوصیة بالولایة للاُمّ‌</w:t>
            </w:r>
            <w:r>
              <w:rPr>
                <w:rStyle w:val="IndexLink"/>
                <w:rtl w:val="true"/>
              </w:rPr>
              <w:tab/>
            </w:r>
            <w:r>
              <w:rPr>
                <w:rStyle w:val="IndexLink"/>
              </w:rPr>
              <w:t>538</w:t>
            </w:r>
          </w:hyperlink>
        </w:p>
        <w:p>
          <w:pPr>
            <w:pStyle w:val="Contents4"/>
            <w:tabs>
              <w:tab w:val="clear" w:pos="8176"/>
              <w:tab w:val="right" w:pos="9026" w:leader="dot"/>
            </w:tabs>
            <w:rPr/>
          </w:pPr>
          <w:hyperlink w:anchor="__RefHeading___Toc9483146_73709187">
            <w:r>
              <w:rPr>
                <w:webHidden/>
                <w:rStyle w:val="IndexLink"/>
                <w:rtl w:val="true"/>
              </w:rPr>
              <w:t>المبحث السادس</w:t>
            </w:r>
            <w:r>
              <w:rPr>
                <w:rStyle w:val="IndexLink"/>
                <w:rtl w:val="true"/>
              </w:rPr>
              <w:t xml:space="preserve">: </w:t>
            </w:r>
            <w:r>
              <w:rPr>
                <w:rStyle w:val="IndexLink"/>
                <w:rtl w:val="true"/>
              </w:rPr>
              <w:t>نصب القیّم مع وجود الجدّ</w:t>
            </w:r>
            <w:r>
              <w:rPr>
                <w:rStyle w:val="IndexLink"/>
                <w:rtl w:val="true"/>
              </w:rPr>
              <w:tab/>
            </w:r>
            <w:r>
              <w:rPr>
                <w:rStyle w:val="IndexLink"/>
              </w:rPr>
              <w:t>540</w:t>
            </w:r>
          </w:hyperlink>
        </w:p>
        <w:p>
          <w:pPr>
            <w:pStyle w:val="Contents5"/>
            <w:tabs>
              <w:tab w:val="clear" w:pos="7892"/>
              <w:tab w:val="right" w:pos="9026" w:leader="dot"/>
            </w:tabs>
            <w:rPr/>
          </w:pPr>
          <w:hyperlink w:anchor="__RefHeading___Toc9483148_73709187">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9483150_73709187">
            <w:r>
              <w:rPr>
                <w:webHidden/>
                <w:rStyle w:val="IndexLink"/>
                <w:rtl w:val="true"/>
              </w:rPr>
              <w:t>أدلّة هذا الحکم</w:t>
            </w:r>
            <w:r>
              <w:rPr>
                <w:rStyle w:val="IndexLink"/>
                <w:rtl w:val="true"/>
              </w:rPr>
              <w:tab/>
            </w:r>
            <w:r>
              <w:rPr>
                <w:rStyle w:val="IndexLink"/>
              </w:rPr>
              <w:t>541</w:t>
            </w:r>
          </w:hyperlink>
        </w:p>
        <w:p>
          <w:pPr>
            <w:pStyle w:val="Contents5"/>
            <w:tabs>
              <w:tab w:val="clear" w:pos="7892"/>
              <w:tab w:val="right" w:pos="9026" w:leader="dot"/>
            </w:tabs>
            <w:rPr/>
          </w:pPr>
          <w:hyperlink w:anchor="__RefHeading___Toc9483152_73709187">
            <w:r>
              <w:rPr>
                <w:webHidden/>
                <w:rStyle w:val="IndexLink"/>
                <w:rtl w:val="true"/>
              </w:rPr>
              <w:t>بطلان الوصیّة فی زمان ولایة الجدّ</w:t>
            </w:r>
            <w:r>
              <w:rPr>
                <w:rStyle w:val="IndexLink"/>
                <w:rtl w:val="true"/>
              </w:rPr>
              <w:tab/>
            </w:r>
            <w:r>
              <w:rPr>
                <w:rStyle w:val="IndexLink"/>
              </w:rPr>
              <w:t>543</w:t>
            </w:r>
          </w:hyperlink>
        </w:p>
        <w:p>
          <w:pPr>
            <w:pStyle w:val="Contents5"/>
            <w:tabs>
              <w:tab w:val="clear" w:pos="7892"/>
              <w:tab w:val="right" w:pos="9026" w:leader="dot"/>
            </w:tabs>
            <w:rPr/>
          </w:pPr>
          <w:hyperlink w:anchor="__RefHeading___Toc9483154_73709187">
            <w:r>
              <w:rPr>
                <w:webHidden/>
                <w:rStyle w:val="IndexLink"/>
                <w:rtl w:val="true"/>
              </w:rPr>
              <w:t>صحّة الوصیّة فی الثلث</w:t>
            </w:r>
            <w:r>
              <w:rPr>
                <w:rStyle w:val="IndexLink"/>
                <w:rtl w:val="true"/>
              </w:rPr>
              <w:tab/>
            </w:r>
            <w:r>
              <w:rPr>
                <w:rStyle w:val="IndexLink"/>
              </w:rPr>
              <w:t>543</w:t>
            </w:r>
          </w:hyperlink>
        </w:p>
        <w:p>
          <w:pPr>
            <w:pStyle w:val="Contents5"/>
            <w:tabs>
              <w:tab w:val="clear" w:pos="7892"/>
              <w:tab w:val="right" w:pos="9026" w:leader="dot"/>
            </w:tabs>
            <w:rPr/>
          </w:pPr>
          <w:hyperlink w:anchor="__RefHeading___Toc9483156_73709187">
            <w:r>
              <w:rPr>
                <w:webHidden/>
                <w:rStyle w:val="IndexLink"/>
                <w:rtl w:val="true"/>
              </w:rPr>
              <w:t>آراء فقهاء أهل السنّة فی نصب القیّم مع وجود الجدّ</w:t>
            </w:r>
            <w:r>
              <w:rPr>
                <w:rStyle w:val="IndexLink"/>
                <w:rtl w:val="true"/>
              </w:rPr>
              <w:tab/>
            </w:r>
            <w:r>
              <w:rPr>
                <w:rStyle w:val="IndexLink"/>
              </w:rPr>
              <w:t>545</w:t>
            </w:r>
          </w:hyperlink>
        </w:p>
        <w:p>
          <w:pPr>
            <w:pStyle w:val="Contents4"/>
            <w:tabs>
              <w:tab w:val="clear" w:pos="8176"/>
              <w:tab w:val="right" w:pos="9026" w:leader="dot"/>
            </w:tabs>
            <w:rPr/>
          </w:pPr>
          <w:hyperlink w:anchor="__RefHeading___Toc9483158_73709187">
            <w:r>
              <w:rPr>
                <w:webHidden/>
                <w:rStyle w:val="IndexLink"/>
                <w:rtl w:val="true"/>
              </w:rPr>
              <w:t>المبحث السابع</w:t>
            </w:r>
            <w:r>
              <w:rPr>
                <w:rStyle w:val="IndexLink"/>
                <w:rtl w:val="true"/>
              </w:rPr>
              <w:t xml:space="preserve">: </w:t>
            </w:r>
            <w:r>
              <w:rPr>
                <w:rStyle w:val="IndexLink"/>
                <w:rtl w:val="true"/>
              </w:rPr>
              <w:t>الطرق المعتبرة لإثبات الوصیّة بالولایة</w:t>
            </w:r>
            <w:r>
              <w:rPr>
                <w:rStyle w:val="IndexLink"/>
                <w:rtl w:val="true"/>
              </w:rPr>
              <w:tab/>
            </w:r>
            <w:r>
              <w:rPr>
                <w:rStyle w:val="IndexLink"/>
              </w:rPr>
              <w:t>548</w:t>
            </w:r>
          </w:hyperlink>
        </w:p>
        <w:p>
          <w:pPr>
            <w:pStyle w:val="Contents5"/>
            <w:tabs>
              <w:tab w:val="clear" w:pos="7892"/>
              <w:tab w:val="right" w:pos="9026" w:leader="dot"/>
            </w:tabs>
            <w:rPr/>
          </w:pPr>
          <w:hyperlink w:anchor="__RefHeading___Toc9483160_73709187">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9483162_73709187">
            <w:r>
              <w:rPr>
                <w:webHidden/>
                <w:rStyle w:val="IndexLink"/>
                <w:rtl w:val="true"/>
              </w:rPr>
              <w:t>إثباتها عند عدم الاختلاف</w:t>
            </w:r>
            <w:r>
              <w:rPr>
                <w:rStyle w:val="IndexLink"/>
                <w:rtl w:val="true"/>
              </w:rPr>
              <w:tab/>
            </w:r>
            <w:r>
              <w:rPr>
                <w:rStyle w:val="IndexLink"/>
              </w:rPr>
              <w:t>548</w:t>
            </w:r>
          </w:hyperlink>
        </w:p>
        <w:p>
          <w:pPr>
            <w:pStyle w:val="Contents5"/>
            <w:tabs>
              <w:tab w:val="clear" w:pos="7892"/>
              <w:tab w:val="right" w:pos="9026" w:leader="dot"/>
            </w:tabs>
            <w:rPr/>
          </w:pPr>
          <w:hyperlink w:anchor="__RefHeading___Toc9483164_73709187">
            <w:r>
              <w:rPr>
                <w:webHidden/>
                <w:rStyle w:val="IndexLink"/>
                <w:rtl w:val="true"/>
              </w:rPr>
              <w:t>إثبات الوصیّة بالولایة بالکتابة</w:t>
            </w:r>
            <w:r>
              <w:rPr>
                <w:rStyle w:val="IndexLink"/>
                <w:rtl w:val="true"/>
              </w:rPr>
              <w:tab/>
            </w:r>
            <w:r>
              <w:rPr>
                <w:rStyle w:val="IndexLink"/>
              </w:rPr>
              <w:t>550</w:t>
            </w:r>
          </w:hyperlink>
        </w:p>
        <w:p>
          <w:pPr>
            <w:pStyle w:val="Contents6"/>
            <w:tabs>
              <w:tab w:val="clear" w:pos="7609"/>
              <w:tab w:val="right" w:pos="9026" w:leader="dot"/>
            </w:tabs>
            <w:rPr/>
          </w:pPr>
          <w:hyperlink w:anchor="__RefHeading___Toc9483166_73709187">
            <w:r>
              <w:rPr>
                <w:webHidden/>
                <w:rStyle w:val="IndexLink"/>
                <w:rtl w:val="true"/>
              </w:rPr>
              <w:t>اشارة</w:t>
            </w:r>
            <w:r>
              <w:rPr>
                <w:rStyle w:val="IndexLink"/>
                <w:rtl w:val="true"/>
              </w:rPr>
              <w:tab/>
            </w:r>
            <w:r>
              <w:rPr>
                <w:rStyle w:val="IndexLink"/>
              </w:rPr>
              <w:t>550</w:t>
            </w:r>
          </w:hyperlink>
        </w:p>
        <w:p>
          <w:pPr>
            <w:pStyle w:val="Contents6"/>
            <w:tabs>
              <w:tab w:val="clear" w:pos="7609"/>
              <w:tab w:val="right" w:pos="9026" w:leader="dot"/>
            </w:tabs>
            <w:rPr/>
          </w:pPr>
          <w:hyperlink w:anchor="__RefHeading___Toc9483168_73709187">
            <w:r>
              <w:rPr>
                <w:webHidden/>
                <w:rStyle w:val="IndexLink"/>
                <w:rtl w:val="true"/>
              </w:rPr>
              <w:t>فرع</w:t>
            </w:r>
            <w:r>
              <w:rPr>
                <w:rStyle w:val="IndexLink"/>
                <w:rtl w:val="true"/>
              </w:rPr>
              <w:t xml:space="preserve">: </w:t>
            </w:r>
            <w:r>
              <w:rPr>
                <w:rStyle w:val="IndexLink"/>
                <w:rtl w:val="true"/>
              </w:rPr>
              <w:t>حکم الوصیّة التی سجّلت فی الشریط أو غیره</w:t>
            </w:r>
            <w:r>
              <w:rPr>
                <w:rStyle w:val="IndexLink"/>
                <w:rtl w:val="true"/>
              </w:rPr>
              <w:tab/>
            </w:r>
            <w:r>
              <w:rPr>
                <w:rStyle w:val="IndexLink"/>
              </w:rPr>
              <w:t>563</w:t>
            </w:r>
          </w:hyperlink>
        </w:p>
        <w:p>
          <w:pPr>
            <w:pStyle w:val="Contents5"/>
            <w:tabs>
              <w:tab w:val="clear" w:pos="7892"/>
              <w:tab w:val="right" w:pos="9026" w:leader="dot"/>
            </w:tabs>
            <w:rPr/>
          </w:pPr>
          <w:hyperlink w:anchor="__RefHeading___Toc9483170_73709187">
            <w:r>
              <w:rPr>
                <w:webHidden/>
                <w:rStyle w:val="IndexLink"/>
                <w:rtl w:val="true"/>
              </w:rPr>
              <w:t>إثبات الوصیّة بالولایة مع اختلاف الورثة</w:t>
            </w:r>
            <w:r>
              <w:rPr>
                <w:rStyle w:val="IndexLink"/>
                <w:rtl w:val="true"/>
              </w:rPr>
              <w:tab/>
            </w:r>
            <w:r>
              <w:rPr>
                <w:rStyle w:val="IndexLink"/>
              </w:rPr>
              <w:t>564</w:t>
            </w:r>
          </w:hyperlink>
        </w:p>
        <w:p>
          <w:pPr>
            <w:pStyle w:val="Contents6"/>
            <w:tabs>
              <w:tab w:val="clear" w:pos="7609"/>
              <w:tab w:val="right" w:pos="9026" w:leader="dot"/>
            </w:tabs>
            <w:rPr/>
          </w:pPr>
          <w:hyperlink w:anchor="__RefHeading___Toc9483172_73709187">
            <w:r>
              <w:rPr>
                <w:webHidden/>
                <w:rStyle w:val="IndexLink"/>
                <w:rtl w:val="true"/>
              </w:rPr>
              <w:t>اشارة</w:t>
            </w:r>
            <w:r>
              <w:rPr>
                <w:rStyle w:val="IndexLink"/>
                <w:rtl w:val="true"/>
              </w:rPr>
              <w:tab/>
            </w:r>
            <w:r>
              <w:rPr>
                <w:rStyle w:val="IndexLink"/>
              </w:rPr>
              <w:t>564</w:t>
            </w:r>
          </w:hyperlink>
        </w:p>
        <w:p>
          <w:pPr>
            <w:pStyle w:val="Contents6"/>
            <w:tabs>
              <w:tab w:val="clear" w:pos="7609"/>
              <w:tab w:val="right" w:pos="9026" w:leader="dot"/>
            </w:tabs>
            <w:rPr/>
          </w:pPr>
          <w:hyperlink w:anchor="__RefHeading___Toc9483174_73709187">
            <w:r>
              <w:rPr>
                <w:webHidden/>
                <w:rStyle w:val="IndexLink"/>
                <w:rtl w:val="true"/>
              </w:rPr>
              <w:t>فرع</w:t>
            </w:r>
            <w:r>
              <w:rPr>
                <w:rStyle w:val="IndexLink"/>
                <w:rtl w:val="true"/>
              </w:rPr>
              <w:t xml:space="preserve">: </w:t>
            </w:r>
            <w:r>
              <w:rPr>
                <w:rStyle w:val="IndexLink"/>
                <w:rtl w:val="true"/>
              </w:rPr>
              <w:t>یستحبّ الإشهاد علی الوصیّة</w:t>
            </w:r>
            <w:r>
              <w:rPr>
                <w:rStyle w:val="IndexLink"/>
                <w:rtl w:val="true"/>
              </w:rPr>
              <w:tab/>
            </w:r>
            <w:r>
              <w:rPr>
                <w:rStyle w:val="IndexLink"/>
              </w:rPr>
              <w:t>573</w:t>
            </w:r>
          </w:hyperlink>
        </w:p>
        <w:p>
          <w:pPr>
            <w:pStyle w:val="Contents5"/>
            <w:tabs>
              <w:tab w:val="clear" w:pos="7892"/>
              <w:tab w:val="right" w:pos="9026" w:leader="dot"/>
            </w:tabs>
            <w:rPr/>
          </w:pPr>
          <w:hyperlink w:anchor="__RefHeading___Toc9483176_73709187">
            <w:r>
              <w:rPr>
                <w:webHidden/>
                <w:rStyle w:val="IndexLink"/>
                <w:rtl w:val="true"/>
              </w:rPr>
              <w:t>إثبات الوصیّة بالولایة عند أهل السنّة</w:t>
            </w:r>
            <w:r>
              <w:rPr>
                <w:rStyle w:val="IndexLink"/>
                <w:rtl w:val="true"/>
              </w:rPr>
              <w:tab/>
            </w:r>
            <w:r>
              <w:rPr>
                <w:rStyle w:val="IndexLink"/>
              </w:rPr>
              <w:t>574</w:t>
            </w:r>
          </w:hyperlink>
        </w:p>
        <w:p>
          <w:pPr>
            <w:pStyle w:val="Contents4"/>
            <w:tabs>
              <w:tab w:val="clear" w:pos="8176"/>
              <w:tab w:val="right" w:pos="9026" w:leader="dot"/>
            </w:tabs>
            <w:rPr/>
          </w:pPr>
          <w:hyperlink w:anchor="__RefHeading___Toc9483178_73709187">
            <w:r>
              <w:rPr>
                <w:webHidden/>
                <w:rStyle w:val="IndexLink"/>
                <w:rtl w:val="true"/>
              </w:rPr>
              <w:t>المبحث الثامن</w:t>
            </w:r>
            <w:r>
              <w:rPr>
                <w:rStyle w:val="IndexLink"/>
                <w:rtl w:val="true"/>
              </w:rPr>
              <w:t xml:space="preserve">: </w:t>
            </w:r>
            <w:r>
              <w:rPr>
                <w:rStyle w:val="IndexLink"/>
                <w:rtl w:val="true"/>
              </w:rPr>
              <w:t>الرجوع عن الوصیّة أو استبدالها</w:t>
            </w:r>
            <w:r>
              <w:rPr>
                <w:rStyle w:val="IndexLink"/>
                <w:rtl w:val="true"/>
              </w:rPr>
              <w:tab/>
            </w:r>
            <w:r>
              <w:rPr>
                <w:rStyle w:val="IndexLink"/>
              </w:rPr>
              <w:t>578</w:t>
            </w:r>
          </w:hyperlink>
        </w:p>
        <w:p>
          <w:pPr>
            <w:pStyle w:val="Contents5"/>
            <w:tabs>
              <w:tab w:val="clear" w:pos="7892"/>
              <w:tab w:val="right" w:pos="9026" w:leader="dot"/>
            </w:tabs>
            <w:rPr/>
          </w:pPr>
          <w:hyperlink w:anchor="__RefHeading___Toc9483180_73709187">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9483182_73709187">
            <w:r>
              <w:rPr>
                <w:webHidden/>
                <w:rStyle w:val="IndexLink"/>
                <w:rtl w:val="true"/>
              </w:rPr>
              <w:t>المطلب الأوّل</w:t>
            </w:r>
            <w:r>
              <w:rPr>
                <w:rStyle w:val="IndexLink"/>
                <w:rtl w:val="true"/>
              </w:rPr>
              <w:t xml:space="preserve">: </w:t>
            </w:r>
            <w:r>
              <w:rPr>
                <w:rStyle w:val="IndexLink"/>
                <w:rtl w:val="true"/>
              </w:rPr>
              <w:t>رجوع الموصی عن الوصیّة</w:t>
            </w:r>
            <w:r>
              <w:rPr>
                <w:rStyle w:val="IndexLink"/>
                <w:rtl w:val="true"/>
              </w:rPr>
              <w:tab/>
            </w:r>
            <w:r>
              <w:rPr>
                <w:rStyle w:val="IndexLink"/>
              </w:rPr>
              <w:t>578</w:t>
            </w:r>
          </w:hyperlink>
        </w:p>
        <w:p>
          <w:pPr>
            <w:pStyle w:val="Contents6"/>
            <w:tabs>
              <w:tab w:val="clear" w:pos="7609"/>
              <w:tab w:val="right" w:pos="9026" w:leader="dot"/>
            </w:tabs>
            <w:rPr/>
          </w:pPr>
          <w:hyperlink w:anchor="__RefHeading___Toc9483184_73709187">
            <w:r>
              <w:rPr>
                <w:webHidden/>
                <w:rStyle w:val="IndexLink"/>
                <w:rtl w:val="true"/>
              </w:rPr>
              <w:t>اشارة</w:t>
            </w:r>
            <w:r>
              <w:rPr>
                <w:rStyle w:val="IndexLink"/>
                <w:rtl w:val="true"/>
              </w:rPr>
              <w:tab/>
            </w:r>
            <w:r>
              <w:rPr>
                <w:rStyle w:val="IndexLink"/>
              </w:rPr>
              <w:t>578</w:t>
            </w:r>
          </w:hyperlink>
        </w:p>
        <w:p>
          <w:pPr>
            <w:pStyle w:val="Contents6"/>
            <w:tabs>
              <w:tab w:val="clear" w:pos="7609"/>
              <w:tab w:val="right" w:pos="9026" w:leader="dot"/>
            </w:tabs>
            <w:rPr/>
          </w:pPr>
          <w:hyperlink w:anchor="__RefHeading___Toc9483186_73709187">
            <w:r>
              <w:rPr>
                <w:webHidden/>
                <w:rStyle w:val="IndexLink"/>
                <w:rtl w:val="true"/>
              </w:rPr>
              <w:t>أدلّة جواز الرجوع من الوصیّة</w:t>
            </w:r>
            <w:r>
              <w:rPr>
                <w:rStyle w:val="IndexLink"/>
                <w:rtl w:val="true"/>
              </w:rPr>
              <w:tab/>
            </w:r>
            <w:r>
              <w:rPr>
                <w:rStyle w:val="IndexLink"/>
              </w:rPr>
              <w:t>579</w:t>
            </w:r>
          </w:hyperlink>
        </w:p>
        <w:p>
          <w:pPr>
            <w:pStyle w:val="Contents5"/>
            <w:tabs>
              <w:tab w:val="clear" w:pos="7892"/>
              <w:tab w:val="right" w:pos="9026" w:leader="dot"/>
            </w:tabs>
            <w:rPr/>
          </w:pPr>
          <w:hyperlink w:anchor="__RefHeading___Toc9483188_73709187">
            <w:r>
              <w:rPr>
                <w:webHidden/>
                <w:rStyle w:val="IndexLink"/>
                <w:rtl w:val="true"/>
              </w:rPr>
              <w:t>المطلب الثانی</w:t>
            </w:r>
            <w:r>
              <w:rPr>
                <w:rStyle w:val="IndexLink"/>
                <w:rtl w:val="true"/>
              </w:rPr>
              <w:t>:</w:t>
              <w:tab/>
            </w:r>
            <w:r>
              <w:rPr>
                <w:rStyle w:val="IndexLink"/>
              </w:rPr>
              <w:t>580</w:t>
            </w:r>
          </w:hyperlink>
        </w:p>
        <w:p>
          <w:pPr>
            <w:pStyle w:val="Contents6"/>
            <w:tabs>
              <w:tab w:val="clear" w:pos="7609"/>
              <w:tab w:val="right" w:pos="9026" w:leader="dot"/>
            </w:tabs>
            <w:rPr/>
          </w:pPr>
          <w:hyperlink w:anchor="__RefHeading___Toc9483190_73709187">
            <w:r>
              <w:rPr>
                <w:webHidden/>
                <w:rStyle w:val="IndexLink"/>
                <w:rtl w:val="true"/>
              </w:rPr>
              <w:t>اشارة</w:t>
            </w:r>
            <w:r>
              <w:rPr>
                <w:rStyle w:val="IndexLink"/>
                <w:rtl w:val="true"/>
              </w:rPr>
              <w:tab/>
            </w:r>
            <w:r>
              <w:rPr>
                <w:rStyle w:val="IndexLink"/>
              </w:rPr>
              <w:t>580</w:t>
            </w:r>
          </w:hyperlink>
        </w:p>
        <w:p>
          <w:pPr>
            <w:pStyle w:val="Contents6"/>
            <w:tabs>
              <w:tab w:val="clear" w:pos="7609"/>
              <w:tab w:val="right" w:pos="9026" w:leader="dot"/>
            </w:tabs>
            <w:rPr/>
          </w:pPr>
          <w:hyperlink w:anchor="__RefHeading___Toc9483192_73709187">
            <w:r>
              <w:rPr>
                <w:webHidden/>
                <w:rStyle w:val="IndexLink"/>
                <w:rtl w:val="true"/>
              </w:rPr>
              <w:t>أدلّة جواز ردّ الوصیّة للوصیّ‌</w:t>
            </w:r>
            <w:r>
              <w:rPr>
                <w:rStyle w:val="IndexLink"/>
                <w:rtl w:val="true"/>
              </w:rPr>
              <w:tab/>
            </w:r>
            <w:r>
              <w:rPr>
                <w:rStyle w:val="IndexLink"/>
              </w:rPr>
              <w:t>581</w:t>
            </w:r>
          </w:hyperlink>
        </w:p>
        <w:p>
          <w:pPr>
            <w:pStyle w:val="Contents5"/>
            <w:tabs>
              <w:tab w:val="clear" w:pos="7892"/>
              <w:tab w:val="right" w:pos="9026" w:leader="dot"/>
            </w:tabs>
            <w:rPr/>
          </w:pPr>
          <w:hyperlink w:anchor="__RefHeading___Toc9483194_73709187">
            <w:r>
              <w:rPr>
                <w:webHidden/>
                <w:rStyle w:val="IndexLink"/>
                <w:rtl w:val="true"/>
              </w:rPr>
              <w:t>المطلب الثالث</w:t>
            </w:r>
            <w:r>
              <w:rPr>
                <w:rStyle w:val="IndexLink"/>
                <w:rtl w:val="true"/>
              </w:rPr>
              <w:t>:</w:t>
              <w:tab/>
            </w:r>
            <w:r>
              <w:rPr>
                <w:rStyle w:val="IndexLink"/>
              </w:rPr>
              <w:t>583</w:t>
            </w:r>
          </w:hyperlink>
        </w:p>
        <w:p>
          <w:pPr>
            <w:pStyle w:val="Contents6"/>
            <w:tabs>
              <w:tab w:val="clear" w:pos="7609"/>
              <w:tab w:val="right" w:pos="9026" w:leader="dot"/>
            </w:tabs>
            <w:rPr/>
          </w:pPr>
          <w:hyperlink w:anchor="__RefHeading___Toc9483196_73709187">
            <w:r>
              <w:rPr>
                <w:webHidden/>
                <w:rStyle w:val="IndexLink"/>
                <w:rtl w:val="true"/>
              </w:rPr>
              <w:t>اشارة</w:t>
            </w:r>
            <w:r>
              <w:rPr>
                <w:rStyle w:val="IndexLink"/>
                <w:rtl w:val="true"/>
              </w:rPr>
              <w:tab/>
            </w:r>
            <w:r>
              <w:rPr>
                <w:rStyle w:val="IndexLink"/>
              </w:rPr>
              <w:t>583</w:t>
            </w:r>
          </w:hyperlink>
        </w:p>
        <w:p>
          <w:pPr>
            <w:pStyle w:val="Contents6"/>
            <w:tabs>
              <w:tab w:val="clear" w:pos="7609"/>
              <w:tab w:val="right" w:pos="9026" w:leader="dot"/>
            </w:tabs>
            <w:rPr/>
          </w:pPr>
          <w:hyperlink w:anchor="__RefHeading___Toc9483198_73709187">
            <w:r>
              <w:rPr>
                <w:webHidden/>
                <w:rStyle w:val="IndexLink"/>
                <w:rtl w:val="true"/>
              </w:rPr>
              <w:t>تمهید</w:t>
            </w:r>
            <w:r>
              <w:rPr>
                <w:rStyle w:val="IndexLink"/>
                <w:rtl w:val="true"/>
              </w:rPr>
              <w:tab/>
            </w:r>
            <w:r>
              <w:rPr>
                <w:rStyle w:val="IndexLink"/>
              </w:rPr>
              <w:t>583</w:t>
            </w:r>
          </w:hyperlink>
        </w:p>
        <w:p>
          <w:pPr>
            <w:pStyle w:val="Contents4"/>
            <w:tabs>
              <w:tab w:val="clear" w:pos="8176"/>
              <w:tab w:val="right" w:pos="9026" w:leader="dot"/>
            </w:tabs>
            <w:rPr/>
          </w:pPr>
          <w:hyperlink w:anchor="__RefHeading___Toc9483200_73709187">
            <w:r>
              <w:rPr>
                <w:webHidden/>
                <w:rStyle w:val="IndexLink"/>
                <w:rtl w:val="true"/>
              </w:rPr>
              <w:t>المبحث التاسع</w:t>
            </w:r>
            <w:r>
              <w:rPr>
                <w:rStyle w:val="IndexLink"/>
                <w:rtl w:val="true"/>
              </w:rPr>
              <w:t xml:space="preserve">: </w:t>
            </w:r>
            <w:r>
              <w:rPr>
                <w:rStyle w:val="IndexLink"/>
                <w:rtl w:val="true"/>
              </w:rPr>
              <w:t>کون الوصیّ أمیناً</w:t>
            </w:r>
            <w:r>
              <w:rPr>
                <w:rStyle w:val="IndexLink"/>
                <w:rtl w:val="true"/>
              </w:rPr>
              <w:tab/>
            </w:r>
            <w:r>
              <w:rPr>
                <w:rStyle w:val="IndexLink"/>
              </w:rPr>
              <w:t>597</w:t>
            </w:r>
          </w:hyperlink>
        </w:p>
        <w:p>
          <w:pPr>
            <w:pStyle w:val="Contents5"/>
            <w:tabs>
              <w:tab w:val="clear" w:pos="7892"/>
              <w:tab w:val="right" w:pos="9026" w:leader="dot"/>
            </w:tabs>
            <w:rPr/>
          </w:pPr>
          <w:hyperlink w:anchor="__RefHeading___Toc9483202_73709187">
            <w:r>
              <w:rPr>
                <w:webHidden/>
                <w:rStyle w:val="IndexLink"/>
                <w:rtl w:val="true"/>
              </w:rPr>
              <w:t>اشارة</w:t>
            </w:r>
            <w:r>
              <w:rPr>
                <w:rStyle w:val="IndexLink"/>
                <w:rtl w:val="true"/>
              </w:rPr>
              <w:tab/>
            </w:r>
            <w:r>
              <w:rPr>
                <w:rStyle w:val="IndexLink"/>
              </w:rPr>
              <w:t>597</w:t>
            </w:r>
          </w:hyperlink>
        </w:p>
        <w:p>
          <w:pPr>
            <w:pStyle w:val="Contents5"/>
            <w:tabs>
              <w:tab w:val="clear" w:pos="7892"/>
              <w:tab w:val="right" w:pos="9026" w:leader="dot"/>
            </w:tabs>
            <w:rPr/>
          </w:pPr>
          <w:hyperlink w:anchor="__RefHeading___Toc9483204_73709187">
            <w:r>
              <w:rPr>
                <w:webHidden/>
                <w:rStyle w:val="IndexLink"/>
                <w:rtl w:val="true"/>
              </w:rPr>
              <w:t>أدلّة عدم ضمان الوصیّ‌</w:t>
            </w:r>
            <w:r>
              <w:rPr>
                <w:rStyle w:val="IndexLink"/>
                <w:rtl w:val="true"/>
              </w:rPr>
              <w:tab/>
            </w:r>
            <w:r>
              <w:rPr>
                <w:rStyle w:val="IndexLink"/>
              </w:rPr>
              <w:t>599</w:t>
            </w:r>
          </w:hyperlink>
        </w:p>
        <w:p>
          <w:pPr>
            <w:pStyle w:val="Contents5"/>
            <w:tabs>
              <w:tab w:val="clear" w:pos="7892"/>
              <w:tab w:val="right" w:pos="9026" w:leader="dot"/>
            </w:tabs>
            <w:rPr/>
          </w:pPr>
          <w:hyperlink w:anchor="__RefHeading___Toc9483206_73709187">
            <w:r>
              <w:rPr>
                <w:webHidden/>
                <w:rStyle w:val="IndexLink"/>
                <w:rtl w:val="true"/>
              </w:rPr>
              <w:t>فرع</w:t>
            </w:r>
            <w:r>
              <w:rPr>
                <w:rStyle w:val="IndexLink"/>
                <w:rtl w:val="true"/>
              </w:rPr>
              <w:tab/>
            </w:r>
            <w:r>
              <w:rPr>
                <w:rStyle w:val="IndexLink"/>
              </w:rPr>
              <w:t>605</w:t>
            </w:r>
          </w:hyperlink>
        </w:p>
        <w:p>
          <w:pPr>
            <w:pStyle w:val="Contents4"/>
            <w:tabs>
              <w:tab w:val="clear" w:pos="8176"/>
              <w:tab w:val="right" w:pos="9026" w:leader="dot"/>
            </w:tabs>
            <w:rPr/>
          </w:pPr>
          <w:hyperlink w:anchor="__RefHeading___Toc9483208_73709187">
            <w:r>
              <w:rPr>
                <w:webHidden/>
                <w:rStyle w:val="IndexLink"/>
                <w:rtl w:val="true"/>
              </w:rPr>
              <w:t>المبحث العاشر</w:t>
            </w:r>
            <w:r>
              <w:rPr>
                <w:rStyle w:val="IndexLink"/>
                <w:rtl w:val="true"/>
              </w:rPr>
              <w:t xml:space="preserve">: </w:t>
            </w:r>
            <w:r>
              <w:rPr>
                <w:rStyle w:val="IndexLink"/>
                <w:rtl w:val="true"/>
              </w:rPr>
              <w:t>الحاکم وصیّ لمن لا وصیّ له</w:t>
            </w:r>
            <w:r>
              <w:rPr>
                <w:rStyle w:val="IndexLink"/>
                <w:rtl w:val="true"/>
              </w:rPr>
              <w:tab/>
            </w:r>
            <w:r>
              <w:rPr>
                <w:rStyle w:val="IndexLink"/>
              </w:rPr>
              <w:t>606</w:t>
            </w:r>
          </w:hyperlink>
        </w:p>
        <w:p>
          <w:pPr>
            <w:pStyle w:val="Contents5"/>
            <w:tabs>
              <w:tab w:val="clear" w:pos="7892"/>
              <w:tab w:val="right" w:pos="9026" w:leader="dot"/>
            </w:tabs>
            <w:rPr/>
          </w:pPr>
          <w:hyperlink w:anchor="__RefHeading___Toc9483210_73709187">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9483212_73709187">
            <w:r>
              <w:rPr>
                <w:webHidden/>
                <w:rStyle w:val="IndexLink"/>
                <w:rtl w:val="true"/>
              </w:rPr>
              <w:t>آراء فقهاء أهل السنّة فی المقام</w:t>
            </w:r>
            <w:r>
              <w:rPr>
                <w:rStyle w:val="IndexLink"/>
                <w:rtl w:val="true"/>
              </w:rPr>
              <w:tab/>
            </w:r>
            <w:r>
              <w:rPr>
                <w:rStyle w:val="IndexLink"/>
              </w:rPr>
              <w:t>610</w:t>
            </w:r>
          </w:hyperlink>
        </w:p>
        <w:p>
          <w:pPr>
            <w:pStyle w:val="Contents4"/>
            <w:tabs>
              <w:tab w:val="clear" w:pos="8176"/>
              <w:tab w:val="right" w:pos="9026" w:leader="dot"/>
            </w:tabs>
            <w:rPr/>
          </w:pPr>
          <w:hyperlink w:anchor="__RefHeading___Toc9483214_73709187">
            <w:r>
              <w:rPr>
                <w:webHidden/>
                <w:rStyle w:val="IndexLink"/>
                <w:rtl w:val="true"/>
              </w:rPr>
              <w:t>المبحث الحادی عشر</w:t>
            </w:r>
            <w:r>
              <w:rPr>
                <w:rStyle w:val="IndexLink"/>
                <w:rtl w:val="true"/>
              </w:rPr>
              <w:t xml:space="preserve">: </w:t>
            </w:r>
            <w:r>
              <w:rPr>
                <w:rStyle w:val="IndexLink"/>
                <w:rtl w:val="true"/>
              </w:rPr>
              <w:t>فروع حول الوصیّة للحمل</w:t>
            </w:r>
            <w:r>
              <w:rPr>
                <w:rStyle w:val="IndexLink"/>
                <w:rtl w:val="true"/>
              </w:rPr>
              <w:tab/>
            </w:r>
            <w:r>
              <w:rPr>
                <w:rStyle w:val="IndexLink"/>
              </w:rPr>
              <w:t>613</w:t>
            </w:r>
          </w:hyperlink>
        </w:p>
        <w:p>
          <w:pPr>
            <w:pStyle w:val="Contents5"/>
            <w:tabs>
              <w:tab w:val="clear" w:pos="7892"/>
              <w:tab w:val="right" w:pos="9026" w:leader="dot"/>
            </w:tabs>
            <w:rPr/>
          </w:pPr>
          <w:hyperlink w:anchor="__RefHeading___Toc9483216_73709187">
            <w:r>
              <w:rPr>
                <w:webHidden/>
                <w:rStyle w:val="IndexLink"/>
                <w:rtl w:val="true"/>
              </w:rPr>
              <w:t>اشارة</w:t>
            </w:r>
            <w:r>
              <w:rPr>
                <w:rStyle w:val="IndexLink"/>
                <w:rtl w:val="true"/>
              </w:rPr>
              <w:tab/>
            </w:r>
            <w:r>
              <w:rPr>
                <w:rStyle w:val="IndexLink"/>
              </w:rPr>
              <w:t>613</w:t>
            </w:r>
          </w:hyperlink>
        </w:p>
        <w:p>
          <w:pPr>
            <w:pStyle w:val="Contents5"/>
            <w:tabs>
              <w:tab w:val="clear" w:pos="7892"/>
              <w:tab w:val="right" w:pos="9026" w:leader="dot"/>
            </w:tabs>
            <w:rPr/>
          </w:pPr>
          <w:hyperlink w:anchor="__RefHeading___Toc9483218_73709187">
            <w:r>
              <w:rPr>
                <w:webHidden/>
                <w:rStyle w:val="IndexLink"/>
                <w:rtl w:val="true"/>
              </w:rPr>
              <w:t>الوقف علی الحمل عند أهل السنّة</w:t>
            </w:r>
            <w:r>
              <w:rPr>
                <w:rStyle w:val="IndexLink"/>
                <w:rtl w:val="true"/>
              </w:rPr>
              <w:tab/>
            </w:r>
            <w:r>
              <w:rPr>
                <w:rStyle w:val="IndexLink"/>
              </w:rPr>
              <w:t>624</w:t>
            </w:r>
          </w:hyperlink>
        </w:p>
        <w:p>
          <w:pPr>
            <w:pStyle w:val="Contents2"/>
            <w:tabs>
              <w:tab w:val="clear" w:pos="8743"/>
              <w:tab w:val="right" w:pos="9026" w:leader="dot"/>
            </w:tabs>
            <w:rPr/>
          </w:pPr>
          <w:hyperlink w:anchor="__RefHeading___Toc9483220_73709187">
            <w:r>
              <w:rPr>
                <w:webHidden/>
                <w:rStyle w:val="IndexLink"/>
                <w:rtl w:val="true"/>
              </w:rPr>
              <w:t>فهرس أحکام الأطفال و أدلّتها</w:t>
            </w:r>
            <w:r>
              <w:rPr>
                <w:rStyle w:val="IndexLink"/>
                <w:rtl w:val="true"/>
              </w:rPr>
              <w:tab/>
            </w:r>
            <w:r>
              <w:rPr>
                <w:rStyle w:val="IndexLink"/>
              </w:rPr>
              <w:t>626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53_114643"/>
      <w:bookmarkStart w:id="1" w:name="pg11753_114643"/>
      <w:bookmarkEnd w:id="1"/>
    </w:p>
    <w:p>
      <w:pPr>
        <w:pStyle w:val="Heading2"/>
        <w:numPr>
          <w:ilvl w:val="1"/>
          <w:numId w:val="1"/>
        </w:numPr>
        <w:rPr/>
      </w:pPr>
      <w:bookmarkStart w:id="2" w:name="pg11753_114643"/>
      <w:bookmarkStart w:id="3" w:name="__RefHeading___Toc9482464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محمدجواد الفاضل‌اللنکرانی؛ تالیف جمع من‌المحققین فی اللجنه الفقهیه؛ رتبها و نظمها قدره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فقه‌الائمه‌الاطهار علیهم‌السلام،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و نشر در جلد ششم مرکز فقه‌الائمة‌الاطهار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 قدرت‌الله،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8246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الثانی</w:t>
      </w:r>
    </w:p>
    <w:p>
      <w:pPr>
        <w:pStyle w:val="BookText"/>
        <w:rPr/>
      </w:pPr>
      <w:r>
        <w:rPr>
          <w:rFonts w:ascii="IRNazanin" w:hAnsi="IRNazanin" w:eastAsia="IRNazanin"/>
          <w:color w:val="111111"/>
          <w:sz w:val="28"/>
          <w:sz w:val="28"/>
          <w:szCs w:val="28"/>
          <w:rtl w:val="true"/>
          <w:lang w:bidi="fa-IR"/>
        </w:rPr>
        <w:t>اشراف محمدجواد الفاضل‌اللنکرانی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جمع من‌المحققین فی اللجنه الفقهیه؛ رتبها و نظمها قدره الله الانصاری</w:t>
      </w:r>
      <w:bookmarkStart w:id="7" w:name="pg11753_114647"/>
    </w:p>
    <w:p>
      <w:pPr>
        <w:pStyle w:val="Heading2"/>
        <w:numPr>
          <w:ilvl w:val="1"/>
          <w:numId w:val="1"/>
        </w:numPr>
        <w:rPr/>
      </w:pPr>
      <w:bookmarkStart w:id="8" w:name="__RefHeading___Toc9482468_73709187"/>
      <w:bookmarkStart w:id="9" w:name="_Toc3"/>
      <w:bookmarkEnd w:id="7"/>
      <w:bookmarkEnd w:id="8"/>
      <w:r>
        <w:rPr>
          <w:rtl w:val="true"/>
        </w:rPr>
        <w:t>تتمة الباب الرابع فی الولایة علی الأطفال</w:t>
      </w:r>
      <w:bookmarkEnd w:id="9"/>
    </w:p>
    <w:p>
      <w:pPr>
        <w:pStyle w:val="Heading3"/>
        <w:numPr>
          <w:ilvl w:val="2"/>
          <w:numId w:val="1"/>
        </w:numPr>
        <w:rPr/>
      </w:pPr>
      <w:bookmarkStart w:id="10" w:name="__RefHeading___Toc9482470_73709187"/>
      <w:bookmarkStart w:id="11" w:name="_Toc4"/>
      <w:bookmarkEnd w:id="10"/>
      <w:r>
        <w:rPr>
          <w:rtl w:val="true"/>
        </w:rPr>
        <w:t>الفصل السادس فی ولایة الوکیل</w:t>
      </w:r>
      <w:bookmarkEnd w:id="11"/>
    </w:p>
    <w:p>
      <w:pPr>
        <w:pStyle w:val="Heading4"/>
        <w:numPr>
          <w:ilvl w:val="3"/>
          <w:numId w:val="1"/>
        </w:numPr>
        <w:rPr/>
      </w:pPr>
      <w:bookmarkStart w:id="12" w:name="__RefHeading___Toc9482472_73709187"/>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قد ذکرنا فیما سبق ولایة الأب و الجدّ و الوصیّ و الحاکم علی تزویج الصغار، و لتتمیم التحقیق فی هذا المقام ینبغی أن نبحث عن ولایة الوکیل للأب و الجدّ و الوصیّ و الحاکم فی التزویج، فإنّه تترتّب علی ثبوت الولایة له فی التزویج و غیره فوائد لا تخفی علی من تأمّل فی مسألتنا هذه، و لأجل ذلک عقدنا هذا الفصل، و فیه مباحث</w:t>
      </w:r>
      <w:r>
        <w:rPr>
          <w:rFonts w:eastAsia="IRNazanin" w:cs="IRNazanin"/>
          <w:color w:val="111111"/>
          <w:sz w:val="28"/>
          <w:szCs w:val="28"/>
          <w:rtl w:val="true"/>
          <w:lang w:bidi="fa-IR"/>
        </w:rPr>
        <w:t>:</w:t>
      </w:r>
    </w:p>
    <w:p>
      <w:pPr>
        <w:pStyle w:val="Heading4"/>
        <w:numPr>
          <w:ilvl w:val="3"/>
          <w:numId w:val="1"/>
        </w:numPr>
        <w:rPr/>
      </w:pPr>
      <w:bookmarkStart w:id="14" w:name="__RefHeading___Toc9482474_73709187"/>
      <w:bookmarkStart w:id="15" w:name="_Toc6"/>
      <w:bookmarkEnd w:id="14"/>
      <w:r>
        <w:rPr>
          <w:rtl w:val="true"/>
        </w:rPr>
        <w:t>المبحث الأوّل</w:t>
      </w:r>
      <w:r>
        <w:rPr>
          <w:rtl w:val="true"/>
        </w:rPr>
        <w:t xml:space="preserve">: </w:t>
      </w:r>
      <w:r>
        <w:rPr>
          <w:rtl w:val="true"/>
        </w:rPr>
        <w:t>معنی الوکالة و ذکر الأقوال فیها</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الفیّومی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وکَلتُ الأمر إلیه وکلاً من باب وعد و وکولاً فوّضته إلیه و اکتفیت به، و الوکیل فعیل بمعنی مفعول؛ لأنّه موکولٌ إلیه، و یکون بمعنی فاعل إذا کان بمعنی الحافظ،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وُکَلاء</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من أسماء اللّه، و هو القیّم الکفیل بأرزاق العباد، و حقیقته أنّه یستقلّ بأمر الموکول إلیه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التوکیل هو أن تعتمد علی الرجل و تجعله نائباً عنک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عرّفها الفقهاء بأنّها استنابةٌ فی التصرّف</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عرّفها الجمهور من أهل السنّة بما یقرب من ذلک،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الوکالة معناها شرعاً إقامة الإنسان غیره مقام نفسه فی تصرّفٍ جائز معلوم یملکه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بأنّ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شخص ما له فعله ممّا یقبل النیابة إلی غیره لیفعله فی حیاته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الوکالة استنابة جائز التصرّف مثله فیما تدخله النیابة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للأب و الجدّ و الوصیّ و الحاکم أن یوکّلوا عمّن تحت ولایتهم من یباشر فی امورهم کتزویجهم و التصرّف فی أموالهم و غیر ذلک، أم لا؟</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للناظر فی أُمور المسلمین و لحاکمهم أن یوکّل علی سفهائهم و أیتامهم و نواقصی عقولهم، من یطالب بحقوقهم و یحتجّ عنهم و لهم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للأب و الجدّ أن یوکّلا عن الولد الصغیر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للحاکم أن یوکّل عن السفهاء من یتولّی الحکومة عنهم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به قال الشهید الثانی</w:t>
      </w:r>
      <w:r>
        <w:rPr>
          <w:rStyle w:val="FootnoteAnchor"/>
          <w:rtl w:val="true"/>
        </w:rPr>
        <w:footnoteReference w:id="1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الوکیل</w:t>
      </w:r>
    </w:p>
    <w:p>
      <w:pPr>
        <w:pStyle w:val="BookText"/>
        <w:rPr/>
      </w:pPr>
      <w:r>
        <w:rPr>
          <w:rFonts w:ascii="IRNazanin" w:hAnsi="IRNazanin" w:eastAsia="IRNazanin"/>
          <w:color w:val="111111"/>
          <w:sz w:val="28"/>
          <w:sz w:val="28"/>
          <w:szCs w:val="28"/>
          <w:rtl w:val="true"/>
          <w:lang w:bidi="fa-IR"/>
        </w:rPr>
        <w:t>و قال العلاّمة رحمه الله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صحّ تصرّفه فی شیءٍ تدخله النیابة، صحّ أن یوکّل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مسألةٍ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شرطنا فی الموکّل أن یکون متمکِّناً من المباشرة، إمّا بحقّ الملک أو الولایة، لیدخل فیه توکیل الأب أو الجدّ له فی النکاح و المال، و یخرج عنه توکیل الوکیل؛ فإنّه لیس بمالکٍ و لا ولیٍّ و إنّما یتصرّف بالإذن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للوصیّ أن یوکّل و إن لم یفوّض الموصی إلیه ذلک بالنصوصیّة؛ لأنّه یتصرّف بالولایة کالأب و الجدّ، لکن لو منعه الموصی من التوکیل وجب أن یتولّی بنفسه، و لیس له أن یوکِّل حینئذٍ؛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للحاکم أن یوکّل</w:t>
      </w:r>
      <w:r>
        <w:rPr>
          <w:rStyle w:val="FootnoteAnchor"/>
          <w:rtl w:val="true"/>
        </w:rPr>
        <w:footnoteReference w:id="12"/>
      </w:r>
      <w:r>
        <w:rPr>
          <w:rFonts w:ascii="IRNazanin" w:hAnsi="IRNazanin" w:eastAsia="IRNazanin"/>
          <w:color w:val="111111"/>
          <w:sz w:val="28"/>
          <w:sz w:val="28"/>
          <w:szCs w:val="28"/>
          <w:rtl w:val="true"/>
          <w:lang w:bidi="fa-IR"/>
        </w:rPr>
        <w:t>عن السفهاء و المجانین و الصبیان، من یتولّی الحکومة عنهم و یستوفی حقوقهم و یبیع عنهم و یشتری لهم، و لا نعلم فیه خلافاً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أیضاً فی التحریر</w:t>
      </w:r>
      <w:r>
        <w:rPr>
          <w:rStyle w:val="FootnoteAnchor"/>
          <w:rtl w:val="true"/>
        </w:rPr>
        <w:footnoteReference w:id="14"/>
      </w:r>
      <w:r>
        <w:rPr>
          <w:rFonts w:ascii="IRNazanin" w:hAnsi="IRNazanin" w:eastAsia="IRNazanin"/>
          <w:color w:val="111111"/>
          <w:sz w:val="28"/>
          <w:sz w:val="28"/>
          <w:szCs w:val="28"/>
          <w:rtl w:val="true"/>
          <w:lang w:bidi="fa-IR"/>
        </w:rPr>
        <w:t>و القواعد</w:t>
      </w:r>
      <w:r>
        <w:rPr>
          <w:rStyle w:val="FootnoteAnchor"/>
          <w:rtl w:val="true"/>
        </w:rPr>
        <w:footnoteReference w:id="15"/>
      </w:r>
      <w:r>
        <w:rPr>
          <w:rFonts w:ascii="IRNazanin" w:hAnsi="IRNazanin" w:eastAsia="IRNazanin"/>
          <w:color w:val="111111"/>
          <w:sz w:val="28"/>
          <w:sz w:val="28"/>
          <w:szCs w:val="28"/>
          <w:rtl w:val="true"/>
          <w:lang w:bidi="fa-IR"/>
        </w:rPr>
        <w:t>و الإرشاد</w:t>
      </w:r>
      <w:r>
        <w:rPr>
          <w:rStyle w:val="FootnoteAnchor"/>
          <w:rtl w:val="true"/>
        </w:rPr>
        <w:footnoteReference w:id="16"/>
      </w:r>
      <w:r>
        <w:rPr>
          <w:rFonts w:ascii="Amiri" w:hAnsi="Amiri" w:eastAsia="Amiri" w:cs="Amiri"/>
          <w:color w:val="111111"/>
          <w:sz w:val="28"/>
          <w:sz w:val="28"/>
          <w:szCs w:val="28"/>
          <w:rtl w:val="true"/>
          <w:lang w:bidi="ar-SA"/>
        </w:rPr>
        <w:t>و مجمع الفائدة و البرهان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جامع المقاصد</w:t>
      </w:r>
      <w:r>
        <w:rPr>
          <w:rStyle w:val="FootnoteAnchor"/>
          <w:rtl w:val="true"/>
        </w:rPr>
        <w:footnoteReference w:id="18"/>
      </w:r>
      <w:r>
        <w:rPr>
          <w:rFonts w:ascii="IRNazanin" w:hAnsi="IRNazanin" w:eastAsia="IRNazanin"/>
          <w:color w:val="111111"/>
          <w:sz w:val="28"/>
          <w:sz w:val="28"/>
          <w:szCs w:val="28"/>
          <w:rtl w:val="true"/>
          <w:lang w:bidi="fa-IR"/>
        </w:rPr>
        <w:t>و الکفایة</w:t>
      </w:r>
      <w:r>
        <w:rPr>
          <w:rStyle w:val="FootnoteAnchor"/>
          <w:rtl w:val="true"/>
        </w:rPr>
        <w:footnoteReference w:id="19"/>
      </w:r>
      <w:r>
        <w:rPr>
          <w:rFonts w:ascii="IRNazanin" w:hAnsi="IRNazanin" w:eastAsia="IRNazanin"/>
          <w:color w:val="111111"/>
          <w:sz w:val="28"/>
          <w:sz w:val="28"/>
          <w:szCs w:val="28"/>
          <w:rtl w:val="true"/>
          <w:lang w:bidi="fa-IR"/>
        </w:rPr>
        <w:t>و مفتاح الکرامة</w:t>
      </w:r>
      <w:r>
        <w:rPr>
          <w:rStyle w:val="FootnoteAnchor"/>
          <w:rtl w:val="true"/>
        </w:rPr>
        <w:footnoteReference w:id="20"/>
      </w:r>
      <w:r>
        <w:rPr>
          <w:rFonts w:ascii="IRNazanin" w:hAnsi="IRNazanin" w:eastAsia="IRNazanin"/>
          <w:color w:val="111111"/>
          <w:sz w:val="28"/>
          <w:sz w:val="28"/>
          <w:szCs w:val="28"/>
          <w:rtl w:val="true"/>
          <w:lang w:bidi="fa-IR"/>
        </w:rPr>
        <w:t>و مهذّب الأحکام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للولیّ کالأب و الجدّ للصغیر أن یوکّل غیره فیما یتعلّق بالمولّی علیه ممّا له الولایة علیه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بیان ما تصحّ الوکالة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تصحّ الوکالة فیما لا یتعلّق غرض الشارع بإیقاعه من مباشرٍ بعینهِ کالعتق، فإنّ غرضه فیه فکّ الرقبة؛ سواءٌ أحدثه المالک أم غیره، و الطلاق؛ فإنّ غرضه منه رفع الزوجیّة کذلک، و مثله النکاح و البیع و غیرهما من العقود و الإیقاعات، لا فیما یتعلّق غرضه بإیقاعه من مباشرٍ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معرفة غرضه فی ذلک و عدمه إلی النقل</w:t>
      </w:r>
      <w:r>
        <w:rPr>
          <w:rStyle w:val="FootnoteAnchor"/>
          <w:rtl w:val="true"/>
        </w:rPr>
        <w:footnoteReference w:id="23"/>
      </w:r>
      <w:r>
        <w:rPr>
          <w:rFonts w:ascii="Amiri" w:hAnsi="Amiri" w:eastAsia="Amiri" w:cs="Amiri"/>
          <w:color w:val="111111"/>
          <w:sz w:val="28"/>
          <w:sz w:val="28"/>
          <w:szCs w:val="28"/>
          <w:rtl w:val="true"/>
          <w:lang w:bidi="ar-SA"/>
        </w:rPr>
        <w:t>، و لا قاعدة له لا تنخرم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 ذلک فی الریاض</w:t>
      </w:r>
      <w:r>
        <w:rPr>
          <w:rStyle w:val="FootnoteAnchor"/>
          <w:rtl w:val="true"/>
        </w:rPr>
        <w:footnoteReference w:id="25"/>
      </w:r>
      <w:r>
        <w:rPr>
          <w:rFonts w:ascii="IRNazanin" w:hAnsi="IRNazanin" w:eastAsia="IRNazanin"/>
          <w:color w:val="111111"/>
          <w:sz w:val="28"/>
          <w:sz w:val="28"/>
          <w:szCs w:val="28"/>
          <w:rtl w:val="true"/>
          <w:lang w:bidi="fa-IR"/>
        </w:rPr>
        <w:t>، و الحدائق</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قال به صاحب الجواهر</w:t>
      </w:r>
      <w:r>
        <w:rPr>
          <w:rStyle w:val="FootnoteAnchor"/>
          <w:rtl w:val="true"/>
        </w:rPr>
        <w:footnoteReference w:id="27"/>
      </w:r>
      <w:r>
        <w:rPr>
          <w:rFonts w:ascii="IRNazanin" w:hAnsi="IRNazanin" w:eastAsia="IRNazanin"/>
          <w:color w:val="111111"/>
          <w:sz w:val="28"/>
          <w:sz w:val="28"/>
          <w:szCs w:val="28"/>
          <w:rtl w:val="true"/>
          <w:lang w:bidi="fa-IR"/>
        </w:rPr>
        <w:t>، و بعض فقهاء العصر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استفید من الأدلّة و کلمات الفقهاء أنّ کلّ‌</w:t>
      </w:r>
      <w:r>
        <w:rPr>
          <w:rStyle w:val="FootnoteAnchor"/>
          <w:rtl w:val="true"/>
        </w:rPr>
        <w:footnoteReference w:id="29"/>
      </w:r>
      <w:r>
        <w:rPr>
          <w:rFonts w:ascii="Amiri" w:hAnsi="Amiri" w:eastAsia="Amiri" w:cs="Amiri"/>
          <w:color w:val="111111"/>
          <w:sz w:val="28"/>
          <w:sz w:val="28"/>
          <w:szCs w:val="28"/>
          <w:rtl w:val="true"/>
          <w:lang w:bidi="ar-SA"/>
        </w:rPr>
        <w:t>ما تعلّق غرض</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الشارع بإیقاعه مباشرةً لا یصحّ التوکیل فیه، بخلاف ما إذا لم یکن کذلک؛ فإنّه یصحّ فیه التوکیل، فعلی هذا یجوز للأولیاء کالأب و الجدّ و الوصیّ لهما و الحاکم أن یوکّلوا غیرهم فیما یتعلّق بالمولّی علیهم ممّا لهم الولایة علیهم؛ لأنّ الغرض من جعل الولایة لهم حفظ أنفسهم و أموالهم من التلف و الضرر، و مساعدتهم فیما یحتاجون إلیه فی أُمورهم، و هذا یمکن أن یصدر من الأولیاء و من غیرهم</w:t>
      </w:r>
      <w:r>
        <w:rPr>
          <w:rFonts w:eastAsia="IRNazanin" w:cs="IRNazanin"/>
          <w:color w:val="111111"/>
          <w:sz w:val="28"/>
          <w:szCs w:val="28"/>
          <w:rtl w:val="true"/>
          <w:lang w:bidi="fa-IR"/>
        </w:rPr>
        <w:t>.</w:t>
      </w:r>
      <w:bookmarkStart w:id="16" w:name="pg11753_114652"/>
    </w:p>
    <w:p>
      <w:pPr>
        <w:pStyle w:val="Heading4"/>
        <w:numPr>
          <w:ilvl w:val="3"/>
          <w:numId w:val="1"/>
        </w:numPr>
        <w:rPr/>
      </w:pPr>
      <w:bookmarkStart w:id="17" w:name="__RefHeading___Toc9482476_73709187"/>
      <w:bookmarkStart w:id="18" w:name="_Toc7"/>
      <w:bookmarkEnd w:id="16"/>
      <w:bookmarkEnd w:id="17"/>
      <w:r>
        <w:rPr>
          <w:rtl w:val="true"/>
        </w:rPr>
        <w:t>المبحث الثانی</w:t>
      </w:r>
      <w:r>
        <w:rPr>
          <w:rtl w:val="true"/>
        </w:rPr>
        <w:t xml:space="preserve">: </w:t>
      </w:r>
      <w:r>
        <w:rPr>
          <w:rtl w:val="true"/>
        </w:rPr>
        <w:t>أدلّة هذا الحکم</w:t>
      </w:r>
      <w:bookmarkEnd w:id="18"/>
    </w:p>
    <w:p>
      <w:pPr>
        <w:pStyle w:val="BookText"/>
        <w:rPr/>
      </w:pPr>
      <w:r>
        <w:rPr>
          <w:rFonts w:ascii="IRNazanin" w:hAnsi="IRNazanin" w:eastAsia="IRNazanin"/>
          <w:color w:val="111111"/>
          <w:sz w:val="28"/>
          <w:sz w:val="28"/>
          <w:szCs w:val="28"/>
          <w:rtl w:val="true"/>
          <w:lang w:bidi="fa-IR"/>
        </w:rPr>
        <w:t>یمکن أن یستدلّ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المحقّق الأردبیلی،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للحاکم أن یوکّل عن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دلیله الإجماع</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الریاض أنّه لا خلاف فیه</w:t>
      </w:r>
      <w:r>
        <w:rPr>
          <w:rStyle w:val="FootnoteAnchor"/>
          <w:rtl w:val="true"/>
        </w:rPr>
        <w:footnoteReference w:id="31"/>
      </w:r>
      <w:r>
        <w:rPr>
          <w:rFonts w:ascii="IRNazanin" w:hAnsi="IRNazanin" w:eastAsia="IRNazanin"/>
          <w:color w:val="111111"/>
          <w:sz w:val="28"/>
          <w:sz w:val="28"/>
          <w:szCs w:val="28"/>
          <w:rtl w:val="true"/>
          <w:lang w:bidi="fa-IR"/>
        </w:rPr>
        <w:t>، و یستظهر الإجماع أیضاً من کلام العلاّمة فی التذکرة،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نعلم فیه خلافاً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یعنی إن شککنا فی أنّه هل یعتبر فی القیام باُمور الولایة من الولیّ، مباشرتها بنفسه أم لا؟ فالأصل عدم اعتبار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جواز الوکالة فی کلّ شیءٍ إلاّ ما علم خروجه بالدلیل من أنّه لا یجوز النیابة فیه، کما یستظهر ذلک من کلام صاحب الجواهر،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ظهر لک مشروعیّة الوکالة فی کلّ شیء إلاّ ما علم خروجه، و قد نبّه علیه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تدخله النیابة فضابطه ما تعلّق قصد الشارع بإیقاعه من المکلّف مباشرةً بنصّ أو إجماعٍ أو نحوهما؛ فإنّ الوکالة حینئذٍ منافیة لحقیقته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بعض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معاویة بن وهب و جابر بن یزید جمیعاً، عن أبی عبد اللّه علیه السلام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وکّل رجلاً علی إمضاء أمر من الاُمور، فالوکالة ثابتة أبداً حتّی یعلمه بالخروج منها، کما أعلمه بالدخول فیها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صحیحة هشام بن سالم، عن أبی عبد اللّه علیه السلام فی رجل وکّل آخر علی وکالة فی أمر من الأمور و أشهد له بذلک شاهدین، فقام الوکیل فخرج لإمضاء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عزلت فلاناً عن الوکالة،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الوکیل أمضی الأمر الذی وکّل فیه قبل العزل، فإنّ الأمر واقع ماض علی ما أمضاه الوکیل، کره الموکّل أم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فهاتان الصحیحتان تدلاّن</w:t>
      </w:r>
      <w:r>
        <w:rPr>
          <w:rStyle w:val="FootnoteAnchor"/>
          <w:rtl w:val="true"/>
        </w:rPr>
        <w:footnoteReference w:id="36"/>
      </w:r>
      <w:r>
        <w:rPr>
          <w:rFonts w:ascii="IRNazanin" w:hAnsi="IRNazanin" w:eastAsia="IRNazanin"/>
          <w:color w:val="111111"/>
          <w:sz w:val="28"/>
          <w:sz w:val="28"/>
          <w:szCs w:val="28"/>
          <w:rtl w:val="true"/>
          <w:lang w:bidi="fa-IR"/>
        </w:rPr>
        <w:t>علی کون الوکالة جائزة فی کلّ أمر من الاُمور، و فی مورد توکیل الولیّ غیره لمباشرة امور المولّی علیه یصدق أنّه وکّل علی إمضاء أمرٍ، فلا ینعزل حتّی یبلغه العزل، فالاستدلال بهما کافٍ فی إثبات المطلوب، و کذلک یستظهر جواز توکیل الولیّ من أخبار تدلّ علی ثبوت الوکالة فی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تزویج أُمّ کلثوم بنت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العبّاس أتاه فأخبره و سأله أن یجعل الأمر إلیه، فجعله إلیه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أمر رجلاً أن یزوّجه امرأة بالمدینة و سمّاها له، و الذی أمره بالعراق، فخرج المأمور فزوّجه إیّاها، ثمّ قدم إلی العراق فوجد الذی أمره قد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فی ذلک،</w:t>
      </w:r>
    </w:p>
    <w:p>
      <w:pPr>
        <w:pStyle w:val="BookText"/>
        <w:rPr/>
      </w:pPr>
      <w:r>
        <w:rPr>
          <w:rFonts w:ascii="IRNazanin" w:hAnsi="IRNazanin" w:eastAsia="IRNazanin"/>
          <w:color w:val="111111"/>
          <w:sz w:val="28"/>
          <w:sz w:val="28"/>
          <w:szCs w:val="28"/>
          <w:rtl w:val="true"/>
          <w:lang w:bidi="fa-IR"/>
        </w:rPr>
        <w:t>فإن کان المأمور زوّجها إیّاه قبل أن یموت الآمر ثمّ مات الآمر بعده؛ فإنّ المهر فی جمیع ذلک المیراث بمنزلة الدین، فإن کان زوّجها إیّاه بعد ما مات الآمر فلا شیء علی الآمر و لا علی المأمور، و النکاح باطل</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داود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 یرید أن یزوّج اخته،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یؤامرها، فإن سکتت فهو إقرارها، و إن أبت لم یزوّجها، فإن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فلاناً زوّجها ممّن 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صحیحة أبی عبیدة</w:t>
      </w:r>
      <w:r>
        <w:rPr>
          <w:rStyle w:val="FootnoteAnchor"/>
          <w:rtl w:val="true"/>
        </w:rPr>
        <w:footnoteReference w:id="40"/>
      </w:r>
      <w:r>
        <w:rPr>
          <w:rFonts w:ascii="IRNazanin" w:hAnsi="IRNazanin" w:eastAsia="IRNazanin"/>
          <w:color w:val="111111"/>
          <w:sz w:val="28"/>
          <w:sz w:val="28"/>
          <w:szCs w:val="28"/>
          <w:rtl w:val="true"/>
          <w:lang w:bidi="fa-IR"/>
        </w:rPr>
        <w:t>و یؤیّده روایات عمّار الساباطی</w:t>
      </w:r>
      <w:r>
        <w:rPr>
          <w:rStyle w:val="FootnoteAnchor"/>
          <w:rtl w:val="true"/>
        </w:rPr>
        <w:footnoteReference w:id="41"/>
      </w:r>
      <w:r>
        <w:rPr>
          <w:rFonts w:ascii="IRNazanin" w:hAnsi="IRNazanin" w:eastAsia="IRNazanin"/>
          <w:color w:val="111111"/>
          <w:sz w:val="28"/>
          <w:sz w:val="28"/>
          <w:szCs w:val="28"/>
          <w:rtl w:val="true"/>
          <w:lang w:bidi="fa-IR"/>
        </w:rPr>
        <w:t>و إبراهیم ابن أبی یحیی</w:t>
      </w:r>
      <w:r>
        <w:rPr>
          <w:rStyle w:val="FootnoteAnchor"/>
          <w:rtl w:val="true"/>
        </w:rPr>
        <w:footnoteReference w:id="42"/>
      </w:r>
      <w:r>
        <w:rPr>
          <w:rFonts w:ascii="IRNazanin" w:hAnsi="IRNazanin" w:eastAsia="IRNazanin"/>
          <w:color w:val="111111"/>
          <w:sz w:val="28"/>
          <w:sz w:val="28"/>
          <w:szCs w:val="28"/>
          <w:rtl w:val="true"/>
          <w:lang w:bidi="fa-IR"/>
        </w:rPr>
        <w:t>و جابر</w:t>
      </w:r>
      <w:r>
        <w:rPr>
          <w:rStyle w:val="FootnoteAnchor"/>
          <w:rtl w:val="true"/>
        </w:rPr>
        <w:footnoteReference w:id="43"/>
      </w:r>
      <w:r>
        <w:rPr>
          <w:rFonts w:ascii="IRNazanin" w:hAnsi="IRNazanin" w:eastAsia="IRNazanin"/>
          <w:color w:val="111111"/>
          <w:sz w:val="28"/>
          <w:sz w:val="28"/>
          <w:szCs w:val="28"/>
          <w:rtl w:val="true"/>
          <w:lang w:bidi="fa-IR"/>
        </w:rPr>
        <w:t>و مضمرة محمد بن شعیب</w:t>
      </w:r>
      <w:r>
        <w:rPr>
          <w:rStyle w:val="FootnoteAnchor"/>
          <w:rtl w:val="true"/>
        </w:rPr>
        <w:footnoteReference w:id="44"/>
      </w:r>
      <w:r>
        <w:rPr>
          <w:rFonts w:ascii="IRNazanin" w:hAnsi="IRNazanin" w:eastAsia="IRNazanin"/>
          <w:color w:val="111111"/>
          <w:sz w:val="28"/>
          <w:sz w:val="28"/>
          <w:szCs w:val="28"/>
          <w:rtl w:val="true"/>
          <w:lang w:bidi="fa-IR"/>
        </w:rPr>
        <w:t>و مرسلة عبد اللّه بن بکیر</w:t>
      </w:r>
      <w:r>
        <w:rPr>
          <w:rStyle w:val="FootnoteAnchor"/>
          <w:rtl w:val="true"/>
        </w:rPr>
        <w:footnoteReference w:id="45"/>
      </w:r>
      <w:r>
        <w:rPr>
          <w:rFonts w:ascii="IRNazanin" w:hAnsi="IRNazanin" w:eastAsia="IRNazanin"/>
          <w:color w:val="111111"/>
          <w:sz w:val="28"/>
          <w:sz w:val="28"/>
          <w:szCs w:val="28"/>
          <w:rtl w:val="true"/>
          <w:lang w:bidi="fa-IR"/>
        </w:rPr>
        <w:t>، فمقتضی هذه النصوص المتضافرة و غیرها أنّ عقد النکاح ممّا تصحّ فیه الوکالة، و بما أنّ عقد نکاح الصغار بید الولیّ؛ سواء کان أباً أو جدّاً أو غیرهما، فالولی إمّا أن یباشر نفسه بإجراء عقد النکاح، أو یوکّل غیره فی ذلک، و هو المطلوب</w:t>
      </w:r>
      <w:r>
        <w:rPr>
          <w:rFonts w:eastAsia="IRNazanin" w:cs="IRNazanin"/>
          <w:color w:val="111111"/>
          <w:sz w:val="28"/>
          <w:szCs w:val="28"/>
          <w:rtl w:val="true"/>
          <w:lang w:bidi="fa-IR"/>
        </w:rPr>
        <w:t>.</w:t>
      </w:r>
      <w:bookmarkStart w:id="19" w:name="pg11753_114655"/>
    </w:p>
    <w:p>
      <w:pPr>
        <w:pStyle w:val="Heading4"/>
        <w:numPr>
          <w:ilvl w:val="3"/>
          <w:numId w:val="1"/>
        </w:numPr>
        <w:rPr/>
      </w:pPr>
      <w:bookmarkStart w:id="20" w:name="__RefHeading___Toc9482478_73709187"/>
      <w:bookmarkStart w:id="21" w:name="_Toc8"/>
      <w:bookmarkEnd w:id="19"/>
      <w:bookmarkEnd w:id="20"/>
      <w:r>
        <w:rPr>
          <w:rtl w:val="true"/>
        </w:rPr>
        <w:t>المبحث الثالث</w:t>
      </w:r>
      <w:r>
        <w:rPr>
          <w:rtl w:val="true"/>
        </w:rPr>
        <w:t xml:space="preserve">: </w:t>
      </w:r>
      <w:r>
        <w:rPr>
          <w:rtl w:val="true"/>
        </w:rPr>
        <w:t>ولایة الوکیل عند الجمهور من أهل السنّة</w:t>
      </w:r>
      <w:bookmarkEnd w:id="21"/>
    </w:p>
    <w:p>
      <w:pPr>
        <w:pStyle w:val="Heading5"/>
        <w:numPr>
          <w:ilvl w:val="4"/>
          <w:numId w:val="1"/>
        </w:numPr>
        <w:rPr/>
      </w:pPr>
      <w:bookmarkStart w:id="22" w:name="__RefHeading___Toc9482480_73709187"/>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قد ذهب جمهور الفقهاء من أهل السنّة إلی أنّ الوکالة تصحّ فی کلّ شیء إلاّ ما خرج بالدلیل من العبادات و ما جری مجراها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کلماتهم صحّة الوکالة فی نکاح الصغار و التصرّف فی أموالهم ببیع و شراء و إجارة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فنذکر شطراً من کلماتهم علی الترتیب التالی</w:t>
      </w:r>
      <w:r>
        <w:rPr>
          <w:rFonts w:eastAsia="IRNazanin" w:cs="IRNazanin"/>
          <w:color w:val="111111"/>
          <w:sz w:val="28"/>
          <w:szCs w:val="28"/>
          <w:rtl w:val="true"/>
          <w:lang w:bidi="fa-IR"/>
        </w:rPr>
        <w:t>:</w:t>
      </w:r>
    </w:p>
    <w:p>
      <w:pPr>
        <w:pStyle w:val="Heading5"/>
        <w:numPr>
          <w:ilvl w:val="4"/>
          <w:numId w:val="1"/>
        </w:numPr>
        <w:rPr/>
      </w:pPr>
      <w:bookmarkStart w:id="24" w:name="__RefHeading___Toc9482482_73709187"/>
      <w:bookmarkStart w:id="25" w:name="_Toc10"/>
      <w:bookmarkEnd w:id="24"/>
      <w:r>
        <w:rPr>
          <w:rtl w:val="true"/>
        </w:rPr>
        <w:t xml:space="preserve">أ </w:t>
      </w:r>
      <w:r>
        <w:rPr>
          <w:rtl w:val="true"/>
        </w:rPr>
        <w:t xml:space="preserve">- </w:t>
      </w:r>
      <w:r>
        <w:rPr>
          <w:rtl w:val="true"/>
        </w:rPr>
        <w:t>المالکیّة</w:t>
      </w:r>
      <w:bookmarkEnd w:id="25"/>
    </w:p>
    <w:p>
      <w:pPr>
        <w:pStyle w:val="BookText"/>
        <w:rPr/>
      </w:pP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أنّ الأصل هو الجواز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فی کلّ شیء جائزة إلاّ فیما أجمع علی أنّه لا تصحّ فیه من العبادات و ما جری مجراها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جاز له التصرّف لنفسه جاز له أن یستنیب فیما تجوز فیه النیابة فیه لأجل الحاجة إلی ذلک علی الجملة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المدوّنة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الولیّ أو الوالد إذا استخلف من یزوّج ابنته أ یجوز هذا فی قول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وصیّة جاز لها أن تستخلف من یزوّجها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هذا کلمات</w:t>
      </w:r>
      <w:r>
        <w:rPr>
          <w:rStyle w:val="FootnoteAnchor"/>
          <w:rtl w:val="true"/>
        </w:rPr>
        <w:footnoteReference w:id="49"/>
      </w:r>
      <w:r>
        <w:rPr>
          <w:rFonts w:ascii="IRNazanin" w:hAnsi="IRNazanin" w:eastAsia="IRNazanin"/>
          <w:color w:val="111111"/>
          <w:sz w:val="28"/>
          <w:sz w:val="28"/>
          <w:szCs w:val="28"/>
          <w:rtl w:val="true"/>
          <w:lang w:bidi="fa-IR"/>
        </w:rPr>
        <w:t>غیرهم، فراجع</w:t>
      </w:r>
      <w:r>
        <w:rPr>
          <w:rFonts w:eastAsia="IRNazanin" w:cs="IRNazanin"/>
          <w:color w:val="111111"/>
          <w:sz w:val="28"/>
          <w:szCs w:val="28"/>
          <w:rtl w:val="true"/>
          <w:lang w:bidi="fa-IR"/>
        </w:rPr>
        <w:t>.</w:t>
      </w:r>
      <w:bookmarkStart w:id="26" w:name="pg11753_114656"/>
    </w:p>
    <w:p>
      <w:pPr>
        <w:pStyle w:val="Heading5"/>
        <w:numPr>
          <w:ilvl w:val="4"/>
          <w:numId w:val="1"/>
        </w:numPr>
        <w:rPr/>
      </w:pPr>
      <w:bookmarkStart w:id="27" w:name="__RefHeading___Toc9482484_73709187"/>
      <w:bookmarkStart w:id="28" w:name="_Toc11"/>
      <w:bookmarkEnd w:id="26"/>
      <w:bookmarkEnd w:id="27"/>
      <w:r>
        <w:rPr>
          <w:rtl w:val="true"/>
        </w:rPr>
        <w:t xml:space="preserve">ب </w:t>
      </w:r>
      <w:r>
        <w:rPr>
          <w:rtl w:val="true"/>
        </w:rPr>
        <w:t xml:space="preserve">- </w:t>
      </w:r>
      <w:r>
        <w:rPr>
          <w:rtl w:val="true"/>
        </w:rPr>
        <w:t>الحنابلة</w:t>
      </w:r>
      <w:bookmarkEnd w:id="28"/>
    </w:p>
    <w:p>
      <w:pPr>
        <w:pStyle w:val="BookText"/>
        <w:rPr/>
      </w:pPr>
      <w:r>
        <w:rPr>
          <w:rFonts w:ascii="IRNazanin" w:hAnsi="IRNazanin" w:eastAsia="IRNazanin"/>
          <w:color w:val="111111"/>
          <w:sz w:val="28"/>
          <w:sz w:val="28"/>
          <w:szCs w:val="28"/>
          <w:rtl w:val="true"/>
          <w:lang w:bidi="fa-IR"/>
        </w:rPr>
        <w:t>أنّهم قالوا بصحّة توکیل الولیّ غیره فی تزویج من کانت تحت ولایته، و یقوم الوکیل مقام الولیّ فیما له من الولایة و السلطة، و لا یشترط فی صحّة توکیل الولیّ إذن و رضا من المولّی علیه؛ لأنّ ولایته ثابتة علی المولّی علیهم من قبل الشرع</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9482486_73709187"/>
      <w:bookmarkStart w:id="30" w:name="_Toc12"/>
      <w:bookmarkEnd w:id="29"/>
      <w:r>
        <w:rPr>
          <w:rtl w:val="true"/>
        </w:rPr>
        <w:t xml:space="preserve">ج </w:t>
      </w:r>
      <w:r>
        <w:rPr>
          <w:rtl w:val="true"/>
        </w:rPr>
        <w:t xml:space="preserve">- </w:t>
      </w:r>
      <w:r>
        <w:rPr>
          <w:rtl w:val="true"/>
        </w:rPr>
        <w:t>الحنفیّة</w:t>
      </w:r>
      <w:bookmarkEnd w:id="30"/>
    </w:p>
    <w:p>
      <w:pPr>
        <w:pStyle w:val="BookText"/>
        <w:rPr/>
      </w:pPr>
      <w:r>
        <w:rPr>
          <w:rFonts w:ascii="IRNazanin" w:hAnsi="IRNazanin" w:eastAsia="IRNazanin"/>
          <w:color w:val="111111"/>
          <w:sz w:val="28"/>
          <w:sz w:val="28"/>
          <w:szCs w:val="28"/>
          <w:rtl w:val="true"/>
          <w:lang w:bidi="fa-IR"/>
        </w:rPr>
        <w:t>أنّهم قالوا بصحّة التوکیل فی النکاح من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هامش الفتاوی الهندیّة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الأقرب تنتقل الولایة إلی السلطان 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یزوّجها أحد حتّی یحضر الأقرب أو یزوّجها وکیل الأقرب، فإن زوّجها وکیل الأقرب حیث هو اختلفوا فی جواز إنکاحه، و الظاهر هو الجواز</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التوکیل بالنکاح و إن لم یحضره الشهود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و قریب من هذا فی البحر الرائق</w:t>
      </w:r>
      <w:r>
        <w:rPr>
          <w:rStyle w:val="FootnoteAnchor"/>
          <w:rtl w:val="true"/>
        </w:rPr>
        <w:footnoteReference w:id="53"/>
      </w:r>
      <w:r>
        <w:rPr>
          <w:rFonts w:ascii="IRNazanin" w:hAnsi="IRNazanin" w:eastAsia="IRNazanin"/>
          <w:color w:val="111111"/>
          <w:sz w:val="28"/>
          <w:sz w:val="28"/>
          <w:szCs w:val="28"/>
          <w:rtl w:val="true"/>
          <w:lang w:bidi="fa-IR"/>
        </w:rPr>
        <w:t>و ردّ المحتار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لوصیّ الیتیم أن یوکّل فی کلّ ما یجوز له أن یعمله بنفسه من امور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الوصیّ مفوّض إلیه الأمر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 الیتیم قبل أن یصنع الوکیل ذلک لم یجز له أن یفعله؛ لأنّ حقّ التصرّف للوکیل باعتبار حقّ التصرّف للوصی، و ببلوغ الیتیم عن عقل انعزل الوصیّ حتّی لا یملک</w:t>
      </w:r>
      <w:bookmarkStart w:id="31" w:name="pg11753_114657"/>
    </w:p>
    <w:p>
      <w:pPr>
        <w:pStyle w:val="BookText"/>
        <w:rPr/>
      </w:pPr>
      <w:bookmarkEnd w:id="31"/>
      <w:r>
        <w:rPr>
          <w:rFonts w:ascii="IRNazanin" w:hAnsi="IRNazanin" w:eastAsia="IRNazanin"/>
          <w:color w:val="111111"/>
          <w:sz w:val="28"/>
          <w:sz w:val="28"/>
          <w:szCs w:val="28"/>
          <w:rtl w:val="true"/>
          <w:lang w:bidi="fa-IR"/>
        </w:rPr>
        <w:t>التصرّف، فکذلک وکیله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للولیّ أن یوکّل بالبیع و الشراء و الإجارة و الاستئجار؛ لأنّ هذه الأشیاء من توابع التجارة، فکلّ من ملک التجارة یملک ما هو من توابعها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9482488_73709187"/>
      <w:bookmarkStart w:id="33" w:name="_Toc13"/>
      <w:bookmarkEnd w:id="32"/>
      <w:r>
        <w:rPr>
          <w:rtl w:val="true"/>
        </w:rPr>
        <w:t xml:space="preserve">د </w:t>
      </w:r>
      <w:r>
        <w:rPr>
          <w:rtl w:val="true"/>
        </w:rPr>
        <w:t xml:space="preserve">- </w:t>
      </w:r>
      <w:r>
        <w:rPr>
          <w:rtl w:val="true"/>
        </w:rPr>
        <w:t>الشافعیّة</w:t>
      </w:r>
      <w:bookmarkEnd w:id="33"/>
    </w:p>
    <w:p>
      <w:pPr>
        <w:pStyle w:val="BookText"/>
        <w:rPr/>
      </w:pPr>
      <w:r>
        <w:rPr>
          <w:rFonts w:ascii="IRNazanin" w:hAnsi="IRNazanin" w:eastAsia="IRNazanin"/>
          <w:color w:val="111111"/>
          <w:sz w:val="28"/>
          <w:sz w:val="28"/>
          <w:szCs w:val="28"/>
          <w:rtl w:val="true"/>
          <w:lang w:bidi="fa-IR"/>
        </w:rPr>
        <w:t>فقد فصّلوا فی توکیل الولیّ فیما إذا کان الولیّ مجبراً أو غیر 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الصغیر فی نهایة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للولیّ المجبر أن یوکّل تزویج مولاته بغیر 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یندب للوکیل استئذانها و یکفی سکوتها، و لا یشترط لصحّة توکیل الولیّ المجبر تعیین الزوج للوکیل فی الأظهر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الولیّ غیر المجبر، فقد 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أصحابنا فی غیر الأب و الجدّ من العصبات هل یملک التوکیل فی التزویج من غیر إذن المرأة؟ فمنهم من قال یملک؛ لأنّه یملک التزویج بالولایة من جهة الشرع، فملک التوکیل من غیر إذنٍ کالأب و الجدّ، و منهم من قال لا یملک؛ لأنّه لا یملک التزویج إلاّ بالإذن، فلا یملک التوکیل إلاّ بإذن، کالوکیل و العبد المأذون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النووی فی شرح المهذّب فی صحّة توکیل الولیّ ضابطةً، فقال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التمکّن بحقّ الملک و الولایة، فیدخل فیه توکیل الأب فی النکاح و المال، و القیّم فی المال، فیوکّل عن الطفل أو عن نفسه أو عنهما معاً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فی روضة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للأب و الوصیّ و القیّم أن یوکّل فی بیع مال الطفل، إن شاء عن نفسه و إن شاء عن الطفل، و فی جوازه عن الطفل نظر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الخطیب الشربینی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توکیل الولیّ و هو الأب و الجدّ فی حقّ الطفل فی النکاح و المال، و الوصی و القیّم فی المال، فیوکّل الولیّ عن الطفل أو عن نفسه أو عنهما معاً، و فائدة کونه وکیلاً عن الطفل أنّه لو بلغ رشیداً لم ینعزل الوکیل، بخلاف ما إذا کان وکیلاً عن الولیّ</w:t>
      </w:r>
      <w:r>
        <w:rPr>
          <w:rFonts w:eastAsia="IRNazanin" w:cs="IRNazanin"/>
          <w:color w:val="111111"/>
          <w:sz w:val="28"/>
          <w:szCs w:val="28"/>
          <w:rtl w:val="true"/>
          <w:lang w:bidi="fa-IR"/>
        </w:rPr>
        <w:t>»</w:t>
      </w:r>
      <w:r>
        <w:rPr>
          <w:rStyle w:val="FootnoteAnchor"/>
          <w:rtl w:val="true"/>
        </w:rPr>
        <w:footnoteReference w:id="61"/>
      </w:r>
      <w:bookmarkStart w:id="34" w:name="pg11753_114659"/>
    </w:p>
    <w:p>
      <w:pPr>
        <w:pStyle w:val="Heading3"/>
        <w:numPr>
          <w:ilvl w:val="2"/>
          <w:numId w:val="1"/>
        </w:numPr>
        <w:rPr/>
      </w:pPr>
      <w:bookmarkStart w:id="35" w:name="__RefHeading___Toc9482490_73709187"/>
      <w:bookmarkStart w:id="36" w:name="_Toc14"/>
      <w:bookmarkEnd w:id="34"/>
      <w:bookmarkEnd w:id="35"/>
      <w:r>
        <w:rPr>
          <w:rtl w:val="true"/>
        </w:rPr>
        <w:t>الفصل السابع فی ما یترتّب علی نکاح الصغیرین</w:t>
      </w:r>
      <w:bookmarkEnd w:id="36"/>
    </w:p>
    <w:p>
      <w:pPr>
        <w:pStyle w:val="Heading4"/>
        <w:numPr>
          <w:ilvl w:val="3"/>
          <w:numId w:val="1"/>
        </w:numPr>
        <w:rPr/>
      </w:pPr>
      <w:bookmarkStart w:id="37" w:name="__RefHeading___Toc9482492_73709187"/>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39" w:name="__RefHeading___Toc9482494_73709187"/>
      <w:bookmarkStart w:id="40" w:name="_Toc16"/>
      <w:bookmarkEnd w:id="39"/>
      <w:r>
        <w:rPr>
          <w:rtl w:val="true"/>
        </w:rPr>
        <w:t>المبحث الأوّل</w:t>
      </w:r>
      <w:r>
        <w:rPr>
          <w:rtl w:val="true"/>
        </w:rPr>
        <w:t xml:space="preserve">: </w:t>
      </w:r>
      <w:r>
        <w:rPr>
          <w:rtl w:val="true"/>
        </w:rPr>
        <w:t>التوارث بین الصغیرین</w:t>
      </w:r>
      <w:bookmarkEnd w:id="40"/>
    </w:p>
    <w:p>
      <w:pPr>
        <w:pStyle w:val="Heading5"/>
        <w:numPr>
          <w:ilvl w:val="4"/>
          <w:numId w:val="1"/>
        </w:numPr>
        <w:rPr/>
      </w:pPr>
      <w:bookmarkStart w:id="41" w:name="__RefHeading___Toc9482496_73709187"/>
      <w:bookmarkStart w:id="42" w:name="_Toc17"/>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إذا زوّج الأبوان، أو الحاکم، أو الوصیّ، الصغیرین مع مراعاة جمیع الشرائط، لزمهما العقد کما تقدّم، فإن مات أحدهما قبل البلوغ ورثه الآخر حتّی علی قول من خیّر</w:t>
      </w:r>
      <w:r>
        <w:rPr>
          <w:rStyle w:val="FootnoteAnchor"/>
          <w:rtl w:val="true"/>
        </w:rPr>
        <w:footnoteReference w:id="62"/>
      </w:r>
      <w:r>
        <w:rPr>
          <w:rFonts w:ascii="IRNazanin" w:hAnsi="IRNazanin" w:eastAsia="IRNazanin"/>
          <w:color w:val="111111"/>
          <w:sz w:val="28"/>
          <w:sz w:val="28"/>
          <w:szCs w:val="28"/>
          <w:rtl w:val="true"/>
          <w:lang w:bidi="fa-IR"/>
        </w:rPr>
        <w:t>الصبیّ عند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عقد الأبوان علی ولدیهما قبل أن یبلغا ثمّ ماتا فإنّهما یتوارثان، ترث الجاریة الصبیّ و الصبیّ الجاریة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المفید</w:t>
      </w:r>
      <w:r>
        <w:rPr>
          <w:rStyle w:val="FootnoteAnchor"/>
          <w:rtl w:val="true"/>
        </w:rPr>
        <w:footnoteReference w:id="64"/>
      </w:r>
      <w:r>
        <w:rPr>
          <w:rFonts w:ascii="Amiri" w:hAnsi="Amiri" w:eastAsia="Amiri" w:cs="Amiri"/>
          <w:color w:val="111111"/>
          <w:sz w:val="28"/>
          <w:sz w:val="28"/>
          <w:szCs w:val="28"/>
          <w:rtl w:val="true"/>
          <w:lang w:bidi="ar-SA"/>
        </w:rPr>
        <w:t>و المحقّق</w:t>
      </w:r>
      <w:r>
        <w:rPr>
          <w:rStyle w:val="FootnoteAnchor"/>
          <w:rtl w:val="true"/>
        </w:rPr>
        <w:footnoteReference w:id="65"/>
      </w:r>
      <w:r>
        <w:rPr>
          <w:rFonts w:ascii="IRNazanin" w:hAnsi="IRNazanin" w:eastAsia="IRNazanin"/>
          <w:color w:val="111111"/>
          <w:sz w:val="28"/>
          <w:sz w:val="28"/>
          <w:szCs w:val="28"/>
          <w:rtl w:val="true"/>
          <w:lang w:bidi="fa-IR"/>
        </w:rPr>
        <w:t>و کذا فی المهذّب</w:t>
      </w:r>
      <w:r>
        <w:rPr>
          <w:rStyle w:val="FootnoteAnchor"/>
          <w:rtl w:val="true"/>
        </w:rPr>
        <w:footnoteReference w:id="66"/>
      </w:r>
      <w:r>
        <w:rPr>
          <w:rFonts w:ascii="IRNazanin" w:hAnsi="IRNazanin" w:eastAsia="IRNazanin"/>
          <w:color w:val="111111"/>
          <w:sz w:val="28"/>
          <w:sz w:val="28"/>
          <w:szCs w:val="28"/>
          <w:rtl w:val="true"/>
          <w:lang w:bidi="fa-IR"/>
        </w:rPr>
        <w:t>و الوسیلة</w:t>
      </w:r>
      <w:r>
        <w:rPr>
          <w:rStyle w:val="FootnoteAnchor"/>
          <w:rtl w:val="true"/>
        </w:rPr>
        <w:footnoteReference w:id="67"/>
      </w:r>
      <w:bookmarkStart w:id="43" w:name="pg11753_114660"/>
    </w:p>
    <w:p>
      <w:pPr>
        <w:pStyle w:val="BookText"/>
        <w:rPr/>
      </w:pPr>
      <w:bookmarkEnd w:id="43"/>
      <w:r>
        <w:rPr>
          <w:rFonts w:ascii="IRNazanin" w:hAnsi="IRNazanin" w:eastAsia="IRNazanin"/>
          <w:color w:val="111111"/>
          <w:sz w:val="28"/>
          <w:sz w:val="28"/>
          <w:szCs w:val="28"/>
          <w:rtl w:val="true"/>
          <w:lang w:bidi="fa-IR"/>
        </w:rPr>
        <w:t>و المختلف</w:t>
      </w:r>
      <w:r>
        <w:rPr>
          <w:rStyle w:val="FootnoteAnchor"/>
          <w:rtl w:val="true"/>
        </w:rPr>
        <w:footnoteReference w:id="68"/>
      </w:r>
      <w:r>
        <w:rPr>
          <w:rFonts w:ascii="IRNazanin" w:hAnsi="IRNazanin" w:eastAsia="IRNazanin"/>
          <w:color w:val="111111"/>
          <w:sz w:val="28"/>
          <w:sz w:val="28"/>
          <w:szCs w:val="28"/>
          <w:rtl w:val="true"/>
          <w:lang w:bidi="fa-IR"/>
        </w:rPr>
        <w:t>و القواعد</w:t>
      </w:r>
      <w:r>
        <w:rPr>
          <w:rStyle w:val="FootnoteAnchor"/>
          <w:rtl w:val="true"/>
        </w:rPr>
        <w:footnoteReference w:id="69"/>
      </w:r>
      <w:r>
        <w:rPr>
          <w:rFonts w:ascii="IRNazanin" w:hAnsi="IRNazanin" w:eastAsia="IRNazanin"/>
          <w:color w:val="111111"/>
          <w:sz w:val="28"/>
          <w:sz w:val="28"/>
          <w:szCs w:val="28"/>
          <w:rtl w:val="true"/>
          <w:lang w:bidi="fa-IR"/>
        </w:rPr>
        <w:t>و الجامع للشرائع</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ابن إدریس و ادّعی عدم الخلاف فیه بین أصحابنا</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نعرف فیه خلافاً حتّی ممّن خیّر الصبیّ عند البلوغ</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ادّعی أیضاً عدم الخلاف فیه فی مستند الشیعة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نهایة المرام</w:t>
      </w:r>
      <w:r>
        <w:rPr>
          <w:rStyle w:val="FootnoteAnchor"/>
          <w:rtl w:val="true"/>
        </w:rPr>
        <w:footnoteReference w:id="74"/>
      </w:r>
      <w:r>
        <w:rPr>
          <w:rFonts w:ascii="IRNazanin" w:hAnsi="IRNazanin" w:eastAsia="IRNazanin"/>
          <w:color w:val="111111"/>
          <w:sz w:val="28"/>
          <w:sz w:val="28"/>
          <w:szCs w:val="28"/>
          <w:rtl w:val="true"/>
          <w:lang w:bidi="fa-IR"/>
        </w:rPr>
        <w:t>و الریاض</w:t>
      </w:r>
      <w:r>
        <w:rPr>
          <w:rStyle w:val="FootnoteAnchor"/>
          <w:rtl w:val="true"/>
        </w:rPr>
        <w:footnoteReference w:id="75"/>
      </w:r>
      <w:r>
        <w:rPr>
          <w:rFonts w:ascii="IRNazanin" w:hAnsi="IRNazanin" w:eastAsia="IRNazanin"/>
          <w:color w:val="111111"/>
          <w:sz w:val="28"/>
          <w:sz w:val="28"/>
          <w:szCs w:val="28"/>
          <w:rtl w:val="true"/>
          <w:lang w:bidi="fa-IR"/>
        </w:rPr>
        <w:t>، و اختاره المحقّق و الشهید الثانیان</w:t>
      </w:r>
      <w:r>
        <w:rPr>
          <w:rStyle w:val="FootnoteAnchor"/>
          <w:rtl w:val="true"/>
        </w:rPr>
        <w:footnoteReference w:id="76"/>
      </w:r>
      <w:r>
        <w:rPr>
          <w:rFonts w:ascii="IRNazanin" w:hAnsi="IRNazanin" w:eastAsia="IRNazanin"/>
          <w:color w:val="111111"/>
          <w:sz w:val="28"/>
          <w:sz w:val="28"/>
          <w:szCs w:val="28"/>
          <w:rtl w:val="true"/>
          <w:lang w:bidi="fa-IR"/>
        </w:rPr>
        <w:t>و صاحب الجواهر</w:t>
      </w:r>
      <w:r>
        <w:rPr>
          <w:rStyle w:val="FootnoteAnchor"/>
          <w:rtl w:val="true"/>
        </w:rPr>
        <w:footnoteReference w:id="77"/>
      </w:r>
      <w:r>
        <w:rPr>
          <w:rFonts w:ascii="IRNazanin" w:hAnsi="IRNazanin" w:eastAsia="IRNazanin"/>
          <w:color w:val="111111"/>
          <w:sz w:val="28"/>
          <w:sz w:val="28"/>
          <w:szCs w:val="28"/>
          <w:rtl w:val="true"/>
          <w:lang w:bidi="fa-IR"/>
        </w:rPr>
        <w:t>و فقهاء العصر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9482498_73709187"/>
      <w:bookmarkStart w:id="45" w:name="_Toc18"/>
      <w:bookmarkEnd w:id="44"/>
      <w:r>
        <w:rPr>
          <w:rtl w:val="true"/>
        </w:rPr>
        <w:t>أدلّة توارث الصغیرین عن الآخر</w:t>
      </w:r>
      <w:bookmarkEnd w:id="45"/>
    </w:p>
    <w:p>
      <w:pPr>
        <w:pStyle w:val="BookText"/>
        <w:rPr/>
      </w:pPr>
      <w:r>
        <w:rPr>
          <w:rFonts w:ascii="IRNazanin" w:hAnsi="IRNazanin" w:eastAsia="IRNazanin"/>
          <w:color w:val="111111"/>
          <w:sz w:val="28"/>
          <w:sz w:val="28"/>
          <w:szCs w:val="28"/>
          <w:rtl w:val="true"/>
          <w:lang w:bidi="fa-IR"/>
        </w:rPr>
        <w:t>و یمکن أن یستدلّ علی 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ثبوت الخیار بعد البلوغ لا ینافی المیراث لو حصل الموت قبل البلوغ</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موجب الإرث هو الزوجیّة و هی متحقّقة، بتعبیر آخر أنّه عقد</w:t>
      </w:r>
      <w:bookmarkStart w:id="46" w:name="pg11753_114661"/>
    </w:p>
    <w:p>
      <w:pPr>
        <w:pStyle w:val="BookText"/>
        <w:rPr/>
      </w:pPr>
      <w:bookmarkEnd w:id="46"/>
      <w:r>
        <w:rPr>
          <w:rFonts w:ascii="IRNazanin" w:hAnsi="IRNazanin" w:eastAsia="IRNazanin"/>
          <w:color w:val="111111"/>
          <w:sz w:val="28"/>
          <w:sz w:val="28"/>
          <w:szCs w:val="28"/>
          <w:rtl w:val="true"/>
          <w:lang w:bidi="fa-IR"/>
        </w:rPr>
        <w:t>صحیح شرعاً، فیصیران به زوجاً و زوجةً، فیثبت لهما التوارث کما فی الریاض</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النصوص الواردة فی توارث الزوجین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بقاء الزوجیّة علی الصحّة إلی أن یطرأ المعارض لها، و هو اختیار الفسخ عند البلوغ، و هو هنا ممتنع؛ لأنّ فسخ الصغیر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 عن أبی جعفر علیه السلام فی الصبیّ یتزوّج الصبیّة یتوارثان؟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أبواهما اللذان زوّجاهما فنعم،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عبید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یزوّج الصبیّة هل یتوارثان؟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أبواهما اللذان زوّجاهما فنعم،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کسابقتها واضحة، و أمّا سندها فهی صحیحة من طریق الشیخ، بل الکلینی أیضاً</w:t>
      </w:r>
      <w:r>
        <w:rPr>
          <w:rFonts w:eastAsia="IRNazanin" w:cs="IRNazanin"/>
          <w:color w:val="111111"/>
          <w:sz w:val="28"/>
          <w:szCs w:val="28"/>
          <w:rtl w:val="true"/>
          <w:lang w:bidi="fa-IR"/>
        </w:rPr>
        <w:t>.</w:t>
      </w:r>
    </w:p>
    <w:p>
      <w:pPr>
        <w:pStyle w:val="Heading5"/>
        <w:numPr>
          <w:ilvl w:val="4"/>
          <w:numId w:val="1"/>
        </w:numPr>
        <w:rPr/>
      </w:pPr>
      <w:bookmarkStart w:id="47" w:name="__RefHeading___Toc9482500_73709187"/>
      <w:bookmarkStart w:id="48" w:name="_Toc19"/>
      <w:bookmarkEnd w:id="47"/>
      <w:r>
        <w:rPr>
          <w:rtl w:val="true"/>
        </w:rPr>
        <w:t>إذا عقد علی الصغیرین غیر ولیّهما</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قلنا فی ثبوت التوارث علی نکاح الصغیرین یختصّ علی مورد ما إذا عقدهما الولیّان، و أمّا إذا عقدهما غیر ولیّهما فیکون فضولیّاً، و یتوقّف صحّته علی إجازتهما بعد البلوغ علی ما تقتضیه القاعدة من عقد الفضولی، أو إجازة ولیّهما قبل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البلوغ، و إن ماتا معاً أو مات أحدهما قبل الإجازة بطل العقد قطعاً؛ لتعذّر الإجازة و لو من طرفٍ واحدٍ، و سقط المهر و الإرث؛ لعدم تحقّق موجبهما، و هذا لا کلام فیه، و إن بلغ أحدهما مع کون الآخر حیّاً فأجاز العقد لزم من جهته؛ لحصول المقتضی و انتفاء المانع، و بقی من طرف الآخر موقوفاً علی إجازته إذا بلغ، فإن اتّفق بلوغه و الآخر حیّ و أجاز العقد لزم، و لا کلام فی ذلک أیضاً، و إن فرض موت المجیز أوّلاً قبل أن یبلغ الآخر، أو بعد بلوغه و قبل إجازته و ترک أموالاً عزل عن ترکته نصیب میراث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زوجاً أو زوجةً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فإذا بلغ عرض علیه العقد، فإن رضی بالعقد و أجازه أحلف أنّه لم یُجز طمعاً فی المیراث، بل لو کان الآخر حیّاً لرضی بتزویجه، فإذا حلف أعطی المیراث، و إن نکل عن الیمین أو لم یرض بالعقد لم یکن له شیء، کما صرّح به المفید</w:t>
      </w:r>
      <w:r>
        <w:rPr>
          <w:rStyle w:val="FootnoteAnchor"/>
          <w:rtl w:val="true"/>
        </w:rPr>
        <w:footnoteReference w:id="84"/>
      </w:r>
      <w:r>
        <w:rPr>
          <w:rFonts w:ascii="IRNazanin" w:hAnsi="IRNazanin" w:eastAsia="IRNazanin"/>
          <w:color w:val="111111"/>
          <w:sz w:val="28"/>
          <w:sz w:val="28"/>
          <w:szCs w:val="28"/>
          <w:rtl w:val="true"/>
          <w:lang w:bidi="fa-IR"/>
        </w:rPr>
        <w:t>، و الشیخ</w:t>
      </w:r>
      <w:r>
        <w:rPr>
          <w:rStyle w:val="FootnoteAnchor"/>
          <w:rtl w:val="true"/>
        </w:rPr>
        <w:footnoteReference w:id="85"/>
      </w:r>
      <w:r>
        <w:rPr>
          <w:rFonts w:ascii="IRNazanin" w:hAnsi="IRNazanin" w:eastAsia="IRNazanin"/>
          <w:color w:val="111111"/>
          <w:sz w:val="28"/>
          <w:sz w:val="28"/>
          <w:szCs w:val="28"/>
          <w:rtl w:val="true"/>
          <w:lang w:bidi="fa-IR"/>
        </w:rPr>
        <w:t>، و بنو البرّاج</w:t>
      </w:r>
      <w:r>
        <w:rPr>
          <w:rStyle w:val="FootnoteAnchor"/>
          <w:rtl w:val="true"/>
        </w:rPr>
        <w:footnoteReference w:id="86"/>
      </w:r>
      <w:r>
        <w:rPr>
          <w:rFonts w:ascii="Amiri" w:hAnsi="Amiri" w:eastAsia="Amiri" w:cs="Amiri"/>
          <w:color w:val="111111"/>
          <w:sz w:val="28"/>
          <w:sz w:val="28"/>
          <w:szCs w:val="28"/>
          <w:rtl w:val="true"/>
          <w:lang w:bidi="ar-SA"/>
        </w:rPr>
        <w:t>و حمزة</w:t>
      </w:r>
      <w:r>
        <w:rPr>
          <w:rStyle w:val="FootnoteAnchor"/>
          <w:rtl w:val="true"/>
        </w:rPr>
        <w:footnoteReference w:id="87"/>
      </w:r>
      <w:r>
        <w:rPr>
          <w:rFonts w:ascii="IRNazanin" w:hAnsi="IRNazanin" w:eastAsia="IRNazanin"/>
          <w:color w:val="111111"/>
          <w:sz w:val="28"/>
          <w:sz w:val="28"/>
          <w:szCs w:val="28"/>
          <w:rtl w:val="true"/>
          <w:lang w:bidi="fa-IR"/>
        </w:rPr>
        <w:t>و إدریس</w:t>
      </w:r>
      <w:r>
        <w:rPr>
          <w:rStyle w:val="FootnoteAnchor"/>
          <w:rtl w:val="true"/>
        </w:rPr>
        <w:footnoteReference w:id="88"/>
      </w:r>
      <w:r>
        <w:rPr>
          <w:rFonts w:ascii="IRNazanin" w:hAnsi="IRNazanin" w:eastAsia="IRNazanin"/>
          <w:color w:val="111111"/>
          <w:sz w:val="28"/>
          <w:sz w:val="28"/>
          <w:szCs w:val="28"/>
          <w:rtl w:val="true"/>
          <w:lang w:bidi="fa-IR"/>
        </w:rPr>
        <w:t>و سعید</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الفاضلان</w:t>
      </w:r>
      <w:r>
        <w:rPr>
          <w:rStyle w:val="FootnoteAnchor"/>
          <w:rtl w:val="true"/>
        </w:rPr>
        <w:footnoteReference w:id="90"/>
      </w:r>
      <w:r>
        <w:rPr>
          <w:rFonts w:ascii="IRNazanin" w:hAnsi="IRNazanin" w:eastAsia="IRNazanin"/>
          <w:color w:val="111111"/>
          <w:sz w:val="28"/>
          <w:sz w:val="28"/>
          <w:szCs w:val="28"/>
          <w:rtl w:val="true"/>
          <w:lang w:bidi="fa-IR"/>
        </w:rPr>
        <w:t>و الشهید و المحقّق الثانیان</w:t>
      </w:r>
      <w:r>
        <w:rPr>
          <w:rStyle w:val="FootnoteAnchor"/>
          <w:rtl w:val="true"/>
        </w:rPr>
        <w:footnoteReference w:id="91"/>
      </w:r>
      <w:r>
        <w:rPr>
          <w:rFonts w:ascii="IRNazanin" w:hAnsi="IRNazanin" w:eastAsia="IRNazanin"/>
          <w:color w:val="111111"/>
          <w:sz w:val="28"/>
          <w:sz w:val="28"/>
          <w:szCs w:val="28"/>
          <w:rtl w:val="true"/>
          <w:lang w:bidi="fa-IR"/>
        </w:rPr>
        <w:t>، و صاحب المدارک</w:t>
      </w:r>
      <w:r>
        <w:rPr>
          <w:rStyle w:val="FootnoteAnchor"/>
          <w:rtl w:val="true"/>
        </w:rPr>
        <w:footnoteReference w:id="92"/>
      </w:r>
      <w:r>
        <w:rPr>
          <w:rFonts w:ascii="IRNazanin" w:hAnsi="IRNazanin" w:eastAsia="IRNazanin"/>
          <w:color w:val="111111"/>
          <w:sz w:val="28"/>
          <w:sz w:val="28"/>
          <w:szCs w:val="28"/>
          <w:rtl w:val="true"/>
          <w:lang w:bidi="fa-IR"/>
        </w:rPr>
        <w:t>، و الشیخ الأعظم</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فی الجواهر</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الحدائق</w:t>
      </w:r>
      <w:r>
        <w:rPr>
          <w:rStyle w:val="FootnoteAnchor"/>
          <w:rtl w:val="true"/>
        </w:rPr>
        <w:footnoteReference w:id="95"/>
      </w:r>
      <w:r>
        <w:rPr>
          <w:rFonts w:ascii="IRNazanin" w:hAnsi="IRNazanin" w:eastAsia="IRNazanin"/>
          <w:color w:val="111111"/>
          <w:sz w:val="28"/>
          <w:sz w:val="28"/>
          <w:szCs w:val="28"/>
          <w:rtl w:val="true"/>
          <w:lang w:bidi="fa-IR"/>
        </w:rPr>
        <w:t>و الریاض</w:t>
      </w:r>
      <w:r>
        <w:rPr>
          <w:rStyle w:val="FootnoteAnchor"/>
          <w:rtl w:val="true"/>
        </w:rPr>
        <w:footnoteReference w:id="96"/>
      </w:r>
      <w:r>
        <w:rPr>
          <w:rFonts w:ascii="IRNazanin" w:hAnsi="IRNazanin" w:eastAsia="IRNazanin"/>
          <w:color w:val="111111"/>
          <w:sz w:val="28"/>
          <w:sz w:val="28"/>
          <w:szCs w:val="28"/>
          <w:rtl w:val="true"/>
          <w:lang w:bidi="fa-IR"/>
        </w:rPr>
        <w:t>و کشف اللثام</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أیضاً الفقهاء المعاصرین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تحریر الوسیلة، و أضاف بأنّ الحاجة إلی الحلف إنّما هو فیما إذا کان متّهماً بأنّ إجازته لأجل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أجاز مع الجهل بموت الآخر أو کان الباقی هو الزوج و کان المهر اللاّزم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 ممّا یرث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الیه بدون الحلف</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تفصیل الشریعة، و زاد بأنّ أصل الحکم حتی فی صورة الحلف و تحقّقه مبنیّ علی کون الإجازة کاشفةً و لو بالکشف الحکمی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أکثر أحکام هذه المسألة موافقة للاُصول، و لا یتوقّف إثباتها علی نصٍّ خاصٍّ، و مع ذلک یمکن أن یستدلّ لإثباتها بصحیحة</w:t>
      </w:r>
    </w:p>
    <w:p>
      <w:pPr>
        <w:pStyle w:val="BookText"/>
        <w:rPr/>
      </w:pPr>
      <w:r>
        <w:rPr>
          <w:rFonts w:ascii="IRNazanin" w:hAnsi="IRNazanin" w:eastAsia="IRNazanin"/>
          <w:color w:val="111111"/>
          <w:sz w:val="28"/>
          <w:sz w:val="28"/>
          <w:szCs w:val="28"/>
          <w:rtl w:val="true"/>
          <w:lang w:bidi="fa-IR"/>
        </w:rPr>
        <w:t>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غلام و جاریة زوّجهما ولیّان لهما و هما غیر مدرکین؟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أیّهما أدرک کان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ماتا قبل أن یدرکا فلا میراث بینهما و لا مهر، إلاّ أن یکونا قد أدرکا و 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 أحدهما قبل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علیه إن هو رضی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الرجل الذی أدرک قبل الجاریة و رضی النکاح، ثمّ مات قبل أن تدرک الجاریة أ ترثه؟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 و تَحلف باللّه ما دعاها إلی أخذ المیراث إلاّ رضاها بالتزویج، ثمّ یدافع إلیها المیراث</w:t>
      </w:r>
      <w:bookmarkStart w:id="49" w:name="pg11753_114664"/>
    </w:p>
    <w:p>
      <w:pPr>
        <w:pStyle w:val="BookText"/>
        <w:rPr/>
      </w:pPr>
      <w:bookmarkEnd w:id="49"/>
      <w:r>
        <w:rPr>
          <w:rFonts w:ascii="IRNazanin" w:hAnsi="IRNazanin" w:eastAsia="IRNazanin"/>
          <w:color w:val="111111"/>
          <w:sz w:val="28"/>
          <w:sz w:val="28"/>
          <w:szCs w:val="28"/>
          <w:rtl w:val="true"/>
          <w:lang w:bidi="fa-IR"/>
        </w:rPr>
        <w:t>و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الجاریة و لم تکن أدرکت، أ یَرِثُها الزوج المدرک؟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لها الخیار إذا أدرکت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أبوها هو الذی زوّجها قبل أن 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علیها تزویج الأب، و یجوز علی الغلام، و المهر علی الأب للجاریة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مورد الصحیحة و إن کان هو موت الزوج و بقاء الزوجة، إلاّ أنّ الظاهر أنّه لا خصوصیّة لذلک، کما علیه معظم الأصحاب؛ فإنّ موت الزوج إنّما ذکر فی کلام السائل خاصّة، و الظاهر أنّ الحلف إنّما هو للاحتیاط فی المال بالنسبة إلی الوارث، و هو لا یختصّ بفرض موت الزوج و بقاء الزوجة، بل یثبت الحکم مع موت الزوجة و بقاء الزوج أیضاً، کما فی مستند العروة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9482502_73709187"/>
      <w:bookmarkStart w:id="51" w:name="_Toc20"/>
      <w:bookmarkEnd w:id="50"/>
      <w:r>
        <w:rPr>
          <w:rtl w:val="true"/>
        </w:rPr>
        <w:t>الجواب عن شبهتین فی الصحیحة</w:t>
      </w:r>
      <w:bookmarkEnd w:id="51"/>
    </w:p>
    <w:p>
      <w:pPr>
        <w:pStyle w:val="BookText"/>
        <w:rPr/>
      </w:pPr>
      <w:r>
        <w:rPr>
          <w:rFonts w:ascii="IRNazanin" w:hAnsi="IRNazanin" w:eastAsia="IRNazanin"/>
          <w:color w:val="111111"/>
          <w:sz w:val="28"/>
          <w:sz w:val="28"/>
          <w:szCs w:val="28"/>
          <w:rtl w:val="true"/>
          <w:lang w:bidi="fa-IR"/>
        </w:rPr>
        <w:t>کانت فی الصحیحة المتقدّمة مع وضوحها لإثبات الأحکام المذکورة و صحّة سندها شبهتان یلزم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وردت فی تزویج الولیّین، و قد عرفتَ‌</w:t>
      </w:r>
      <w:r>
        <w:rPr>
          <w:rStyle w:val="FootnoteAnchor"/>
          <w:rtl w:val="true"/>
        </w:rPr>
        <w:footnoteReference w:id="103"/>
      </w:r>
      <w:r>
        <w:rPr>
          <w:rFonts w:ascii="IRNazanin" w:hAnsi="IRNazanin" w:eastAsia="IRNazanin"/>
          <w:color w:val="111111"/>
          <w:sz w:val="28"/>
          <w:sz w:val="28"/>
          <w:szCs w:val="28"/>
          <w:rtl w:val="true"/>
          <w:lang w:bidi="fa-IR"/>
        </w:rPr>
        <w:t>أنّ تزویج الولیّ نافذ و لازم علی الصغار و لا خیار لهما، و الحال أنّ الصحیحة قد صرّحت بثبوت الخیار لهما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 بثبوت نصف المهر للزوجة علی تقدیر موت الزوج، مع أنّ الموت یوجب ثبوت جمیع المهر و إن کان قبل الدخول</w:t>
      </w:r>
      <w:r>
        <w:rPr>
          <w:rFonts w:eastAsia="IRNazanin" w:cs="IRNazanin"/>
          <w:color w:val="111111"/>
          <w:sz w:val="28"/>
          <w:szCs w:val="28"/>
          <w:rtl w:val="true"/>
          <w:lang w:bidi="fa-IR"/>
        </w:rPr>
        <w:t>.</w:t>
      </w:r>
      <w:bookmarkStart w:id="52" w:name="pg11753_114665"/>
    </w:p>
    <w:p>
      <w:pPr>
        <w:pStyle w:val="BookText"/>
        <w:rPr/>
      </w:pPr>
      <w:bookmarkEnd w:id="52"/>
      <w:r>
        <w:rPr>
          <w:rFonts w:ascii="IRNazanin" w:hAnsi="IRNazanin" w:eastAsia="IRNazanin"/>
          <w:color w:val="111111"/>
          <w:sz w:val="28"/>
          <w:sz w:val="28"/>
          <w:szCs w:val="28"/>
          <w:rtl w:val="true"/>
          <w:lang w:bidi="fa-IR"/>
        </w:rPr>
        <w:t>و الجواب عن الشبهة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بالولیّ هنا غیر الأب و الجدّ، و هو الولیّ العرفی کالأخ و العمّ و ابن العمّ و غیرهم، کما صرّح به الشیخ</w:t>
      </w:r>
      <w:r>
        <w:rPr>
          <w:rStyle w:val="FootnoteAnchor"/>
          <w:rtl w:val="true"/>
        </w:rPr>
        <w:footnoteReference w:id="104"/>
      </w:r>
      <w:r>
        <w:rPr>
          <w:rFonts w:ascii="Amiri" w:hAnsi="Amiri" w:eastAsia="Amiri" w:cs="Amiri"/>
          <w:color w:val="111111"/>
          <w:sz w:val="28"/>
          <w:sz w:val="28"/>
          <w:szCs w:val="28"/>
          <w:rtl w:val="true"/>
          <w:lang w:bidi="ar-SA"/>
        </w:rPr>
        <w:t>و العلاّمة</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الشهید</w:t>
      </w:r>
      <w:r>
        <w:rPr>
          <w:rStyle w:val="FootnoteAnchor"/>
          <w:rtl w:val="true"/>
        </w:rPr>
        <w:footnoteReference w:id="106"/>
      </w:r>
      <w:r>
        <w:rPr>
          <w:rFonts w:ascii="IRNazanin" w:hAnsi="IRNazanin" w:eastAsia="IRNazanin"/>
          <w:color w:val="111111"/>
          <w:sz w:val="28"/>
          <w:sz w:val="28"/>
          <w:szCs w:val="28"/>
          <w:rtl w:val="true"/>
          <w:lang w:bidi="fa-IR"/>
        </w:rPr>
        <w:t>و المحقّق الثانیان</w:t>
      </w:r>
      <w:r>
        <w:rPr>
          <w:rStyle w:val="FootnoteAnchor"/>
          <w:rtl w:val="true"/>
        </w:rPr>
        <w:footnoteReference w:id="107"/>
      </w:r>
      <w:r>
        <w:rPr>
          <w:rFonts w:ascii="IRNazanin" w:hAnsi="IRNazanin" w:eastAsia="IRNazanin"/>
          <w:color w:val="111111"/>
          <w:sz w:val="28"/>
          <w:sz w:val="28"/>
          <w:szCs w:val="28"/>
          <w:rtl w:val="true"/>
          <w:lang w:bidi="fa-IR"/>
        </w:rPr>
        <w:t>و غیرهم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الجواب عن الشبهة الثانیة؛ و هی الحکم بثبوت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 علی أنّه قد دفع نصف المهر کما هو المتعارف عند العرف من تقدیم شیء قبل الدخول و أنّ الباقی هو النصف خاصّةً، و هذا الحمل و إن کان لا یخلو من بُعدٍ، إلاّ أنّه محتملٌ؛ لضرورة الجمع کما فی المسالک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اشتماله علی تنصیف المهر بالموت نحو غیره من الأخبار الدالّة علی ذلک غیر قادحٍ فی حجّیّته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9482504_73709187"/>
      <w:bookmarkStart w:id="54" w:name="_Toc21"/>
      <w:bookmarkEnd w:id="53"/>
      <w:r>
        <w:rPr>
          <w:rtl w:val="true"/>
        </w:rPr>
        <w:t>رأی بعض أهل السنّة فی المسألة</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الفقهاء من مذاهب أهل السنّة قائلون بالتوارث بین الصغیرین، ففی المبسوط للسرخسی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اختار الصغیر أو الصغیرة الفرقة بعد البلوغ، فلم یفرّق القاضی بینهما حتّی مات أحدهما توارثا؛ لأنّ أصل النکاح کان صحیحاً، و الفرقة لا تقع إلاّ بقضاء القاضی، فإذا مات أحدهما قبل القضاء کان انتهاء النکاح</w:t>
      </w:r>
    </w:p>
    <w:p>
      <w:pPr>
        <w:pStyle w:val="BookText"/>
        <w:rPr/>
      </w:pPr>
      <w:r>
        <w:rPr>
          <w:rFonts w:ascii="IRNazanin" w:hAnsi="IRNazanin" w:eastAsia="IRNazanin"/>
          <w:color w:val="111111"/>
          <w:sz w:val="28"/>
          <w:sz w:val="28"/>
          <w:szCs w:val="28"/>
          <w:rtl w:val="true"/>
          <w:lang w:bidi="fa-IR"/>
        </w:rPr>
        <w:t>بینهما بالموت فیتوارثان</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الإرث حکم یختصّ بالنکاح الصحیح المنتهی بالموت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حزم من فقهاء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یتوارثان إن ماتا قبل البلوغ</w:t>
      </w:r>
      <w:r>
        <w:rPr>
          <w:rStyle w:val="FootnoteAnchor"/>
          <w:rtl w:val="true"/>
        </w:rPr>
        <w:footnoteReference w:id="113"/>
      </w:r>
      <w:bookmarkStart w:id="55" w:name="pg11753_114667"/>
    </w:p>
    <w:p>
      <w:pPr>
        <w:pStyle w:val="Heading4"/>
        <w:numPr>
          <w:ilvl w:val="3"/>
          <w:numId w:val="1"/>
        </w:numPr>
        <w:rPr/>
      </w:pPr>
      <w:bookmarkStart w:id="56" w:name="__RefHeading___Toc9482506_73709187"/>
      <w:bookmarkStart w:id="57" w:name="_Toc22"/>
      <w:bookmarkEnd w:id="55"/>
      <w:bookmarkEnd w:id="56"/>
      <w:r>
        <w:rPr>
          <w:rtl w:val="true"/>
        </w:rPr>
        <w:t>المبحث الثانی</w:t>
      </w:r>
      <w:r>
        <w:rPr>
          <w:rtl w:val="true"/>
        </w:rPr>
        <w:t xml:space="preserve">: </w:t>
      </w:r>
      <w:r>
        <w:rPr>
          <w:rtl w:val="true"/>
        </w:rPr>
        <w:t>من علیه المهر</w:t>
      </w:r>
      <w:bookmarkEnd w:id="57"/>
    </w:p>
    <w:p>
      <w:pPr>
        <w:pStyle w:val="Heading5"/>
        <w:numPr>
          <w:ilvl w:val="4"/>
          <w:numId w:val="1"/>
        </w:numPr>
        <w:rPr/>
      </w:pPr>
      <w:bookmarkStart w:id="58" w:name="__RefHeading___Toc9482508_73709187"/>
      <w:bookmarkStart w:id="59" w:name="_Toc23"/>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إذا زوّج الأب الصغیر ثبت المهر علیه أو علی الابن؛ لأنّ مقتضی نفس العقد تملّکها للصداق من غیر توقّفٍ علی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عقد الرجل علی ابنه و هو صغیرٌ و سمّی مهراً ثمّ مات الأب کان المهر من أصل ترکته قبل القسمة، إلاّ أن یکون للصبیّ مالٌ فی حال العقد له، فیکون المهر من مال الابن دون الأب</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الشیخ</w:t>
      </w:r>
      <w:r>
        <w:rPr>
          <w:rStyle w:val="FootnoteAnchor"/>
          <w:rtl w:val="true"/>
        </w:rPr>
        <w:footnoteReference w:id="115"/>
      </w:r>
      <w:r>
        <w:rPr>
          <w:rFonts w:ascii="IRNazanin" w:hAnsi="IRNazanin" w:eastAsia="IRNazanin"/>
          <w:color w:val="111111"/>
          <w:sz w:val="28"/>
          <w:sz w:val="28"/>
          <w:szCs w:val="28"/>
          <w:rtl w:val="true"/>
          <w:lang w:bidi="fa-IR"/>
        </w:rPr>
        <w:t>و ابن إدریس</w:t>
      </w:r>
      <w:r>
        <w:rPr>
          <w:rStyle w:val="FootnoteAnchor"/>
          <w:rtl w:val="true"/>
        </w:rPr>
        <w:footnoteReference w:id="116"/>
      </w:r>
      <w:r>
        <w:rPr>
          <w:rFonts w:ascii="Amiri" w:hAnsi="Amiri" w:eastAsia="Amiri" w:cs="Amiri"/>
          <w:color w:val="111111"/>
          <w:sz w:val="28"/>
          <w:sz w:val="28"/>
          <w:szCs w:val="28"/>
          <w:rtl w:val="true"/>
          <w:lang w:bidi="ar-SA"/>
        </w:rPr>
        <w:t>و المحقّق</w:t>
      </w:r>
      <w:r>
        <w:rPr>
          <w:rStyle w:val="FootnoteAnchor"/>
          <w:rtl w:val="true"/>
        </w:rPr>
        <w:footnoteReference w:id="117"/>
      </w:r>
      <w:r>
        <w:rPr>
          <w:rFonts w:ascii="Amiri" w:hAnsi="Amiri" w:eastAsia="Amiri" w:cs="Amiri"/>
          <w:color w:val="111111"/>
          <w:sz w:val="28"/>
          <w:sz w:val="28"/>
          <w:szCs w:val="28"/>
          <w:rtl w:val="true"/>
          <w:lang w:bidi="ar-SA"/>
        </w:rPr>
        <w:t>و العلاّمة</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المسالک</w:t>
      </w:r>
      <w:r>
        <w:rPr>
          <w:rStyle w:val="FootnoteAnchor"/>
          <w:rtl w:val="true"/>
        </w:rPr>
        <w:footnoteReference w:id="120"/>
      </w:r>
      <w:r>
        <w:rPr>
          <w:rFonts w:ascii="IRNazanin" w:hAnsi="IRNazanin" w:eastAsia="IRNazanin"/>
          <w:color w:val="111111"/>
          <w:sz w:val="28"/>
          <w:sz w:val="28"/>
          <w:szCs w:val="28"/>
          <w:rtl w:val="true"/>
          <w:lang w:bidi="fa-IR"/>
        </w:rPr>
        <w:t>و الریاض</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زوّج ولده الصغیر، فإن کان للولد مال فالمهر علی الولد، و إن لم یکن له مال فالمهر علی عهدة الوالد، فلو مات الوالد اخرج المهر من أصل ترکته؛ سواء بلغ الولد و أیسر أم لا</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 علی هذا الحکم 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یزوّج ابنه و هو صغیر؟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لابنه مال فعلیه المهر، و إن لم یکن للابن مال فالأب ضامن المهر، ضَمن أو لم یضمن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معتبرة 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عبد الملک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خبر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یزوّج ابنه و هو صغیر، فدخل الابن بامرأته، علی مَن المهر؟ علی الأب أو علی الابن؟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المهر علی الغلام، و إن لم یکن له شیء فعلی الأب، ضمن ذلک علی ابنه أو لم یضمن إذا کان هو أنکحه و هو صغیر</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 أحمد بن محمّد بن عیسی فی نوادره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الجواهر أنّه لا خلاف فی هذا الحکم، بل الإجماع بقسمیه علیه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بهذه النصوص یقیّد إطلاق صحیحة</w:t>
      </w:r>
    </w:p>
    <w:p>
      <w:pPr>
        <w:pStyle w:val="BookText"/>
        <w:rPr/>
      </w:pPr>
      <w:r>
        <w:rPr>
          <w:rFonts w:ascii="IRNazanin" w:hAnsi="IRNazanin" w:eastAsia="IRNazanin"/>
          <w:color w:val="111111"/>
          <w:sz w:val="28"/>
          <w:sz w:val="28"/>
          <w:szCs w:val="28"/>
          <w:rtl w:val="true"/>
          <w:lang w:bidi="fa-IR"/>
        </w:rPr>
        <w:t>محمّد بن مسلم،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کان له ولد فزوّج منهم اثنین و فرض الصداق ثمّ مات، من أین یحسب الصداق، من جملة المال أو من حصّتهما؟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جمیع المال، إنّما هو بمنزلة الدین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صحیحة أبی عبیدة الحذّاء</w:t>
      </w:r>
      <w:r>
        <w:rPr>
          <w:rStyle w:val="FootnoteAnchor"/>
          <w:rtl w:val="true"/>
        </w:rPr>
        <w:footnoteReference w:id="131"/>
      </w:r>
      <w:r>
        <w:rPr>
          <w:rFonts w:ascii="IRNazanin" w:hAnsi="IRNazanin" w:eastAsia="IRNazanin"/>
          <w:color w:val="111111"/>
          <w:sz w:val="28"/>
          <w:sz w:val="28"/>
          <w:szCs w:val="28"/>
          <w:rtl w:val="true"/>
          <w:lang w:bidi="fa-IR"/>
        </w:rPr>
        <w:t>و صحیحة اخری لمحمّد بن مسلم</w:t>
      </w:r>
      <w:r>
        <w:rPr>
          <w:rStyle w:val="FootnoteAnchor"/>
          <w:rtl w:val="true"/>
        </w:rPr>
        <w:footnoteReference w:id="132"/>
      </w:r>
      <w:r>
        <w:rPr>
          <w:rFonts w:ascii="Amiri" w:hAnsi="Amiri" w:eastAsia="Amiri" w:cs="Amiri"/>
          <w:color w:val="111111"/>
          <w:sz w:val="28"/>
          <w:sz w:val="28"/>
          <w:szCs w:val="28"/>
          <w:rtl w:val="true"/>
          <w:lang w:bidi="ar-SA"/>
        </w:rPr>
        <w:t>؛ فإنّهما</w:t>
      </w:r>
    </w:p>
    <w:p>
      <w:pPr>
        <w:pStyle w:val="BookText"/>
        <w:rPr/>
      </w:pPr>
      <w:r>
        <w:rPr>
          <w:rFonts w:ascii="IRNazanin" w:hAnsi="IRNazanin" w:eastAsia="IRNazanin"/>
          <w:color w:val="111111"/>
          <w:sz w:val="28"/>
          <w:sz w:val="28"/>
          <w:szCs w:val="28"/>
          <w:rtl w:val="true"/>
          <w:lang w:bidi="fa-IR"/>
        </w:rPr>
        <w:t>مطلقتان من حیث إعسار الولد و عدم إعسارهِ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فتُنزّل هذا الإطلاقات علی صورة إعسار الولد، أو أنّ الأب قد ضمنه فی العقد، کما قال فی الوسائل</w:t>
      </w:r>
      <w:r>
        <w:rPr>
          <w:rStyle w:val="FootnoteAnchor"/>
          <w:rtl w:val="true"/>
        </w:rPr>
        <w:footnoteReference w:id="133"/>
      </w:r>
      <w:r>
        <w:rPr>
          <w:rFonts w:ascii="IRNazanin" w:hAnsi="IRNazanin" w:eastAsia="IRNazanin"/>
          <w:color w:val="111111"/>
          <w:sz w:val="28"/>
          <w:sz w:val="28"/>
          <w:szCs w:val="28"/>
          <w:rtl w:val="true"/>
          <w:lang w:bidi="fa-IR"/>
        </w:rPr>
        <w:t>و الجواهر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الخلاف بعد بیان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إجماع الفرقة و أخبارهم، و أیضاً فإنّه لمّا قَبِلَ النکاح لولده مع علمه بإعساره و علمه بلزوم الصداق بعقد النکاح، علمنا من حیث العرف و العادة أنّه دخل علی أن یضمن، فقام العرف فی هذا بمنزلة نطقه</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 ذلک ابن إدریس</w:t>
      </w:r>
      <w:r>
        <w:rPr>
          <w:rStyle w:val="FootnoteAnchor"/>
          <w:rtl w:val="true"/>
        </w:rPr>
        <w:footnoteReference w:id="136"/>
      </w:r>
      <w:r>
        <w:rPr>
          <w:rFonts w:ascii="Amiri" w:hAnsi="Amiri" w:eastAsia="Amiri" w:cs="Amiri"/>
          <w:color w:val="111111"/>
          <w:sz w:val="28"/>
          <w:sz w:val="28"/>
          <w:szCs w:val="28"/>
          <w:rtl w:val="true"/>
          <w:lang w:bidi="ar-SA"/>
        </w:rPr>
        <w:t>و العلاّمة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استظهار هذا من روایة علی بن جعفر المتقدّمة، حیث إنّ فی ذیلها علّل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هو أنکحه و هو صغیر</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الشیخ و غیره استفاد وجه نظره من هذه الروایة، فلا وجه لما أورده فی الجواهر من عدم الحاجة إلی هذا، و ادّعی وضوح منعه، و أضاف بأنّه یمکن دعوی أنّ المرأة مع علمها بالحال دخلت علی أنّ الصبر إلی الإیسار</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کشف اللثام</w:t>
      </w:r>
      <w:r>
        <w:rPr>
          <w:rStyle w:val="FootnoteAnchor"/>
          <w:rtl w:val="true"/>
        </w:rPr>
        <w:footnoteReference w:id="140"/>
      </w:r>
      <w:r>
        <w:rPr>
          <w:rFonts w:ascii="IRNazanin" w:hAnsi="IRNazanin" w:eastAsia="IRNazanin"/>
          <w:color w:val="111111"/>
          <w:sz w:val="28"/>
          <w:sz w:val="28"/>
          <w:szCs w:val="28"/>
          <w:rtl w:val="true"/>
          <w:lang w:bidi="fa-IR"/>
        </w:rPr>
        <w:t>و تفصیل الشریعة، و زاد بأنّ هذا الاستدلال یکون</w:t>
      </w:r>
    </w:p>
    <w:p>
      <w:pPr>
        <w:pStyle w:val="BookText"/>
        <w:rPr/>
      </w:pPr>
      <w:r>
        <w:rPr>
          <w:rFonts w:ascii="IRNazanin" w:hAnsi="IRNazanin" w:eastAsia="IRNazanin"/>
          <w:color w:val="111111"/>
          <w:sz w:val="28"/>
          <w:sz w:val="28"/>
          <w:szCs w:val="28"/>
          <w:rtl w:val="true"/>
          <w:lang w:bidi="fa-IR"/>
        </w:rPr>
        <w:t>من الوجوه الاعتباریّة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استثنی العلاّمة فی القواعد من الحکم بضمان الأب للمهر علی تقدیر فقر الابن ما لو صرّح الأب فی العقد بنفی الضمان، و علمت المرأة بالإعسار، ففی هذا الفرض لا یضمن؛ 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عند شروطهم</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و لأنّ المرأة دخلت علی ذلک مع علمها بإعسار الزوج، و ضمان الأب علی خلاف الأصل، فیقتصر علی المتیقّن؛ و هو صورة الإعسار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استشکل الشهید الثانی فی صحّة هذا الاستثناء؛ بأنّ النصوص و الفتاوی شاملة لمورد الاستثناء، و حمله علی غیره یحتاج إلی دلیلٍ نقلیٍّ یعارضه حتّی یوجب حمله علی ذلک، و لأنّ الصبیّ لا یحتاج إلی النکاح، فلا حظّ له فی التزام المهر فی ذمّته مع الإعسار عنه، و تزویج الولیّ له غیر متوقّفٍ علی وجود المصلحة بل علی انتفاء المفسدة، و لو قیّد ذلک بما إذا کان فی إلزام الصبیّ بالمهر مصلحة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الزوجة مناسبة له، و خاف فوتها بدون ذلک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 الصواب، إلاّ أنّ تخصیص النصوص الصحیحة بذلک لا یخلو من إشکالٍ‌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أدلّة ضمان الأب للمهر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العموم من وجهٍ، و ترجیح الأوّل علی الثانی أولی، لاعتضاد الإطلاق بفتاوی الفقهاء، فیُرجّح علی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شمول مثل هذا الإطلاق لنحو محلّ الفرض إشکال؛ لعدم التبادر منه و انصرافه إلی غیره</w:t>
      </w:r>
      <w:r>
        <w:rPr>
          <w:rStyle w:val="FootnoteAnchor"/>
          <w:rtl w:val="true"/>
        </w:rPr>
        <w:footnoteReference w:id="145"/>
      </w:r>
      <w:bookmarkStart w:id="60" w:name="pg11753_114671"/>
    </w:p>
    <w:p>
      <w:pPr>
        <w:pStyle w:val="BookText"/>
        <w:rPr/>
      </w:pPr>
      <w:bookmarkEnd w:id="6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تصویر نسبة العموم من وجه بین أدلّة ضمان الأب للمهر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یتعارض بینهما، إلاّ أنّ القرینة القطعیّة دالّة علی خلاف ذلک، حیث لا یبقی لأدلّة الشروط موضوع، و بتعبیر آخر دعوی الإطلاق لأدلّة ضمان الأب حتّی فی صورة تبرّی الأب من الضمان مشکلة جدّاً، و لذا قال قدس سره فی شمول مثل هذا الإطلاق لنحو محلّ الفرض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فی الأخبار المتقدّمة و إن کان هو التزویج الجامع لشرائط الصحّة، التی منها انتفاء المفسدة أو وجود المصلحة، إلاّ أنّ دعوی الإطلاق لها بحیث یشمل صورة تبرّئ الولیّ من الضمان فی ضمن العقد مشکلة جدّاً؛ لعدم ثبوت الإطلاق لها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الرجوع فی حکمها إلی القواعد التی منها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مع ملاحظة أنّ المهر عوض البضع، و یشکل دخول البضع فی ملک الزوج و خروج المهر عن ملک الولیّ</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9482510_73709187"/>
      <w:bookmarkStart w:id="62" w:name="_Toc24"/>
      <w:bookmarkEnd w:id="61"/>
      <w:r>
        <w:rPr>
          <w:rtl w:val="true"/>
        </w:rPr>
        <w:t>تترتّب علی هذه المسألة فروع</w:t>
      </w:r>
      <w:r>
        <w:rPr>
          <w:rtl w:val="true"/>
        </w:rPr>
        <w:t>:</w:t>
      </w:r>
      <w:bookmarkEnd w:id="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قلنا أنّه لو کان الصبیّ مالکاً لبعض المهر دون بعضٍ لزمه منه بنسبة ما یملکه، و لزم الأب الباقی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النصوص و الفتاوی یقتضی عدم الفرق فی مال الصبیّ بین کونه ممّا یصرف فی الدین علی تقدیره و غیره، فیشمل ما لو کان دار سکنی و دابّة رکوبٍ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الإطلاق، أنّ الحکم بوجوب المهر فی ذمّته حینئذٍ لا یقتضی صرف ماله المذکور فی الدین، و إنّما تضمّن ثبوته فی ذمّته علی هذا الوجه، و یبقی</w:t>
      </w:r>
    </w:p>
    <w:p>
      <w:pPr>
        <w:pStyle w:val="BookText"/>
        <w:rPr/>
      </w:pPr>
      <w:r>
        <w:rPr>
          <w:rFonts w:ascii="IRNazanin" w:hAnsi="IRNazanin" w:eastAsia="IRNazanin"/>
          <w:color w:val="111111"/>
          <w:sz w:val="28"/>
          <w:sz w:val="28"/>
          <w:szCs w:val="28"/>
          <w:rtl w:val="true"/>
          <w:lang w:bidi="fa-IR"/>
        </w:rPr>
        <w:t>الحکم بوفاء الدین علی هذه الأشیاء أمراً آخر، و مقتضی القواعد الشرعیّة أن لا یوفّی منها و إن طلبته الزوجة، و یبقی فی ذمّة الولد إلی أن یقدر علی الوفاء جمعاً بین الأصلین</w:t>
      </w:r>
      <w:r>
        <w:rPr>
          <w:rStyle w:val="FootnoteAnchor"/>
          <w:rtl w:val="true"/>
        </w:rPr>
        <w:footnoteReference w:id="147"/>
      </w:r>
      <w:r>
        <w:rPr>
          <w:rFonts w:ascii="IRNazanin" w:hAnsi="IRNazanin" w:eastAsia="IRNazanin"/>
          <w:color w:val="111111"/>
          <w:sz w:val="28"/>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مورد النصوص الأب، و فی التعدّی إلی الجدّ و إن علا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أباً حقیقةً، بل ولایته أقوی من ولایة الأب فی بعض المواضع، و من مخالفة الحکم للاُصول، فینبغی الاقتصار فیه علی المتیقّن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ضمان الأب المهر بین المؤجّل منه و المعجّل و إن زاد الأجل علی زمان البلوغ، بل و لا فی النکاح بین الفضولی و غیره مع إجازة الأب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یُجِز الأب لعدم علمه مثلاً، فأجاز الولد بعد بلوغه، أمکن عدم الوجوب علی الولی، للأصل، و ظهور خبر علی بن جعفر المتقدّم</w:t>
      </w:r>
      <w:r>
        <w:rPr>
          <w:rStyle w:val="FootnoteAnchor"/>
          <w:rtl w:val="true"/>
        </w:rPr>
        <w:footnoteReference w:id="150"/>
      </w:r>
      <w:r>
        <w:rPr>
          <w:rFonts w:ascii="IRNazanin" w:hAnsi="IRNazanin" w:eastAsia="IRNazanin"/>
          <w:color w:val="111111"/>
          <w:sz w:val="28"/>
          <w:sz w:val="28"/>
          <w:szCs w:val="28"/>
          <w:rtl w:val="true"/>
          <w:lang w:bidi="fa-IR"/>
        </w:rPr>
        <w:t>فی خلافه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الأب المهر عن الصغیر مع یسار الولد تبرّعاً، أو مع إعساره لکونه ضامناً، ثمّ بلغ الصبیّ و طلّق قبل الدخول، زال ملک المرأة عن نصفه، و هل یعود إلی الأب أو إلی الابن؟ الأظهر هو الثانی؛ لأنّ الطلاق سبب مملّک جدید للنصف لا فاسخ لسبب الملک لیعود إلی مالکه، و إنّما ملکه الابن بالطلاق عن غیر أبیه، فأشبه ما لو وهبه الأب الأجنبی ثمّ وهبه الأجنبی للابن، أو أنّ دفع الأب المهر عن الولد یجری مجری هبة الأب المهر للابن، فلا یعود إلی ملک الأب؛ لأنّ</w:t>
      </w:r>
      <w:bookmarkStart w:id="63" w:name="pg11753_114673"/>
    </w:p>
    <w:p>
      <w:pPr>
        <w:pStyle w:val="BookText"/>
        <w:rPr/>
      </w:pPr>
      <w:bookmarkEnd w:id="63"/>
      <w:r>
        <w:rPr>
          <w:rFonts w:ascii="IRNazanin" w:hAnsi="IRNazanin" w:eastAsia="IRNazanin"/>
          <w:color w:val="111111"/>
          <w:sz w:val="28"/>
          <w:sz w:val="28"/>
          <w:szCs w:val="28"/>
          <w:rtl w:val="true"/>
          <w:lang w:bidi="fa-IR"/>
        </w:rPr>
        <w:t>الأب لا یرجع فی هبة ولده انظر المسالک</w:t>
      </w:r>
      <w:r>
        <w:rPr>
          <w:rStyle w:val="FootnoteAnchor"/>
          <w:rtl w:val="true"/>
        </w:rPr>
        <w:footnoteReference w:id="152"/>
      </w:r>
      <w:r>
        <w:rPr>
          <w:rFonts w:ascii="IRNazanin" w:hAnsi="IRNazanin" w:eastAsia="IRNazanin"/>
          <w:color w:val="111111"/>
          <w:sz w:val="28"/>
          <w:sz w:val="28"/>
          <w:szCs w:val="28"/>
          <w:rtl w:val="true"/>
          <w:lang w:bidi="fa-IR"/>
        </w:rPr>
        <w:t>و تحریر الوسیلة</w:t>
      </w:r>
      <w:r>
        <w:rPr>
          <w:rStyle w:val="FootnoteAnchor"/>
          <w:rtl w:val="true"/>
        </w:rPr>
        <w:footnoteReference w:id="153"/>
      </w:r>
      <w:r>
        <w:rPr>
          <w:rFonts w:ascii="IRNazanin" w:hAnsi="IRNazanin" w:eastAsia="IRNazanin"/>
          <w:color w:val="111111"/>
          <w:sz w:val="28"/>
          <w:sz w:val="28"/>
          <w:szCs w:val="28"/>
          <w:rtl w:val="true"/>
          <w:lang w:bidi="fa-IR"/>
        </w:rPr>
        <w:t>و شرحه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9482512_73709187"/>
      <w:bookmarkStart w:id="65" w:name="_Toc25"/>
      <w:bookmarkEnd w:id="64"/>
      <w:r>
        <w:rPr>
          <w:rtl w:val="true"/>
        </w:rPr>
        <w:t>رأی بعض أهل السنّة فی ضمان الأب، المهر</w:t>
      </w:r>
      <w:r>
        <w:rPr>
          <w:rtl w:val="true"/>
        </w:rPr>
        <w:t>:</w:t>
      </w:r>
      <w:bookmarkEnd w:id="65"/>
    </w:p>
    <w:p>
      <w:pPr>
        <w:pStyle w:val="BookText"/>
        <w:rPr/>
      </w:pPr>
      <w:r>
        <w:rPr>
          <w:rFonts w:ascii="IRNazanin" w:hAnsi="IRNazanin" w:eastAsia="IRNazanin"/>
          <w:color w:val="111111"/>
          <w:sz w:val="28"/>
          <w:sz w:val="28"/>
          <w:szCs w:val="28"/>
          <w:rtl w:val="true"/>
          <w:lang w:bidi="fa-IR"/>
        </w:rPr>
        <w:t>قال أبو إسحاق الشیرازی من فقهاء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ابنه الصغیر و هو معسرٌ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المهر علی الأب؛ لأنّه لمّا زوّجه مع العلم بوجوب المهر و الإعسار کان ذلک رضاً بالتزامه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الابن و هو الصحیح؛ لأنّ البضع له و کان المهر علیه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 الأب مهر الصغیرة صحّ هذا الضمان، و المرأة بالخیار فی مطالبتها زوجها البالغ أو الولیّ الضامن، فإن أدّی الولیّ یرجع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ضمن الأب المهر عن ابنه الصغیر و أدّی لا یرجع علیه؛ لأنّه یتحمّل مهور الصغار عرفاً إلاّ إذا شرط الرجوع فی أصل الضمان فیرجع</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 إذا زوّج الصغیر امرأةً فللمرأة أن تطلب بالمهر من أب الزوج فیؤدّی الأب من مال ابنه الصغیر و إن لم یضمن</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عثرنا علی رأیهم فی هذه المسألة، و لم نعثر علی رأی المالکیّة و الحنبلیّة، و لعلّه کان موجوداً فی کتب لم تکن فی أیدینا</w:t>
      </w:r>
      <w:r>
        <w:rPr>
          <w:rFonts w:eastAsia="IRNazanin" w:cs="IRNazanin"/>
          <w:color w:val="111111"/>
          <w:sz w:val="28"/>
          <w:szCs w:val="28"/>
          <w:rtl w:val="true"/>
          <w:lang w:bidi="fa-IR"/>
        </w:rPr>
        <w:t>.</w:t>
      </w:r>
      <w:bookmarkStart w:id="66" w:name="pg11753_114674"/>
    </w:p>
    <w:p>
      <w:pPr>
        <w:pStyle w:val="Heading4"/>
        <w:numPr>
          <w:ilvl w:val="3"/>
          <w:numId w:val="1"/>
        </w:numPr>
        <w:rPr/>
      </w:pPr>
      <w:bookmarkStart w:id="67" w:name="__RefHeading___Toc9482514_73709187"/>
      <w:bookmarkStart w:id="68" w:name="_Toc26"/>
      <w:bookmarkEnd w:id="66"/>
      <w:bookmarkEnd w:id="67"/>
      <w:r>
        <w:rPr>
          <w:rtl w:val="true"/>
        </w:rPr>
        <w:t>المبحث الثالث</w:t>
      </w:r>
      <w:r>
        <w:rPr>
          <w:rtl w:val="true"/>
        </w:rPr>
        <w:t xml:space="preserve">: </w:t>
      </w:r>
      <w:r>
        <w:rPr>
          <w:rtl w:val="true"/>
        </w:rPr>
        <w:t>الحرمة بالمصاهرة</w:t>
      </w:r>
      <w:bookmarkEnd w:id="68"/>
    </w:p>
    <w:p>
      <w:pPr>
        <w:pStyle w:val="Heading5"/>
        <w:numPr>
          <w:ilvl w:val="4"/>
          <w:numId w:val="1"/>
        </w:numPr>
        <w:rPr/>
      </w:pPr>
      <w:bookmarkStart w:id="69" w:name="__RefHeading___Toc9482516_73709187"/>
      <w:bookmarkStart w:id="70" w:name="_Toc27"/>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و من الأحکام التی یترتّب علی إنکاح الولیّ الصغار، الحرمة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الصِّهر فی اللّغة بمعنی القرابة،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زوج بنت الرجل، و زوج اخته، و الفعل المصاهرة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اصطلاح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الشیخ الأعظم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المصاهرة علاقةٌ تحدث بین کلّ من الزوجین و أقرباء الآخر و توجب حرمة النکاح</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دلّت الآیتان الکریمتان علی أنّ المحرّمات بالمصاهرة أربعة 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امّهات الزوجات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زوجات الأبناء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زوجات الآباء</w:t>
      </w:r>
      <w:r>
        <w:rPr>
          <w:rFonts w:eastAsia="IRNazanin" w:cs="IRNazanin"/>
          <w:color w:val="111111"/>
          <w:sz w:val="28"/>
          <w:szCs w:val="28"/>
          <w:rtl w:val="true"/>
          <w:lang w:bidi="fa-IR"/>
        </w:rPr>
        <w:t>.</w:t>
      </w:r>
      <w:bookmarkStart w:id="71" w:name="pg11753_114675"/>
    </w:p>
    <w:p>
      <w:pPr>
        <w:pStyle w:val="BookText"/>
        <w:rPr/>
      </w:pPr>
      <w:bookmarkEnd w:id="7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 الزوجات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تکن الربائب هنا متصوّرة لکون الزوجة صغیرة، یقع الکلام فی الثلاثة الاُولی</w:t>
      </w:r>
      <w:r>
        <w:rPr>
          <w:rFonts w:eastAsia="IRNazanin" w:cs="IRNazanin"/>
          <w:color w:val="111111"/>
          <w:sz w:val="28"/>
          <w:szCs w:val="28"/>
          <w:rtl w:val="true"/>
          <w:lang w:bidi="fa-IR"/>
        </w:rPr>
        <w:t>.</w:t>
      </w:r>
    </w:p>
    <w:p>
      <w:pPr>
        <w:pStyle w:val="Heading5"/>
        <w:numPr>
          <w:ilvl w:val="4"/>
          <w:numId w:val="1"/>
        </w:numPr>
        <w:rPr/>
      </w:pPr>
      <w:bookmarkStart w:id="72" w:name="__RefHeading___Toc9482518_73709187"/>
      <w:bookmarkStart w:id="73" w:name="_Toc28"/>
      <w:bookmarkEnd w:id="72"/>
      <w:r>
        <w:rPr>
          <w:rtl w:val="true"/>
        </w:rPr>
        <w:t>المسألة الاُولی</w:t>
      </w:r>
      <w:r>
        <w:rPr>
          <w:rtl w:val="true"/>
        </w:rPr>
        <w:t xml:space="preserve">: </w:t>
      </w:r>
      <w:r>
        <w:rPr>
          <w:rtl w:val="true"/>
        </w:rPr>
        <w:t>نکاح امّ الزوجة الصغیرة</w:t>
      </w:r>
      <w:bookmarkEnd w:id="73"/>
    </w:p>
    <w:p>
      <w:pPr>
        <w:pStyle w:val="Heading6"/>
        <w:numPr>
          <w:ilvl w:val="5"/>
          <w:numId w:val="1"/>
        </w:numPr>
        <w:rPr/>
      </w:pPr>
      <w:bookmarkStart w:id="74" w:name="__RefHeading___Toc9482520_73709187"/>
      <w:bookmarkStart w:id="75" w:name="_Toc29"/>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هل تحرم امّ الزوجة الصغیرة علی الزوج بمجرّد العقد و إن لم یدخل بالمعقودة؟ فیه ثلاثة أقوال</w:t>
      </w:r>
      <w:r>
        <w:rPr>
          <w:rFonts w:eastAsia="IRNazanin" w:cs="IRNazanin"/>
          <w:color w:val="111111"/>
          <w:sz w:val="28"/>
          <w:szCs w:val="28"/>
          <w:rtl w:val="true"/>
          <w:lang w:bidi="fa-IR"/>
        </w:rPr>
        <w:t>:</w:t>
      </w:r>
    </w:p>
    <w:p>
      <w:pPr>
        <w:pStyle w:val="Heading6"/>
        <w:numPr>
          <w:ilvl w:val="5"/>
          <w:numId w:val="1"/>
        </w:numPr>
        <w:rPr/>
      </w:pPr>
      <w:bookmarkStart w:id="76" w:name="__RefHeading___Toc9482522_73709187"/>
      <w:bookmarkStart w:id="77" w:name="_Toc30"/>
      <w:bookmarkEnd w:id="76"/>
      <w:r>
        <w:rPr>
          <w:rtl w:val="true"/>
        </w:rPr>
        <w:t>القول الأوّل</w:t>
      </w:r>
      <w:r>
        <w:rPr>
          <w:rtl w:val="true"/>
        </w:rPr>
        <w:t xml:space="preserve">: </w:t>
      </w:r>
      <w:r>
        <w:rPr>
          <w:rtl w:val="true"/>
        </w:rPr>
        <w:t>عدم الحرمة</w:t>
      </w:r>
      <w:bookmarkEnd w:id="7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إلیه ابن أبی عقیل؛ فإنّه اشترط فی تحریم الاُمّ الدخول بالبنت، و مال إلیه الصدوق و الکلینی، و به قال بعض أهل السنّة أیضاً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فی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أبی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نِسائِکُمْ وَ رَبائِبُکُمُ اللاّتِی فِی حُجُورِکُمْ مِنْ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شرط فی الآیة شرطاً،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عند آل الرسول، فی الاُمّهات و الربائب جمیعاً الدخول، و إذا تزوّج الرجل المرأة ثمّ ماتت عنه أو طلّقها قبل أن یدخل، بها فله أن یتزوّج باُمّها و ابنتها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الصدوق،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روی فی الفقیه عن جمیل بن درّاج، عن الصادق علیه السلام أنّه سئل أبو عبد اللّه علیه السلام عن رجلٍ تزوّج امرأة ثمّ طلّقها قبل أن یدخل بها، هل تحلّ له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و الابنة فی هذا سواء، إذا لم یدخل بإحداهما حلّت</w:t>
      </w:r>
      <w:bookmarkStart w:id="78" w:name="pg11753_114676"/>
    </w:p>
    <w:p>
      <w:pPr>
        <w:pStyle w:val="BookText"/>
        <w:rPr/>
      </w:pPr>
      <w:bookmarkEnd w:id="78"/>
      <w:r>
        <w:rPr>
          <w:rFonts w:ascii="Amiri" w:hAnsi="Amiri" w:eastAsia="Amiri" w:cs="Amiri"/>
          <w:color w:val="111111"/>
          <w:sz w:val="28"/>
          <w:sz w:val="28"/>
          <w:szCs w:val="28"/>
          <w:rtl w:val="true"/>
          <w:lang w:bidi="ar-SA"/>
        </w:rPr>
        <w:t>له الاُخری</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قال فی مقدّمة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قصدت إلی إیراد ما أفتی به و أحکم بصحّته و أعتقد فیه أنّه حجّة فیما بینی و بین ربّی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فتواه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الفقیه اقتصر علی حدیث جمیل، و ذلک یدلّ علی أنّه فتواه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امرأة حرمت علیه ابنتها إذا دخل بالاُمّ، فإن لم یکن دخل بالاُمّ فلا بأس أن یتزوّج الابنة، و إذا تزوّج البنت فدخل بها أو لم یدخل فقد حرمت علیه الاُمّ، و روی أنّ الاُمّ و البنت فی هذا سواءٌ إذا لم یدخل بإحداهما حلّت له الاُخری</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عن جمیل بن درّاج و حمّاد بن عثمان فی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و الابنة سواء إذا لم یدخل بها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 w:name="__RefHeading___Toc9482524_73709187"/>
      <w:bookmarkStart w:id="80" w:name="_Toc31"/>
      <w:bookmarkEnd w:id="79"/>
      <w:r>
        <w:rPr>
          <w:rtl w:val="true"/>
        </w:rPr>
        <w:t>أدلّة قول الأوّل</w:t>
      </w:r>
      <w:bookmarkEnd w:id="80"/>
    </w:p>
    <w:p>
      <w:pPr>
        <w:pStyle w:val="BookText"/>
        <w:rPr/>
      </w:pPr>
      <w:r>
        <w:rPr>
          <w:rFonts w:ascii="IRNazanin" w:hAnsi="IRNazanin" w:eastAsia="IRNazanin"/>
          <w:color w:val="111111"/>
          <w:sz w:val="28"/>
          <w:sz w:val="28"/>
          <w:szCs w:val="28"/>
          <w:rtl w:val="true"/>
          <w:lang w:bidi="fa-IR"/>
        </w:rPr>
        <w:t>و یمکن الاستدلال لهذا القولُ باُمور</w:t>
      </w:r>
      <w:r>
        <w:rPr>
          <w:rFonts w:eastAsia="IRNazanin" w:cs="IRNazanin"/>
          <w:color w:val="111111"/>
          <w:sz w:val="28"/>
          <w:szCs w:val="28"/>
          <w:rtl w:val="true"/>
          <w:lang w:bidi="fa-IR"/>
        </w:rPr>
        <w:t>:</w:t>
      </w:r>
    </w:p>
    <w:p>
      <w:pPr>
        <w:pStyle w:val="Heading6"/>
        <w:numPr>
          <w:ilvl w:val="5"/>
          <w:numId w:val="1"/>
        </w:numPr>
        <w:rPr/>
      </w:pPr>
      <w:bookmarkStart w:id="81" w:name="__RefHeading___Toc9482526_73709187"/>
      <w:bookmarkStart w:id="82" w:name="_Toc32"/>
      <w:bookmarkEnd w:id="81"/>
      <w:r>
        <w:rPr>
          <w:rtl w:val="true"/>
        </w:rPr>
        <w:t>الأوّل</w:t>
      </w:r>
      <w:r>
        <w:rPr>
          <w:rtl w:val="true"/>
        </w:rPr>
        <w:t xml:space="preserve">: </w:t>
      </w:r>
      <w:r>
        <w:rPr>
          <w:rtl w:val="true"/>
        </w:rPr>
        <w:t>أصالة الإباحة</w:t>
      </w:r>
      <w:bookmarkEnd w:id="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مردودة بالأدلّة التی سنذکرها فی إثبات القول الثانی</w:t>
      </w:r>
      <w:r>
        <w:rPr>
          <w:rFonts w:eastAsia="IRNazanin" w:cs="IRNazanin"/>
          <w:color w:val="111111"/>
          <w:sz w:val="28"/>
          <w:szCs w:val="28"/>
          <w:rtl w:val="true"/>
          <w:lang w:bidi="fa-IR"/>
        </w:rPr>
        <w:t>.</w:t>
      </w:r>
      <w:bookmarkStart w:id="83" w:name="pg11753_114677"/>
    </w:p>
    <w:p>
      <w:pPr>
        <w:pStyle w:val="Heading6"/>
        <w:numPr>
          <w:ilvl w:val="5"/>
          <w:numId w:val="1"/>
        </w:numPr>
        <w:rPr/>
      </w:pPr>
      <w:bookmarkStart w:id="84" w:name="__RefHeading___Toc9482528_73709187"/>
      <w:bookmarkStart w:id="85" w:name="_Toc33"/>
      <w:bookmarkEnd w:id="83"/>
      <w:bookmarkEnd w:id="84"/>
      <w:r>
        <w:rPr>
          <w:rtl w:val="true"/>
        </w:rPr>
        <w:t>الثانی</w:t>
      </w:r>
      <w:r>
        <w:rPr>
          <w:rtl w:val="true"/>
        </w:rPr>
        <w:t xml:space="preserve">: </w:t>
      </w:r>
      <w:r>
        <w:rPr>
          <w:rtl w:val="true"/>
        </w:rPr>
        <w:t xml:space="preserve">قوله </w:t>
      </w:r>
      <w:r>
        <w:rPr>
          <w:rtl w:val="true"/>
        </w:rPr>
        <w:t xml:space="preserve">- </w:t>
      </w:r>
      <w:r>
        <w:rPr>
          <w:rtl w:val="true"/>
        </w:rPr>
        <w:t xml:space="preserve">تعالی </w:t>
      </w:r>
      <w:r>
        <w:rPr>
          <w:rtl w:val="true"/>
        </w:rPr>
        <w:t xml:space="preserve">-: </w:t>
      </w:r>
      <w:r>
        <w:rPr>
          <w:rtl w:val="true"/>
        </w:rPr>
        <w:t>وَ أُمَّهَاتُ نِسَائکُمْ</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إرجاع القید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الجملتین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الکریمة لا تدلّ علی ذلک و لا ظهور لها؛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فی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عود الوصف و الشرط و الاستثناء المتعقّب للجمل إلی الأخیرة إلاّ مع قیام القرینة علی خلاف ذلک</w:t>
      </w:r>
      <w:r>
        <w:rPr>
          <w:rStyle w:val="FootnoteAnchor"/>
          <w:rtl w:val="true"/>
        </w:rPr>
        <w:footnoteReference w:id="167"/>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یستفاد من کلمات بعض الأکابر من الفقهاء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نِسائِکُمُ 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کلتا الجملتین غیر صحیح، حیث 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 التعلّق بالجملة الاُولی تکون بیانیّةً؛ لأنّها لبیان الجنس و تمییز المدخول بهنّ من غیر المدخول بهنّ، فیکون التقدیر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امّهات نسائکم؛ أی نسائکم اللاّتی دخلتُم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نِسائِکُمُ 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ابتدائیة لابتداء الغایة،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رسول اللّه صلی الله علیه و آله و سلم من خدیجة، فیلزم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معنیین مختلفین فی کلامٍ واحد، و هو غیر جائز</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النظر فی کلام العرب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الخبرین إذا اختلفا لا یجوز أن یوصف الاسمان بوصفٍ واحدٍ، فلا یجوز قام عمرو و قعد زیدٌ الظریفان، و علّله سیبویه باختلاف العامل فی الصفة؛ لأنّ العامل فی الصفة هو العامل فی الموصوف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بیانه فی الآیة،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 عند القائل</w:t>
      </w:r>
    </w:p>
    <w:p>
      <w:pPr>
        <w:pStyle w:val="BookText"/>
        <w:rPr/>
      </w:pPr>
      <w:r>
        <w:rPr>
          <w:rFonts w:ascii="IRNazanin" w:hAnsi="IRNazanin" w:eastAsia="IRNazanin"/>
          <w:color w:val="111111"/>
          <w:sz w:val="28"/>
          <w:sz w:val="28"/>
          <w:szCs w:val="28"/>
          <w:rtl w:val="true"/>
          <w:lang w:bidi="fa-IR"/>
        </w:rPr>
        <w:t xml:space="preserve">إلی نسائکم، و هو مخفوضٌ بالإضافة 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مرفوع، و الصفة الواحدة لا تتعلّق بمختلفی الإعراب و لا بمختلفی العامل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فی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شرط الدخول هنا عائد إلی الربائب خاصّة؛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نِسائِکُمُ 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الربائب من النساء لا محالة، فصحّ أن یرجع إلیهنّ؛ لأنّه شرط أن یکُنّ من نسائنا، و امّهات النساء لسن من نسائنا، بل نسائنا منهنّ، و إذا تعذّر رجوع الشرط إلی الأولی وجب اختصاصه بالأخیرة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أقواها و أظهرها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تفسیر الآیة، و صرّحت بأنّ الجملة الاُولی مطلقة شاملة للمدخول بها و غیرها، و الثانیة مقیّدة و أنّ القید المذکور راجع إلی خصوص جملة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إسحاق بن عمّار، عن جعفر، عن أبیه، عن علیّ علیهم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بالبنات، أو لم یدخل بهنّ، فحرّموا و أبهموا ما أبهم اللّه</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الروایة صریحة فی القول المشهور، و فیها إشارة إلی تفسیر الآیة بالإطلاق فی الجملة الأولی و التقیید فی الثانیة؛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الاُمّهات 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إبهام الباب؛ بمعنی إغلاقه،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مغلقة فی التحریم لا مدخل للحلّ فیها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العیّاشی فی تفسیره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تزوّج امرأة و طلّقها قبل أن یدخل بها، أ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قضی فی هذا أمیر المؤمنین علیه السلام لا بأس به،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رَبائِبُکُمُ اللاّتِی فِی حُجُورِکُمْ</w:t>
      </w:r>
      <w:bookmarkStart w:id="86" w:name="pg11753_114679"/>
    </w:p>
    <w:p>
      <w:pPr>
        <w:pStyle w:val="BookText"/>
        <w:rPr/>
      </w:pPr>
      <w:bookmarkEnd w:id="86"/>
      <w:r>
        <w:rPr>
          <w:rFonts w:ascii="Amiri" w:hAnsi="Amiri" w:eastAsia="Amiri" w:cs="Amiri"/>
          <w:color w:val="111111"/>
          <w:sz w:val="28"/>
          <w:sz w:val="28"/>
          <w:szCs w:val="28"/>
          <w:rtl w:val="true"/>
          <w:lang w:bidi="ar-SA"/>
        </w:rPr>
        <w:t>مِنْ نِسائِکُمُ اللاّتِی دَخَلْتُمْ بِهِنَّ فَإِنْ لَمْ تَکُونُوا دَخَلْتُمْ بِهِنَّ فَلا جُناحَ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 الابنة ثمّ طلّقها قبل أن یدخل بها لم تحلّ له أُمّها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هما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هذه مثل هذه،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یستثن فی هذه، کما اشترط فی تلک، هذه هاهنا مبهمةٌ لیس فیها شرط، و تلک فیها شرط</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نصٌّ فی المطلوب و صریحة فی المعنی الذی حملنا علیه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الجملة الاُولی مطلقة و الثانیة مقیّدة، و الجملة المقیّدة إذا عطفت علی الجملة المطلقة لا یجب أن یسری ذلک التقیید إلی الجملة الاُولی أیضاً، و هو ظاهر کلام الأردبیلی و الراوندی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بعض هذه الأخبار منجبر بالشهرة العظیمة و الإجماعات المحکیّة، مع دلالة صحیحة منصور بن حازم الآتیة باشتهار الحکم بین الشیعة و افتخارهم به، لصدوره عن أمیر المؤمنین علیه السلام</w:t>
      </w:r>
      <w:r>
        <w:rPr>
          <w:rFonts w:eastAsia="IRNazanin" w:cs="IRNazanin"/>
          <w:color w:val="111111"/>
          <w:sz w:val="28"/>
          <w:szCs w:val="28"/>
          <w:rtl w:val="true"/>
          <w:lang w:bidi="fa-IR"/>
        </w:rPr>
        <w:t>.</w:t>
      </w:r>
    </w:p>
    <w:p>
      <w:pPr>
        <w:pStyle w:val="Heading6"/>
        <w:numPr>
          <w:ilvl w:val="5"/>
          <w:numId w:val="1"/>
        </w:numPr>
        <w:rPr/>
      </w:pPr>
      <w:bookmarkStart w:id="87" w:name="__RefHeading___Toc9482530_73709187"/>
      <w:bookmarkStart w:id="88" w:name="_Toc34"/>
      <w:bookmarkEnd w:id="87"/>
      <w:r>
        <w:rPr>
          <w:rtl w:val="true"/>
        </w:rPr>
        <w:t>الثالث</w:t>
      </w:r>
      <w:r>
        <w:rPr>
          <w:rtl w:val="true"/>
        </w:rPr>
        <w:t xml:space="preserve">: </w:t>
      </w:r>
      <w:r>
        <w:rPr>
          <w:rtl w:val="true"/>
        </w:rPr>
        <w:t>الأخبار الکثیرة</w:t>
      </w:r>
      <w:r>
        <w:rPr>
          <w:rtl w:val="true"/>
        </w:rPr>
        <w:t>:</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کصحیحة منصور بن حازم التی یدلُّ صدرها علی قول ابن أبی عقیل، حیث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للتقیّة؛ لأنّ فی آخر الروایة قال 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تخبرنی أنّ علیّاً علیه السلام قضی بها و تسألنی ما تقول فیها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علیّ مشهور بین الشیعة و تفتخر به، فالصحیحة دلیل للقول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w:t>
      </w:r>
    </w:p>
    <w:p>
      <w:pPr>
        <w:pStyle w:val="BookText"/>
        <w:rPr/>
      </w:pPr>
      <w:r>
        <w:rPr>
          <w:rFonts w:ascii="IRNazanin" w:hAnsi="IRNazanin" w:eastAsia="IRNazanin"/>
          <w:color w:val="111111"/>
          <w:sz w:val="28"/>
          <w:sz w:val="28"/>
          <w:szCs w:val="28"/>
          <w:rtl w:val="true"/>
          <w:lang w:bidi="fa-IR"/>
        </w:rPr>
        <w:t>جمیل بن درّاج و حمّاد بن عثمان،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و البنت سواء إذا لم یدخل بها، یعنی إذا تزوّج المرأة ثمّ طلّقها قبل أن یدخل بها؛ فإنّه إن شاء تزوّج امّها، و إن شاء ابنتها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فی هذه الروایة صریحاً و لا ظاهراً علی ذلک إلاّ بمعونة التفسیر المذکور، و هو غیر معلوم کونه من الإمام علیه السلام، بل الظاهر أنّه من بعض الرواة، و حینئذٍ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الروایة مع قطع النظر عن هذا التفسیر فیحتمل أن یکون المقصود منها أنّه إذا تزوّج الاُمّ و لم یدخل بها فالاُمّ و البنت سواء فی أصل الإباحة، فإن شاء دخل بالاُمّ، و إن شاء فارقها و تزوّج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إفراد الضمیر؛ فإنّه راجعٌ إلی الاُمّ علی ظاهر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یستظهر ذلک من کلام المحدّث البحرانی</w:t>
      </w:r>
      <w:r>
        <w:rPr>
          <w:rStyle w:val="FootnoteAnchor"/>
          <w:rtl w:val="true"/>
        </w:rPr>
        <w:footnoteReference w:id="175"/>
      </w:r>
      <w:r>
        <w:rPr>
          <w:rFonts w:ascii="IRNazanin" w:hAnsi="IRNazanin" w:eastAsia="IRNazanin"/>
          <w:color w:val="111111"/>
          <w:sz w:val="28"/>
          <w:sz w:val="28"/>
          <w:szCs w:val="28"/>
          <w:rtl w:val="true"/>
          <w:lang w:bidi="fa-IR"/>
        </w:rPr>
        <w:t>و النراقی</w:t>
      </w:r>
      <w:r>
        <w:rPr>
          <w:rStyle w:val="FootnoteAnchor"/>
          <w:rtl w:val="true"/>
        </w:rPr>
        <w:footnoteReference w:id="176"/>
      </w:r>
      <w:r>
        <w:rPr>
          <w:rFonts w:ascii="IRNazanin" w:hAnsi="IRNazanin" w:eastAsia="IRNazanin"/>
          <w:color w:val="111111"/>
          <w:sz w:val="28"/>
          <w:sz w:val="28"/>
          <w:szCs w:val="28"/>
          <w:rtl w:val="true"/>
          <w:lang w:bidi="fa-IR"/>
        </w:rPr>
        <w:t>و الشیخ الحرّ العاملی</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روایة</w:t>
      </w:r>
    </w:p>
    <w:p>
      <w:pPr>
        <w:pStyle w:val="BookText"/>
        <w:rPr/>
      </w:pPr>
      <w:r>
        <w:rPr>
          <w:rFonts w:ascii="IRNazanin" w:hAnsi="IRNazanin" w:eastAsia="IRNazanin"/>
          <w:color w:val="111111"/>
          <w:sz w:val="28"/>
          <w:sz w:val="28"/>
          <w:szCs w:val="28"/>
          <w:rtl w:val="true"/>
          <w:lang w:bidi="fa-IR"/>
        </w:rPr>
        <w:t>جمیل بن درّاج، أنّه سئل أبو عبد اللّه علیه السلام عن رجل تزوّج امرأة ثمّ طلّقها قبل أن یدخل بها، هل تحلّ له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و الابنة فی هذا سواء، إذا لم یدخل بإحداهما حلّت له الاُخری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إن کانت صریحة الدلالة علی القول المذکور، إلاّ أنّه من المحتمل قریباً أنّ قوله علیه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یدخل بإحداهما حلّت له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bookmarkStart w:id="89" w:name="pg11753_114681"/>
    </w:p>
    <w:p>
      <w:pPr>
        <w:pStyle w:val="BookText"/>
        <w:rPr/>
      </w:pPr>
      <w:bookmarkEnd w:id="89"/>
      <w:r>
        <w:rPr>
          <w:rFonts w:ascii="IRNazanin" w:hAnsi="IRNazanin" w:eastAsia="IRNazanin"/>
          <w:color w:val="111111"/>
          <w:sz w:val="28"/>
          <w:sz w:val="28"/>
          <w:szCs w:val="28"/>
          <w:rtl w:val="true"/>
          <w:lang w:bidi="fa-IR"/>
        </w:rPr>
        <w:t>بالمعنی من الصدوق رحمه الله علی حسب ما ذهب إلیه فی الحدائق</w:t>
      </w:r>
      <w:r>
        <w:rPr>
          <w:rStyle w:val="FootnoteAnchor"/>
          <w:rtl w:val="true"/>
        </w:rPr>
        <w:footnoteReference w:id="179"/>
      </w:r>
      <w:r>
        <w:rPr>
          <w:rFonts w:ascii="IRNazanin" w:hAnsi="IRNazanin" w:eastAsia="IRNazanin"/>
          <w:color w:val="111111"/>
          <w:sz w:val="28"/>
          <w:sz w:val="28"/>
          <w:szCs w:val="28"/>
          <w:rtl w:val="true"/>
          <w:lang w:bidi="fa-IR"/>
        </w:rPr>
        <w:t>و الجواهر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 محمّد بن إسحاق بن عمّار المضمرة،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تزوّج امرأةً فهلکت قبل أن یدخل بها، تحلّ له امّها؟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الذی یحرّم علیه منها و لم یدخل بها</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أوضح ما استدلّ به لهذا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یتوقّف علی کون الاستفهام إنکاریّاً، و لکنّه لیس بمتعیّنٍ، بل لا ظهور فیه، أو عدل الإمام علیه السلام عن الجواب الصریح إلی الاستفهام للتقیّة، کما فی مستند الشیعة</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 لم یذکر من هو، فجاز أن یکون المسئول غیر الإمام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 w:name="__RefHeading___Toc9482532_73709187"/>
      <w:bookmarkStart w:id="91" w:name="_Toc35"/>
      <w:bookmarkEnd w:id="90"/>
      <w:r>
        <w:rPr>
          <w:rtl w:val="true"/>
        </w:rPr>
        <w:t>القول الثانی حرمة امّ الزوجة الصغیرة علی الزوج</w:t>
      </w:r>
      <w:bookmarkEnd w:id="91"/>
    </w:p>
    <w:p>
      <w:pPr>
        <w:pStyle w:val="BookText"/>
        <w:rPr/>
      </w:pPr>
      <w:r>
        <w:rPr>
          <w:rFonts w:ascii="IRNazanin" w:hAnsi="IRNazanin" w:eastAsia="IRNazanin"/>
          <w:color w:val="111111"/>
          <w:sz w:val="28"/>
          <w:sz w:val="28"/>
          <w:szCs w:val="28"/>
          <w:rtl w:val="true"/>
          <w:lang w:bidi="fa-IR"/>
        </w:rPr>
        <w:t>القول الثانی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به المشهور، و هو الأقوی؛ من أنّه تحرم امّ الزوجة الصغیرة علی الزوج بمجرّد العقد و إن علت سبباً أو رضاعاً</w:t>
      </w:r>
      <w:r>
        <w:rPr>
          <w:rStyle w:val="FootnoteAnchor"/>
          <w:rtl w:val="true"/>
        </w:rPr>
        <w:footnoteReference w:id="18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لم یدخل بالمعقودة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العقد علی امّ الزوجة؛ سواء دخل بالبنت أو لم یدخل بها</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86"/>
      </w:r>
      <w:r>
        <w:rPr>
          <w:rFonts w:ascii="Amiri" w:hAnsi="Amiri" w:eastAsia="Amiri" w:cs="Amiri"/>
          <w:color w:val="111111"/>
          <w:sz w:val="28"/>
          <w:sz w:val="28"/>
          <w:szCs w:val="28"/>
          <w:rtl w:val="true"/>
          <w:lang w:bidi="ar-SA"/>
        </w:rPr>
        <w:t>و المقنعة</w:t>
      </w:r>
      <w:r>
        <w:rPr>
          <w:rStyle w:val="FootnoteAnchor"/>
          <w:rtl w:val="true"/>
        </w:rPr>
        <w:footnoteReference w:id="187"/>
      </w:r>
      <w:bookmarkStart w:id="92" w:name="pg11753_114682"/>
    </w:p>
    <w:p>
      <w:pPr>
        <w:pStyle w:val="BookText"/>
        <w:rPr/>
      </w:pPr>
      <w:bookmarkEnd w:id="92"/>
      <w:r>
        <w:rPr>
          <w:rFonts w:ascii="IRNazanin" w:hAnsi="IRNazanin" w:eastAsia="IRNazanin"/>
          <w:color w:val="111111"/>
          <w:sz w:val="28"/>
          <w:sz w:val="28"/>
          <w:szCs w:val="28"/>
          <w:rtl w:val="true"/>
          <w:lang w:bidi="fa-IR"/>
        </w:rPr>
        <w:t>و الوسیلة</w:t>
      </w:r>
      <w:r>
        <w:rPr>
          <w:rStyle w:val="FootnoteAnchor"/>
          <w:rtl w:val="true"/>
        </w:rPr>
        <w:footnoteReference w:id="188"/>
      </w:r>
      <w:r>
        <w:rPr>
          <w:rFonts w:ascii="IRNazanin" w:hAnsi="IRNazanin" w:eastAsia="IRNazanin"/>
          <w:color w:val="111111"/>
          <w:sz w:val="28"/>
          <w:sz w:val="28"/>
          <w:szCs w:val="28"/>
          <w:rtl w:val="true"/>
          <w:lang w:bidi="fa-IR"/>
        </w:rPr>
        <w:t>و الجامع للشرائع</w:t>
      </w:r>
      <w:r>
        <w:rPr>
          <w:rStyle w:val="FootnoteAnchor"/>
          <w:rtl w:val="true"/>
        </w:rPr>
        <w:footnoteReference w:id="189"/>
      </w:r>
      <w:r>
        <w:rPr>
          <w:rFonts w:ascii="Amiri" w:hAnsi="Amiri" w:eastAsia="Amiri" w:cs="Amiri"/>
          <w:color w:val="111111"/>
          <w:sz w:val="28"/>
          <w:sz w:val="28"/>
          <w:szCs w:val="28"/>
          <w:rtl w:val="true"/>
          <w:lang w:bidi="ar-SA"/>
        </w:rPr>
        <w:t>و المهذّب</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الناصریّات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أنّ امّهات النساء یحرمن بالعقد علی بناتهنّ بمجرّد العقد من غیر اعتبار بالدخول، و وافقنا علی ذلک جمیع فقهاء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الإجماع</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الإجماع أیضاً فی الغنیة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تحریم الاُمّ و إن لم یدخل بالبنت فعلیه المعظم، بل کاد یکون إجماعاً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إجماع محقّق</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عقد علی امرأةٍ حرمت علیه امّها و إن علت، نسباً أو رضاعاً؛ سواء دخل بها أم لا، و سواء کان العقد دواماً أو انقطاعاً، و سواء کانت المعقودة صغیرةً أو کبیرةً</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تفصیل الشریعة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9482534_73709187"/>
      <w:bookmarkStart w:id="94" w:name="_Toc36"/>
      <w:bookmarkEnd w:id="93"/>
      <w:r>
        <w:rPr>
          <w:rtl w:val="true"/>
        </w:rPr>
        <w:t>أدلّة هذا القول</w:t>
      </w:r>
      <w:bookmarkEnd w:id="94"/>
    </w:p>
    <w:p>
      <w:pPr>
        <w:pStyle w:val="BookText"/>
        <w:rPr/>
      </w:pPr>
      <w:r>
        <w:rPr>
          <w:rFonts w:ascii="IRNazanin" w:hAnsi="IRNazanin" w:eastAsia="IRNazanin"/>
          <w:color w:val="111111"/>
          <w:sz w:val="28"/>
          <w:sz w:val="28"/>
          <w:szCs w:val="28"/>
          <w:rtl w:val="true"/>
          <w:lang w:bidi="fa-IR"/>
        </w:rPr>
        <w:t>و یمکن الاستدلال لهذا القول بوجوه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تقریب الاستدلال 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الآیة یدلّ علی تعداد المحرّمات المعدودة، و هی تشمل المدخول بهنّ و غیر المدخول بهنّ، فإنّ جمع المضاف یفید العموم، و لا مخصّص لها إلاّ احتمال کون القید الذی ورد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نِسائِکُمُ اللاّتِی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هذه الجملة، و هذا الاحتمال مردودٌ بالوجوه التی ذکرناها فی ردّ الاستدلال بالآیة للقول الأوّل، فلیراجع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غیاث بن إبراهیم، عن جعفر، عن أبیه علیهما السلام، أنّ علیّاً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حرمت علیه ابنتها إذا دخل بالاُمّ، فإذا لم یدخل بالاُمّ فلا بأس أن یتزوّج بالابنة، و إذا تزوّج بالابنة فدخل بها أو لم یدخل فقد حرمت علیه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علی حرمة امّ الزوجة مطلقا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بصیر المضمرة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ثمّ طلّقها قبل أن یدخل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 له ابنتها و لا تحلّ له امّها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فأتاه رجل فسأله عن رجل تزوّج امرأة فماتت قبل أن یدخل بها، أ یتزوّج باُمّها؟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فعله رجل منّا فلم یر به بأساً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تفتخر الشیعة إلاّ بقضاء علی علیه السلام فی هذه الشمخیّة</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السجیة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افتاها ابن مسعود أنّه لا بأس بذلک، ثمّ أتی علیّاً علیه السلام فسأله، 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أخذتها؟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رَبائِبُکُمُ اللاّتِی فِی حُجُورِکُمْ مِنْ نِسائِکُمُ اللاّتِی دَخَلْتُمْ بِهِنَّ فَإِنْ لَمْ تَکُونُوا دَخَلْتُمْ بِهِنَّ فَلا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مستثناةٌ و هذا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 تخبرنی أنّ علیّاً علیه السلام قضی بها و تسألنی ما تقول فیها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ابن مسعود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نِسائِکُمُ اللاّتِی دَخَلْتُمْ بِهِنَّ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متعلّقاً بالمعطوف و المعطوف علیه جمیعاً، و جعلهما مقیّدین بالدخول، ردّ علیه السلام بأنّ</w:t>
      </w:r>
      <w:bookmarkStart w:id="95" w:name="pg11753_114685"/>
    </w:p>
    <w:p>
      <w:pPr>
        <w:pStyle w:val="BookText"/>
        <w:rPr/>
      </w:pPr>
      <w:bookmarkEnd w:id="95"/>
      <w:r>
        <w:rPr>
          <w:rFonts w:ascii="IRNazanin" w:hAnsi="IRNazanin" w:eastAsia="IRNazanin"/>
          <w:color w:val="111111"/>
          <w:sz w:val="28"/>
          <w:sz w:val="28"/>
          <w:szCs w:val="28"/>
          <w:rtl w:val="true"/>
          <w:lang w:bidi="fa-IR"/>
        </w:rPr>
        <w:t>المعطوف علیه مطلق و المعطوف مقیّدٌ،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مستثناةٌ، أی مقیّدةٌ بالنساء اللاتی دخلتم بهنّ،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مرسلة، أی مطلقةٌ غیر مقیّدةٍ بالدخول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الحرّ العاملی بعد نقل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أنّه علیه السلام أفتی أوّلاً بالتقیّة کما ذکره الشیخ و غیره، و قرینتها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فعل رجلٌ منّا فنقل ذلک عن غیره، و قول الرجل المذکور لیس بحجّةٍ، إذ لا تعلم عصمته، ثمّ ذکر أخیراً أنّ قوله فی ذلک هو ما أفتی به علیّ علیه السلام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9482536_73709187"/>
      <w:bookmarkStart w:id="97" w:name="_Toc37"/>
      <w:bookmarkEnd w:id="96"/>
      <w:r>
        <w:rPr>
          <w:rtl w:val="true"/>
        </w:rPr>
        <w:t>الترجیح للأخبار التی دلّت علی التحریم</w:t>
      </w:r>
      <w:bookmarkEnd w:id="97"/>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ما ذکر من النصوص لإثبات القولین، وقوع التعارض بینهما، فما المرجّح؟</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التعارض، کان الترجیح للأخبار التی دلّت علی إثبات قول المشهور؛ لأنّها موافقة لعموم الکتاب و مخالفةٌ لبعض العامّة، کما سیأتی، و معاضدةٌ للشهرة المتحقّقة و الإجماعات المحکیّة، و النصوص التی دلّت علی القول الأوّل فی جانب العکس؛ أی مخالفةٌ للکتاب و شاذّةٌ، و لذا لا یجوز العمل بها، کما قال الشیخ فی التهذیبین</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موافقة لبعض العامّة کما سیأتی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الفقیه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فرض التعارض بین الطائفتین و صحّة الاحتجاج بها فی نفسها، فالشهرة الفتوائیة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أوّل المرجّحات فی الخبرین المتعارضین علی ما استفید من مقبولة عمر بن حنظلة</w:t>
      </w:r>
      <w:r>
        <w:rPr>
          <w:rStyle w:val="FootnoteAnchor"/>
          <w:rtl w:val="true"/>
        </w:rPr>
        <w:footnoteReference w:id="204"/>
      </w:r>
      <w:bookmarkStart w:id="98" w:name="pg11753_114686"/>
    </w:p>
    <w:p>
      <w:pPr>
        <w:pStyle w:val="BookText"/>
        <w:rPr/>
      </w:pPr>
      <w:bookmarkEnd w:id="98"/>
      <w:r>
        <w:rPr>
          <w:rFonts w:ascii="IRNazanin" w:hAnsi="IRNazanin" w:eastAsia="IRNazanin"/>
          <w:color w:val="111111"/>
          <w:sz w:val="28"/>
          <w:sz w:val="28"/>
          <w:szCs w:val="28"/>
          <w:rtl w:val="true"/>
          <w:lang w:bidi="fa-IR"/>
        </w:rPr>
        <w:t xml:space="preserve">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مع الطائفة الاُولی، فلا محیص عن الأخذ بها، إذ لم یحک الخلاف إلاّ عن الحسن</w:t>
      </w:r>
      <w:r>
        <w:rPr>
          <w:rStyle w:val="FootnoteAnchor"/>
          <w:rtl w:val="true"/>
        </w:rPr>
        <w:footnoteReference w:id="205"/>
      </w:r>
      <w:r>
        <w:rPr>
          <w:rFonts w:ascii="IRNazanin" w:hAnsi="IRNazanin" w:eastAsia="IRNazanin"/>
          <w:color w:val="111111"/>
          <w:sz w:val="28"/>
          <w:sz w:val="28"/>
          <w:szCs w:val="28"/>
          <w:rtl w:val="true"/>
          <w:lang w:bidi="fa-IR"/>
        </w:rPr>
        <w:t>، حیث اشترط الحرمة بالدخول کالبنت</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9482538_73709187"/>
      <w:bookmarkStart w:id="100" w:name="_Toc38"/>
      <w:bookmarkEnd w:id="99"/>
      <w:r>
        <w:rPr>
          <w:rtl w:val="true"/>
        </w:rPr>
        <w:t>القول الثالث التوقّف فی المسألة</w:t>
      </w:r>
      <w:bookmarkEnd w:id="100"/>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المسألة و عدم القول بالإباحة و لا القول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علی روایتی جمیل بن درّاج و منصور بن حازم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الحدیثان قویّان لا یبعد عندی العمل بهما،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فی هذه المسألة من المتوقّفین، إلاّ أنّ الترجیح للتحریم؛ عملاً بالاحتیاط و بفتوی الأکثر من الأصحاب</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السیّد 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الأخبار التی تدلّ علی عدم الحرمة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أصحّ طرقاً من الأخبار المحرِّمة، و المسألة قویّة الإشکال</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توقّف فی ذلک أیضاً المحقّق الأردبیلی</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توقّف هؤلاء الأعلام قدس سرهم الأخبار الصحیحة المتقدّمة و احتمال رجوع القید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نِسائِکُمُ 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الجملتین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تقدّم الجواب عنها مشروحاً فلا وجه للتوقّف، و إن کان الاحتیاط طریقاً إلی النجاة، و اللّه تعالی هو العالم بحکمه</w:t>
      </w:r>
      <w:r>
        <w:rPr>
          <w:rFonts w:eastAsia="IRNazanin" w:cs="IRNazanin"/>
          <w:color w:val="111111"/>
          <w:sz w:val="28"/>
          <w:szCs w:val="28"/>
          <w:rtl w:val="true"/>
          <w:lang w:bidi="fa-IR"/>
        </w:rPr>
        <w:t>.</w:t>
      </w:r>
      <w:bookmarkStart w:id="101" w:name="pg11753_114687"/>
    </w:p>
    <w:p>
      <w:pPr>
        <w:pStyle w:val="Heading6"/>
        <w:numPr>
          <w:ilvl w:val="5"/>
          <w:numId w:val="1"/>
        </w:numPr>
        <w:rPr/>
      </w:pPr>
      <w:bookmarkStart w:id="102" w:name="__RefHeading___Toc9482540_73709187"/>
      <w:bookmarkStart w:id="103" w:name="_Toc39"/>
      <w:bookmarkEnd w:id="101"/>
      <w:bookmarkEnd w:id="102"/>
      <w:r>
        <w:rPr>
          <w:rtl w:val="true"/>
        </w:rPr>
        <w:t>آراء فقهاء أهل السنّة فی المسألة</w:t>
      </w:r>
      <w:bookmarkEnd w:id="103"/>
    </w:p>
    <w:p>
      <w:pPr>
        <w:pStyle w:val="BookText"/>
        <w:rPr/>
      </w:pPr>
      <w:r>
        <w:rPr>
          <w:rFonts w:ascii="IRNazanin" w:hAnsi="IRNazanin" w:eastAsia="IRNazanin"/>
          <w:color w:val="111111"/>
          <w:sz w:val="28"/>
          <w:sz w:val="28"/>
          <w:szCs w:val="28"/>
          <w:rtl w:val="true"/>
          <w:lang w:bidi="fa-IR"/>
        </w:rPr>
        <w:t>و عندهم فی هذه المسألة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تحریم امّ الزوجة علی الزوج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التحریم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الطلاق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 عامّة علمائهم، قال الکاسانی من فقهاء الحنفیّة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 بالمصاهرة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الاُولی امّ الزوجة و جدّاتها من قبل أبیها و امّها و إن علون، فیحرم علی الرجل امّ الزوجة بنصّ الکتاب العزیز؛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معطوفاً علی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 دخل بزوجته أو کان لم یدخل بها عند عامّة العلماء</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 ذلک قال القرطبی فی جامع الأحکام</w:t>
      </w:r>
      <w:r>
        <w:rPr>
          <w:rStyle w:val="FootnoteAnchor"/>
          <w:rtl w:val="true"/>
        </w:rPr>
        <w:footnoteReference w:id="211"/>
      </w:r>
      <w:r>
        <w:rPr>
          <w:rFonts w:ascii="IRNazanin" w:hAnsi="IRNazanin" w:eastAsia="IRNazanin"/>
          <w:color w:val="111111"/>
          <w:sz w:val="28"/>
          <w:sz w:val="28"/>
          <w:szCs w:val="28"/>
          <w:rtl w:val="true"/>
          <w:lang w:bidi="fa-IR"/>
        </w:rPr>
        <w:t>و السرخسی فی المبسوط‌</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ابن قدامة فی المغنی</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أیضاً المالکیّة و الشافعیّة و الظاهریّة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اشتراط تحریم امّ الزوجة بالدخول بالابنة، فهو أحد قولی الشافعی</w:t>
      </w:r>
      <w:r>
        <w:rPr>
          <w:rStyle w:val="FootnoteAnchor"/>
          <w:rtl w:val="true"/>
        </w:rPr>
        <w:footnoteReference w:id="215"/>
      </w:r>
      <w:r>
        <w:rPr>
          <w:rFonts w:ascii="IRNazanin" w:hAnsi="IRNazanin" w:eastAsia="IRNazanin"/>
          <w:color w:val="111111"/>
          <w:sz w:val="28"/>
          <w:sz w:val="28"/>
          <w:szCs w:val="28"/>
          <w:rtl w:val="true"/>
          <w:lang w:bidi="fa-IR"/>
        </w:rPr>
        <w:t>، و به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الاصفهانی، و محمّد بن شجاع البلخی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أیضاً عن عبد اللّه بن مسعود و جابر</w:t>
      </w:r>
      <w:r>
        <w:rPr>
          <w:rStyle w:val="FootnoteAnchor"/>
          <w:rtl w:val="true"/>
        </w:rPr>
        <w:footnoteReference w:id="216"/>
      </w:r>
      <w:bookmarkStart w:id="104" w:name="pg11753_114688"/>
    </w:p>
    <w:p>
      <w:pPr>
        <w:pStyle w:val="BookText"/>
        <w:rPr/>
      </w:pPr>
      <w:bookmarkEnd w:id="104"/>
      <w:r>
        <w:rPr>
          <w:rFonts w:ascii="IRNazanin" w:hAnsi="IRNazanin" w:eastAsia="IRNazanin"/>
          <w:color w:val="111111"/>
          <w:sz w:val="28"/>
          <w:sz w:val="28"/>
          <w:szCs w:val="28"/>
          <w:rtl w:val="true"/>
          <w:lang w:bidi="fa-IR"/>
        </w:rPr>
        <w:t>و نقل القرطبی فی تفسیره هذا القول عن السلف، و زعموا أنّ شرط الدخول فی الآیة الکریمة راجع إلی الاُمّهات و الربائب جمیعاً</w:t>
      </w:r>
      <w:r>
        <w:rPr>
          <w:rStyle w:val="FootnoteAnchor"/>
          <w:rtl w:val="true"/>
        </w:rPr>
        <w:footnoteReference w:id="217"/>
      </w:r>
      <w:r>
        <w:rPr>
          <w:rFonts w:ascii="IRNazanin" w:hAnsi="IRNazanin" w:eastAsia="IRNazanin"/>
          <w:color w:val="111111"/>
          <w:sz w:val="28"/>
          <w:sz w:val="28"/>
          <w:szCs w:val="28"/>
          <w:rtl w:val="true"/>
          <w:lang w:bidi="fa-IR"/>
        </w:rPr>
        <w:t>، و نقل النووی هذا القول عن بعض آخر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التفصیل بین الطلاق و الموت، فهو قول زید بن ثابت، فقال فی الطلاق مثل قول الثانی، و فی الموت مثل قول الأوّل، فجعل الموت کالدخول؛ لأنّه بمنزلة الدخول فی حقّ المهر، و کذا فی حقّ التحریم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قیاس ضعیف و مخالف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لا یدلّ علی شرط الدخول</w:t>
      </w:r>
      <w:r>
        <w:rPr>
          <w:rFonts w:eastAsia="IRNazanin" w:cs="IRNazanin"/>
          <w:color w:val="111111"/>
          <w:sz w:val="28"/>
          <w:szCs w:val="28"/>
          <w:rtl w:val="true"/>
          <w:lang w:bidi="fa-IR"/>
        </w:rPr>
        <w:t>.</w:t>
      </w:r>
    </w:p>
    <w:p>
      <w:pPr>
        <w:pStyle w:val="Heading6"/>
        <w:numPr>
          <w:ilvl w:val="5"/>
          <w:numId w:val="1"/>
        </w:numPr>
        <w:rPr/>
      </w:pPr>
      <w:bookmarkStart w:id="105" w:name="__RefHeading___Toc9482542_73709187"/>
      <w:bookmarkStart w:id="106" w:name="_Toc40"/>
      <w:bookmarkEnd w:id="105"/>
      <w:r>
        <w:rPr>
          <w:rtl w:val="true"/>
        </w:rPr>
        <w:t>رأی المحقّق القمّی فی تزویج الصغیرة</w:t>
      </w:r>
      <w:bookmarkEnd w:id="106"/>
    </w:p>
    <w:p>
      <w:pPr>
        <w:pStyle w:val="BookText"/>
        <w:rPr/>
      </w:pPr>
      <w:r>
        <w:rPr>
          <w:rFonts w:ascii="IRNazanin" w:hAnsi="IRNazanin" w:eastAsia="IRNazanin"/>
          <w:color w:val="111111"/>
          <w:sz w:val="28"/>
          <w:sz w:val="28"/>
          <w:szCs w:val="28"/>
          <w:rtl w:val="true"/>
          <w:lang w:bidi="fa-IR"/>
        </w:rPr>
        <w:t>قال المحقّق القمّی رحمه الله فی 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 ابنته الرضیعة بمدّة ساعة و کان غرضه منه أن تصیر امّها محرماً للزوج لا غیر، لا یصحّ و لا یترتّب علیه أثر شرعیّ‌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فی ذلک السیّد الاصفهانی و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یعتبر فی عقد الصغیرة متعة أن تبلغ الصغیرة إلی حدٍّ تکون قابلة للاستمتاع و الاستلذاذ و إن کان الاستلذاذ بغیر الوط‌ء، أو أن تبلغ إلی ستّ سنین، أو أن یجعل المدّة طویلة حیث تکون متضمِّنة إلی هذا الحدّ، فما هو متعارف بین الناس من أن یعقد الأب ابنته الصغیرة التی لا تکون بهذا الحدّ لرجلٍ فی مدّة ساعةٍ مثلاً، و الغرض من هذا العقد</w:t>
      </w:r>
    </w:p>
    <w:p>
      <w:pPr>
        <w:pStyle w:val="BookText"/>
        <w:rPr/>
      </w:pPr>
      <w:r>
        <w:rPr>
          <w:rFonts w:ascii="IRNazanin" w:hAnsi="IRNazanin" w:eastAsia="IRNazanin"/>
          <w:color w:val="111111"/>
          <w:sz w:val="28"/>
          <w:sz w:val="28"/>
          <w:szCs w:val="28"/>
          <w:rtl w:val="true"/>
          <w:lang w:bidi="fa-IR"/>
        </w:rPr>
        <w:t>أن تصیر امّها محرماً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العقد فی غایة الإشکال، فیشکل أن تترتّب علیه محرمیّة امّها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المحقّق القمّی لإثبات رأیه أدلّةً نذکرها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جعل عقد المتعة هو إمکان الاستمتاع</w:t>
      </w:r>
      <w:r>
        <w:rPr>
          <w:rStyle w:val="FootnoteAnchor"/>
          <w:rtl w:val="true"/>
        </w:rPr>
        <w:footnoteReference w:id="222"/>
      </w:r>
      <w:r>
        <w:rPr>
          <w:rFonts w:ascii="IRNazanin" w:hAnsi="IRNazanin" w:eastAsia="IRNazanin"/>
          <w:color w:val="111111"/>
          <w:sz w:val="28"/>
          <w:sz w:val="28"/>
          <w:szCs w:val="28"/>
          <w:rtl w:val="true"/>
          <w:lang w:bidi="fa-IR"/>
        </w:rPr>
        <w:t>و الاستلذاذ من الزوجة، کما هو المستفاد من ظاهر الآیة و الأخبار، و هما غیر ممکنین فی هذا العقد لِصِغَر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الاستمتاع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عقد المتعة، کما فی زبدة البیان</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النکاح، و قال ابن عبّاس و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المتعة إلی أجلٍ مسمّی، و هو مذهبنا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الأخبار تدلّ علی أنّ وضعَ الشارع عقد المتعة کان لأجل الاستمتاع و الاستلذاذ، مثل ما رواه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عن أبی جعفر علیه السلام، فی حدیث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رأف بکم فجَعَل المتعة عوضاً لکم من الأشربة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المتعة عوضاً من الأشربة المحرّمة ظاهر فی أنّ الغرض من المتعة هو الالتذاذ و 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 شیعتنا المسکر من کلّ شرابٍ و عوّضهم من ذلک المتعة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الأخبار الواردة فی وجوه النکاح أنّ العلّة</w:t>
      </w:r>
      <w:r>
        <w:rPr>
          <w:rStyle w:val="FootnoteAnchor"/>
          <w:rtl w:val="true"/>
        </w:rPr>
        <w:footnoteReference w:id="228"/>
      </w:r>
      <w:r>
        <w:rPr>
          <w:rFonts w:ascii="IRNazanin" w:hAnsi="IRNazanin" w:eastAsia="IRNazanin"/>
          <w:color w:val="111111"/>
          <w:sz w:val="28"/>
          <w:sz w:val="28"/>
          <w:szCs w:val="28"/>
          <w:rtl w:val="true"/>
          <w:lang w:bidi="fa-IR"/>
        </w:rPr>
        <w:t>فی تشریع المتعة تسهیل الأمر فی استحلال الفروج للذین لا یقدرون علی النکاح الباتّ‌</w:t>
      </w:r>
      <w:r>
        <w:rPr>
          <w:rStyle w:val="FootnoteAnchor"/>
          <w:rtl w:val="true"/>
        </w:rPr>
        <w:footnoteReference w:id="229"/>
      </w:r>
      <w:r>
        <w:rPr>
          <w:rFonts w:ascii="IRNazanin" w:hAnsi="IRNazanin" w:eastAsia="IRNazanin"/>
          <w:color w:val="111111"/>
          <w:sz w:val="28"/>
          <w:sz w:val="28"/>
          <w:szCs w:val="28"/>
          <w:rtl w:val="true"/>
          <w:lang w:bidi="fa-IR"/>
        </w:rPr>
        <w:t>، أو ملک الیمین</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کروایة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نغزو مع رسول اللّه صلی الله علیه و آله و سلم لیس معنا نساء،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لا نستحصن</w:t>
      </w:r>
      <w:r>
        <w:rPr>
          <w:rStyle w:val="FootnoteAnchor"/>
          <w:rtl w:val="true"/>
        </w:rPr>
        <w:footnoteReference w:id="231"/>
      </w:r>
      <w:r>
        <w:rPr>
          <w:rFonts w:ascii="IRNazanin" w:hAnsi="IRNazanin" w:eastAsia="IRNazanin"/>
          <w:color w:val="111111"/>
          <w:sz w:val="28"/>
          <w:sz w:val="28"/>
          <w:szCs w:val="28"/>
          <w:rtl w:val="true"/>
          <w:lang w:bidi="fa-IR"/>
        </w:rPr>
        <w:t>هنا بأجرٍ؟ فأمرنا أن ننکح المرأة بالثوب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بالاستحصان بالأجر هو عقد المتعة، لصحیحة زرارة،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متعة إلاّ بأمرین، أجلٍ مسمّی و أجرٍ مسمّی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مرسلة ابن أبی عمیر، و خبر علی بن إبراهیم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الأخبار الواردة فی جواز التمتّع بالکتابیّة، و الأخبار الدالّة علی عدم تعیین الحدّ فی المهر، تدلاّن علی أنّ العلّة فی تشریع المتعة هی تسهیل الأمر فی استحلال 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مضمرة إسماعیل بن سعد الأشعری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یتمتّع من الیهودیّة و النصرانیّة؟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بذلک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فالمجوسیّة؟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المجوسیّة فلا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w:t>
      </w:r>
    </w:p>
    <w:p>
      <w:pPr>
        <w:pStyle w:val="BookText"/>
        <w:rPr/>
      </w:pPr>
      <w:r>
        <w:rPr>
          <w:rFonts w:ascii="IRNazanin" w:hAnsi="IRNazanin" w:eastAsia="IRNazanin"/>
          <w:color w:val="111111"/>
          <w:sz w:val="28"/>
          <w:sz w:val="28"/>
          <w:szCs w:val="28"/>
          <w:rtl w:val="true"/>
          <w:lang w:bidi="fa-IR"/>
        </w:rPr>
        <w:t>ابن فضّال، عن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یتمتّع الرجل بالیهودیّة و النصرانیّة و عنده حرّة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مثلهما مضمرة زرارة و معتبرة محمّد بن سنان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 أبی بصیر،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متعة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فیه الدرهم فما فوقه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یونس،</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تحلّ به المتعة کفّ الطعام</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روایة الأحول و خبر أبی بصیر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تدلّ علی أنّهنّ مستأجرات دالّة علی ذلک؛ لأنّ</w:t>
      </w:r>
    </w:p>
    <w:p>
      <w:pPr>
        <w:pStyle w:val="BookText"/>
        <w:rPr/>
      </w:pPr>
      <w:r>
        <w:rPr>
          <w:rFonts w:ascii="IRNazanin" w:hAnsi="IRNazanin" w:eastAsia="IRNazanin"/>
          <w:color w:val="111111"/>
          <w:sz w:val="28"/>
          <w:sz w:val="28"/>
          <w:szCs w:val="28"/>
          <w:rtl w:val="true"/>
          <w:lang w:bidi="fa-IR"/>
        </w:rPr>
        <w:t>الاستئجار</w:t>
      </w:r>
      <w:r>
        <w:rPr>
          <w:rStyle w:val="FootnoteAnchor"/>
          <w:rtl w:val="true"/>
        </w:rPr>
        <w:footnoteReference w:id="241"/>
      </w:r>
      <w:r>
        <w:rPr>
          <w:rFonts w:ascii="IRNazanin" w:hAnsi="IRNazanin" w:eastAsia="IRNazanin"/>
          <w:color w:val="111111"/>
          <w:sz w:val="28"/>
          <w:sz w:val="28"/>
          <w:szCs w:val="28"/>
          <w:rtl w:val="true"/>
          <w:lang w:bidi="fa-IR"/>
        </w:rPr>
        <w:t>یقتضی عملاً من الأجیر، و المفروض عدمه من الرضیعة، و عدم تمکّنها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فرض کون المدّة غیر قابلةٍ لخروجها من القوّة إلی الفعل؛ فإنّ الاُجرة بإزاء العمل، و لا عمل یتصوّر هنا فی جانب الأجیر، و لا منفعة</w:t>
      </w:r>
      <w:r>
        <w:rPr>
          <w:rStyle w:val="FootnoteAnchor"/>
          <w:rtl w:val="true"/>
        </w:rPr>
        <w:footnoteReference w:id="242"/>
      </w:r>
      <w:r>
        <w:rPr>
          <w:rFonts w:ascii="IRNazanin" w:hAnsi="IRNazanin" w:eastAsia="IRNazanin"/>
          <w:color w:val="111111"/>
          <w:sz w:val="28"/>
          <w:sz w:val="28"/>
          <w:szCs w:val="28"/>
          <w:rtl w:val="true"/>
          <w:lang w:bidi="fa-IR"/>
        </w:rPr>
        <w:t>هنا تتصوّر من جانبها حتّی یکون المهر أجراً لها، و أهمّ هذه الأخبار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زرارة،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له المتعة أ هی من الأربع؟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منهنّ ألفاً فإنّهنّ مستأجرات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محمّد بن مسلم، عن أبی جعفر علیه السلام، فی المتعة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من الأرباع؛ لأنّها لا تطلّق و لا ترث، و إنّما هی مستأجرة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اخری لزرارة</w:t>
      </w:r>
    </w:p>
    <w:p>
      <w:pPr>
        <w:pStyle w:val="BookText"/>
        <w:rPr/>
      </w:pPr>
      <w:r>
        <w:rPr>
          <w:rFonts w:ascii="IRNazanin" w:hAnsi="IRNazanin" w:eastAsia="IRNazanin"/>
          <w:color w:val="111111"/>
          <w:sz w:val="28"/>
          <w:sz w:val="28"/>
          <w:szCs w:val="28"/>
          <w:rtl w:val="true"/>
          <w:lang w:bidi="fa-IR"/>
        </w:rPr>
        <w:t>عن أبی جعفر علیه السلام؛ لأنّه 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مستأجرة، و هی بمنزلة الإماء</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من هذه النصوص أنّ المرأة فی المتعة بمنزلة المستأجرة، و الأجر إمّا أن یکون بإزاء العمل، و إمّا بإزاء المنفعة، و کلاهما منتف من الرضیعة فی هذه المدّة القلیلة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فی بیان الفرق بین عقد الدائم و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 النسل</w:t>
      </w:r>
    </w:p>
    <w:p>
      <w:pPr>
        <w:pStyle w:val="BookText"/>
        <w:rPr/>
      </w:pPr>
      <w:r>
        <w:rPr>
          <w:rFonts w:ascii="IRNazanin" w:hAnsi="IRNazanin" w:eastAsia="IRNazanin"/>
          <w:color w:val="111111"/>
          <w:sz w:val="28"/>
          <w:sz w:val="28"/>
          <w:szCs w:val="28"/>
          <w:rtl w:val="true"/>
          <w:lang w:bidi="fa-IR"/>
        </w:rPr>
        <w:t>و نحوه، و المقصود من المتعة الانتفاع و الاستمتاع و نحو ذلک ما هو شبه الإجارة، و لذا کان المهر فیها کالعوض فی الإجارة شرطاً فی الصحّة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أحکام القرآن للجصّاص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سُمّی المهر أجراً لأنّه بدل المنافع و لیس ببدل عن الأعیان، کما سمّی بدل منافع الدار و الدابّة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 فی قراءة ابیّ بن کعب فما استمتعتم به منهنّ إلی أجلٍ مسمّی فآتوهنّ أجورهنّ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تابعة للقصود، و الغرض الأصلی فی عقد المتعة هو الاستمتاع و الانتفاع کما تقدّم، و هما منتفیان فی عقد الرضیعة؛ لعدم إمکانهما بالفرض، و أمّا محرمیّة الاُمّ فلا تکون غرضاً للعقد، فلا یقصد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أفعاله سبحانه و تعالی معلّلةٌ بأغراضٍ، و لکن قد یترتّب علی أفعاله آثار لیست بأغراضٍ؛ فإنّ تحریم الزنا مثلاً معلّل بعدم اختلاط المیاه و ضیاع الأنساب و نحو ذلک، و لکنّه یترتّب علیه إجراء الحدّ مثلاً، و من الظاهر أنّه لیس الغرض من التحریم ذلک و إن 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امّ الزوجة و محرمیّتها إنّما هما من الآثار المترتّبة علی النکاح و فوائده، و هما إمّا لیستا من الأغراض، أو لم یثبت کونهما غرضاً، إذ عدم الثبوت کافٍ فی ثبوت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إجراء صیغة النکاح لمحض ذلک، و لم یکن الغرض المطلوب من النکاح حاصلاً، سیّما مع عدم إمکان مطلوبیّته، فلا یکفی ذلک فی تصحیح العقد و لا یترتّب علیه الأثر و الفائدة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الصحّة؛ فإنّها حکم شرعیّ یحتاج إلی دلیلٍ شرعی،</w:t>
      </w:r>
      <w:bookmarkStart w:id="107" w:name="pg11753_114694"/>
    </w:p>
    <w:p>
      <w:pPr>
        <w:pStyle w:val="BookText"/>
        <w:rPr/>
      </w:pPr>
      <w:bookmarkEnd w:id="107"/>
      <w:r>
        <w:rPr>
          <w:rFonts w:ascii="IRNazanin" w:hAnsi="IRNazanin" w:eastAsia="IRNazanin"/>
          <w:color w:val="111111"/>
          <w:sz w:val="28"/>
          <w:sz w:val="28"/>
          <w:szCs w:val="28"/>
          <w:rtl w:val="true"/>
          <w:lang w:bidi="fa-IR"/>
        </w:rPr>
        <w:t>و لا دلیل علیه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السابق</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ذکر الأدلّة رتّب علیها قدس سره نتیجةً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 یظهر أنّه لا یتمّ الاستدلال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معنی لإرادة کلّ عقدٍ یتصوّر؛ لاستلزامه التخصیص غیر المرضی، فلا بدّ من حملها علی العقود المعهودة فی زمان الشارع، و لم یثبت کون هذا العقد معهوداً فی زمان الشارع، و احتمال کونه معهوداً لا یکفی؛ لأنّ الأصل عدم الصحّة، و لا یرتفع مقتضی الأصل إلاّ بثبوت دخوله فی العقد، و لا یکفی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العمومات و الإطلاقات لا تنصرف إلی مثل هذا العقد؛ لأنّ کلّها إمّا صریح فی غیر هذا العقد، أو ظاهر فیه، بل لا یکاد توجد روایة یمکن انصرافها إلی هذا العقد أو ظاهر فیه</w:t>
      </w:r>
      <w:r>
        <w:rPr>
          <w:rStyle w:val="FootnoteAnchor"/>
          <w:rtl w:val="true"/>
        </w:rPr>
        <w:footnoteReference w:id="250"/>
      </w:r>
      <w:r>
        <w:rPr>
          <w:rFonts w:ascii="IRNazanin" w:hAnsi="IRNazanin" w:eastAsia="IRNazanin"/>
          <w:color w:val="111111"/>
          <w:sz w:val="28"/>
          <w:sz w:val="28"/>
          <w:szCs w:val="28"/>
          <w:rtl w:val="true"/>
          <w:lang w:bidi="fa-IR"/>
        </w:rPr>
        <w:t>، و لکن أمر قدس سره فی موضع آخر من کتابه بالاحتیاط؛ لأنّ أمر الفروج شدید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9482544_73709187"/>
      <w:bookmarkStart w:id="109" w:name="_Toc41"/>
      <w:bookmarkEnd w:id="108"/>
      <w:r>
        <w:rPr>
          <w:rtl w:val="true"/>
        </w:rPr>
        <w:t>الجواب عن المحقّق القمّی رحمه الله</w:t>
      </w:r>
      <w:bookmarkEnd w:id="10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استدلال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الکریمة و کذا الأخبار تشعران بأنّه تکون الحکمة فی جعل المتعة إمکان الاستلذاذ و الانتفاع للرجال من النساء و بالعکس، و تسهیل الأمر فی استحلال الفروج للذین لا یقدرون علی النکاح البات، و لا ظهور فیهما علی أنّ الاستلذاذ و الانتفاع علّةٌ منحصرةٌ فی جعلها، بحیث کان الاستلذاذ و الانتفاع موضوعاً للحکم، فإن لم یکونا لم تجز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جواز متعة النساء العجائز اللّاتی لا یکنّ قابلات للاستمتاع؛ فإنّه لا خلاف بین الفقهاء فی جواز متعتهنّ، حتّی أنّ المحقّق القمّی رحمه الله و السیّد الاصفهانی لم یفتیا بعدم جوازها، مع أنّه یمکن أن یفرض عدم قابلیتهنّ للانتفاع و الاستلذاذ فی الحال و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 دلیلٍ علی أنّه لیس الغرض فی جعل المتعة منحصراً بالانتفاع و الاستلذاذ، بل هما حکمة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الفقیه الفاضل اللنکرانی فی شرح کلام الإمام الخمینی قدس سره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الذی ذکره فی المتن بالإضافة إلی الأمر الرائج بین کثیر من المتدیّنین، حیث یعقدون الصغیرة عقداً انقطاعیّاً لأجل حصول المحرمیّة بالإضافة إلی امّها و جواز النظر إلیها، من دون أن یکون المقصود هی الزوجیّة المتعارفة، نظراً إلی أنّ مقتضی الاحتیاط عدم العقد علی الصغیرة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عدم لزوم رعایة شیءٍ من الاحتیاطین و کفایة العقد الانقطاعی ساعة أو ساعتین مثلاً؛ لعدم انحصار فائدة النکاح بالوط‌ء و لا بالاستمتاع و لو بغیر الوط‌ء، بل المحرمیّة بالإضافة إلی الأقرباء، مثل امّ الزوجة تکون من الآثار</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قلنا ظهر الجواب عن الثالث أیضاً؛ فإنّ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تدلّ علی أنّ النساء مستأجرات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أنّ أکثر الأفراد و نوعهنّ تکون کذلک، و لا منافاة بأن لا یکون بعض الأفراد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تری أنّ وجوب العدّة فی الطلاق و کذا فی المتعة عُلّلت بعدم اختلاط المیاه و تشویش الأنساب، و الحال أنّ بعضهنّ عقیم لیست فیهنّ قابلیة النسل، و مع هذا تجب علیهنّ العدّة؟ ففی مسألتنا هذه أیضاً لا منافاة بأن لا تجری فی بعض مصادیق المتعة الحکمة التی لأجلها شُرّعت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کونهنّ مستأجرات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تترتّب علی هذه المصادیق آثار المتعة، و منها محرمیّة</w:t>
      </w:r>
    </w:p>
    <w:p>
      <w:pPr>
        <w:pStyle w:val="BookText"/>
        <w:rPr/>
      </w:pPr>
      <w:r>
        <w:rPr>
          <w:rFonts w:ascii="IRNazanin" w:hAnsi="IRNazanin" w:eastAsia="IRNazanin"/>
          <w:color w:val="111111"/>
          <w:sz w:val="28"/>
          <w:sz w:val="28"/>
          <w:szCs w:val="28"/>
          <w:rtl w:val="true"/>
          <w:lang w:bidi="fa-IR"/>
        </w:rPr>
        <w:t>أُمّ الزوجة الصغیرة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قلنا الأخبار التی وردت علی عدم تعیین حدٍّ فی المتعة، و أنّ أدنی ما تحلّ به المتعة کفّ طعامٍ، فهذه تدلّ علی أنّه لیس المقصود منها کسب الاُجرة حتّی یلزم أن تکون فی مقابلها العمل أو المنفعة مثل باب الإجارة؛ لأنّ کفّاً من الطعام لیس قابلاً لأن یکون اجرة للعمل الذی کان المقصود المنحصر منه طلب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المنشأ بعقد التمتّع لیس تملیک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عدم کون عقده من العقود التملیکیّة، بل المنشأ به هی العلقة الزوجیّة بین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بعض النصوص من تنزیل الإمام علیه السلام المرأة المتمتّع بها منزلة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المراد منه التنزیل فی خصوص بعض الآثار، کخروجها عن عقد الزوجیّة بانقضاء المدّة، کما تخرج المستأجرة بانقضائها، و کعدم استحقاقها للمهر أصلاً فیما إذا امتنعت عن التمکین بالنسبة إلی تمام المدّة، و عدم استحقاقها لبعضه فیما اذا امتنعت عنه فی بعضها کما لا تستحقّ المستأجرة الاُجرة فیما إذا لم تعمل العمل المستأجرة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لو کان المراد هو التنزیل فی جمیع الآثار لزم بطلان العقد فیما لو مات أحدهما فی أثناء المدّة و رجوع المهر إلی الزوج بالنسبة الی ما بقی منها، و غیر ذلک من أحکام الإجارة التی لم یلتزم بها أحد فی المتعة</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جاء فی کلام المحقّق الرشتی قدس سره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الرابع؛ أنّه یمکن أن یفرض محرمیّة امّ الزوجة أیضاً من أغراض المتعة و قصدها العاقد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الخامس و السادس؛ فإنّه لا معنی لجریان أصالة الصحّة</w:t>
      </w:r>
    </w:p>
    <w:p>
      <w:pPr>
        <w:pStyle w:val="BookText"/>
        <w:rPr/>
      </w:pPr>
      <w:r>
        <w:rPr>
          <w:rFonts w:ascii="IRNazanin" w:hAnsi="IRNazanin" w:eastAsia="IRNazanin"/>
          <w:color w:val="111111"/>
          <w:sz w:val="28"/>
          <w:sz w:val="28"/>
          <w:szCs w:val="28"/>
          <w:rtl w:val="true"/>
          <w:lang w:bidi="fa-IR"/>
        </w:rPr>
        <w:t>و استصحاب الحکم السابق؛ لأنّ هذا الفرد من المتعة عقد نکاح فتشمله العمومات و الإطلاقات، و لا معنی لأن نقول بانصراف الأدلّة عنها؛ لأنّ ملاک الانصراف هو التشکیک فی الصدق، و لا خفاء فی صدق عنوان العقد و النکاح علی عقد الصغیرة الرضیعة، بل هی و غیرها فی إطلاق المتعة علیها سواء، فلما ذا لا تشمله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رحمه الله بأنّه لا بدّ من حمل العقود علی العقود المعهودة فی زمان الشارع و لم یثبت کون هذا العقد معهوداً، فلیس علیه أیضاً دلیل بل علی عدمه؛ لأنّه یلزم أن نقول بعدم جواز کثیرٍ من المعاملات التی لا تکون معهودة فی زمانه صلی الله علیه و آله و سلم، مع إطلاق العقد علیها، مثل المعاملات التی یطّلع المشتری فیها علی أوصاف المبیع مع الهاتف، أو بأن تکتب فی الجرائد، و مثل أخذ المأکولات من مکان و وضع الفلوس فیه مع عدم وجود البائع، و التعامل بنقد البلدان الاُخری غیر نقد البلد الذی وقع فیه التعامل، و مثل المعاملات المشترکة بین الدول أو الأشخاص مع البنوک بأقسامها الجدیدة التی کانت شائعةً بین الناس و لم تکن شائعة فی زمن الشارع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لصحّة هذا العقد موجود و المانع فیه مفقود، و لأجل ذلک قال بصحّته المشهور من الفقهاء من المتأخِّرین و المعاصرین، و لم یقل ببطلانه فیما نعلم إلاّ المحقّق القمّی و السیّد الاصفهانی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صراط النجاة للسیّد الخوئی قدس سره فی سؤال الرقم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سئل عنه فی حالة العقد متعةً علی الطفلة من أجل تحلیل امّها، هل یکفی فی المصلحة أخذ المهر أم 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تلمیذه الشیخ الفقیه جواد التبریزی</w:t>
      </w:r>
      <w:r>
        <w:rPr>
          <w:rStyle w:val="FootnoteAnchor"/>
          <w:rtl w:val="true"/>
        </w:rPr>
        <w:footnoteReference w:id="255"/>
      </w:r>
      <w:bookmarkStart w:id="110" w:name="pg11753_114698"/>
    </w:p>
    <w:p>
      <w:pPr>
        <w:pStyle w:val="BookText"/>
        <w:rPr/>
      </w:pPr>
      <w:bookmarkEnd w:id="110"/>
      <w:r>
        <w:rPr>
          <w:rFonts w:ascii="IRNazanin" w:hAnsi="IRNazanin" w:eastAsia="IRNazanin"/>
          <w:color w:val="111111"/>
          <w:sz w:val="28"/>
          <w:sz w:val="28"/>
          <w:szCs w:val="28"/>
          <w:rtl w:val="true"/>
          <w:lang w:bidi="fa-IR"/>
        </w:rPr>
        <w:t>و قال بصحّته أیضاً السیّد الگلپایگانی</w:t>
      </w:r>
      <w:r>
        <w:rPr>
          <w:rStyle w:val="FootnoteAnchor"/>
          <w:rtl w:val="true"/>
        </w:rPr>
        <w:footnoteReference w:id="256"/>
      </w:r>
      <w:r>
        <w:rPr>
          <w:rFonts w:ascii="IRNazanin" w:hAnsi="IRNazanin" w:eastAsia="IRNazanin"/>
          <w:color w:val="111111"/>
          <w:sz w:val="28"/>
          <w:sz w:val="28"/>
          <w:szCs w:val="28"/>
          <w:rtl w:val="true"/>
          <w:lang w:bidi="fa-IR"/>
        </w:rPr>
        <w:t>و الشیخ الفقیه الفاضل اللنکرانی</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9482546_73709187"/>
      <w:bookmarkStart w:id="112" w:name="_Toc42"/>
      <w:bookmarkEnd w:id="111"/>
      <w:r>
        <w:rPr>
          <w:rtl w:val="true"/>
        </w:rPr>
        <w:t>المسألة الثانیة و الثالثة حرمة زوجة کلٍّ من الأب و الابن علی الآخر</w:t>
      </w:r>
      <w:bookmarkEnd w:id="112"/>
    </w:p>
    <w:p>
      <w:pPr>
        <w:pStyle w:val="BookText"/>
        <w:rPr/>
      </w:pPr>
      <w:r>
        <w:rPr>
          <w:rFonts w:ascii="IRNazanin" w:hAnsi="IRNazanin" w:eastAsia="IRNazanin"/>
          <w:color w:val="111111"/>
          <w:sz w:val="28"/>
          <w:sz w:val="28"/>
          <w:szCs w:val="28"/>
          <w:rtl w:val="true"/>
          <w:lang w:bidi="fa-IR"/>
        </w:rPr>
        <w:t>المسألة 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تحرم زوجة کلٍّ من الأب و الابن علی الآخر فصاعداً فی الأوّل و نازلاً فی الثانی تحریماً أبدیّاً مطلقاً؛ أی سواء کانت الزوجة صغیرة أم کبیرة، نسباً کان أو رضاعاً، دواماً کان العقد أم متعة، تکونا مدخولین أم لم تکن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خلاف فیه بین الفقهاء</w:t>
      </w:r>
      <w:r>
        <w:rPr>
          <w:rStyle w:val="FootnoteAnchor"/>
          <w:rtl w:val="true"/>
        </w:rPr>
        <w:footnoteReference w:id="258"/>
      </w:r>
      <w:r>
        <w:rPr>
          <w:rFonts w:ascii="IRNazanin" w:hAnsi="IRNazanin" w:eastAsia="IRNazanin"/>
          <w:color w:val="111111"/>
          <w:sz w:val="28"/>
          <w:sz w:val="28"/>
          <w:szCs w:val="28"/>
          <w:rtl w:val="true"/>
          <w:lang w:bidi="fa-IR"/>
        </w:rPr>
        <w:t>، بل لا یبعد أن یکون من ضروریّات الدین؛ فإنّه لم ینسب إلی أحدٍ من المسلمین القول بجوازه، بل لم ینسب جوازه إلی غیر المسلمین عدا ما نسب إلی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الرجل یستحلّ زوجة أبیه فی الجاهلیّة، إلاّ أنّه لم یکن بعنوان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لوضوحه لا یحتاج إلی الدلیل، علی أنّ الأدلّة من الکتاب و السنّة و الإجماعات کثیرة جدّاً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فإنّ الظاهر من النکاح لا سیّما إذا کان متعلّقاً للنهی هو مطلق التزویج الشامل لمجرّد العقد أیضاً،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أَبْنائِکُمُ الَّذِینَ مِنْ أَصْلابِکُمْ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من السنّة فالنصوص الواردة فی المقام إن لم تکن متظافرة فلا أقلّ من أنّها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Amiri" w:hAnsi="Amiri" w:eastAsia="Amiri" w:cs="Amiri"/>
          <w:color w:val="111111"/>
          <w:sz w:val="28"/>
          <w:sz w:val="28"/>
          <w:szCs w:val="28"/>
          <w:rtl w:val="true"/>
          <w:lang w:bidi="ar-SA"/>
        </w:rPr>
        <w:t>محمّد بن مسلم، عن أحدهما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تحرم علی الناس أزواج النبیّ صلی الله علیه و آله و سلم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لَکُمْ أَنْ تُؤْذُوا رَسُولَ اللّهِ وَ لا أَنْ تَنْکِحُوا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حرمن علی الحسن و الحسین 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یصلح للرجل أن ینکح امرأة جدّه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تزوّج الرجل امرأة تزویجاً حلالاً فلا تحلّ تلک المرأة لأبیه و لا لابنه</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خبر محمّد بن مسلم، و صحیحة الحلبی، و معتبرة عمرو بن أبی المقدام</w:t>
      </w:r>
      <w:r>
        <w:rPr>
          <w:rStyle w:val="FootnoteAnchor"/>
          <w:rtl w:val="true"/>
        </w:rPr>
        <w:footnoteReference w:id="262"/>
      </w:r>
      <w:r>
        <w:rPr>
          <w:rFonts w:ascii="IRNazanin" w:hAnsi="IRNazanin" w:eastAsia="IRNazanin"/>
          <w:color w:val="111111"/>
          <w:sz w:val="28"/>
          <w:sz w:val="28"/>
          <w:szCs w:val="28"/>
          <w:rtl w:val="true"/>
          <w:lang w:bidi="fa-IR"/>
        </w:rPr>
        <w:t>، إلی غیرها من النصوص الدالّة صریحاً فی عدم الجواز</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الإجماع، فادّعاه فی جامع المقاصد و الریاض و غیرهما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المرام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الأحکام مجمع علیها بین المسلمین، فلا حاجة إلی التشاغل بأدلّتها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 و مستند الشیعة</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المسألة مسلّمةٌ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ممّا لا إشکال فیه إجماعاً و کتاباً و سنّةً، بل إنّ هذا من ضروریّات الإسلام، فکان ممّا اتّفق علیه المذاهب المختلفة من الخاصّة و العامّة</w:t>
      </w:r>
      <w:r>
        <w:rPr>
          <w:rStyle w:val="FootnoteAnchor"/>
          <w:rtl w:val="true"/>
        </w:rPr>
        <w:footnoteReference w:id="26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نطیل فیه الکلام</w:t>
      </w:r>
      <w:r>
        <w:rPr>
          <w:rFonts w:eastAsia="IRNazanin" w:cs="IRNazanin"/>
          <w:color w:val="111111"/>
          <w:sz w:val="28"/>
          <w:szCs w:val="28"/>
          <w:rtl w:val="true"/>
          <w:lang w:bidi="fa-IR"/>
        </w:rPr>
        <w:t>.</w:t>
      </w:r>
      <w:bookmarkStart w:id="113" w:name="pg11753_114701"/>
    </w:p>
    <w:p>
      <w:pPr>
        <w:pStyle w:val="Heading4"/>
        <w:numPr>
          <w:ilvl w:val="3"/>
          <w:numId w:val="1"/>
        </w:numPr>
        <w:rPr/>
      </w:pPr>
      <w:bookmarkStart w:id="114" w:name="__RefHeading___Toc9482548_73709187"/>
      <w:bookmarkStart w:id="115" w:name="_Toc43"/>
      <w:bookmarkEnd w:id="113"/>
      <w:bookmarkEnd w:id="114"/>
      <w:r>
        <w:rPr>
          <w:rtl w:val="true"/>
        </w:rPr>
        <w:t>المبحث الرابع</w:t>
      </w:r>
      <w:r>
        <w:rPr>
          <w:rtl w:val="true"/>
        </w:rPr>
        <w:t xml:space="preserve">: </w:t>
      </w:r>
      <w:r>
        <w:rPr>
          <w:rtl w:val="true"/>
        </w:rPr>
        <w:t>عدم جواز وط‌ء الزوجة قبل التسع</w:t>
      </w:r>
      <w:bookmarkEnd w:id="115"/>
    </w:p>
    <w:p>
      <w:pPr>
        <w:pStyle w:val="Heading5"/>
        <w:numPr>
          <w:ilvl w:val="4"/>
          <w:numId w:val="1"/>
        </w:numPr>
        <w:rPr/>
      </w:pPr>
      <w:bookmarkStart w:id="116" w:name="__RefHeading___Toc9482550_73709187"/>
      <w:bookmarkStart w:id="117" w:name="_Toc44"/>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118" w:name="__RefHeading___Toc9482552_73709187"/>
      <w:bookmarkStart w:id="119" w:name="_Toc45"/>
      <w:bookmarkEnd w:id="118"/>
      <w:r>
        <w:rPr>
          <w:rtl w:val="true"/>
        </w:rPr>
        <w:t>المطلب الأوّل</w:t>
      </w:r>
      <w:r>
        <w:rPr>
          <w:rtl w:val="true"/>
        </w:rPr>
        <w:t xml:space="preserve">: </w:t>
      </w:r>
      <w:r>
        <w:rPr>
          <w:rtl w:val="true"/>
        </w:rPr>
        <w:t>حرمة وط‌ء الزوجة قبل التسع</w:t>
      </w:r>
      <w:bookmarkEnd w:id="119"/>
    </w:p>
    <w:p>
      <w:pPr>
        <w:pStyle w:val="BookText"/>
        <w:rPr/>
      </w:pPr>
      <w:r>
        <w:rPr>
          <w:rFonts w:ascii="IRNazanin" w:hAnsi="IRNazanin" w:eastAsia="IRNazanin"/>
          <w:color w:val="111111"/>
          <w:sz w:val="28"/>
          <w:sz w:val="28"/>
          <w:szCs w:val="28"/>
          <w:rtl w:val="true"/>
          <w:lang w:bidi="fa-IR"/>
        </w:rPr>
        <w:t>لا خلاف بین الفقهاء فی أنّه یحرم وط‌ء الزوجة الصغیرة قبل إکمال التسع؛ سواء کانت دائمة أو متمتِّعاً بها</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وط‌ء الزوجة قبل إکمال تسع سنین دواماً کان النکاح أو منقطعاً</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السیوری</w:t>
      </w:r>
      <w:r>
        <w:rPr>
          <w:rStyle w:val="FootnoteAnchor"/>
          <w:rtl w:val="true"/>
        </w:rPr>
        <w:footnoteReference w:id="271"/>
      </w:r>
      <w:r>
        <w:rPr>
          <w:rFonts w:ascii="IRNazanin" w:hAnsi="IRNazanin" w:eastAsia="IRNazanin"/>
          <w:color w:val="111111"/>
          <w:sz w:val="28"/>
          <w:sz w:val="28"/>
          <w:szCs w:val="28"/>
          <w:rtl w:val="true"/>
          <w:lang w:bidi="fa-IR"/>
        </w:rPr>
        <w:t>و المحدّث الکاشانی</w:t>
      </w:r>
      <w:r>
        <w:rPr>
          <w:rStyle w:val="FootnoteAnchor"/>
          <w:rtl w:val="true"/>
        </w:rPr>
        <w:footnoteReference w:id="272"/>
      </w:r>
      <w:r>
        <w:rPr>
          <w:rFonts w:ascii="IRNazanin" w:hAnsi="IRNazanin" w:eastAsia="IRNazanin"/>
          <w:color w:val="111111"/>
          <w:sz w:val="28"/>
          <w:sz w:val="28"/>
          <w:szCs w:val="28"/>
          <w:rtl w:val="true"/>
          <w:lang w:bidi="fa-IR"/>
        </w:rPr>
        <w:t>و الفاضل الاصفهانی</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وط‌ءُ الزوجة حتّی تبلغ تسع سنین إجماعاً بقسمیه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الإجماع لا یکون دلیلاً مستقلاًّ بل یکون مدرکها النصوص التی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 العمدة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الجاریة و هی صغیرة فلا یدخل بها حتّی یأتی لها تسع سنین</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بالجاریة حتّی یأتی لها تسع سنین أو عشر سنین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معتبرة أبی بصیر</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عشر سنین تحمل علی الاستحباب؛ لأنّ التردید فی الحدّ أمر غیر معقول، فلا بدّ من حمل الثانی علی الأفضلیّة، کما قال به السیّد الخوئی</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المراد</w:t>
      </w:r>
      <w:r>
        <w:rPr>
          <w:rStyle w:val="FootnoteAnchor"/>
          <w:rtl w:val="true"/>
        </w:rPr>
        <w:footnoteReference w:id="279"/>
      </w:r>
      <w:r>
        <w:rPr>
          <w:rFonts w:ascii="IRNazanin" w:hAnsi="IRNazanin" w:eastAsia="IRNazanin"/>
          <w:color w:val="111111"/>
          <w:sz w:val="28"/>
          <w:sz w:val="28"/>
          <w:szCs w:val="28"/>
          <w:rtl w:val="true"/>
          <w:lang w:bidi="fa-IR"/>
        </w:rPr>
        <w:t>بالتردید لاختلافهنّ فی کبر الجثّة و صغرها و قوّة</w:t>
      </w:r>
      <w:bookmarkStart w:id="120" w:name="pg11753_114703"/>
    </w:p>
    <w:p>
      <w:pPr>
        <w:pStyle w:val="BookText"/>
        <w:rPr/>
      </w:pPr>
      <w:bookmarkEnd w:id="120"/>
      <w:r>
        <w:rPr>
          <w:rFonts w:ascii="IRNazanin" w:hAnsi="IRNazanin" w:eastAsia="IRNazanin"/>
          <w:color w:val="111111"/>
          <w:sz w:val="28"/>
          <w:sz w:val="28"/>
          <w:szCs w:val="28"/>
          <w:rtl w:val="true"/>
          <w:lang w:bidi="fa-IR"/>
        </w:rPr>
        <w:t>البنیة و ضعفها</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 لکن نقل الصدوق هذه الروایة بطریق موثّق، و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أو عشر</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فالتردید من الراوی لا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الواضح أنّ التردید لیس من الإمام علیه السلام، بل من الراوی</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عمّار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فقل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المرأة أن یدخل بها علی زوجها ابنة تسع سنین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9482554_73709187"/>
      <w:bookmarkStart w:id="122" w:name="_Toc46"/>
      <w:bookmarkEnd w:id="121"/>
      <w:r>
        <w:rPr>
          <w:rtl w:val="true"/>
        </w:rPr>
        <w:t>المطلب الثانی</w:t>
      </w:r>
      <w:r>
        <w:rPr>
          <w:rtl w:val="true"/>
        </w:rPr>
        <w:t xml:space="preserve">: </w:t>
      </w:r>
      <w:r>
        <w:rPr>
          <w:rtl w:val="true"/>
        </w:rPr>
        <w:t>حکم الدخول بالزوجة قبل التسع</w:t>
      </w:r>
      <w:bookmarkEnd w:id="122"/>
    </w:p>
    <w:p>
      <w:pPr>
        <w:pStyle w:val="BookText"/>
        <w:rPr/>
      </w:pPr>
      <w:r>
        <w:rPr>
          <w:rFonts w:ascii="IRNazanin" w:hAnsi="IRNazanin" w:eastAsia="IRNazanin"/>
          <w:color w:val="111111"/>
          <w:sz w:val="28"/>
          <w:sz w:val="28"/>
          <w:szCs w:val="28"/>
          <w:rtl w:val="true"/>
          <w:lang w:bidi="fa-IR"/>
        </w:rPr>
        <w:t>اختلف الفقهاء فی أنّه إذا دخل الزوج بالزوجة الصغیرة قبل التسع من غیر أن یکون إفضاءً لها،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تحرم بذلک مؤبّداً، کما هو الظاهر من کلام الشیخ رحمه الله فی التهذیب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تزوّج بصبیّةٍ فدخل بها قبل أن تبلغ تسع سنین فُرِّق بینهما و لم تحلّ له أبداً</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کذا فی النهایة</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فی نهایة المرام إلی الشیخین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علیه فی التهذیب بما رواه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یزید، عن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خطب الرجل المرأة فدخل بها قبل أن تبلغ تسع</w:t>
      </w:r>
    </w:p>
    <w:p>
      <w:pPr>
        <w:pStyle w:val="BookText"/>
        <w:rPr/>
      </w:pPr>
      <w:r>
        <w:rPr>
          <w:rFonts w:ascii="Amiri" w:hAnsi="Amiri" w:eastAsia="Amiri" w:cs="Amiri"/>
          <w:color w:val="111111"/>
          <w:sz w:val="28"/>
          <w:sz w:val="28"/>
          <w:szCs w:val="28"/>
          <w:rtl w:val="true"/>
          <w:lang w:bidi="ar-SA"/>
        </w:rPr>
        <w:t>سنین فرّق بینهما و لم تحلّ له ابداً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التفرقة فی الوط‌ء فقط دون بینونة العقد و انفساخه بدون الطلاق، کما قال فی نکت النهایة</w:t>
      </w:r>
      <w:r>
        <w:rPr>
          <w:rStyle w:val="FootnoteAnchor"/>
          <w:rtl w:val="true"/>
        </w:rPr>
        <w:footnoteReference w:id="288"/>
      </w:r>
      <w:r>
        <w:rPr>
          <w:rFonts w:ascii="IRNazanin" w:hAnsi="IRNazanin" w:eastAsia="IRNazanin"/>
          <w:color w:val="111111"/>
          <w:sz w:val="28"/>
          <w:sz w:val="28"/>
          <w:szCs w:val="28"/>
          <w:rtl w:val="true"/>
          <w:lang w:bidi="fa-IR"/>
        </w:rPr>
        <w:t>، و لعلّ هذا هو المقصود منه فی کلام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قول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الوط‌ء دون بینونة العقد و انفساخه؛ لإجماع أصحابنا علی أنّ من دخل بامرأة و وطأها و لها دون تسع سنین، و أراد طلاقها طلّقها علی کلّ حالٍ، و لا عدّة علیها بعد الطلاق، فإذا کانت قد بانت بوطئه لها قبل بلوغ التسع فلا حاجة إلی طلاقها</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المختلف</w:t>
      </w:r>
      <w:r>
        <w:rPr>
          <w:rStyle w:val="FootnoteAnchor"/>
          <w:rtl w:val="true"/>
        </w:rPr>
        <w:footnoteReference w:id="290"/>
      </w:r>
      <w:r>
        <w:rPr>
          <w:rFonts w:ascii="IRNazanin" w:hAnsi="IRNazanin" w:eastAsia="IRNazanin"/>
          <w:color w:val="111111"/>
          <w:sz w:val="28"/>
          <w:sz w:val="28"/>
          <w:szCs w:val="28"/>
          <w:rtl w:val="true"/>
          <w:lang w:bidi="fa-IR"/>
        </w:rPr>
        <w:t>و کذا فی التفصیل الشریعة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تنافی بین الحکمین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 العقد، و حرمة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نظائر فی الفقه، مثل باب الظهار و الإیلاء؛ فإنّه قبل الکفّارة و الرجوع إلی الحاکم لا یحلّ له وطؤها بغیر خلاف، و هی زوجته و عقدها باقٍ، مضافاً إلی أنّ الروایة ضعیفة مرسلة، فلا یمکن الاستناد إلیها فی إثبات حکم المخالف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تحرم مؤبّداً إلاّ مع الإفضاء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الإفضاء هو أن تصیر مسلک البول و مسلک الحیض و هو مدخل الذکر واحداً، و هو المشهور بین الفقهاء، بل ظاهر الخلاف الإجماع علیه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خارج عن علم الفقه حتّی یُلزم الفقیه باستنباطها و صدور الرأی</w:t>
      </w:r>
    </w:p>
    <w:p>
      <w:pPr>
        <w:pStyle w:val="BookText"/>
        <w:rPr/>
      </w:pPr>
      <w:r>
        <w:rPr>
          <w:rFonts w:ascii="IRNazanin" w:hAnsi="IRNazanin" w:eastAsia="IRNazanin"/>
          <w:color w:val="111111"/>
          <w:sz w:val="28"/>
          <w:sz w:val="28"/>
          <w:szCs w:val="28"/>
          <w:rtl w:val="true"/>
          <w:lang w:bidi="fa-IR"/>
        </w:rPr>
        <w:t>فیها، بل إمّا أن ترجع إلی علم التشریح إن نظر إلی المعنی، و إمّا إلی علم اللغة إن نظر إلی الوضع اللغوی، فالفقیه یأخذه من هذین العلمین ثمّ یرتّب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قال المحقّق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یُفضها لم تحرم علی الأصحّ‌</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الأقوی، و هو قول أکثر الفقهاء، کالعلاّمة فی بعض کتبه</w:t>
      </w:r>
      <w:r>
        <w:rPr>
          <w:rStyle w:val="FootnoteAnchor"/>
          <w:rtl w:val="true"/>
        </w:rPr>
        <w:footnoteReference w:id="294"/>
      </w:r>
      <w:r>
        <w:rPr>
          <w:rFonts w:ascii="IRNazanin" w:hAnsi="IRNazanin" w:eastAsia="IRNazanin"/>
          <w:color w:val="111111"/>
          <w:sz w:val="28"/>
          <w:sz w:val="28"/>
          <w:szCs w:val="28"/>
          <w:rtl w:val="true"/>
          <w:lang w:bidi="fa-IR"/>
        </w:rPr>
        <w:t>، و ابن فهد</w:t>
      </w:r>
      <w:r>
        <w:rPr>
          <w:rStyle w:val="FootnoteAnchor"/>
          <w:rtl w:val="true"/>
        </w:rPr>
        <w:footnoteReference w:id="295"/>
      </w:r>
      <w:r>
        <w:rPr>
          <w:rFonts w:ascii="IRNazanin" w:hAnsi="IRNazanin" w:eastAsia="IRNazanin"/>
          <w:color w:val="111111"/>
          <w:sz w:val="28"/>
          <w:sz w:val="28"/>
          <w:szCs w:val="28"/>
          <w:rtl w:val="true"/>
          <w:lang w:bidi="fa-IR"/>
        </w:rPr>
        <w:t>و الفاضل الآبی</w:t>
      </w:r>
      <w:r>
        <w:rPr>
          <w:rStyle w:val="FootnoteAnchor"/>
          <w:rtl w:val="true"/>
        </w:rPr>
        <w:footnoteReference w:id="296"/>
      </w:r>
      <w:r>
        <w:rPr>
          <w:rFonts w:ascii="IRNazanin" w:hAnsi="IRNazanin" w:eastAsia="IRNazanin"/>
          <w:color w:val="111111"/>
          <w:sz w:val="28"/>
          <w:sz w:val="28"/>
          <w:szCs w:val="28"/>
          <w:rtl w:val="true"/>
          <w:lang w:bidi="fa-IR"/>
        </w:rPr>
        <w:t>و السیوری</w:t>
      </w:r>
      <w:r>
        <w:rPr>
          <w:rStyle w:val="FootnoteAnchor"/>
          <w:rtl w:val="true"/>
        </w:rPr>
        <w:footnoteReference w:id="297"/>
      </w:r>
      <w:r>
        <w:rPr>
          <w:rFonts w:ascii="IRNazanin" w:hAnsi="IRNazanin" w:eastAsia="IRNazanin"/>
          <w:color w:val="111111"/>
          <w:sz w:val="28"/>
          <w:sz w:val="28"/>
          <w:szCs w:val="28"/>
          <w:rtl w:val="true"/>
          <w:lang w:bidi="fa-IR"/>
        </w:rPr>
        <w:t>و صاحب الجواهر</w:t>
      </w:r>
      <w:r>
        <w:rPr>
          <w:rStyle w:val="FootnoteAnchor"/>
          <w:rtl w:val="true"/>
        </w:rPr>
        <w:footnoteReference w:id="298"/>
      </w:r>
      <w:r>
        <w:rPr>
          <w:rFonts w:ascii="IRNazanin" w:hAnsi="IRNazanin" w:eastAsia="IRNazanin"/>
          <w:color w:val="111111"/>
          <w:sz w:val="28"/>
          <w:sz w:val="28"/>
          <w:szCs w:val="28"/>
          <w:rtl w:val="true"/>
          <w:lang w:bidi="fa-IR"/>
        </w:rPr>
        <w:t>و الشیخ الأعظم</w:t>
      </w:r>
      <w:r>
        <w:rPr>
          <w:rStyle w:val="FootnoteAnchor"/>
          <w:rtl w:val="true"/>
        </w:rPr>
        <w:footnoteReference w:id="299"/>
      </w:r>
      <w:r>
        <w:rPr>
          <w:rFonts w:ascii="IRNazanin" w:hAnsi="IRNazanin" w:eastAsia="IRNazanin"/>
          <w:color w:val="111111"/>
          <w:sz w:val="28"/>
          <w:sz w:val="28"/>
          <w:szCs w:val="28"/>
          <w:rtl w:val="true"/>
          <w:lang w:bidi="fa-IR"/>
        </w:rPr>
        <w:t>، و الشهید</w:t>
      </w:r>
      <w:r>
        <w:rPr>
          <w:rStyle w:val="FootnoteAnchor"/>
          <w:rtl w:val="true"/>
        </w:rPr>
        <w:footnoteReference w:id="300"/>
      </w:r>
      <w:r>
        <w:rPr>
          <w:rFonts w:ascii="IRNazanin" w:hAnsi="IRNazanin" w:eastAsia="IRNazanin"/>
          <w:color w:val="111111"/>
          <w:sz w:val="28"/>
          <w:sz w:val="28"/>
          <w:szCs w:val="28"/>
          <w:rtl w:val="true"/>
          <w:lang w:bidi="fa-IR"/>
        </w:rPr>
        <w:t>و المحقّق الثانیان</w:t>
      </w:r>
      <w:r>
        <w:rPr>
          <w:rStyle w:val="FootnoteAnchor"/>
          <w:rtl w:val="true"/>
        </w:rPr>
        <w:footnoteReference w:id="301"/>
      </w:r>
      <w:r>
        <w:rPr>
          <w:rFonts w:ascii="IRNazanin" w:hAnsi="IRNazanin" w:eastAsia="IRNazanin"/>
          <w:color w:val="111111"/>
          <w:sz w:val="28"/>
          <w:sz w:val="28"/>
          <w:szCs w:val="28"/>
          <w:rtl w:val="true"/>
          <w:lang w:bidi="fa-IR"/>
        </w:rPr>
        <w:t>، و السیّد صاحب المدارک</w:t>
      </w:r>
      <w:r>
        <w:rPr>
          <w:rStyle w:val="FootnoteAnchor"/>
          <w:rtl w:val="true"/>
        </w:rPr>
        <w:footnoteReference w:id="302"/>
      </w:r>
      <w:r>
        <w:rPr>
          <w:rFonts w:ascii="IRNazanin" w:hAnsi="IRNazanin" w:eastAsia="IRNazanin"/>
          <w:color w:val="111111"/>
          <w:sz w:val="28"/>
          <w:sz w:val="28"/>
          <w:szCs w:val="28"/>
          <w:rtl w:val="true"/>
          <w:lang w:bidi="fa-IR"/>
        </w:rPr>
        <w:t>و فخر المحقّقین</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کنز الفوائد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وطئ الزوجة قبل إکمال التسع و لم یتحقّق الإفضاء لا یترتّب علیه إلاّ مجرّد الإثم</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علیه أصالة بقاء الزوجیّة السلیمة عمّا یصلح للمعارضة، و عدم الدلیل علی التحریم، سوی مرسلة یعقوب بن یزید التی استدلّ بها الشیخ کما تقدّم، و هی کما تری ضعیفة بالإرسال و لم تنجبر بعمل المشهور، فلا تنهض حجّةً فی رفع الید</w:t>
      </w:r>
      <w:bookmarkStart w:id="123" w:name="pg11753_114706"/>
    </w:p>
    <w:p>
      <w:pPr>
        <w:pStyle w:val="BookText"/>
        <w:rPr/>
      </w:pPr>
      <w:bookmarkEnd w:id="123"/>
      <w:r>
        <w:rPr>
          <w:rFonts w:ascii="IRNazanin" w:hAnsi="IRNazanin" w:eastAsia="IRNazanin"/>
          <w:color w:val="111111"/>
          <w:sz w:val="28"/>
          <w:sz w:val="28"/>
          <w:szCs w:val="28"/>
          <w:rtl w:val="true"/>
          <w:lang w:bidi="fa-IR"/>
        </w:rPr>
        <w:t>عن الاُصول القطعیّة الثابتة من حصول الحلّیة بعقد النکاح و الأصل بقاؤها، فلا بدّ من حملها علی صورة الإفضاء التی لا خلاف فی کونها سبباً للتحریم المؤبّد مع بقاء الزوجیّة</w:t>
      </w:r>
      <w:r>
        <w:rPr>
          <w:rFonts w:eastAsia="IRNazanin" w:cs="IRNazanin"/>
          <w:color w:val="111111"/>
          <w:sz w:val="28"/>
          <w:szCs w:val="28"/>
          <w:rtl w:val="true"/>
          <w:lang w:bidi="fa-IR"/>
        </w:rPr>
        <w:t>.</w:t>
      </w:r>
    </w:p>
    <w:p>
      <w:pPr>
        <w:pStyle w:val="Heading5"/>
        <w:numPr>
          <w:ilvl w:val="4"/>
          <w:numId w:val="1"/>
        </w:numPr>
        <w:rPr/>
      </w:pPr>
      <w:bookmarkStart w:id="124" w:name="__RefHeading___Toc9482556_73709187"/>
      <w:bookmarkStart w:id="125" w:name="_Toc47"/>
      <w:bookmarkEnd w:id="124"/>
      <w:r>
        <w:rPr>
          <w:rtl w:val="true"/>
        </w:rPr>
        <w:t>المطلب الثالث</w:t>
      </w:r>
      <w:r>
        <w:rPr>
          <w:rtl w:val="true"/>
        </w:rPr>
        <w:t xml:space="preserve">: </w:t>
      </w:r>
      <w:r>
        <w:rPr>
          <w:rtl w:val="true"/>
        </w:rPr>
        <w:t>عدم کون الإفضاء موجباً للبینونة</w:t>
      </w:r>
      <w:bookmarkEnd w:id="125"/>
    </w:p>
    <w:p>
      <w:pPr>
        <w:pStyle w:val="BookText"/>
        <w:rPr/>
      </w:pPr>
      <w:r>
        <w:rPr>
          <w:rFonts w:ascii="IRNazanin" w:hAnsi="IRNazanin" w:eastAsia="IRNazanin"/>
          <w:color w:val="111111"/>
          <w:sz w:val="28"/>
          <w:sz w:val="28"/>
          <w:szCs w:val="28"/>
          <w:rtl w:val="true"/>
          <w:lang w:bidi="fa-IR"/>
        </w:rPr>
        <w:t>هل تبین الزوجة الصغیرة من الزوج بمجرّد الإفضاء، و ینفسخ العقد و لا یحتاج إلی الطلاق، أو تبقی فی حباله و لا تبین منه إلاّ بالطلاق،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ابن حمزة</w:t>
      </w:r>
      <w:r>
        <w:rPr>
          <w:rStyle w:val="FootnoteAnchor"/>
          <w:rtl w:val="true"/>
        </w:rPr>
        <w:footnoteReference w:id="306"/>
      </w:r>
      <w:r>
        <w:rPr>
          <w:rFonts w:ascii="IRNazanin" w:hAnsi="IRNazanin" w:eastAsia="IRNazanin"/>
          <w:color w:val="111111"/>
          <w:sz w:val="28"/>
          <w:sz w:val="28"/>
          <w:szCs w:val="28"/>
          <w:rtl w:val="true"/>
          <w:lang w:bidi="fa-IR"/>
        </w:rPr>
        <w:t>، و اختاره المحقّق 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ابن حمزة لیس ببعید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و علّل بأنّ التحریم المؤبّد ینافی النکاح بحیث لا ینسجم القول بالتحریم مع بقاء الزوجیّة، و لأنّ التحریم المؤبّد یمنع النکاح سابقاً فیبطله لاحقاً، کالرضاع و اللعان و القذف للزوجة الصمّاء</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الشیخ الأعظم بأنّ انحصار ثمرة النکاح فی حلّ الاستمتاع إنّما یوجب عدم جواز ابتداء النکاح علی من یحرم مؤبّداً، و لا یوجب إبطال نکاح الثابت سابقاً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تبقی فی حباله و لا تبین منه إلاّ بطلاقٍ، صرّح به ابن الجنید کما فی المختلف</w:t>
      </w:r>
      <w:r>
        <w:rPr>
          <w:rStyle w:val="FootnoteAnchor"/>
          <w:rtl w:val="true"/>
        </w:rPr>
        <w:footnoteReference w:id="309"/>
      </w:r>
      <w:r>
        <w:rPr>
          <w:rFonts w:ascii="IRNazanin" w:hAnsi="IRNazanin" w:eastAsia="IRNazanin"/>
          <w:color w:val="111111"/>
          <w:sz w:val="28"/>
          <w:sz w:val="28"/>
          <w:szCs w:val="28"/>
          <w:rtl w:val="true"/>
          <w:lang w:bidi="fa-IR"/>
        </w:rPr>
        <w:t>، و هو ظاهر کلام المفید أیضاً</w:t>
      </w:r>
      <w:r>
        <w:rPr>
          <w:rStyle w:val="FootnoteAnchor"/>
          <w:rtl w:val="true"/>
        </w:rPr>
        <w:footnoteReference w:id="310"/>
      </w:r>
      <w:r>
        <w:rPr>
          <w:rFonts w:ascii="IRNazanin" w:hAnsi="IRNazanin" w:eastAsia="IRNazanin"/>
          <w:color w:val="111111"/>
          <w:sz w:val="28"/>
          <w:sz w:val="28"/>
          <w:szCs w:val="28"/>
          <w:rtl w:val="true"/>
          <w:lang w:bidi="fa-IR"/>
        </w:rPr>
        <w:t>، و قال ابن إدریس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تحرم علیه مؤبّداً و کان مخیّراً بین إمساکها و تطلیقها</w:t>
      </w:r>
      <w:r>
        <w:rPr>
          <w:rStyle w:val="FootnoteAnchor"/>
          <w:rtl w:val="true"/>
        </w:rPr>
        <w:footnoteReference w:id="311"/>
      </w:r>
      <w:bookmarkStart w:id="126" w:name="pg11753_114707"/>
    </w:p>
    <w:p>
      <w:pPr>
        <w:pStyle w:val="BookText"/>
        <w:rPr/>
      </w:pPr>
      <w:bookmarkEnd w:id="126"/>
      <w:r>
        <w:rPr>
          <w:rFonts w:ascii="IRNazanin" w:hAnsi="IRNazanin" w:eastAsia="IRNazanin"/>
          <w:color w:val="111111"/>
          <w:sz w:val="28"/>
          <w:sz w:val="28"/>
          <w:szCs w:val="28"/>
          <w:rtl w:val="true"/>
          <w:lang w:bidi="fa-IR"/>
        </w:rPr>
        <w:t>و تدلّ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بقاء العقد الذی ثبت أوّلاً، و التحریم لأمرٍ عارض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حمران عن أبی عبد اللّه علیه السلام، لأنّه قال فی ذیلها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أمسکها و لم یُطلّقها حتّی تموت فلا شیء علیه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تدلّ علی أنّ له إمساکها و تطلیقها، و هو یقتضی بقاء النکاح، و أنّه بمجرّد الإفضاء لا ینفسخ العقد بل یحتاج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برید بن معاویة،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أمسکها و لم یطلّقها فلا شیء علیه، إن شاء أمسک و إن شاء طلّق</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یترتّب علی القولین فی المقام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أحد الزوجین توارثا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التزویج بأُختها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 الخامسة لو کانت رابعة علی الثانی دون الأوّل</w:t>
      </w:r>
      <w:r>
        <w:rPr>
          <w:rFonts w:eastAsia="IRNazanin" w:cs="IRNazanin"/>
          <w:color w:val="111111"/>
          <w:sz w:val="28"/>
          <w:szCs w:val="28"/>
          <w:rtl w:val="true"/>
          <w:lang w:bidi="fa-IR"/>
        </w:rPr>
        <w:t>.</w:t>
      </w:r>
    </w:p>
    <w:p>
      <w:pPr>
        <w:pStyle w:val="Heading5"/>
        <w:numPr>
          <w:ilvl w:val="4"/>
          <w:numId w:val="1"/>
        </w:numPr>
        <w:rPr/>
      </w:pPr>
      <w:bookmarkStart w:id="127" w:name="__RefHeading___Toc9482558_73709187"/>
      <w:bookmarkStart w:id="128" w:name="_Toc48"/>
      <w:bookmarkEnd w:id="127"/>
      <w:r>
        <w:rPr>
          <w:rtl w:val="true"/>
        </w:rPr>
        <w:t>المطلب الرابع</w:t>
      </w:r>
      <w:r>
        <w:rPr>
          <w:rtl w:val="true"/>
        </w:rPr>
        <w:t xml:space="preserve">: </w:t>
      </w:r>
      <w:r>
        <w:rPr>
          <w:rtl w:val="true"/>
        </w:rPr>
        <w:t>وجوب الدیة بالإفضاء</w:t>
      </w:r>
      <w:bookmarkEnd w:id="128"/>
    </w:p>
    <w:p>
      <w:pPr>
        <w:pStyle w:val="Heading6"/>
        <w:numPr>
          <w:ilvl w:val="5"/>
          <w:numId w:val="1"/>
        </w:numPr>
        <w:rPr/>
      </w:pPr>
      <w:bookmarkStart w:id="129" w:name="__RefHeading___Toc9482560_73709187"/>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یجب علی الزوج إذا أفضی الزوجة الصغیرة، الدیة؛ و هی دیة النفس، ففی الحرّة نصف دیة الرجُل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تتزوّج</w:t>
      </w:r>
      <w:r>
        <w:rPr>
          <w:rStyle w:val="FootnoteAnchor"/>
          <w:rtl w:val="true"/>
        </w:rPr>
        <w:footnoteReference w:id="314"/>
      </w:r>
      <w:r>
        <w:rPr>
          <w:rFonts w:ascii="Amiri" w:hAnsi="Amiri" w:eastAsia="Amiri" w:cs="Amiri"/>
          <w:color w:val="111111"/>
          <w:sz w:val="28"/>
          <w:sz w:val="28"/>
          <w:szCs w:val="28"/>
          <w:rtl w:val="true"/>
          <w:lang w:bidi="ar-SA"/>
        </w:rPr>
        <w:t>امرأة حتّی تبلغ تسع سنین، فإن تَزوَّجتَها</w:t>
      </w:r>
    </w:p>
    <w:p>
      <w:pPr>
        <w:pStyle w:val="BookText"/>
        <w:rPr/>
      </w:pPr>
      <w:r>
        <w:rPr>
          <w:rFonts w:ascii="IRNazanin" w:hAnsi="IRNazanin" w:eastAsia="IRNazanin"/>
          <w:color w:val="111111"/>
          <w:sz w:val="28"/>
          <w:sz w:val="28"/>
          <w:szCs w:val="28"/>
          <w:rtl w:val="true"/>
          <w:lang w:bidi="fa-IR"/>
        </w:rPr>
        <w:t>قبل أن تبلغ تسع سنین فأصابها عیبٌ فأنت ضامن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و المراد بالضمان هو الدیة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الرجل إذا جامع الصبیّة و لها دون تسع سنین فأفضاها کان علیه دیة نفسها</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إشکال بل و لا خلاف معتدّ به فی وجوب الدیة بإفضاء الزوجة قبل بلوغها التسع، بل عن الشیخ فی الخلاف الإجماع علیه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تدلّ علیه النصوص المتضافرة، و 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ثبوت الدیة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تزوّج جاریة بکراً لم تدرک، فلمّا دخل بها اقتضّها</w:t>
      </w:r>
      <w:r>
        <w:rPr>
          <w:rStyle w:val="FootnoteAnchor"/>
          <w:rtl w:val="true"/>
        </w:rPr>
        <w:footnoteReference w:id="320"/>
      </w:r>
      <w:r>
        <w:rPr>
          <w:rFonts w:ascii="IRNazanin" w:hAnsi="IRNazanin" w:eastAsia="IRNazanin"/>
          <w:color w:val="111111"/>
          <w:sz w:val="28"/>
          <w:sz w:val="28"/>
          <w:szCs w:val="28"/>
          <w:rtl w:val="true"/>
          <w:lang w:bidi="fa-IR"/>
        </w:rPr>
        <w:t>فأفضاها؟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دخل بها حین دخل بها و لها تسع سنین فلا شیء علیه، و إن کانت لم تبلغ تسع سنین أو کان لها أقلّ من ذلک بقلیلٍ حین اقتضّها؛ فإنّه قد أفسدها و عطّلها علی الأزواج، فعلی الإمام أن یغرمه دیتها، و إن أمسکها و لم یطلّقها حتّی تموت فلا شیء علیه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صریحة فی ثبوت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ذیلها، فظاهر فی أنّه إن وقع الصلح بینهما بإمساکها إلی آخر عمرها فلا شیء علیه</w:t>
      </w:r>
      <w:r>
        <w:rPr>
          <w:rFonts w:eastAsia="IRNazanin" w:cs="IRNazanin"/>
          <w:color w:val="111111"/>
          <w:sz w:val="28"/>
          <w:szCs w:val="28"/>
          <w:rtl w:val="true"/>
          <w:lang w:bidi="fa-IR"/>
        </w:rPr>
        <w:t>.</w:t>
      </w:r>
      <w:bookmarkStart w:id="131" w:name="pg11753_114709"/>
    </w:p>
    <w:p>
      <w:pPr>
        <w:pStyle w:val="BookText"/>
        <w:rPr/>
      </w:pPr>
      <w:bookmarkEnd w:id="13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وقع بجاریةٍ فأفضاها و کانت إذا نزلت بتلک المنزلة لم تلد؟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التی ذکرها الصدوق رحمه الله</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خبر برید بن معاویة المتقدِّمة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9482562_73709187"/>
      <w:bookmarkStart w:id="133" w:name="_Toc50"/>
      <w:bookmarkEnd w:id="132"/>
      <w:r>
        <w:rPr>
          <w:rtl w:val="true"/>
        </w:rPr>
        <w:t>الطائفة الثانیة</w:t>
      </w:r>
      <w:r>
        <w:rPr>
          <w:rtl w:val="true"/>
        </w:rPr>
        <w:t>:</w:t>
      </w:r>
      <w:bookmarkEnd w:id="133"/>
    </w:p>
    <w:p>
      <w:pPr>
        <w:pStyle w:val="BookText"/>
        <w:rPr/>
      </w:pPr>
      <w:r>
        <w:rPr>
          <w:rFonts w:ascii="IRNazanin" w:hAnsi="IRNazanin" w:eastAsia="IRNazanin"/>
          <w:color w:val="111111"/>
          <w:sz w:val="28"/>
          <w:sz w:val="28"/>
          <w:szCs w:val="28"/>
          <w:rtl w:val="true"/>
          <w:lang w:bidi="fa-IR"/>
        </w:rPr>
        <w:t>روایاتٌ تدلّ علی ثبوت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وطئ امرأتَه قبل تسع سنین فأصابها عیبٌ فهو ضامِنٌ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 xml:space="preserve">إسحاق بن عمّار، عن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امرأة من قبل أن یتمّ لها تسع سنین فأعنف ضَمِنَ</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غیاث بن إبراهیم عن جعفر، عن أبیه، عن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توطأ جاریة لأقلّ من عشر سنین، فإن فعل فَعیبَتْ فقد ضَمِنَ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استحباب التأخیر، أو علی الدخول فی أوّل السنة العاشرة</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بالعیب هو الإفضاء؛ فإنّه لا عیب هنا</w:t>
      </w:r>
    </w:p>
    <w:p>
      <w:pPr>
        <w:pStyle w:val="BookText"/>
        <w:rPr/>
      </w:pPr>
      <w:r>
        <w:rPr>
          <w:rFonts w:ascii="Amiri" w:hAnsi="Amiri" w:eastAsia="Amiri" w:cs="Amiri"/>
          <w:color w:val="111111"/>
          <w:sz w:val="28"/>
          <w:sz w:val="28"/>
          <w:szCs w:val="28"/>
          <w:rtl w:val="true"/>
          <w:lang w:bidi="ar-SA"/>
        </w:rPr>
        <w:t>سواه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طلحة بن زید، عن جعفر، عن أبیه، عن علی علیهم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بکراً فدخل بها فی أقلّ من تسع سنین فَعیبَتْ ضَمِنَ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من ملاحظة تلک الصحاح المتقدّمة فی الطائفة الاُولی یتّضح المراد من الضمان فی نصوص الطائفة الثانیة، و أنّه هو الدیة الکاملة؛ فإنّ هذه النصوص تکون مفسّرة لها، و هو ظاهر کلام الشیخ فی الخلاف؛ لأنّه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ضمانها بدیتها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الضمان و الأرش الواقعان فی بعض کلمات الأصحاب یحملان علی الدیة</w:t>
      </w:r>
      <w:r>
        <w:rPr>
          <w:rStyle w:val="FootnoteAnchor"/>
          <w:rtl w:val="true"/>
        </w:rPr>
        <w:footnoteReference w:id="331"/>
      </w:r>
      <w:r>
        <w:rPr>
          <w:rFonts w:ascii="IRNazanin" w:hAnsi="IRNazanin" w:eastAsia="IRNazanin"/>
          <w:color w:val="111111"/>
          <w:sz w:val="28"/>
          <w:sz w:val="28"/>
          <w:szCs w:val="28"/>
          <w:rtl w:val="true"/>
          <w:lang w:bidi="fa-IR"/>
        </w:rPr>
        <w:t>، و لکن بإزاء هذه النصوص الصحیحة و غیرها معتبرة</w:t>
      </w:r>
    </w:p>
    <w:p>
      <w:pPr>
        <w:pStyle w:val="BookText"/>
        <w:rPr/>
      </w:pPr>
      <w:r>
        <w:rPr>
          <w:rFonts w:ascii="IRNazanin" w:hAnsi="IRNazanin" w:eastAsia="IRNazanin"/>
          <w:color w:val="111111"/>
          <w:sz w:val="28"/>
          <w:sz w:val="28"/>
          <w:szCs w:val="28"/>
          <w:rtl w:val="true"/>
          <w:lang w:bidi="fa-IR"/>
        </w:rPr>
        <w:t>السکونی، عن جعفر،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أفضی امرأة فقوّمها قیمة الأمَة الصحیحة و قیمتها مفضاة، ثمّ نظر ما بین ذلک فجعل من دیتها و أجبر الزوج علی إمساکها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المعتبرة تدلّ علی الضمان بمقدار اختلاف قیمتها صحیحة و مفضاة، فتکون معارضة للصحاح المتقدِّمة؛ حیث دلّت علی ضمانه بالدیة الکاملة، و هذه لا تدلّ علی الدیة، بل علی الأرش، و اللاّزم حمل هذه الطائفة علی التقیّة؛ لمخالفتها للنصوص الکثیرة التی کانت أصحّ سنداً منها، و موافقتها لبعض العامّة کما ذکر ذلک</w:t>
      </w:r>
      <w:bookmarkStart w:id="134" w:name="pg11753_114711"/>
    </w:p>
    <w:p>
      <w:pPr>
        <w:pStyle w:val="BookText"/>
        <w:rPr/>
      </w:pPr>
      <w:bookmarkEnd w:id="134"/>
      <w:r>
        <w:rPr>
          <w:rFonts w:ascii="IRNazanin" w:hAnsi="IRNazanin" w:eastAsia="IRNazanin"/>
          <w:color w:val="111111"/>
          <w:sz w:val="28"/>
          <w:sz w:val="28"/>
          <w:szCs w:val="28"/>
          <w:rtl w:val="true"/>
          <w:lang w:bidi="fa-IR"/>
        </w:rPr>
        <w:t>فی الاستبصار</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ظاهر معتبرة السکونی فی الکبیرة؛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ظاهرة فی البالغة</w:t>
      </w:r>
      <w:r>
        <w:rPr>
          <w:rFonts w:eastAsia="IRNazanin" w:cs="IRNazanin"/>
          <w:color w:val="111111"/>
          <w:sz w:val="28"/>
          <w:szCs w:val="28"/>
          <w:rtl w:val="true"/>
          <w:lang w:bidi="fa-IR"/>
        </w:rPr>
        <w:t>.</w:t>
      </w:r>
    </w:p>
    <w:p>
      <w:pPr>
        <w:pStyle w:val="Heading5"/>
        <w:numPr>
          <w:ilvl w:val="4"/>
          <w:numId w:val="1"/>
        </w:numPr>
        <w:rPr/>
      </w:pPr>
      <w:bookmarkStart w:id="135" w:name="__RefHeading___Toc9482564_73709187"/>
      <w:bookmarkStart w:id="136" w:name="_Toc51"/>
      <w:bookmarkEnd w:id="135"/>
      <w:r>
        <w:rPr>
          <w:rtl w:val="true"/>
        </w:rPr>
        <w:t>المطلب الخامس</w:t>
      </w:r>
      <w:r>
        <w:rPr>
          <w:rtl w:val="true"/>
        </w:rPr>
        <w:t xml:space="preserve">: </w:t>
      </w:r>
      <w:r>
        <w:rPr>
          <w:rtl w:val="true"/>
        </w:rPr>
        <w:t>وجوب نفقتها علی الزوج</w:t>
      </w:r>
      <w:bookmarkEnd w:id="136"/>
    </w:p>
    <w:p>
      <w:pPr>
        <w:pStyle w:val="BookText"/>
        <w:rPr/>
      </w:pPr>
      <w:r>
        <w:rPr>
          <w:rFonts w:ascii="IRNazanin" w:hAnsi="IRNazanin" w:eastAsia="IRNazanin"/>
          <w:color w:val="111111"/>
          <w:sz w:val="28"/>
          <w:sz w:val="28"/>
          <w:szCs w:val="28"/>
          <w:rtl w:val="true"/>
          <w:lang w:bidi="fa-IR"/>
        </w:rPr>
        <w:t>یجب علی الزوج إذا أفضی زوجته الصغیرة نفقتها ما دامت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جامعها و أفضاها حرم علیه وطؤها أبداً، و وجب علیه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 و الإنفاق علیها مدّة حیاتها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ابن سعید</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فی الجملة محلّ وفاقٍ، و لم ینقل فیه الخلاف عن أحدٍ، و ظاهر کلام الشیخ فی الخلاف إجماع الفرقة علیه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 الحکم أیضاً صحیح</w:t>
      </w:r>
    </w:p>
    <w:p>
      <w:pPr>
        <w:pStyle w:val="BookText"/>
        <w:rPr/>
      </w:pPr>
      <w:r>
        <w:rPr>
          <w:rFonts w:ascii="IRNazanin" w:hAnsi="IRNazanin" w:eastAsia="IRNazanin"/>
          <w:color w:val="111111"/>
          <w:sz w:val="28"/>
          <w:sz w:val="28"/>
          <w:szCs w:val="28"/>
          <w:rtl w:val="true"/>
          <w:lang w:bidi="fa-IR"/>
        </w:rPr>
        <w:t>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جاریة فوقع بها فأفضاها؟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الإجراء علیها، ما دامت حیّة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بالإجراء، إجراء النفقة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وجوب الإنفاق علیها و إن طلّقها، بل و إن تزوّجت بعد الطلاق لصحیحة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إطلاق السؤال و ترک الاستفصال فی الجواب عدم الفرق بین صورة الطلاق و عدمه، و فی الصورة الاُولی بین ما إذا تزوّجت بعده أم لا، خصوصاً مع التعبیر 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دامت حیّة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137" w:name="pg11753_114712"/>
    </w:p>
    <w:p>
      <w:pPr>
        <w:pStyle w:val="Heading5"/>
        <w:numPr>
          <w:ilvl w:val="4"/>
          <w:numId w:val="1"/>
        </w:numPr>
        <w:rPr/>
      </w:pPr>
      <w:bookmarkStart w:id="138" w:name="__RefHeading___Toc9482566_73709187"/>
      <w:bookmarkStart w:id="139" w:name="_Toc52"/>
      <w:bookmarkEnd w:id="137"/>
      <w:bookmarkEnd w:id="138"/>
      <w:r>
        <w:rPr>
          <w:rtl w:val="true"/>
        </w:rPr>
        <w:t>المطلب السادس</w:t>
      </w:r>
      <w:r>
        <w:rPr>
          <w:rtl w:val="true"/>
        </w:rPr>
        <w:t xml:space="preserve">: </w:t>
      </w:r>
      <w:r>
        <w:rPr>
          <w:rtl w:val="true"/>
        </w:rPr>
        <w:t>وجوب المهر لها</w:t>
      </w:r>
      <w:bookmarkEnd w:id="139"/>
    </w:p>
    <w:p>
      <w:pPr>
        <w:pStyle w:val="BookText"/>
        <w:rPr/>
      </w:pPr>
      <w:r>
        <w:rPr>
          <w:rFonts w:ascii="IRNazanin" w:hAnsi="IRNazanin" w:eastAsia="IRNazanin"/>
          <w:color w:val="111111"/>
          <w:sz w:val="28"/>
          <w:sz w:val="28"/>
          <w:szCs w:val="28"/>
          <w:rtl w:val="true"/>
          <w:lang w:bidi="fa-IR"/>
        </w:rPr>
        <w:t>یجب علی الزوج إذا أفضی زوجته الصغیرة المهر لها؛ لإطلاق ما دلّ علی وجوبه الشامل للمقام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المهر فی المفضاة حکمه فی غیرها، و إنّما تعرّض الفقهاء هُنا لئلاّ یتوهّم دخوله فی الدیة</w:t>
      </w:r>
      <w:r>
        <w:rPr>
          <w:rFonts w:eastAsia="IRNazanin" w:cs="IRNazanin"/>
          <w:color w:val="111111"/>
          <w:sz w:val="28"/>
          <w:szCs w:val="28"/>
          <w:rtl w:val="true"/>
          <w:lang w:bidi="fa-IR"/>
        </w:rPr>
        <w:t>.</w:t>
      </w:r>
    </w:p>
    <w:p>
      <w:pPr>
        <w:pStyle w:val="Heading5"/>
        <w:numPr>
          <w:ilvl w:val="4"/>
          <w:numId w:val="1"/>
        </w:numPr>
        <w:rPr/>
      </w:pPr>
      <w:bookmarkStart w:id="140" w:name="__RefHeading___Toc9482568_73709187"/>
      <w:bookmarkStart w:id="141" w:name="_Toc53"/>
      <w:bookmarkEnd w:id="140"/>
      <w:r>
        <w:rPr>
          <w:rtl w:val="true"/>
        </w:rPr>
        <w:t>المطلب السابع</w:t>
      </w:r>
      <w:r>
        <w:rPr>
          <w:rtl w:val="true"/>
        </w:rPr>
        <w:t xml:space="preserve">: </w:t>
      </w:r>
      <w:r>
        <w:rPr>
          <w:rtl w:val="true"/>
        </w:rPr>
        <w:t>جواز وطئها لو اندمل الموضع</w:t>
      </w:r>
      <w:bookmarkEnd w:id="141"/>
    </w:p>
    <w:p>
      <w:pPr>
        <w:pStyle w:val="Heading6"/>
        <w:numPr>
          <w:ilvl w:val="5"/>
          <w:numId w:val="1"/>
        </w:numPr>
        <w:rPr/>
      </w:pPr>
      <w:bookmarkStart w:id="142" w:name="__RefHeading___Toc9482570_73709187"/>
      <w:bookmarkStart w:id="143" w:name="_Toc54"/>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لو اندمل الموضع بعد الإفضاء و صلح للوط‌ء یحتمل التحریم؛ للاستصحاب علی القول بجریانه فی الأحکام الکلّیة الإلهیّة؛ لأنّه قد حُکِمَ بالتحریم للإفضاء، و الأصل بقاؤه، اختاره الفاضل المقداد</w:t>
      </w:r>
      <w:r>
        <w:rPr>
          <w:rStyle w:val="FootnoteAnchor"/>
          <w:rtl w:val="true"/>
        </w:rPr>
        <w:footnoteReference w:id="339"/>
      </w:r>
      <w:r>
        <w:rPr>
          <w:rFonts w:ascii="IRNazanin" w:hAnsi="IRNazanin" w:eastAsia="IRNazanin"/>
          <w:color w:val="111111"/>
          <w:sz w:val="28"/>
          <w:sz w:val="28"/>
          <w:szCs w:val="28"/>
          <w:rtl w:val="true"/>
          <w:lang w:bidi="fa-IR"/>
        </w:rPr>
        <w:t>و صاحب الجواهر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عَودُ الحِلّ لزوال سبب التحریم فیزول مسبّبهُ، حکاه فی کشف اللثام قولاً فی موضعٍ منه و حَکَمَ بالحلّ فی موضع آخر</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لیس</w:t>
      </w:r>
      <w:r>
        <w:rPr>
          <w:rStyle w:val="FootnoteAnchor"/>
          <w:rtl w:val="true"/>
        </w:rPr>
        <w:footnoteReference w:id="342"/>
      </w:r>
      <w:r>
        <w:rPr>
          <w:rFonts w:ascii="IRNazanin" w:hAnsi="IRNazanin" w:eastAsia="IRNazanin"/>
          <w:color w:val="111111"/>
          <w:sz w:val="28"/>
          <w:sz w:val="28"/>
          <w:szCs w:val="28"/>
          <w:rtl w:val="true"/>
          <w:lang w:bidi="fa-IR"/>
        </w:rPr>
        <w:t>ببعیدٍ؛ لأنّه بعد الاندمال لا دلیل علی حرمته، و أیضاً قد تبدّل الموضوع فلا یجری الاستصحاب، مضافاً إلی أنّ جواز وطئها حقّ طبیعیّ لها، و لا دلیل علی حرمته إلاّ إفضاؤُها، و الفرض أنّه صارت صحیحة بعد اندمال الموضع فیجوز إلاّ أن یقال بأنّ جواز الوط‌ء مخالف لإطلاق روایة یعقوب بن یزید المتقدّمة</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أنّها ضعیفة مرسلة، و اللّه هو العالم بحکمه</w:t>
      </w:r>
      <w:r>
        <w:rPr>
          <w:rFonts w:eastAsia="IRNazanin" w:cs="IRNazanin"/>
          <w:color w:val="111111"/>
          <w:sz w:val="28"/>
          <w:szCs w:val="28"/>
          <w:rtl w:val="true"/>
          <w:lang w:bidi="fa-IR"/>
        </w:rPr>
        <w:t>.</w:t>
      </w:r>
      <w:bookmarkStart w:id="144" w:name="pg11753_114713"/>
    </w:p>
    <w:p>
      <w:pPr>
        <w:pStyle w:val="Heading6"/>
        <w:numPr>
          <w:ilvl w:val="5"/>
          <w:numId w:val="1"/>
        </w:numPr>
        <w:rPr/>
      </w:pPr>
      <w:bookmarkStart w:id="145" w:name="__RefHeading___Toc9482572_73709187"/>
      <w:bookmarkStart w:id="146" w:name="_Toc55"/>
      <w:bookmarkEnd w:id="144"/>
      <w:bookmarkEnd w:id="145"/>
      <w:r>
        <w:rPr>
          <w:rtl w:val="true"/>
        </w:rPr>
        <w:t>آراء فقهاء أهل السنّة فی جواز وط‌ء الصغیرة قبل التسع</w:t>
      </w:r>
      <w:bookmarkEnd w:id="146"/>
    </w:p>
    <w:p>
      <w:pPr>
        <w:pStyle w:val="BookText"/>
        <w:rPr/>
      </w:pPr>
      <w:r>
        <w:rPr>
          <w:rFonts w:ascii="IRNazanin" w:hAnsi="IRNazanin" w:eastAsia="IRNazanin"/>
          <w:color w:val="111111"/>
          <w:sz w:val="28"/>
          <w:sz w:val="28"/>
          <w:szCs w:val="28"/>
          <w:rtl w:val="true"/>
          <w:lang w:bidi="fa-IR"/>
        </w:rPr>
        <w:t>یستفاد من کلماتهم فی باب النفقة و المهر و الدیة أنّه إذا کانت الزوجة صغیرة تطیق الوط‌ء و تحمّلت الرجل یجوز وطؤها، و لنشیر إلی شطرٍ من کلماتهم</w:t>
      </w:r>
      <w:r>
        <w:rPr>
          <w:rFonts w:eastAsia="IRNazanin" w:cs="IRNazanin"/>
          <w:color w:val="111111"/>
          <w:sz w:val="28"/>
          <w:szCs w:val="28"/>
          <w:rtl w:val="true"/>
          <w:lang w:bidi="fa-IR"/>
        </w:rPr>
        <w:t>.</w:t>
      </w:r>
    </w:p>
    <w:p>
      <w:pPr>
        <w:pStyle w:val="Heading6"/>
        <w:numPr>
          <w:ilvl w:val="5"/>
          <w:numId w:val="1"/>
        </w:numPr>
        <w:rPr/>
      </w:pPr>
      <w:bookmarkStart w:id="147" w:name="__RefHeading___Toc9482574_73709187"/>
      <w:bookmarkStart w:id="148" w:name="_Toc56"/>
      <w:bookmarkEnd w:id="147"/>
      <w:r>
        <w:rPr>
          <w:rtl w:val="true"/>
        </w:rPr>
        <w:t xml:space="preserve">أ </w:t>
      </w:r>
      <w:r>
        <w:rPr>
          <w:rtl w:val="true"/>
        </w:rPr>
        <w:t xml:space="preserve">- </w:t>
      </w:r>
      <w:r>
        <w:rPr>
          <w:rtl w:val="true"/>
        </w:rPr>
        <w:t>الحنفیّة</w:t>
      </w:r>
      <w:bookmarkEnd w:id="148"/>
    </w:p>
    <w:p>
      <w:pPr>
        <w:pStyle w:val="BookText"/>
        <w:rPr/>
      </w:pPr>
      <w:r>
        <w:rPr>
          <w:rFonts w:ascii="IRNazanin" w:hAnsi="IRNazanin" w:eastAsia="IRNazanin"/>
          <w:color w:val="111111"/>
          <w:sz w:val="28"/>
          <w:sz w:val="28"/>
          <w:szCs w:val="28"/>
          <w:rtl w:val="true"/>
          <w:lang w:bidi="fa-IR"/>
        </w:rPr>
        <w:t>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نفقة الزوجة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صغیرة تطیق الوط‌ء، فإنّ السمینة الضخمة تحتمل الجماع و لو کانت صغیرة السنّ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 الصغیرة المطالبة بالمهر، و للزوج المطالبة بتسلیمها إن تحمّلت الرجل</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 کلامه یدلّ علی جواز وط‌ء الصغیرة بشرط إطاقتها الوط‌ء</w:t>
      </w:r>
      <w:r>
        <w:rPr>
          <w:rFonts w:eastAsia="IRNazanin" w:cs="IRNazanin"/>
          <w:color w:val="111111"/>
          <w:sz w:val="28"/>
          <w:szCs w:val="28"/>
          <w:rtl w:val="true"/>
          <w:lang w:bidi="fa-IR"/>
        </w:rPr>
        <w:t>.</w:t>
      </w:r>
    </w:p>
    <w:p>
      <w:pPr>
        <w:pStyle w:val="Heading6"/>
        <w:numPr>
          <w:ilvl w:val="5"/>
          <w:numId w:val="1"/>
        </w:numPr>
        <w:rPr/>
      </w:pPr>
      <w:bookmarkStart w:id="149" w:name="__RefHeading___Toc9482576_73709187"/>
      <w:bookmarkStart w:id="150" w:name="_Toc57"/>
      <w:bookmarkEnd w:id="149"/>
      <w:r>
        <w:rPr>
          <w:rtl w:val="true"/>
        </w:rPr>
        <w:t xml:space="preserve">ب </w:t>
      </w:r>
      <w:r>
        <w:rPr>
          <w:rtl w:val="true"/>
        </w:rPr>
        <w:t xml:space="preserve">- </w:t>
      </w:r>
      <w:r>
        <w:rPr>
          <w:rtl w:val="true"/>
        </w:rPr>
        <w:t>المالکیّة</w:t>
      </w:r>
      <w:bookmarkEnd w:id="15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شرائط وجوب النفقة إطاقة الزوجة للوط‌ء، و لا یشترط فیها البلوغ</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المدوّنة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الصبیّة الصغیرة التی لم تحصن و مثلها</w:t>
      </w:r>
      <w:bookmarkStart w:id="151" w:name="pg11753_114714"/>
    </w:p>
    <w:p>
      <w:pPr>
        <w:pStyle w:val="BookText"/>
        <w:rPr/>
      </w:pPr>
      <w:bookmarkEnd w:id="151"/>
      <w:r>
        <w:rPr>
          <w:rFonts w:ascii="IRNazanin" w:hAnsi="IRNazanin" w:eastAsia="IRNazanin"/>
          <w:color w:val="111111"/>
          <w:sz w:val="28"/>
          <w:sz w:val="28"/>
          <w:szCs w:val="28"/>
          <w:rtl w:val="true"/>
          <w:lang w:bidi="fa-IR"/>
        </w:rPr>
        <w:t>یجامع إذا تزوّجها فدخل بها و جامعها، أ یکون ذلک إحصاناً فی قول مالک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تحصنه و لا یحصنها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9482578_73709187"/>
      <w:bookmarkStart w:id="153" w:name="_Toc58"/>
      <w:bookmarkEnd w:id="152"/>
      <w:r>
        <w:rPr>
          <w:rtl w:val="true"/>
        </w:rPr>
        <w:t xml:space="preserve">ج </w:t>
      </w:r>
      <w:r>
        <w:rPr>
          <w:rtl w:val="true"/>
        </w:rPr>
        <w:t xml:space="preserve">- </w:t>
      </w:r>
      <w:r>
        <w:rPr>
          <w:rtl w:val="true"/>
        </w:rPr>
        <w:t>الحنابلة</w:t>
      </w:r>
      <w:bookmarkEnd w:id="153"/>
    </w:p>
    <w:p>
      <w:pPr>
        <w:pStyle w:val="BookText"/>
        <w:rPr/>
      </w:pPr>
      <w:r>
        <w:rPr>
          <w:rFonts w:ascii="IRNazanin" w:hAnsi="IRNazanin" w:eastAsia="IRNazanin"/>
          <w:color w:val="111111"/>
          <w:sz w:val="28"/>
          <w:sz w:val="28"/>
          <w:szCs w:val="28"/>
          <w:rtl w:val="true"/>
          <w:lang w:bidi="fa-IR"/>
        </w:rPr>
        <w:t>قال ابن قدامة المقدسی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کانت صغیرةً لا تحتمل الوط‌ء فلا نفقة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لها النفقة کان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تعذّر الوط‌ء لم یکن بفعلها، فلم یمنع وجوب النفقة لها کالمرض</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الخرقی فی باب وجوب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القدرة علی ذلک، أی علی التمکین، فإن کانت صغیرة لا تحتمل الوط‌ء فلا نفقة لها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فالمفهوم من کلامه أنّه إذا أطاقت الوط‌ء یجوز و إن کان قبل تسع سنین</w:t>
      </w:r>
      <w:r>
        <w:rPr>
          <w:rFonts w:eastAsia="IRNazanin" w:cs="IRNazanin"/>
          <w:color w:val="111111"/>
          <w:sz w:val="28"/>
          <w:szCs w:val="28"/>
          <w:rtl w:val="true"/>
          <w:lang w:bidi="fa-IR"/>
        </w:rPr>
        <w:t>.</w:t>
      </w:r>
    </w:p>
    <w:p>
      <w:pPr>
        <w:pStyle w:val="Heading6"/>
        <w:numPr>
          <w:ilvl w:val="5"/>
          <w:numId w:val="1"/>
        </w:numPr>
        <w:rPr/>
      </w:pPr>
      <w:bookmarkStart w:id="154" w:name="__RefHeading___Toc9482580_73709187"/>
      <w:bookmarkStart w:id="155" w:name="_Toc59"/>
      <w:bookmarkEnd w:id="154"/>
      <w:r>
        <w:rPr>
          <w:rtl w:val="true"/>
        </w:rPr>
        <w:t xml:space="preserve">د </w:t>
      </w:r>
      <w:r>
        <w:rPr>
          <w:rtl w:val="true"/>
        </w:rPr>
        <w:t xml:space="preserve">- </w:t>
      </w:r>
      <w:r>
        <w:rPr>
          <w:rtl w:val="true"/>
        </w:rPr>
        <w:t>الشافعیّة</w:t>
      </w:r>
      <w:bookmarkEnd w:id="155"/>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 الرجل عقدة المرأة یجامع مثلها، و إن لم تکن بالغةً فخلَت بینه و بین الدخول علیها، أو خُلّی أهلها فیما بینه و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نفقتها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بوجوب النفقة علی الزوجة الصغیرة دلیل علی جواز وطئها؛ لأنّ وجوب النفقة عندهم مشروط بتمکین الزوجة، کما سیأتی البحث عنه قریباً</w:t>
      </w:r>
      <w:r>
        <w:rPr>
          <w:rFonts w:eastAsia="IRNazanin" w:cs="IRNazanin"/>
          <w:color w:val="111111"/>
          <w:sz w:val="28"/>
          <w:szCs w:val="28"/>
          <w:rtl w:val="true"/>
          <w:lang w:bidi="fa-IR"/>
        </w:rPr>
        <w:t>.</w:t>
      </w:r>
      <w:bookmarkStart w:id="156" w:name="pg11753_114715"/>
    </w:p>
    <w:p>
      <w:pPr>
        <w:pStyle w:val="Heading4"/>
        <w:numPr>
          <w:ilvl w:val="3"/>
          <w:numId w:val="1"/>
        </w:numPr>
        <w:rPr/>
      </w:pPr>
      <w:bookmarkStart w:id="157" w:name="__RefHeading___Toc9482582_73709187"/>
      <w:bookmarkStart w:id="158" w:name="_Toc60"/>
      <w:bookmarkEnd w:id="156"/>
      <w:bookmarkEnd w:id="157"/>
      <w:r>
        <w:rPr>
          <w:rtl w:val="true"/>
        </w:rPr>
        <w:t>المبحث الخامس</w:t>
      </w:r>
      <w:r>
        <w:rPr>
          <w:rtl w:val="true"/>
        </w:rPr>
        <w:t xml:space="preserve">: </w:t>
      </w:r>
      <w:r>
        <w:rPr>
          <w:rtl w:val="true"/>
        </w:rPr>
        <w:t>حکم نفقة الزوجة الصغیرة</w:t>
      </w:r>
      <w:bookmarkEnd w:id="158"/>
    </w:p>
    <w:p>
      <w:pPr>
        <w:pStyle w:val="Heading5"/>
        <w:numPr>
          <w:ilvl w:val="4"/>
          <w:numId w:val="1"/>
        </w:numPr>
        <w:rPr/>
      </w:pPr>
      <w:bookmarkStart w:id="159" w:name="__RefHeading___Toc9482584_73709187"/>
      <w:bookmarkStart w:id="160" w:name="_Toc61"/>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للزوجین بالنسبة إلی وجوب النفقة و عدمه أربع حالاتٍ؛ لأنّهما إمّا أن یکونا کبیرین، و إمّا أن یکونا صغیرین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الزوج کبیراً و الزوجة صغیرة، و إمّا عکس ذلک</w:t>
      </w:r>
      <w:r>
        <w:rPr>
          <w:rFonts w:eastAsia="IRNazanin" w:cs="IRNazanin"/>
          <w:color w:val="111111"/>
          <w:sz w:val="28"/>
          <w:szCs w:val="28"/>
          <w:rtl w:val="true"/>
          <w:lang w:bidi="fa-IR"/>
        </w:rPr>
        <w:t>.</w:t>
      </w:r>
    </w:p>
    <w:p>
      <w:pPr>
        <w:pStyle w:val="Heading5"/>
        <w:numPr>
          <w:ilvl w:val="4"/>
          <w:numId w:val="1"/>
        </w:numPr>
        <w:rPr/>
      </w:pPr>
      <w:bookmarkStart w:id="161" w:name="__RefHeading___Toc9482586_73709187"/>
      <w:bookmarkStart w:id="162" w:name="_Toc62"/>
      <w:bookmarkEnd w:id="161"/>
      <w:r>
        <w:rPr>
          <w:rtl w:val="true"/>
        </w:rPr>
        <w:t>للزوجین بالنسبة إلی وجوب النفقة و عدمه أربع حالاتٍ</w:t>
      </w:r>
      <w:bookmarkEnd w:id="162"/>
    </w:p>
    <w:p>
      <w:pPr>
        <w:pStyle w:val="Heading6"/>
        <w:numPr>
          <w:ilvl w:val="5"/>
          <w:numId w:val="1"/>
        </w:numPr>
        <w:rPr/>
      </w:pPr>
      <w:bookmarkStart w:id="163" w:name="__RefHeading___Toc9482588_73709187"/>
      <w:bookmarkStart w:id="164" w:name="_Toc63"/>
      <w:bookmarkEnd w:id="163"/>
      <w:r>
        <w:rPr>
          <w:rtl w:val="true"/>
        </w:rPr>
        <w:t>أمّا الاُولی</w:t>
      </w:r>
      <w:r>
        <w:rPr>
          <w:rtl w:val="true"/>
        </w:rPr>
        <w:t xml:space="preserve">: </w:t>
      </w:r>
      <w:r>
        <w:rPr>
          <w:rtl w:val="true"/>
        </w:rPr>
        <w:t>فخارج عن مورد بحثنا الآن</w:t>
      </w:r>
      <w:bookmarkEnd w:id="164"/>
    </w:p>
    <w:p>
      <w:pPr>
        <w:pStyle w:val="BookText"/>
        <w:rPr/>
      </w:pPr>
      <w:r>
        <w:rPr>
          <w:rFonts w:ascii="IRNazanin" w:hAnsi="IRNazanin" w:eastAsia="IRNazanin"/>
          <w:color w:val="111111"/>
          <w:sz w:val="28"/>
          <w:sz w:val="28"/>
          <w:szCs w:val="28"/>
          <w:rtl w:val="true"/>
          <w:lang w:bidi="fa-IR"/>
        </w:rPr>
        <w:t>؛ لأنّ المقصود من طرح هذا المبحث بیان المسائل التی ترتبط بنفقة الصغیرة</w:t>
      </w:r>
      <w:r>
        <w:rPr>
          <w:rFonts w:eastAsia="IRNazanin" w:cs="IRNazanin"/>
          <w:color w:val="111111"/>
          <w:sz w:val="28"/>
          <w:szCs w:val="28"/>
          <w:rtl w:val="true"/>
          <w:lang w:bidi="fa-IR"/>
        </w:rPr>
        <w:t>.</w:t>
      </w:r>
    </w:p>
    <w:p>
      <w:pPr>
        <w:pStyle w:val="Heading6"/>
        <w:numPr>
          <w:ilvl w:val="5"/>
          <w:numId w:val="1"/>
        </w:numPr>
        <w:rPr/>
      </w:pPr>
      <w:bookmarkStart w:id="165" w:name="__RefHeading___Toc9482590_73709187"/>
      <w:bookmarkStart w:id="166" w:name="_Toc64"/>
      <w:bookmarkEnd w:id="165"/>
      <w:r>
        <w:rPr>
          <w:rtl w:val="true"/>
        </w:rPr>
        <w:t>و أمّا الثانیة</w:t>
      </w:r>
      <w:r>
        <w:rPr>
          <w:rtl w:val="true"/>
        </w:rPr>
        <w:t xml:space="preserve">: </w:t>
      </w:r>
      <w:r>
        <w:rPr>
          <w:rtl w:val="true"/>
        </w:rPr>
        <w:t>فیظهر حکمها ممّا یأتی البحث فی الحالة الثالثة و الرابعة</w:t>
      </w:r>
      <w:bookmarkEnd w:id="166"/>
    </w:p>
    <w:p>
      <w:pPr>
        <w:pStyle w:val="Heading6"/>
        <w:numPr>
          <w:ilvl w:val="5"/>
          <w:numId w:val="1"/>
        </w:numPr>
        <w:rPr/>
      </w:pPr>
      <w:bookmarkStart w:id="167" w:name="__RefHeading___Toc9482592_73709187"/>
      <w:bookmarkStart w:id="168" w:name="_Toc65"/>
      <w:bookmarkEnd w:id="167"/>
      <w:r>
        <w:rPr>
          <w:rtl w:val="true"/>
        </w:rPr>
        <w:t>و أمّا الثالثة</w:t>
      </w:r>
      <w:r>
        <w:rPr>
          <w:rtl w:val="true"/>
        </w:rPr>
        <w:t xml:space="preserve">: </w:t>
      </w:r>
      <w:r>
        <w:rPr>
          <w:rtl w:val="true"/>
        </w:rPr>
        <w:t>و هی ما إذا کان الزوج کبیراً و الزوجة صغیرة</w:t>
      </w:r>
      <w:bookmarkEnd w:id="168"/>
    </w:p>
    <w:p>
      <w:pPr>
        <w:pStyle w:val="BookText"/>
        <w:rPr/>
      </w:pP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الفقهاء فی أنّه یشترط فی وجوب نفقة الزوجة أن یکون العقد دائماً، فلا نفقة لذات العقد المنقطع إجماعاً بقسمیه</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فی وجوب النفقة التمکین</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الکامل و عدم النشوز حتّی لا یجب علی الزوج نفقة زوجته الصغیرة؛ لعدم إمکان التمکین شرعاً فی حقّها، أو لا یشترط فی وجوبها ذلک، بل یمکن أن یجب النفقة علی الزوج و</w:t>
      </w:r>
    </w:p>
    <w:p>
      <w:pPr>
        <w:pStyle w:val="Heading6"/>
        <w:numPr>
          <w:ilvl w:val="5"/>
          <w:numId w:val="1"/>
        </w:numPr>
        <w:rPr/>
      </w:pPr>
      <w:bookmarkStart w:id="169" w:name="__RefHeading___Toc9482594_73709187"/>
      <w:bookmarkStart w:id="170" w:name="_Toc66"/>
      <w:bookmarkEnd w:id="169"/>
      <w:r>
        <w:rPr>
          <w:rtl w:val="true"/>
        </w:rPr>
        <w:t>لو کانت الزوجة صغیرة؟ قولان</w:t>
      </w:r>
      <w:r>
        <w:rPr>
          <w:rtl w:val="true"/>
        </w:rPr>
        <w:t>:</w:t>
      </w:r>
      <w:bookmarkEnd w:id="17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النفقة مشروط بتمکین الزوجة و عدم نشوزها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النکاح بذاته یقتضی النفقة</w:t>
      </w:r>
      <w:r>
        <w:rPr>
          <w:rFonts w:eastAsia="IRNazanin" w:cs="IRNazanin"/>
          <w:color w:val="111111"/>
          <w:sz w:val="28"/>
          <w:szCs w:val="28"/>
          <w:rtl w:val="true"/>
          <w:lang w:bidi="fa-IR"/>
        </w:rPr>
        <w:t>.</w:t>
      </w:r>
      <w:bookmarkStart w:id="171" w:name="pg11753_114716"/>
    </w:p>
    <w:p>
      <w:pPr>
        <w:pStyle w:val="Heading6"/>
        <w:numPr>
          <w:ilvl w:val="5"/>
          <w:numId w:val="1"/>
        </w:numPr>
        <w:rPr/>
      </w:pPr>
      <w:bookmarkStart w:id="172" w:name="__RefHeading___Toc9482596_73709187"/>
      <w:bookmarkStart w:id="173" w:name="_Toc67"/>
      <w:bookmarkEnd w:id="171"/>
      <w:bookmarkEnd w:id="172"/>
      <w:r>
        <w:rPr>
          <w:rtl w:val="true"/>
        </w:rPr>
        <w:t>القول کون وجوب النفقة، مشروطاً بالتمکین الکامل</w:t>
      </w:r>
      <w:bookmarkEnd w:id="173"/>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نفقة الزوجة الکبیرة مشروط بالتمکین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الزوج کبیراً و الزوجة صغیرةً لا یجامع مثلها لا نفقة لها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النفقة فی مقابلة التمکین من الاستمتاع</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امتنعت بعد استیفاء المهر کانت ناشزاً، و لم یکن لها علیه نفقة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تجب النفقة إذا مکّنت المرأة من نفسها، فإن امتنعت فلا نفقة لها</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و به قال القاضی ابن البرّاج</w:t>
      </w:r>
      <w:r>
        <w:rPr>
          <w:rStyle w:val="FootnoteAnchor"/>
          <w:rtl w:val="true"/>
        </w:rPr>
        <w:footnoteReference w:id="357"/>
      </w:r>
      <w:r>
        <w:rPr>
          <w:rFonts w:ascii="Amiri" w:hAnsi="Amiri" w:eastAsia="Amiri" w:cs="Amiri"/>
          <w:color w:val="111111"/>
          <w:sz w:val="28"/>
          <w:sz w:val="28"/>
          <w:szCs w:val="28"/>
          <w:rtl w:val="true"/>
          <w:lang w:bidi="ar-SA"/>
        </w:rPr>
        <w:t>و ابن حمزة</w:t>
      </w:r>
      <w:r>
        <w:rPr>
          <w:rStyle w:val="FootnoteAnchor"/>
          <w:rtl w:val="true"/>
        </w:rPr>
        <w:footnoteReference w:id="358"/>
      </w:r>
      <w:r>
        <w:rPr>
          <w:rFonts w:ascii="IRNazanin" w:hAnsi="IRNazanin" w:eastAsia="IRNazanin"/>
          <w:color w:val="111111"/>
          <w:sz w:val="28"/>
          <w:sz w:val="28"/>
          <w:szCs w:val="28"/>
          <w:rtl w:val="true"/>
          <w:lang w:bidi="fa-IR"/>
        </w:rPr>
        <w:t>و الکیدری</w:t>
      </w:r>
      <w:r>
        <w:rPr>
          <w:rStyle w:val="FootnoteAnchor"/>
          <w:rtl w:val="true"/>
        </w:rPr>
        <w:footnoteReference w:id="359"/>
      </w:r>
      <w:r>
        <w:rPr>
          <w:rFonts w:ascii="IRNazanin" w:hAnsi="IRNazanin" w:eastAsia="IRNazanin"/>
          <w:color w:val="111111"/>
          <w:sz w:val="28"/>
          <w:sz w:val="28"/>
          <w:szCs w:val="28"/>
          <w:rtl w:val="true"/>
          <w:lang w:bidi="fa-IR"/>
        </w:rPr>
        <w:t>و ابن سعید الحلّی</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الفاضلان</w:t>
      </w:r>
      <w:r>
        <w:rPr>
          <w:rStyle w:val="FootnoteAnchor"/>
          <w:rtl w:val="true"/>
        </w:rPr>
        <w:footnoteReference w:id="361"/>
      </w:r>
      <w:r>
        <w:rPr>
          <w:rFonts w:ascii="IRNazanin" w:hAnsi="IRNazanin" w:eastAsia="IRNazanin"/>
          <w:color w:val="111111"/>
          <w:sz w:val="28"/>
          <w:sz w:val="28"/>
          <w:szCs w:val="28"/>
          <w:rtl w:val="true"/>
          <w:lang w:bidi="fa-IR"/>
        </w:rPr>
        <w:t>أیضاً بعد التردید و الإشکال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ظاهرهما أو صریحهما بعد التأمّل الجیّد فی کلاهما أنّه لا کلام فی اعتبار التمکین الذی هو ضدّ النشوز، و لا یتحقّق عدم النشوز إلاّ بالتمکین</w:t>
      </w:r>
      <w:r>
        <w:rPr>
          <w:rFonts w:eastAsia="IRNazanin" w:cs="IRNazanin"/>
          <w:color w:val="111111"/>
          <w:sz w:val="28"/>
          <w:szCs w:val="28"/>
          <w:rtl w:val="true"/>
          <w:lang w:bidi="fa-IR"/>
        </w:rPr>
        <w:t>»</w:t>
      </w:r>
      <w:r>
        <w:rPr>
          <w:rStyle w:val="FootnoteAnchor"/>
          <w:rtl w:val="true"/>
        </w:rPr>
        <w:footnoteReference w:id="362"/>
      </w:r>
      <w:bookmarkStart w:id="174" w:name="pg11753_114717"/>
    </w:p>
    <w:p>
      <w:pPr>
        <w:pStyle w:val="BookText"/>
        <w:rPr/>
      </w:pPr>
      <w:bookmarkEnd w:id="174"/>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 التمکین هو المشهور بین الأصحاب، بل کاد أن یکون إجماعاً</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و هکذا فی الروضة،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نفقة للصغیرة التی لم تبلغ سنّاً یجوز الاستمتاع بها بالجماع علی أشهر القولین، لفقد الشرط؛ و هو التمکین من الاستمتاع</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به أیضاً الشیخ الأعظم و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تسقط النفقة بصغر الزوجة بحیث یحرم وطؤها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نفقة للزوجة الصغیرة غیر القابلة للاستمتاع منها علی زوجها، خصوصاً إذا کان صغیراً غیر قابل للتمتّع و التلذّذ</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الفقیه الفاضل اللنکرانی بالتفصیل بین الصغیرة التی یمکن الالتذاذ و الاستمتاع بها و لو باللمس و النظر، فتجب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إذا کانت صغیرةً جدّاً بحیث لا یترتّب علی لمسها و النظر بها التذاذ أصلاً، فلا تجب نفقتها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9482598_73709187"/>
      <w:bookmarkStart w:id="176" w:name="_Toc68"/>
      <w:bookmarkEnd w:id="175"/>
      <w:r>
        <w:rPr>
          <w:rtl w:val="true"/>
        </w:rPr>
        <w:t>أدلّة اشتراط وجوب النفقة بالتمکین</w:t>
      </w:r>
      <w:bookmarkEnd w:id="176"/>
    </w:p>
    <w:p>
      <w:pPr>
        <w:pStyle w:val="BookText"/>
        <w:rPr/>
      </w:pPr>
      <w:r>
        <w:rPr>
          <w:rFonts w:ascii="IRNazanin" w:hAnsi="IRNazanin" w:eastAsia="IRNazanin"/>
          <w:color w:val="111111"/>
          <w:sz w:val="28"/>
          <w:sz w:val="28"/>
          <w:szCs w:val="28"/>
          <w:rtl w:val="true"/>
          <w:lang w:bidi="fa-IR"/>
        </w:rPr>
        <w:t>ما استدلّ أو یمکن أن یستدلّ به لاشتراط وجوب النفقة بتمکین الزوجة للزوج امورٌ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بالمعاشرة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 الإمساک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فَأَمْسِکُوهُنَّ بِمَعْرُوفٍ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هما لا تقتضیان النفقة مع عدم التمکین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الدلیل لا ینحصر فی هاتین الآیتین؛ فإنّ 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الْمَوْلُودِ لَهُ رِزْقُهُنَّ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البیان الذی تقدّم فی ذیل القول الأوّل، و هکذا، فإنّ مقتضی صحیح الفضیل</w:t>
      </w:r>
      <w:r>
        <w:rPr>
          <w:rStyle w:val="FootnoteAnchor"/>
          <w:rtl w:val="true"/>
        </w:rPr>
        <w:footnoteReference w:id="368"/>
      </w:r>
      <w:r>
        <w:rPr>
          <w:rFonts w:ascii="IRNazanin" w:hAnsi="IRNazanin" w:eastAsia="IRNazanin"/>
          <w:color w:val="111111"/>
          <w:sz w:val="28"/>
          <w:sz w:val="28"/>
          <w:szCs w:val="28"/>
          <w:rtl w:val="true"/>
          <w:lang w:bidi="fa-IR"/>
        </w:rPr>
        <w:t>المتقدّم وجوبُ الإنفاق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المهر یجب بالعقد، و هو لا یوجب عوضین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النفقة مجهولة الجملة، و العقد لا یوجب مالاً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 هذین الوجهین فی المسالک،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إیجاب العقد عوضین مختلفین، و عدم إیجابه مالاً مجهولاً مجرّد دعوی أو استبعادٌ قد دلّ الدلیل علی خلافهما؛ فإنّ الآیات الدالّة علی وجوب الإنفاق علی الزوجة من غیر تقییدٍ تدلّ علی أنّ العقد أوجب النفقة علی ذلک الوجه، و أیّ مانعٍ من إیجاب العقد أمرین مختلفین کما فی شراء الدابّة و المملوک؟ فإنّ العقد یوجب الثمن کالمهر و یوجب الإنفاق المجهول من غیر شرطٍ إجماعاً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لیست النفقة من الأعواض الواجبة بالعقد، و إنّما العقد أفاد کونها زوجةً له و الشارع أثبت النفقة للزوجة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 النبیّ صلی الله علیه و آله و سلم تزوّج و دخل بعد سنتین، و لم ینفق إلاّ</w:t>
      </w:r>
    </w:p>
    <w:p>
      <w:pPr>
        <w:pStyle w:val="BookText"/>
        <w:rPr/>
      </w:pPr>
      <w:r>
        <w:rPr>
          <w:rFonts w:ascii="IRNazanin" w:hAnsi="IRNazanin" w:eastAsia="IRNazanin"/>
          <w:color w:val="111111"/>
          <w:sz w:val="28"/>
          <w:sz w:val="28"/>
          <w:szCs w:val="28"/>
          <w:rtl w:val="true"/>
          <w:lang w:bidi="fa-IR"/>
        </w:rPr>
        <w:t>بعد دخوله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النساء؛ فإنهنّ عوار عندکم، اتّخذتموهنّ بأمانة اللّه، و استحللتم فروجهنّ بکلمة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علیکم رزقُهنّ و کسوتهنّ بالمعروف</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الإنفاق مشروط بکون الزوجة فی اختیار الزوج کالعاریة فی ید المستعیر؛ فإنّه صلی الله علیه و آله و سلم أوجب الإنفاق من الرزق و الکسوة إذا کُنّ عند الرجل، و هو یدلّ علی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السند ضعیف، فلا مجال لملاحظة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البراءة عن وجوب النفقة، و إنّما نخرج من مقتضی الأصل فی صورة التمکین، فیبقی الباقی غیر واجبٍ، و قد اعترف فی کشف اللثام بضعف الأدلّة عدا الأصل،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ضعفت أدلّته غیر الأصل فهو یکفینا؛ فإنّ أدلّة الوجوب مجملة، فیقتصر من مدلولها علی موضع الیقین</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أصالة البراءة فإنّما تکون حجّة مع عدم دلیل ناقلٍ عنه، لکنّه موجود هنا بالعمومات الدالّة علی وجوب نفقة الأزواج، و الأصل عدم التخصیص</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العملیة؛ لأنّ السیرة جاریة علی عدم الإنفاق فی صورة عدم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تحقّق السیرة من المتشرّعة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تحقّقها یکون الإیراد فی اتصالها إلی زمان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أصالة احترام المال و العمل التی هی من أهمّ الاُصول النظامیة العقلائیّة، أن یکون بذل المال بعوضٍ مطلقاً إلاّ ما خرج بالدلیل المعتبر، و هذا یشهد بأنّ الإنفاق من الزوج لا بدّ أن یکون بإزاء استفادته منها، و بعد إلغاء الشارع عوضیّة سائر الاستفادات غیر التمکین یتعیّن ذلک، أشار إلی هذا الوجه السیّد السبزواری</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قبول جریان هذا الوجه بالنسبة إلی الزوجة الکبیرة لا یجری بالنسبة إلی الزوجة الصغیرة، کما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الجواهر و الریاض</w:t>
      </w:r>
      <w:r>
        <w:rPr>
          <w:rStyle w:val="FootnoteAnchor"/>
          <w:rtl w:val="true"/>
        </w:rPr>
        <w:footnoteReference w:id="375"/>
      </w:r>
      <w:r>
        <w:rPr>
          <w:rFonts w:ascii="IRNazanin" w:hAnsi="IRNazanin" w:eastAsia="IRNazanin"/>
          <w:color w:val="111111"/>
          <w:sz w:val="28"/>
          <w:sz w:val="28"/>
          <w:szCs w:val="28"/>
          <w:rtl w:val="true"/>
          <w:lang w:bidi="fa-IR"/>
        </w:rPr>
        <w:t>و مهذّب الأحکام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فغایة ما ذکروه دلیلاً لذلک، أنّ اشتراط هذا الشرط معروف بین الأصحاب، بل کاد یکون إجماعاً، مع أنّا لم نقف علی مخالفٍ فیه صریحاً و لا ظاهراً إلاّ ما ربما یستفاد من تردّد المصنّف و استشکال الفاضل فی القواعد، و هو بمجرّده لا یوجب المخالفة مع تصریح الأوّل بأنّ اعتباره هو الأظهر بین الأصحاب بکلمة الجمع المفید للعموم الظاهر فی الإجماع، إلی آخر کلامه زید فی علوّ مقامه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مخالفة بعض الفقهاء الذین سنذکرهم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تحقّق الإجماع التعبّدی الکاشف عن رأی المعصوم علیه السلام تردّداً؛ لأنّه قد استند المجمعون إلی الوجوه</w:t>
      </w:r>
    </w:p>
    <w:p>
      <w:pPr>
        <w:pStyle w:val="BookText"/>
        <w:rPr/>
      </w:pPr>
      <w:r>
        <w:rPr>
          <w:rFonts w:ascii="IRNazanin" w:hAnsi="IRNazanin" w:eastAsia="IRNazanin"/>
          <w:color w:val="111111"/>
          <w:sz w:val="28"/>
          <w:sz w:val="28"/>
          <w:szCs w:val="28"/>
          <w:rtl w:val="true"/>
          <w:lang w:bidi="fa-IR"/>
        </w:rPr>
        <w:t>التی ذکرناها و غیرها، فیکون الإجماع مدرکیّاً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فرض تحقّقه یکون دلیلاً لبّیاً، و القدر المتیقّن منه الزوجة الکبیرة، و أمّا الزوجة الصغیرة فلا تکون داخلة فی معقد الإجماع</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التمکین لوجوب النفقة کان مقتضی المرتکزات؛ لأنّ المغروس فی أذهان العرفیّة و منهم المتشرّعة هو شرطیّة التمکین لوجوب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 جواباً عن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المشتملة علی بیان حقّ الزوج علی المرأة، و کون النشوز مسقطاً لوجوب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 النبیّ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الزوج علی المرأة؟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تطیعه و لا تعصیه، و لا تصدّق من بیته إلاّ بإذنه، و لا تصوم تطوّعاً إلاّ بإذنه، و لا تمنعه نفسها و إن کانت علی ظهر قتب، و لا تخرج من بیتها إلاّ بإذنه، و إن خرجت بغیر إذنه لعنتها ملائکة السماء و ملائکة الأرض و ملائکة الغضب و ملائکة الرحمة حتّی ترجع إلی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حقّاً علی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أعظم الناس حقّاً علی المرأة؟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علیه من الحقّ مثل ما 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من کلّ مائة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العزرمی،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الزوج علی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فخبّرنی عن شیء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أن تصوم إلاّ بإذنه یعنی تطوّعاً، و لا تخرج من بیتها بغیر إذنه، و علیها أن تتطیّب بأطیب طیبها، و تلبس أحسن ثیابها، و تزیّن بأحسن زینتها، و تعرض نفسها علیه غدوة و عشیّة، و أکثر من ذلک حقوقه علیها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مثلهما خبر أبی بصیر و معتبرة علی بن جعفر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أبی الصباح الکنانی،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صلّت المرأة خَمْسها و صامت شهرها و حجّت بیت ربّها و أطاعت زوجها و عرفت حقّ علیّ فلتدخل من أیّ أبواب الجنان شاءت</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النصوص و إن کانت خالیة عن ذکر اعتبار ذلک فی النفقة، إلاّ أنّه قد یستفاد ذلک ممّا دلّ علی نشوزها و سقوط نفقتها بخروجها من بیته بغیر إذنه، کمعتبرة</w:t>
      </w:r>
    </w:p>
    <w:p>
      <w:p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خرجت من بیتها بغیر إذن زوجها فلا نفقة لها حتّی ترجع</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یکون النشوز مسقطاً باعتبار تفویته الشرط الذی هو وجوب طاعتها و عرض نفسها علیه و عدم خروجها من بیته بغیر إذنه؛ لأنّ المستفاد من هذه النصوص و غیرها اعتبار الطاعة التی یکون عدمها نشوزاً فی وجوب الإنفاق، و التمکین لا یکاد ینفکّ عن عدم النشوز، لاتّحاد مصداق المراد من مفهوم</w:t>
      </w:r>
      <w:bookmarkStart w:id="177" w:name="pg11753_114723"/>
    </w:p>
    <w:p>
      <w:pPr>
        <w:pStyle w:val="BookText"/>
        <w:rPr/>
      </w:pPr>
      <w:bookmarkEnd w:id="177"/>
      <w:r>
        <w:rPr>
          <w:rFonts w:ascii="IRNazanin" w:hAnsi="IRNazanin" w:eastAsia="IRNazanin"/>
          <w:color w:val="111111"/>
          <w:sz w:val="28"/>
          <w:sz w:val="28"/>
          <w:szCs w:val="28"/>
          <w:rtl w:val="true"/>
          <w:lang w:bidi="fa-IR"/>
        </w:rPr>
        <w:t>التمکین و عدم النشوز بالنسبة إلی وجوب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جعلنا النشوز مانعاً کان التمکین ملحوظاً فی تحقّق معناه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الإنصاف أنّ هذه النصوص مع دلالتها علی اعتبار الطاعة للزوج التی یکون عدمها نشوزاً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مرادف مع التمکین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یجب معه النفقة، لا تجری فی الزوجة الصغیرة؛ لأنّ وجوب التمکین و عدم النشوز، و الطاعة للزوج یتوقّف علی إمکانها، و بما أنّ الصغیرة لا یتمکّن منها شرعاً و عرفاً فلا معنی لجریانها فی حقّها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هذه النصوص منصرف عن الزوجة الصغیرة، و لم تکن فی مقام بیان حکم نفقتها نفیاً أو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التی ذکرت فی اشتراط التمکین لوجوب نفقة الزوجة کلّها تنطبق علی الزوجة الکبیرة، فلا یثبت معها اشتراط التمکین فی وجوب نفقة الصغیرة، و هو المطلوب</w:t>
      </w:r>
      <w:r>
        <w:rPr>
          <w:rFonts w:eastAsia="IRNazanin" w:cs="IRNazanin"/>
          <w:color w:val="111111"/>
          <w:sz w:val="28"/>
          <w:szCs w:val="28"/>
          <w:rtl w:val="true"/>
          <w:lang w:bidi="fa-IR"/>
        </w:rPr>
        <w:t>.</w:t>
      </w:r>
    </w:p>
    <w:p>
      <w:pPr>
        <w:pStyle w:val="Heading6"/>
        <w:numPr>
          <w:ilvl w:val="5"/>
          <w:numId w:val="1"/>
        </w:numPr>
        <w:rPr/>
      </w:pPr>
      <w:bookmarkStart w:id="178" w:name="__RefHeading___Toc9482600_73709187"/>
      <w:bookmarkStart w:id="179" w:name="_Toc69"/>
      <w:bookmarkEnd w:id="178"/>
      <w:r>
        <w:rPr>
          <w:rtl w:val="true"/>
        </w:rPr>
        <w:t>القول الثانی اقتضاء عقد النکاح بذاته للنفقة</w:t>
      </w:r>
      <w:bookmarkEnd w:id="17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کلمات بعض الفقهاء الآخرین أنّ عقد النکاح بذاته یقتضی النفقة مطلقاً، أی سواء کان تمکین الزوجة للزوج ممکناً، مثل أن تکون الزوجة کبیرة، أم لا، مثل الفرض الذی کان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 عندی أنّ علی الکبیر النفقة لزوجته الصغیرة، لعموم وجوب النفقة علی الزوجة، و دخوله مع العلم بحالها، و هذه لیست ناشزة، و الإجماع منعقد علی وجوب نفقة الزوجات</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جعله الشیخ قدس سره قولاً و لم یصحّحه،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کبیراً و هی صغیرة لا یجامع مثلها، فهل علیه نفقتها أم لا؟</w:t>
      </w:r>
    </w:p>
    <w:p>
      <w:pPr>
        <w:pStyle w:val="BookText"/>
        <w:rPr/>
      </w:pPr>
      <w:r>
        <w:rPr>
          <w:rFonts w:ascii="IRNazanin" w:hAnsi="IRNazanin" w:eastAsia="IRNazanin"/>
          <w:color w:val="111111"/>
          <w:sz w:val="28"/>
          <w:sz w:val="28"/>
          <w:szCs w:val="28"/>
          <w:rtl w:val="true"/>
          <w:lang w:bidi="fa-IR"/>
        </w:rPr>
        <w:t>قیل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النفقة؛ لأنّ عقد النکاح یقتضی الإنفاق، فإذا تزوّج علم أنّه دخل علی بصیرة من الإنفاق علیها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تجب النفقة بالعقد الدائم مع التمکین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تجب النفقة بالعقد بشرط عدم النشوز، أو بالتمکین؟ فیه إشکال</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لم یقیموا لتوقّف وجوب النفقة علی التمکین دلیلاً واضحاً و لا برهاناً لائحاً غیر مجرّد الدعوی، مع ظهور الأدلّة علی خلافه، فالأظهر هو القول المخالف للمشهور، و هو ترتّب وجوب النفقة علی مجرّد الزوجیّة التی لا خلاف فی حصولها بمجرّد العقد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المرام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قیل بوجوب النفقة بالعقد کالمهر</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و هو ظاهر کلام ابن زهرة أیضاً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أنّ وجوب النفقة مشروط بعدم النشوز،</w:t>
      </w:r>
      <w:bookmarkStart w:id="180" w:name="pg11753_114725"/>
    </w:p>
    <w:p>
      <w:pPr>
        <w:pStyle w:val="BookText"/>
        <w:rPr/>
      </w:pPr>
      <w:bookmarkEnd w:id="180"/>
      <w:r>
        <w:rPr>
          <w:rFonts w:ascii="IRNazanin" w:hAnsi="IRNazanin" w:eastAsia="IRNazanin"/>
          <w:color w:val="111111"/>
          <w:sz w:val="28"/>
          <w:sz w:val="28"/>
          <w:szCs w:val="28"/>
          <w:rtl w:val="true"/>
          <w:lang w:bidi="fa-IR"/>
        </w:rPr>
        <w:t>و هو التمرّد علی الزوج بمنعه عن حقوقه، أو بفعل المنفّرات له عنها و إن کان مثل سبّه و شتمه، و فیه إشکال</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و تبعه فی مبانی منهاج الصالحین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9482602_73709187"/>
      <w:bookmarkStart w:id="182" w:name="_Toc70"/>
      <w:bookmarkEnd w:id="181"/>
      <w:r>
        <w:rPr>
          <w:rtl w:val="true"/>
        </w:rPr>
        <w:t>أدلّة هذا القول</w:t>
      </w:r>
      <w:bookmarkEnd w:id="182"/>
    </w:p>
    <w:p>
      <w:pPr>
        <w:pStyle w:val="BookText"/>
        <w:rPr/>
      </w:pPr>
      <w:r>
        <w:rPr>
          <w:rFonts w:ascii="IRNazanin" w:hAnsi="IRNazanin" w:eastAsia="IRNazanin"/>
          <w:color w:val="111111"/>
          <w:sz w:val="28"/>
          <w:sz w:val="28"/>
          <w:szCs w:val="28"/>
          <w:rtl w:val="true"/>
          <w:lang w:bidi="fa-IR"/>
        </w:rPr>
        <w:t>و ما یمکن أن یستدلّ به علی وجوب النفقة بمجرّد العقد، وجوهٌ</w:t>
      </w:r>
      <w:r>
        <w:rPr>
          <w:rFonts w:eastAsia="IRNazanin" w:cs="IRNazanin"/>
          <w:color w:val="111111"/>
          <w:sz w:val="28"/>
          <w:szCs w:val="28"/>
          <w:rtl w:val="true"/>
          <w:lang w:bidi="fa-IR"/>
        </w:rPr>
        <w:t>:</w:t>
      </w:r>
    </w:p>
    <w:p>
      <w:pPr>
        <w:pStyle w:val="Heading6"/>
        <w:numPr>
          <w:ilvl w:val="5"/>
          <w:numId w:val="1"/>
        </w:numPr>
        <w:rPr/>
      </w:pPr>
      <w:bookmarkStart w:id="183" w:name="__RefHeading___Toc9482604_73709187"/>
      <w:bookmarkStart w:id="184" w:name="_Toc71"/>
      <w:bookmarkEnd w:id="183"/>
      <w:r>
        <w:rPr>
          <w:rtl w:val="true"/>
        </w:rPr>
        <w:t>الأوّل</w:t>
      </w:r>
      <w:r>
        <w:rPr>
          <w:rtl w:val="true"/>
        </w:rPr>
        <w:t xml:space="preserve">: </w:t>
      </w:r>
      <w:r>
        <w:rPr>
          <w:rtl w:val="true"/>
        </w:rPr>
        <w:t>الآیات</w:t>
      </w:r>
      <w:bookmarkEnd w:id="18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القرطبی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الْمَوْلُودِ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الزوج، و الأظهر أنّها فی الزوجات فی حال بقاء النکاح؛ لأنّهنّ المستحقّات للنفقة و الکسوة،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بالمتعارف فی عرف الشرع من غیر تفریط و لا إفراط‌</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 علی الغیر هو المتکفِّل بأمره من نفقةٍ و کسوةٍ و غیر ذلک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لهم علیهنّ قیام الولایة و السیاسة، و علّل ذلک بأمرین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موهبیٌّ من اللّه؛ و هو أنّ اللّه فضّل الرجال علیهنّ باُمورٍ کثیرةٍ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کمال العقل، و حسن التدبیر، و مزید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bookmarkStart w:id="185" w:name="pg11753_114726"/>
    </w:p>
    <w:p>
      <w:pPr>
        <w:pStyle w:val="BookText"/>
        <w:rPr/>
      </w:pPr>
      <w:bookmarkEnd w:id="185"/>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کسبیٌّ، و هو أنّهم ینفقون علیهنّ و یُعطوهنّ المهور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بسبب تفضیل اللّه و بسبب إنفاقهم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 مِنْ سَعَتِهِ وَ مَنْ قُدِرَ عَلَیْهِ رِزْقُهُ فَلْیُنْفِقْ مِمّا آتاهُ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فالظاهر منها أنّه یجب القیام بما تحتاج إلیه المرأة من إطعام و کسوة و إدامٍ و إسکان تبعاً لعادة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الإطلاق المنعقد فی هذه الآیات الکریمة عدم تقیید النفقة بالتمکین، فنفقة الزوجة الصغیرة واجبة علی الزوج بمقتضی الزوجیّة المتحقّقة بالعقد</w:t>
      </w:r>
      <w:r>
        <w:rPr>
          <w:rFonts w:eastAsia="IRNazanin" w:cs="IRNazanin"/>
          <w:color w:val="111111"/>
          <w:sz w:val="28"/>
          <w:szCs w:val="28"/>
          <w:rtl w:val="true"/>
          <w:lang w:bidi="fa-IR"/>
        </w:rPr>
        <w:t>.</w:t>
      </w:r>
    </w:p>
    <w:p>
      <w:pPr>
        <w:pStyle w:val="Heading6"/>
        <w:numPr>
          <w:ilvl w:val="5"/>
          <w:numId w:val="1"/>
        </w:numPr>
        <w:rPr/>
      </w:pPr>
      <w:bookmarkStart w:id="186" w:name="__RefHeading___Toc9482606_73709187"/>
      <w:bookmarkStart w:id="187" w:name="_Toc72"/>
      <w:bookmarkEnd w:id="186"/>
      <w:r>
        <w:rPr>
          <w:rtl w:val="true"/>
        </w:rPr>
        <w:t>الثانی</w:t>
      </w:r>
      <w:r>
        <w:rPr>
          <w:rtl w:val="true"/>
        </w:rPr>
        <w:t xml:space="preserve">: </w:t>
      </w:r>
      <w:r>
        <w:rPr>
          <w:rtl w:val="true"/>
        </w:rPr>
        <w:t>الأخبار</w:t>
      </w:r>
      <w:r>
        <w:rPr>
          <w:rtl w:val="true"/>
        </w:rPr>
        <w:t>:</w:t>
      </w:r>
      <w:bookmarkEnd w:id="18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الربعی بن عبد اللّه و الفضیل بن یسار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عَلَیْهِ رِزْقُهُ فَلْیُنْفِقْ مِمّا آتاهُ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أنفق علیها ما یقیم ظهرها مع کسوة، و إلاّ فرّق بینهما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امرأة فلم یکسها ما یواری عورتها و یطعمها ما یقیم صلبها کان حقّاً علی الإمام أن یفرّق بینهما</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إسحاق بن عمّار، أنّه سأل أبا عبد اللّه علیه السلام عن حقّ المرأة علی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یشبع بطنها و یکسو جثّتها، و إن جهلت 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صحیحة جمیل بن درّاج</w:t>
      </w:r>
      <w:r>
        <w:rPr>
          <w:rStyle w:val="FootnoteAnchor"/>
          <w:rtl w:val="true"/>
        </w:rPr>
        <w:footnoteReference w:id="400"/>
      </w:r>
      <w:r>
        <w:rPr>
          <w:rFonts w:ascii="IRNazanin" w:hAnsi="IRNazanin" w:eastAsia="IRNazanin"/>
          <w:color w:val="111111"/>
          <w:sz w:val="28"/>
          <w:sz w:val="28"/>
          <w:szCs w:val="28"/>
          <w:rtl w:val="true"/>
          <w:lang w:bidi="fa-IR"/>
        </w:rPr>
        <w:t>و صحیحة عبد الرحمن بن الحجّاج</w:t>
      </w:r>
      <w:r>
        <w:rPr>
          <w:rStyle w:val="FootnoteAnchor"/>
          <w:rtl w:val="true"/>
        </w:rPr>
        <w:footnoteReference w:id="401"/>
      </w:r>
      <w:r>
        <w:rPr>
          <w:rFonts w:ascii="IRNazanin" w:hAnsi="IRNazanin" w:eastAsia="IRNazanin"/>
          <w:color w:val="111111"/>
          <w:sz w:val="28"/>
          <w:sz w:val="28"/>
          <w:szCs w:val="28"/>
          <w:rtl w:val="true"/>
          <w:lang w:bidi="fa-IR"/>
        </w:rPr>
        <w:t>و ما رواه فی العلل و الخصال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فالمستفاد منها أنّ نفقة الزوجة علی الزوج من غیر تقیید بالتمکین، و إطلاقها یشمل صورة عدم إمکان التمکین و التی کانت زوجة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تدلّ علی وجوب النفقة علی مجرّد الزوجیّة التی لا خلاف فی حصولها بانعقاد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تدلّ علیه</w:t>
      </w:r>
    </w:p>
    <w:p>
      <w:pPr>
        <w:pStyle w:val="BookText"/>
        <w:rPr/>
      </w:pPr>
      <w:r>
        <w:rPr>
          <w:rFonts w:ascii="IRNazanin" w:hAnsi="IRNazanin" w:eastAsia="IRNazanin"/>
          <w:color w:val="111111"/>
          <w:sz w:val="28"/>
          <w:sz w:val="28"/>
          <w:szCs w:val="28"/>
          <w:rtl w:val="true"/>
          <w:lang w:bidi="fa-IR"/>
        </w:rPr>
        <w:t xml:space="preserve">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هند امرأة أبی سفیان جاءت إلی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رجلٌ شحیح لا یعطینی ما یکفینی و ولدی إلاّ ما آخذ منه سرّاً و هو لا یعلم، فهل عَلیّ فی ذلک من شیء؟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و دلالتها کالتی قبلها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هذه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مخالفةٌ للإجماع المحکیّ، بل المقطوع به جدّاً کما ادّعاه فی الریاض و الجواهر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فی شمول إطلاقات هذه الأدلّة لنفقة الزوجة الصغیرة إن لم یُدّع</w:t>
      </w:r>
    </w:p>
    <w:p>
      <w:pPr>
        <w:pStyle w:val="BookText"/>
        <w:rPr/>
      </w:pPr>
      <w:r>
        <w:rPr>
          <w:rFonts w:ascii="IRNazanin" w:hAnsi="IRNazanin" w:eastAsia="IRNazanin"/>
          <w:color w:val="111111"/>
          <w:sz w:val="28"/>
          <w:sz w:val="28"/>
          <w:szCs w:val="28"/>
          <w:rtl w:val="true"/>
          <w:lang w:bidi="fa-IR"/>
        </w:rPr>
        <w:t>ظهورها أو انصرافها إلی غیر الزوجة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الأدلّة لا تکون فی مقام بیان حکم نفقة الزوجة الصغیرة، و لا یشمل إطلاقها هذا الفرض، و لعلّه إلی ما ذکر نظر الأبدال من الفقهاء فادّعی عدم النصّ الظاهر فی العموم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انصراف الأدلّة عن ذلک، و عدم تبادر الإنفاق من دون التمکین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الأمر بالمعاشرة بالمعروف</w:t>
      </w:r>
      <w:r>
        <w:rPr>
          <w:rStyle w:val="FootnoteAnchor"/>
          <w:rtl w:val="true"/>
        </w:rPr>
        <w:footnoteReference w:id="405"/>
      </w:r>
      <w:r>
        <w:rPr>
          <w:rFonts w:ascii="IRNazanin" w:hAnsi="IRNazanin" w:eastAsia="IRNazanin"/>
          <w:color w:val="111111"/>
          <w:sz w:val="28"/>
          <w:sz w:val="28"/>
          <w:szCs w:val="28"/>
          <w:rtl w:val="true"/>
          <w:lang w:bidi="fa-IR"/>
        </w:rPr>
        <w:t>اختصاص هذا الأمر بالإنفاق بما تقتضیه العادة، و لیس من مقتضیاته وجوب الإنفاق إلاّ بعد التمکین کما هو المشاهد من أهل العرف و العادة؛ فإنّهم ینکحون و یتزوّجون من دون إنفاقٍ إلی الزفاف، مع عدم اختلاف من الزوجین و أهلهما فی المطالبة بالنفقة من طرف الزوجة و ردّها من ناحیة الزوج، و ربما یؤخذ ذلک إجماعاً من المسلمین و یجعل مثله وفاقاً، بل و ربما یلحق بالضرورة القطعیّة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الأصل؛ لأنّ الأصل الأوّلی براءة ذمّة الزوج من وجوب نفقة زوجته، خرج منه الإنفاق حال التمکین بالإجماع، فیبقی الباقی تحت الأصل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بملاحظة ما ذکرنا من الأدلّة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بذاته یقتضی وجوب النفقة، و النشوز و عدم التمکین مانع عنه اذا کانت الزوجة دخیلة فی ذلک، و بما أنّ فی مسألتنا هذه لا موضوع للنشوز و عدم التمکین؛ لعدم إمکانه شرعاً و عرفاً، و لا یتصور المانع، فیکون العقد سبباً منحصراً لوجوب النفقة، و لعلّه لأجل ذلک تردّد فی الشرائع فی توقّف النفقة علی التمکین فقط،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وجوب</w:t>
      </w:r>
    </w:p>
    <w:p>
      <w:pPr>
        <w:pStyle w:val="BookText"/>
        <w:rPr/>
      </w:pPr>
      <w:r>
        <w:rPr>
          <w:rFonts w:ascii="IRNazanin" w:hAnsi="IRNazanin" w:eastAsia="IRNazanin"/>
          <w:color w:val="111111"/>
          <w:sz w:val="28"/>
          <w:sz w:val="28"/>
          <w:szCs w:val="28"/>
          <w:rtl w:val="true"/>
          <w:lang w:bidi="fa-IR"/>
        </w:rPr>
        <w:t>النفقة بالعقد أو بالتمکین تردّد</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ریب فی أنّ للنفقة تعلّقاً بالعقد و التمکین جمیعاً</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لم یقیموا لتوقّف وجوب النفقة علی التمکین دلیلاً واضحاً</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استشکل العلاّمة</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السیّد الخوئی</w:t>
      </w:r>
      <w:r>
        <w:rPr>
          <w:rStyle w:val="FootnoteAnchor"/>
          <w:rtl w:val="true"/>
        </w:rPr>
        <w:footnoteReference w:id="412"/>
      </w:r>
      <w:r>
        <w:rPr>
          <w:rFonts w:ascii="IRNazanin" w:hAnsi="IRNazanin" w:eastAsia="IRNazanin"/>
          <w:color w:val="111111"/>
          <w:sz w:val="28"/>
          <w:sz w:val="28"/>
          <w:szCs w:val="28"/>
          <w:rtl w:val="true"/>
          <w:lang w:bidi="fa-IR"/>
        </w:rPr>
        <w:t>رحمهما الله علی القول باشتراط وجوب النفقة علی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ما قلنا بأنّ عدم التمکین مانع، هو وجوب النفقة مع عدم إمکان التمکین من قبل الزوجة شرعاً؛ مثل أن تکون فی أیّام حیضها أو سفرها للحجّ و غیره، أو وقت الإحرام و الصوم؛ و هکذا النساء العجائز و شبه ذلک</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قام الإجماع و السیرة علی عدم وجوب الإنفاق فی صورة عدم التمکین، و لو نوقش فیهما، فالأدلّة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تقدّم ذکرها تدلّ علی توقّف وجوب النفقة علی التمکین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bookmarkStart w:id="188" w:name="pg11753_114730"/>
    </w:p>
    <w:p>
      <w:pPr>
        <w:pStyle w:val="BookText"/>
        <w:rPr/>
      </w:pPr>
      <w:bookmarkEnd w:id="188"/>
      <w:r>
        <w:rPr>
          <w:rFonts w:ascii="IRNazanin" w:hAnsi="IRNazanin" w:eastAsia="IRNazanin"/>
          <w:color w:val="111111"/>
          <w:sz w:val="28"/>
          <w:sz w:val="28"/>
          <w:szCs w:val="28"/>
          <w:rtl w:val="true"/>
          <w:lang w:bidi="fa-IR"/>
        </w:rPr>
        <w:t>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التی تدلّ علی وجوب النفقة مطلقاً تُقیَّدُ بالأخبار الدالّة علی اشتراط التمکین، إلاّ أنّ التمکین الکامل الذی هو شرط لوجوب النفقة إنّما هو ممّن له أهلیّة ذلک، و یمکن فرض التمکین و عدم النشوز فی حقّها؛ و هی الزوجة الکبیرة، فوجوب نفقتها مشروط بتمکینها فی مقابل الزوج، و النصوص التی وردت بأنّ المرأة إذا خرجت من البیت بدون إذن الزوج لا نفقة لها و لعنتها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الزوجة الصغیرة التی لا تتمکّن من التمکین شرعاً و عرفاً، فأدلّة وجوب النفقة بالنسبة إلیها مطلقةٌ، و النکاح بذاته یقتضی وجوب نفقتها فنحکم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الزوج أقدم علی هذا النکاح مع علمه بالحال و عدم إمکان التمکین من الزوجة، فیلزم بأداء النفقة مستنداً إلی قاعدة الإقدام أیضاً، و لعلّه لأجل ما ذکرنا قال بعض الفقهاء بوجوب نفقة الزوجة الصغیرة، و اللّه هو العالم بحکمه</w:t>
      </w:r>
      <w:r>
        <w:rPr>
          <w:rFonts w:eastAsia="IRNazanin" w:cs="IRNazanin"/>
          <w:color w:val="111111"/>
          <w:sz w:val="28"/>
          <w:szCs w:val="28"/>
          <w:rtl w:val="true"/>
          <w:lang w:bidi="fa-IR"/>
        </w:rPr>
        <w:t>.</w:t>
      </w:r>
    </w:p>
    <w:p>
      <w:pPr>
        <w:pStyle w:val="Heading6"/>
        <w:numPr>
          <w:ilvl w:val="5"/>
          <w:numId w:val="1"/>
        </w:numPr>
        <w:rPr/>
      </w:pPr>
      <w:bookmarkStart w:id="189" w:name="__RefHeading___Toc9482608_73709187"/>
      <w:bookmarkStart w:id="190" w:name="_Toc73"/>
      <w:bookmarkEnd w:id="189"/>
      <w:r>
        <w:rPr>
          <w:rtl w:val="true"/>
        </w:rPr>
        <w:t>و أما الحالة الرابعة أن تکون الزوجة کبیرةً و الزوج صغیراً</w:t>
      </w:r>
      <w:bookmarkEnd w:id="190"/>
    </w:p>
    <w:p>
      <w:pPr>
        <w:pStyle w:val="Heading6"/>
        <w:numPr>
          <w:ilvl w:val="5"/>
          <w:numId w:val="1"/>
        </w:numPr>
        <w:rPr/>
      </w:pPr>
      <w:bookmarkStart w:id="191" w:name="__RefHeading___Toc9482610_73709187"/>
      <w:bookmarkStart w:id="192" w:name="_Toc74"/>
      <w:bookmarkEnd w:id="191"/>
      <w:r>
        <w:rPr>
          <w:rtl w:val="true"/>
        </w:rPr>
        <w:t>القول الأول عدم وجوب النفقة علی الزوج الصغیر</w:t>
      </w:r>
      <w:bookmarkEnd w:id="192"/>
    </w:p>
    <w:p>
      <w:pPr>
        <w:pStyle w:val="BookText"/>
        <w:rPr/>
      </w:pP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الزوجة کبیرةً و الزوج صغیراً، فللفقهاء فی هذا الفرض أیضاً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إلیه الشیخ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الزوجة کبیرة و الزوج صغیراً لا نفقة لها و إن بذلت التمکین</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و تبعه فی السرائر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کانت کبیرة و هو طفل فبذلت نفسها و مکّنت</w:t>
      </w:r>
      <w:bookmarkStart w:id="193" w:name="pg11753_114731"/>
    </w:p>
    <w:p>
      <w:pPr>
        <w:pStyle w:val="BookText"/>
        <w:rPr/>
      </w:pPr>
      <w:bookmarkEnd w:id="193"/>
      <w:r>
        <w:rPr>
          <w:rFonts w:ascii="IRNazanin" w:hAnsi="IRNazanin" w:eastAsia="IRNazanin"/>
          <w:color w:val="111111"/>
          <w:sz w:val="28"/>
          <w:sz w:val="28"/>
          <w:szCs w:val="28"/>
          <w:rtl w:val="true"/>
          <w:lang w:bidi="fa-IR"/>
        </w:rPr>
        <w:t>من الاستمتاع، فهل لها نفقة أم لا؟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نفقة لها؛ لأنّ التمکین لیس بحاصل، و لا إمکان الاستمتاع، و هو الذی یقوی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الصحیح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النفقة؛ لأنّها تجب فی مقابلة التمکین من الاستمتاع، و قد فعلت، و إنّما تعذّر القبض من جهته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القاضی ابن البرّاج</w:t>
      </w:r>
      <w:r>
        <w:rPr>
          <w:rStyle w:val="FootnoteAnchor"/>
          <w:rtl w:val="true"/>
        </w:rPr>
        <w:footnoteReference w:id="417"/>
      </w:r>
      <w:r>
        <w:rPr>
          <w:rFonts w:ascii="IRNazanin" w:hAnsi="IRNazanin" w:eastAsia="IRNazanin"/>
          <w:color w:val="111111"/>
          <w:sz w:val="28"/>
          <w:sz w:val="28"/>
          <w:szCs w:val="28"/>
          <w:rtl w:val="true"/>
          <w:lang w:bidi="fa-IR"/>
        </w:rPr>
        <w:t>و یحیی بن سعید</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اعترف بذلک أیضاً فی کشف اللثام</w:t>
      </w:r>
      <w:r>
        <w:rPr>
          <w:rStyle w:val="FootnoteAnchor"/>
          <w:rtl w:val="true"/>
        </w:rPr>
        <w:footnoteReference w:id="419"/>
      </w:r>
      <w:r>
        <w:rPr>
          <w:rFonts w:ascii="IRNazanin" w:hAnsi="IRNazanin" w:eastAsia="IRNazanin"/>
          <w:color w:val="111111"/>
          <w:sz w:val="28"/>
          <w:sz w:val="28"/>
          <w:szCs w:val="28"/>
          <w:rtl w:val="true"/>
          <w:lang w:bidi="fa-IR"/>
        </w:rPr>
        <w:t>و الریاض</w:t>
      </w:r>
      <w:r>
        <w:rPr>
          <w:rStyle w:val="FootnoteAnchor"/>
          <w:rtl w:val="true"/>
        </w:rPr>
        <w:footnoteReference w:id="420"/>
      </w:r>
      <w:r>
        <w:rPr>
          <w:rFonts w:ascii="IRNazanin" w:hAnsi="IRNazanin" w:eastAsia="IRNazanin"/>
          <w:color w:val="111111"/>
          <w:sz w:val="28"/>
          <w:sz w:val="28"/>
          <w:szCs w:val="28"/>
          <w:rtl w:val="true"/>
          <w:lang w:bidi="fa-IR"/>
        </w:rPr>
        <w:t>و نهایة المرام</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تحریر الوسیلة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9482612_73709187"/>
      <w:bookmarkStart w:id="195" w:name="_Toc75"/>
      <w:bookmarkEnd w:id="194"/>
      <w:r>
        <w:rPr>
          <w:rtl w:val="true"/>
        </w:rPr>
        <w:t>أدلّة هذا القول</w:t>
      </w:r>
      <w:bookmarkEnd w:id="195"/>
    </w:p>
    <w:p>
      <w:pPr>
        <w:pStyle w:val="BookText"/>
        <w:rPr/>
      </w:pPr>
      <w:r>
        <w:rPr>
          <w:rFonts w:ascii="IRNazanin" w:hAnsi="IRNazanin" w:eastAsia="IRNazanin"/>
          <w:color w:val="111111"/>
          <w:sz w:val="28"/>
          <w:sz w:val="28"/>
          <w:szCs w:val="28"/>
          <w:rtl w:val="true"/>
          <w:lang w:bidi="fa-IR"/>
        </w:rPr>
        <w:t>و ما استدلّ أو یمکن أن یستدلّ به لهذا القول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تحقّق التمکین مع عدم التمکّن؛ فإنّ التمکین شرطه الإمکان، و إلاّ لم یتحقّق، و لأنّ الامتناع من جهة الفاعل أقوی من جهة القابل، فبانتفاء التمکّن ینتفی التمکین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شمول أدلّة وجوب نفقة الزوجة لذلک، ضرورة ظهورها باعتبار أنّها خطابات و تکالیف لغیر الصغیر و لا یمکن صرفها إلیه، و صرفها</w:t>
      </w:r>
    </w:p>
    <w:p>
      <w:pPr>
        <w:pStyle w:val="BookText"/>
        <w:rPr/>
      </w:pPr>
      <w:r>
        <w:rPr>
          <w:rFonts w:ascii="IRNazanin" w:hAnsi="IRNazanin" w:eastAsia="IRNazanin"/>
          <w:color w:val="111111"/>
          <w:sz w:val="28"/>
          <w:sz w:val="28"/>
          <w:szCs w:val="28"/>
          <w:rtl w:val="true"/>
          <w:lang w:bidi="fa-IR"/>
        </w:rPr>
        <w:t>إلی الولیّ مدفوعٌ بالأصل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النفقة و لا مخرج عنه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المرتکزات فی أذهان العرف أنّ الإنفاق فی مقابل الاستمتاعات، و حیث إنّ الاستمتاع هنا متعذّر من قبل الزوج لصغره، فلا یجب الإنفاق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استفدنا من الأدلّة السابقة أنّ العقد بذاته یقتضی النفقة، و عدم التمکین و النشوز مانع عنها، و فی مسألتنا هذه لا مانع من التمکین، لأنّ عدم التمکّن؛ من ناحیة الزوج لا یکون مانعاً من قبلها، أ لا تری أنّه إذا کان الزوج کبیراً و مکّنت الزوجة نفسها له، و لکن هو لا یقدر علی الاستمتاع منها، لم یقل أحد بأنّه لا یجب علیه النفقة؛ بدلیل عدم قدرته علی الاستمتاع</w:t>
      </w:r>
      <w:r>
        <w:rPr>
          <w:rStyle w:val="FootnoteAnchor"/>
          <w:rtl w:val="true"/>
        </w:rPr>
        <w:footnoteReference w:id="426"/>
      </w:r>
      <w:r>
        <w:rPr>
          <w:rFonts w:ascii="IRNazanin" w:hAnsi="IRNazanin" w:eastAsia="IRNazanin"/>
          <w:color w:val="111111"/>
          <w:sz w:val="28"/>
          <w:sz w:val="28"/>
          <w:szCs w:val="28"/>
          <w:rtl w:val="true"/>
          <w:lang w:bidi="fa-IR"/>
        </w:rPr>
        <w:t>، ففی ما نحن فیه أیضاً کذلک، یعنی إذا أنکح الولیّ الصغیر، و الحال هذه معناه أنّه أقدم علی قبول نفقة زوجة طفله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الخطاب إلی الولیّ؛ لأنّ فی المقام الولیّ أقدم علی هذا مع علمه بالحال، فالتکلیف متوجّه إلیه و لا یعقل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صحیح، و لا یجوز لهذه المرأة أن تزوّج نفسها بغیره و لا تکون مستحقّة للنفقة؛ لأنّ هذا ضرر علی الزوجة</w:t>
      </w:r>
      <w:r>
        <w:rPr>
          <w:rStyle w:val="FootnoteAnchor"/>
          <w:rtl w:val="true"/>
        </w:rPr>
        <w:footnoteReference w:id="427"/>
      </w:r>
      <w:r>
        <w:rPr>
          <w:rFonts w:ascii="IRNazanin" w:hAnsi="IRNazanin" w:eastAsia="IRNazanin"/>
          <w:color w:val="111111"/>
          <w:sz w:val="28"/>
          <w:sz w:val="28"/>
          <w:szCs w:val="28"/>
          <w:rtl w:val="true"/>
          <w:lang w:bidi="fa-IR"/>
        </w:rPr>
        <w:t>، فیرفعه دلیل لا ضرر الذی کان حاکماً علی الأدلّة</w:t>
      </w:r>
      <w:r>
        <w:rPr>
          <w:rFonts w:eastAsia="IRNazanin" w:cs="IRNazanin"/>
          <w:color w:val="111111"/>
          <w:sz w:val="28"/>
          <w:szCs w:val="28"/>
          <w:rtl w:val="true"/>
          <w:lang w:bidi="fa-IR"/>
        </w:rPr>
        <w:t>.</w:t>
      </w:r>
      <w:bookmarkStart w:id="196" w:name="pg11753_114733"/>
    </w:p>
    <w:p>
      <w:pPr>
        <w:pStyle w:val="BookText"/>
        <w:rPr/>
      </w:pPr>
      <w:bookmarkEnd w:id="196"/>
      <w:r>
        <w:rPr>
          <w:rFonts w:ascii="IRNazanin" w:hAnsi="IRNazanin" w:eastAsia="IRNazanin"/>
          <w:color w:val="111111"/>
          <w:sz w:val="28"/>
          <w:sz w:val="28"/>
          <w:szCs w:val="28"/>
          <w:rtl w:val="true"/>
          <w:lang w:bidi="fa-IR"/>
        </w:rPr>
        <w:t>و الجواب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المخرج هو النکاح الصحیح</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البراءة حجّة مع عدم دلیلٍ ناقلٍ، لکنّه موجود هنا بالعمومات الدالّة علی وجوب نفقة الأزواج، و الأصل عدم التخصیص</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أوّل الکلام، و إثباته علی مدّعیه، و علی فرض وجوده لا دلیل علی حجیّته، فالأقوی وجوب نفقة الزوجة الکبیرة التی لا تمتنع من تمکین نفسها، علی الزوج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لا یتمکّن من التمکین، و سنذکر دلیله قریباً</w:t>
      </w:r>
      <w:r>
        <w:rPr>
          <w:rFonts w:eastAsia="IRNazanin" w:cs="IRNazanin"/>
          <w:color w:val="111111"/>
          <w:sz w:val="28"/>
          <w:szCs w:val="28"/>
          <w:rtl w:val="true"/>
          <w:lang w:bidi="fa-IR"/>
        </w:rPr>
        <w:t>.</w:t>
      </w:r>
    </w:p>
    <w:p>
      <w:pPr>
        <w:pStyle w:val="Heading6"/>
        <w:numPr>
          <w:ilvl w:val="5"/>
          <w:numId w:val="1"/>
        </w:numPr>
        <w:rPr/>
      </w:pPr>
      <w:bookmarkStart w:id="197" w:name="__RefHeading___Toc9482614_73709187"/>
      <w:bookmarkStart w:id="198" w:name="_Toc76"/>
      <w:bookmarkEnd w:id="197"/>
      <w:r>
        <w:rPr>
          <w:rtl w:val="true"/>
        </w:rPr>
        <w:t>القول الثانی وجوب نفقة الزوجة علی الزوج الصغیر</w:t>
      </w:r>
      <w:bookmarkEnd w:id="198"/>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الزوج الصغیر نفقة زوجته الکبیرة؛ بأن یؤدّی ولیّه من مال الصغیر أو من 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کانت کبیرة و زوّجها صغیراً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نفقة لها، و فیه إشکال منشؤه تحقّق التمکین من طرفها، و الأشبه وجوب الإنفاق</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الزوجة الکبیرة؛ فإنّ لها النفقة إذا کانت ممکِّنةً من نفسها، و بذلت التمکین عند الحاکم و إن کان الزوج صغیراً؛ لوجود المقتضی السالم عن المعارض؛ فإنّ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التمکین المستند إلی العقد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هنا، و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للمانعیّة، کما فی نفقة الأقارب و هی أضعف، و إذا لم یمنع مع ضعف السبب فأولی أن لا یمنع مع قوّته</w:t>
      </w:r>
      <w:r>
        <w:rPr>
          <w:rFonts w:eastAsia="IRNazanin" w:cs="IRNazanin"/>
          <w:color w:val="111111"/>
          <w:sz w:val="28"/>
          <w:szCs w:val="28"/>
          <w:rtl w:val="true"/>
          <w:lang w:bidi="fa-IR"/>
        </w:rPr>
        <w:t>»</w:t>
      </w:r>
      <w:r>
        <w:rPr>
          <w:rStyle w:val="FootnoteAnchor"/>
          <w:rtl w:val="true"/>
        </w:rPr>
        <w:footnoteReference w:id="431"/>
      </w:r>
      <w:bookmarkStart w:id="199" w:name="pg11753_114734"/>
    </w:p>
    <w:p>
      <w:pPr>
        <w:pStyle w:val="BookText"/>
        <w:rPr/>
      </w:pPr>
      <w:bookmarkEnd w:id="199"/>
      <w:r>
        <w:rPr>
          <w:rFonts w:ascii="IRNazanin" w:hAnsi="IRNazanin" w:eastAsia="IRNazanin"/>
          <w:color w:val="111111"/>
          <w:sz w:val="28"/>
          <w:sz w:val="28"/>
          <w:szCs w:val="28"/>
          <w:rtl w:val="true"/>
          <w:lang w:bidi="fa-IR"/>
        </w:rPr>
        <w:t>و تبعه الصیمری</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فالقول بالوجوب أقوی؛ لأنّ الشارع رتّب إیجاب النفقة علی أسبابٍ، فإذا حصلت وجب أن یثبت الوجوب، و المعلوم منه العقد مع بذل المرأة نفسها، أو مع عدم المنع</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هذا القول الشیخ الأعظم</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دلیله یعلم ممّا سبق فی القول الأوّل فلا نعیده</w:t>
      </w:r>
      <w:r>
        <w:rPr>
          <w:rFonts w:eastAsia="IRNazanin" w:cs="IRNazanin"/>
          <w:color w:val="111111"/>
          <w:sz w:val="28"/>
          <w:szCs w:val="28"/>
          <w:rtl w:val="true"/>
          <w:lang w:bidi="fa-IR"/>
        </w:rPr>
        <w:t>.</w:t>
      </w:r>
    </w:p>
    <w:p>
      <w:pPr>
        <w:pStyle w:val="Heading5"/>
        <w:numPr>
          <w:ilvl w:val="4"/>
          <w:numId w:val="1"/>
        </w:numPr>
        <w:rPr/>
      </w:pPr>
      <w:bookmarkStart w:id="200" w:name="__RefHeading___Toc9482616_73709187"/>
      <w:bookmarkStart w:id="201" w:name="_Toc77"/>
      <w:bookmarkEnd w:id="200"/>
      <w:r>
        <w:rPr>
          <w:rtl w:val="true"/>
        </w:rPr>
        <w:t>آراء فقهاء أهل السنّة فی نفقة الزوجة الصغیرة</w:t>
      </w:r>
      <w:bookmarkEnd w:id="20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یشترطون فی وجوب النفقة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التمکین، و بلوغ الزوج، و إطاقة الزوجة للوط‌ء</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زوّجت صغیرة من بالغٍ فلها النفقة إن کان مثلها یوطأ و دَعَتهُ للدخول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یوطأ مثلها فلا نفقة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عکسه؛ بأن زوّجت بالغة من صغیرٍ فلا نفقة لها حتّی یبلغ الزوج؛ لأنّه یشترط فی وجوب النفقة بلوغ الزوج، و إن زوّجت صغیرة من صغیرٍ فلا نفقة لها حتّی یبلغ الزوج و تطیق هی للوط‌ء</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اشترطوا أیضاً فی وجوب النفقة ثلاثة شرائط</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الزوجة کبیرة و استکملت تسع سنین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یمکن وط‌ء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تبذل التمکین التامّ من نفسها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إذا کانت المرأة کبیرةً و یمکن الاستمتاع بها، فمکّنت من نفسها، أو بذلت تسلیمها و لم تمنع نفسها و لا منعها أولیاؤها، فعلی زوجها الصبیّ نفقتها؛ لأنّه سلّمت نفسها تسلیماً صحیحاً فوجبت لها النفقة کما لو کان الزوج کبیراً، و لأنّ الاستمتاع بها ممکن و إنّما تعذّر من جهة الزوج، فعلی هذا یجبر الولیّ علی نفقتها من مال الصبیّ؛ لأنّ النفقة علی الصبیّ، و إنّما الولیّ ینوب عنه فی أداء الواجبات علیه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اشترطوا فی وجوب النفقة علی الزوج أیضاً تسلیم الزوجة نفسها إلیه و تمکینها له تمکیناً تامّاً من الاستمتاع، و لیکن مستنداً إلی عقدٍ صحیحٍ‌</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النفقة تجب باجتماع العقد و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 الزوجین من أربعة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الاستمتاع ممکناً من جهتهما جمیعاً، فیکون الزوج ممّن یطأ و الزوجة ممّن توطأ، فهذا خارج من محلّ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الاستمتاع ممکناً من جهة الزوج لبلوغه، و غیر ممکن من جهة الزوجة لصِغرها، ففی وجوب نفقتها، علیه قولان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النفقة؛ لأنّ المانع من الاستمتاع بها فی الصغر کالمانع منه بالمرض، و نفقة المریضة واجبة، کذلک الصغیرة، و لأنّه قد تزوّجها عالماً بأنّه لا استمتاع فیها، فصار کالعاقد مع علمه بالعیوب، فلزم فیها حکم السلامة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نفقة لها، نصّ علیه الشافعی، و اختاره المزنی، و استدلاّ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فقد الاستمتاع بالصغر أغلظ من تعذّره بالنشوز فی الکبر؛ لإمکانه فی حال النشوز، و تعذّره فی حال الصغر، فکان إلحاقه بالنشوز فی سقوط النفقة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النفقة مستحقّة فی مقابلة التمکین من الاستمتاع، فصارت بدلاً فی مقابلة مبدل، و فوات المبدل موجب لسقوط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الاستمتاع من الزوجة ممکناً لکبرها، و متعذِّراً من جهة الزوج لصغره، و فیها أیضاً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یتعذّر الاستمتاع من جهتهما لصغرهما، و فیها أیضاً قولان</w:t>
      </w:r>
      <w:r>
        <w:rPr>
          <w:rStyle w:val="FootnoteAnchor"/>
          <w:rtl w:val="true"/>
        </w:rPr>
        <w:footnoteReference w:id="439"/>
      </w:r>
      <w:r>
        <w:rPr>
          <w:rFonts w:ascii="IRNazanin" w:hAnsi="IRNazanin" w:eastAsia="IRNazanin"/>
          <w:color w:val="111111"/>
          <w:sz w:val="28"/>
          <w:sz w:val="28"/>
          <w:szCs w:val="28"/>
          <w:rtl w:val="true"/>
          <w:lang w:bidi="fa-IR"/>
        </w:rPr>
        <w:t>کما فی الحالة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وجوب النفقة عندهم تسلیم المرأة نفسها إلی الزوج، بأن تخلّی بین نفسها و بین زوجها برفع المانع من وطئها و الاستمتاع بها حقیقة، و یتفرّع علی هذا أنّه إذا کانت الزوجة صغیرة یجامع مثلها فهی کالبالغة فی النفقة، و إن کانت لا یجامع مثلها فلا نفقة لها؛ لأنّ شرط الوجوب تسلیم النفس، و لا یتحقّق التسلیم فی صغره حیث لا یجامع مثلها، فلا نفقة لها إذا کانا صغیرین، و إن کان الزوج صغیراً و المرأة کبیرة فلها النفقة لوجود التسلیم منها، و لکن إذا کان الزوج صغیراً لا مال له لم یؤخذ الأب بنفقة زوجته إلاّ أن یکون ضمنها؛ لأنّ استحقاق النفقة علی الزوج</w:t>
      </w:r>
      <w:r>
        <w:rPr>
          <w:rStyle w:val="FootnoteAnchor"/>
          <w:rtl w:val="true"/>
        </w:rPr>
        <w:footnoteReference w:id="440"/>
      </w:r>
      <w:bookmarkStart w:id="202" w:name="pg11753_114737"/>
    </w:p>
    <w:p>
      <w:pPr>
        <w:pStyle w:val="Heading4"/>
        <w:numPr>
          <w:ilvl w:val="3"/>
          <w:numId w:val="1"/>
        </w:numPr>
        <w:rPr/>
      </w:pPr>
      <w:bookmarkStart w:id="203" w:name="__RefHeading___Toc9482618_73709187"/>
      <w:bookmarkStart w:id="204" w:name="_Toc78"/>
      <w:bookmarkEnd w:id="202"/>
      <w:bookmarkEnd w:id="203"/>
      <w:r>
        <w:rPr>
          <w:rtl w:val="true"/>
        </w:rPr>
        <w:t>المبحث السادس</w:t>
      </w:r>
      <w:r>
        <w:rPr>
          <w:rtl w:val="true"/>
        </w:rPr>
        <w:t xml:space="preserve">: </w:t>
      </w:r>
      <w:r>
        <w:rPr>
          <w:rtl w:val="true"/>
        </w:rPr>
        <w:t>حکم عدة الصغیرة فی الطلاق</w:t>
      </w:r>
      <w:bookmarkEnd w:id="204"/>
    </w:p>
    <w:p>
      <w:pPr>
        <w:pStyle w:val="Heading5"/>
        <w:numPr>
          <w:ilvl w:val="4"/>
          <w:numId w:val="1"/>
        </w:numPr>
        <w:rPr/>
      </w:pPr>
      <w:bookmarkStart w:id="205" w:name="__RefHeading___Toc9482620_73709187"/>
      <w:bookmarkStart w:id="206" w:name="_Toc79"/>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اختلف الفقهاء فی أنّ الصبیّة التی لم تبلغ تسع سنین إذا دخل بها الزوج اشتباهاً أو فعل ذلک محرّماً، و کذا فی الیائسة، هل علیهما عدّة الطلاق أم لا؟</w:t>
      </w:r>
    </w:p>
    <w:p>
      <w:pPr>
        <w:pStyle w:val="BookText"/>
        <w:rPr/>
      </w:pPr>
      <w:r>
        <w:rPr>
          <w:rFonts w:ascii="IRNazanin" w:hAnsi="IRNazanin" w:eastAsia="IRNazanin"/>
          <w:color w:val="111111"/>
          <w:sz w:val="28"/>
          <w:sz w:val="28"/>
          <w:szCs w:val="28"/>
          <w:rtl w:val="true"/>
          <w:lang w:bidi="fa-IR"/>
        </w:rPr>
        <w:t>و کذا فی صورة الفسخ و وط‌ء الشبهة الموجبین للعدّة فی غیر هذا الموضع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Style w:val="FootnoteAnchor"/>
          <w:rtl w:val="true"/>
        </w:rPr>
        <w:footnoteReference w:id="441"/>
      </w:r>
      <w:r>
        <w:rPr>
          <w:rFonts w:ascii="Amiri" w:hAnsi="Amiri" w:eastAsia="Amiri" w:cs="Amiri"/>
          <w:color w:val="111111"/>
          <w:sz w:val="28"/>
          <w:sz w:val="28"/>
          <w:szCs w:val="28"/>
          <w:rtl w:val="true"/>
          <w:lang w:bidi="ar-SA"/>
        </w:rPr>
        <w:t>و ابن زهرة</w:t>
      </w:r>
      <w:r>
        <w:rPr>
          <w:rStyle w:val="FootnoteAnchor"/>
          <w:rtl w:val="true"/>
        </w:rPr>
        <w:footnoteReference w:id="442"/>
      </w:r>
      <w:r>
        <w:rPr>
          <w:rFonts w:ascii="IRNazanin" w:hAnsi="IRNazanin" w:eastAsia="IRNazanin"/>
          <w:color w:val="111111"/>
          <w:sz w:val="28"/>
          <w:sz w:val="28"/>
          <w:szCs w:val="28"/>
          <w:rtl w:val="true"/>
          <w:lang w:bidi="fa-IR"/>
        </w:rPr>
        <w:t>و ابن شهرآشوب</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تجب علی الصغیرة العدّة فی فرض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السیّد المرتضی رحمه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 مِنَ الْمَحِیضِ مِنْ نِسائِکُمْ إِنِ ارْتَبْتُمْ فَعِدَّتُهُنَّ ثَلاثَةُ أَشْهُرٍ وَ اللاّئِی لَمْ یَحِضْنَ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صریح فی أنّ الآیسات من المحیض و اللاّئی لم یبلغن عدّتهنّ الأشهر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أورد علی نفسه بأنّ فی الآیة شرطاً؛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منتفٍ عنهما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بأنّ الشرط لا ینفع أصحابنا، لأنّه غیر مطابق لما یشترطونه، و إنّما یکون نافعاً لهم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مثلهنّ لا تحیض فی الیائسات و فی اللاّئی لم یبلغن المحیض إذا کان مثلهنّ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غیر الشرط الذی یشرطه أصحابنا، فلا منفعة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یخلو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یراد به ما قاله جمهور المفسِّرین و أهل العلم بالتأویل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مرتابین فی عدّة هؤلاء النساء غیر عالمین بمبلغها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المصیر إلی هذا التأویل ما روی فی سبب نزول هذه الآیة أنّ ابیّ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عدداً من عدّة النساء لم تذکر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 الکبار و أولات الأحمال،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اللاّئِی یَئِسْنَ مِنَ الْمَحِیضِ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أُولاتُ الْأَحْمالِ أَجَلُهُنَّ أَنْ یَضَعْنَ حَمْلَهُنَّ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فکان سبب نزول هذه الآیة الارتیاب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الارتیاب بأنّها آیسةٌ أو غیر آیسةٍ؛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فی الآیة علی الیائس من المحیض، و المشکوک فی حالها، و المرتاب فی أنّها تحیض أو لا تحیض لا تکون آیسة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علی أنّ المراد الارتیاب فی العدّة و مبلغها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المرجع فی وقوع الحیض منها أو ارتفاعه إلیها؛ و هی المصدّقة علی ما تخبر به فیه، فإذا أخبرت بأنّ حیضها قد ارتفع قطع علیه، و لا معنی للارتیاب مع ذلک، حیث إنّ المرجع فیه إلیهنّ، فلو کانت الریبة فی الآیة منصرفة إلی الیأس من المحیض لکان حقّه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ارتبتنّ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المرجع إلیهنّ فیه، فلمّا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فخاطب الرجال دون النساء، عُلِم أنّه یرید الارتیاب فی العدّة و مبلغها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یجب أن تعتدّ بالشهور، و هو اختیار المرتضی رضی الله عنه، و به قال جمیع المخالفین، و طریقة الاحتیاط تقتضی ذلک، و أیضاً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 مِنَ الْمَحِیضِ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نصّ،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علی ما</w:t>
      </w:r>
      <w:bookmarkStart w:id="207" w:name="pg11753_114739"/>
    </w:p>
    <w:p>
      <w:pPr>
        <w:pStyle w:val="BookText"/>
        <w:rPr/>
      </w:pPr>
      <w:bookmarkEnd w:id="207"/>
      <w:r>
        <w:rPr>
          <w:rFonts w:ascii="IRNazanin" w:hAnsi="IRNazanin" w:eastAsia="IRNazanin"/>
          <w:color w:val="111111"/>
          <w:sz w:val="28"/>
          <w:sz w:val="28"/>
          <w:szCs w:val="28"/>
          <w:rtl w:val="true"/>
          <w:lang w:bidi="fa-IR"/>
        </w:rPr>
        <w:t>ذکره جمهور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مرتابین فی عدّة هؤلاء النساء، و غیر عالمین بمقدارها</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9482622_73709187"/>
      <w:bookmarkStart w:id="209" w:name="_Toc80"/>
      <w:bookmarkEnd w:id="208"/>
      <w:r>
        <w:rPr>
          <w:rtl w:val="true"/>
        </w:rPr>
        <w:t>جواب العلاّمة و الشهید عن استدلال السیّد المرتضی</w:t>
      </w:r>
      <w:bookmarkEnd w:id="209"/>
    </w:p>
    <w:p>
      <w:pPr>
        <w:pStyle w:val="BookText"/>
        <w:rPr/>
      </w:pPr>
      <w:r>
        <w:rPr>
          <w:rFonts w:ascii="IRNazanin" w:hAnsi="IRNazanin" w:eastAsia="IRNazanin"/>
          <w:color w:val="111111"/>
          <w:sz w:val="28"/>
          <w:sz w:val="28"/>
          <w:szCs w:val="28"/>
          <w:rtl w:val="true"/>
          <w:lang w:bidi="fa-IR"/>
        </w:rPr>
        <w:t>و أجاب عنه العلاّمة و الشهید الثانی رحمهما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لا دلالة فی الآیة علی ما ذکره السیّد رحمه الله لاشتراطها بالریبة، و هی عائدة إلی الیأس من المحیض و عدم المحیض، و القطع فی علمه تعالی لا یستلزم انتفاء الریبة عندنا؛ لأنّه تعالی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النزول لا یجب أن یکون عامّاً فی الجمیع، فجاز أن یقع السؤال عن الصغار و الکبار الذین لم یحضن أو أیسن، مع أنّ مثلهنّ یحضن؛ فإنّه لا یمکن الحوالة فی عدّتهنّ علی الأقراء، فوجب السؤال، و صرف الریبة إلی العدّة و العلم بقدرها غیر مناسب؛ لأنّ الأحکام الشرعیّة قبل ورود الشرع بها غیر معلوم، فلا یکون التعلیم فی هذه الصورة مشروطاً بالریبة دون غیرها؛ لعدم الأولویّة</w:t>
      </w:r>
      <w:r>
        <w:rPr>
          <w:rStyle w:val="FootnoteAnchor"/>
          <w:rtl w:val="true"/>
        </w:rPr>
        <w:footnoteReference w:id="446"/>
      </w:r>
      <w:r>
        <w:rPr>
          <w:rFonts w:ascii="IRNazanin" w:hAnsi="IRNazanin" w:eastAsia="IRNazanin"/>
          <w:color w:val="111111"/>
          <w:sz w:val="28"/>
          <w:sz w:val="28"/>
          <w:szCs w:val="28"/>
          <w:rtl w:val="true"/>
          <w:lang w:bidi="fa-IR"/>
        </w:rPr>
        <w:t>، إذ بیان الأحکام فی القرآن الکریم لا یقیّد بالجهل فی شیءٍ من الأحکام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الشهید الثانی أنّه لو کان المراد ما ذکر السیّد رحمه الله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سبب النزول کما ذکر یوجب ذلک؛ فإنّ أُبیّ بن کعب لم یشکّ فی عدّتهنّ و إنّما جهل حکمه، و إنّما أتی بالضمیر مذکّراً لکون الخطاب مع الرجال؛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 مِنَ الْمَحِیضِ مِنْ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النساء یرجعن فی معرفة أحکامهنّ إلی رجالهنّ أو إلی العلماء فکان الخطاب لهم لا 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الحقّ أنّ الآیة محتملة الأمرین، و الاستناد إلی الآیة الکریمة فی الحکم غیر بیّن و إن کانت الدلالة علی مذهب المرتضی أوضح، و الاعتماد فی الحکم المشهور علی الروایات الکثیرة المعتبرة الأسناد، و وجوب الجمع بینها، و بین الآیة یعیّن المصیر إلی ما ذکروه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للجمع</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یحتمل فی 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المرتضی قدس سره من أنّ المراد بالارتیاب الجهل فی عدّة هؤلاء النساء و عدم العلم بمبلغها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الارتیاب فی أنّها یائسة أو غیر یائسة، فیکون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اللاّئِی یَئِسْنَ مِنَ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یئسن من المحیض و حصلت لها صفة الآیسات، و هو انقطاع الحیض بحسب الظاهر، و لم یتحقّق کونه لکبر، و وصولها إلی حدّ الیأس منه أو لعارض، فحصل الشکّ فی ذلک، فیجب علیهن العدّة بثلاثة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 مِنَ الْمَحِیضِ مِنْ نِسائِکُمْ 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تدرون لکبرٍ ارتفع حیضهنّ أم لعارضٍ، فعدتهنّ ثلاثة أشهر، و هنّ اللواتی أمثالهنّ یحضن؛ لأنّهنّ لو کُنَّ فی سنّ من لا تحیض لم یکن للارتیاب معنی، و هذا هو المرویّ عن أئمّتنا علیهم السلام</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الکشّاف</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الشیخ فی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 مِنَ الْمَحِیضِ مِنْ نِسائِکُمْ إِنِ ارْتَبْتُمْ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فشرط فی إیجاب العدّة ثلاثة أشهر إن ارتابت، و الریبة</w:t>
      </w:r>
    </w:p>
    <w:p>
      <w:pPr>
        <w:pStyle w:val="BookText"/>
        <w:rPr/>
      </w:pPr>
      <w:r>
        <w:rPr>
          <w:rFonts w:ascii="IRNazanin" w:hAnsi="IRNazanin" w:eastAsia="IRNazanin"/>
          <w:color w:val="111111"/>
          <w:sz w:val="28"/>
          <w:sz w:val="28"/>
          <w:szCs w:val="28"/>
          <w:rtl w:val="true"/>
          <w:lang w:bidi="fa-IR"/>
        </w:rPr>
        <w:t>لا تکون إلاّ فیمن تحیض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لا تحیض مثلها فلا ریبة علیها</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فقه القرآن للراوندی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 مِنَ الْمَحِیضِ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علی الآیسة من المحیض و فی سنّها من تحیض، و فی التی لم تحض و فی سنّها من تحیض؛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فیه ذلک و قیّده بالریبة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تفصیل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 هذه الجملة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هذا القید یدلّ علی عدم ترتّب الحکم علی مطلق الیائسة، بل علی الیائسة المرتابة، و هی الّتی تشکّ فی أنّها بلغت سنّ الیأس أم لا؟ و فی الحقیقة تشکّ فی أنّ عدم الحیض، هل یکون مستنداً إلی الیأس، أو یکون لعارض من مرض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بلغت سنّ الیأس مشخّصاً لا یکون حکمها مذکوراً فی الآیة الشریفة، و هکذا بالإضافة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الظاهر ثبوت هذا القید فیهنّ، و أنّ المراد ثبوت الریبة فیهنّ؛ بمعنی أنّ المرأة الّتی لم تر الدّم، و لکن شکّت فی أنّ عدم رؤیتها هل لأجل عدم البلوغ بسنّ الحیض، أو مستند إلی عارض آخر، تکون مورداً للحکم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غیر المرتابة، و غیر البالغة سنّ الحیض فلا تعرّض فی الآیة لحکمها</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فالأقوی 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الارتیاب فی الیأس من المحیض و عدم المحیض، لا الارتیاب فی حکم هؤلاء النساء؛ لأنّه ورد فی بعض الأخبار ما یدلّ علی ذلک،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الریبة؟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علی شهرٍ فهو ریبةٌ، فلتعتدّ ثلاثة أشهر،</w:t>
      </w:r>
      <w:bookmarkStart w:id="210" w:name="pg11753_114742"/>
    </w:p>
    <w:p>
      <w:pPr>
        <w:pStyle w:val="BookText"/>
        <w:rPr/>
      </w:pPr>
      <w:bookmarkEnd w:id="210"/>
      <w:r>
        <w:rPr>
          <w:rFonts w:ascii="IRNazanin" w:hAnsi="IRNazanin" w:eastAsia="IRNazanin"/>
          <w:color w:val="111111"/>
          <w:sz w:val="28"/>
          <w:sz w:val="28"/>
          <w:szCs w:val="28"/>
          <w:rtl w:val="true"/>
          <w:lang w:bidi="fa-IR"/>
        </w:rPr>
        <w:t>و لتترک الحیض، و ما کان فی الشهر لم یزد فی الحیض علی ثلاث حیض، فعدّتها ثلاث حیض</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تأخّر الدم عن عادتها أقلّ من الشهر فلیس لریبة الحبل، بل ربما کان لعلّة فلتعتدّ بالأقراء، فإن تأخّر الدّم شهراً فإنّه یجوز أن یکون للحمل، فتعتدّ ثلاثة أشهرٍ ما لم تر فیها دماً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معناها صحیحة محمّد بن مسلم؛ لأنّ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قد ارتفع حیضها و زعمت أنّها لم تیأس</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أیّهما سبق بانت منه المطلّقة، المسترابة</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معنی المسترابة کما فی الفقیه</w:t>
      </w:r>
      <w:r>
        <w:rPr>
          <w:rStyle w:val="FootnoteAnchor"/>
          <w:rtl w:val="true"/>
        </w:rPr>
        <w:footnoteReference w:id="456"/>
      </w:r>
      <w:r>
        <w:rPr>
          <w:rFonts w:ascii="IRNazanin" w:hAnsi="IRNazanin" w:eastAsia="IRNazanin"/>
          <w:color w:val="111111"/>
          <w:sz w:val="28"/>
          <w:sz w:val="28"/>
          <w:szCs w:val="28"/>
          <w:rtl w:val="true"/>
          <w:lang w:bidi="fa-IR"/>
        </w:rPr>
        <w:t>المرأة التی تستریب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المقصود من الارتیاب فی الآیة، الارتیاب بأنّها یائسة أو غیر یائسة، لا الارتیاب فی العدّة، و لا أقلّ أنّ الآیة تحتمل الأمرین، فلا یمکن الاستدلال بها علی ما ذهب إلیه السیّد المرتضی رحمه الله</w:t>
      </w:r>
      <w:r>
        <w:rPr>
          <w:rFonts w:eastAsia="IRNazanin" w:cs="IRNazanin"/>
          <w:color w:val="111111"/>
          <w:sz w:val="28"/>
          <w:szCs w:val="28"/>
          <w:rtl w:val="true"/>
          <w:lang w:bidi="fa-IR"/>
        </w:rPr>
        <w:t>.</w:t>
      </w:r>
    </w:p>
    <w:p>
      <w:pPr>
        <w:pStyle w:val="Heading5"/>
        <w:numPr>
          <w:ilvl w:val="4"/>
          <w:numId w:val="1"/>
        </w:numPr>
        <w:rPr/>
      </w:pPr>
      <w:bookmarkStart w:id="211" w:name="__RefHeading___Toc9482624_73709187"/>
      <w:bookmarkStart w:id="212" w:name="_Toc81"/>
      <w:bookmarkEnd w:id="211"/>
      <w:r>
        <w:rPr>
          <w:rtl w:val="true"/>
        </w:rPr>
        <w:t>الروایات التی تدلّ علی مذهب السیّد المرتضی و أتباعه</w:t>
      </w:r>
      <w:bookmarkEnd w:id="212"/>
    </w:p>
    <w:p>
      <w:pPr>
        <w:pStyle w:val="BookText"/>
        <w:rPr/>
      </w:pPr>
      <w:r>
        <w:rPr>
          <w:rFonts w:ascii="IRNazanin" w:hAnsi="IRNazanin" w:eastAsia="IRNazanin"/>
          <w:color w:val="111111"/>
          <w:sz w:val="28"/>
          <w:sz w:val="28"/>
          <w:szCs w:val="28"/>
          <w:rtl w:val="true"/>
          <w:lang w:bidi="fa-IR"/>
        </w:rPr>
        <w:t>إنّ أهمّ الروایات التی یمکن أن یستدلّ بها لمذهب السیّد المرتضی و أتباعه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التی لم تبلغ الحیض ثلاثة أشهر، و التی</w:t>
      </w:r>
    </w:p>
    <w:p>
      <w:pPr>
        <w:pStyle w:val="BookText"/>
        <w:rPr/>
      </w:pPr>
      <w:r>
        <w:rPr>
          <w:rFonts w:ascii="IRNazanin" w:hAnsi="IRNazanin" w:eastAsia="IRNazanin"/>
          <w:color w:val="111111"/>
          <w:sz w:val="28"/>
          <w:sz w:val="28"/>
          <w:szCs w:val="28"/>
          <w:rtl w:val="true"/>
          <w:lang w:bidi="fa-IR"/>
        </w:rPr>
        <w:t>قد قعدت من المحیض ثلاثة أشهر</w:t>
      </w:r>
      <w:r>
        <w:rPr>
          <w:rFonts w:eastAsia="IRNazanin" w:cs="IRNazanin"/>
          <w:color w:val="111111"/>
          <w:sz w:val="28"/>
          <w:szCs w:val="28"/>
          <w:rtl w:val="true"/>
          <w:lang w:bidi="fa-IR"/>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المرأة التی لا تحیض، و المستحاضة التی لا تطهر، و الجاریة التی قد یئست و لم تدرک الحیض ثلاثة أشهر، و التی یستقیم حیضها ثلاث حیض، متی ما حاضتها فقد حلّت للأزواج</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p>
    <w:p>
      <w:pPr>
        <w:pStyle w:val="BookText"/>
        <w:rPr/>
      </w:pPr>
      <w:r>
        <w:rPr>
          <w:rFonts w:ascii="IRNazanin" w:hAnsi="IRNazanin" w:eastAsia="IRNazanin"/>
          <w:color w:val="111111"/>
          <w:sz w:val="28"/>
          <w:sz w:val="28"/>
          <w:szCs w:val="28"/>
          <w:rtl w:val="true"/>
          <w:lang w:bidi="fa-IR"/>
        </w:rPr>
        <w:t>محمّد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الجاریة التی لم تدرک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یطلّقها زوجُها بالشهور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أبی بصیر ضعیفة السند؛ لأنّ ابن سماعة و ابن جبلة و علی ابن أبی حمزة کلّهم منحرفون عن الحقّ، و أبو بصیر لم یسندها إلی إمام، و مع ذلک فهی محمولة علی ما إذا کانتا فی سنّ من تحیض</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رحمه الله بعد ذکر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الخبر نحمله علی من تکون مثلها تحیض؛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ذلک و قیّده بمن یرتاب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یَئِسْنَ مِنَ الْمَحِیضِ مِنْ نِسائِکُمْ إِنِ ارْتَبْتُمْ فَعِدَّتُهُنَّ ثَلاثَةُ أَشْهُرٍ وَ اللاّئِی لَمْ یَحِضْنَ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فی إیجاب العدّة ثلاثة أشهر أن تکون مرتابة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کان التقدیر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فعدّتهنّ ثلاثة أشهر، و هذا أولی ممّا قاله ابن سماعة؛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العدّة علی هؤلاء کلّهنّ، و إنّما تسقط عن الإماء العدّة؛ لأنّ هذا تخصیص منه فی الإماء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ذکرناه مذهب معاویة بن حکیم من متقدِّمی فقهاء أصحابنا و جمیع فقهائنا المتأخِّرین، و هو مطابق لظاهر القرآن</w:t>
      </w:r>
      <w:r>
        <w:rPr>
          <w:rFonts w:eastAsia="IRNazanin" w:cs="IRNazanin"/>
          <w:color w:val="111111"/>
          <w:sz w:val="28"/>
          <w:szCs w:val="28"/>
          <w:rtl w:val="true"/>
          <w:lang w:bidi="fa-IR"/>
        </w:rPr>
        <w:t>»</w:t>
      </w:r>
      <w:r>
        <w:rPr>
          <w:rStyle w:val="FootnoteAnchor"/>
          <w:rtl w:val="true"/>
        </w:rPr>
        <w:footnoteReference w:id="461"/>
      </w:r>
      <w:bookmarkStart w:id="213" w:name="pg11753_114744"/>
    </w:p>
    <w:p>
      <w:pPr>
        <w:pStyle w:val="BookText"/>
        <w:rPr/>
      </w:pPr>
      <w:bookmarkEnd w:id="213"/>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روایة أبی بصیر ضعیفة، و صحیحة الحلبی تحمل علی ما حمله الشیخ علیه روایة أبی بصیر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الصحیحة مشتملة علی حکم المستحاضة، و القائل به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 عدّة المسترابة ثلاثة حیض، مع أنّ عدّتها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ثلاثة أشهر أو ثلاثة أطهار، و فی متنها أیضاً شیء</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حمل الشیخ روایة</w:t>
      </w:r>
    </w:p>
    <w:p>
      <w:pPr>
        <w:pStyle w:val="BookText"/>
        <w:rPr/>
      </w:pPr>
      <w:r>
        <w:rPr>
          <w:rFonts w:ascii="IRNazanin" w:hAnsi="IRNazanin" w:eastAsia="IRNazanin"/>
          <w:color w:val="111111"/>
          <w:sz w:val="28"/>
          <w:sz w:val="28"/>
          <w:szCs w:val="28"/>
          <w:rtl w:val="true"/>
          <w:lang w:bidi="fa-IR"/>
        </w:rPr>
        <w:t>محمّد بن حکیم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الشابّة التی لا تحیض و مثلها یحمل، طلّقها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عدّتها ثلاثة أشهر</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الفقیه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حمل ما تضمّن العدّة هنا علی التقیّة؛ لموافقها لمذهب العامّة، و علی الاستحباب</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9482626_73709187"/>
      <w:bookmarkStart w:id="215" w:name="_Toc82"/>
      <w:bookmarkEnd w:id="214"/>
      <w:r>
        <w:rPr>
          <w:rtl w:val="true"/>
        </w:rPr>
        <w:t>إیضاحٌ</w:t>
      </w:r>
      <w:r>
        <w:rPr>
          <w:rtl w:val="true"/>
        </w:rPr>
        <w:t>:</w:t>
      </w:r>
      <w:bookmarkEnd w:id="215"/>
    </w:p>
    <w:p>
      <w:pPr>
        <w:pStyle w:val="BookText"/>
        <w:rPr/>
      </w:pPr>
      <w:r>
        <w:rPr>
          <w:rFonts w:ascii="IRNazanin" w:hAnsi="IRNazanin" w:eastAsia="IRNazanin"/>
          <w:color w:val="111111"/>
          <w:sz w:val="28"/>
          <w:sz w:val="28"/>
          <w:szCs w:val="28"/>
          <w:rtl w:val="true"/>
          <w:lang w:bidi="fa-IR"/>
        </w:rPr>
        <w:t>لم یحتجّ السیّد بهذه الأخبار؛ لأنّه لا یعتبر الأخبار الصحیحة الواردة بطریق الآحاد، فکیف بمثل هذه الأخبار، و لذا استند إلی الآیة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الروایات موافقة لمذهبه لا أنّها تدخل فی حجّته</w:t>
      </w:r>
      <w:r>
        <w:rPr>
          <w:rFonts w:eastAsia="IRNazanin" w:cs="IRNazanin"/>
          <w:color w:val="111111"/>
          <w:sz w:val="28"/>
          <w:szCs w:val="28"/>
          <w:rtl w:val="true"/>
          <w:lang w:bidi="fa-IR"/>
        </w:rPr>
        <w:t>.</w:t>
      </w:r>
    </w:p>
    <w:p>
      <w:pPr>
        <w:pStyle w:val="Heading5"/>
        <w:numPr>
          <w:ilvl w:val="4"/>
          <w:numId w:val="1"/>
        </w:numPr>
        <w:rPr/>
      </w:pPr>
      <w:bookmarkStart w:id="216" w:name="__RefHeading___Toc9482628_73709187"/>
      <w:bookmarkStart w:id="217" w:name="_Toc83"/>
      <w:bookmarkEnd w:id="216"/>
      <w:r>
        <w:rPr>
          <w:rtl w:val="true"/>
        </w:rPr>
        <w:t>عدم وجوب العدّة علی الزوجة الصغیرة</w:t>
      </w:r>
      <w:bookmarkEnd w:id="2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المشهور من أنّه لا تجب علی الصغیرة العدّة فی فرض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طلّق صبیّة لم تبلغ المحیض و قد کان دخل بها فعدّتها ثلاثة أشهرٍ إن کانت فی سنّ من تحیض؛ و هی أن تبلغ تسع سنین، و إن صغرت عن ذلک لم یکن علیها عدّةٌ من طلاق</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إلی هذا القول أکثر الأصحاب،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Style w:val="FootnoteAnchor"/>
          <w:rtl w:val="true"/>
        </w:rPr>
        <w:footnoteReference w:id="466"/>
      </w:r>
      <w:r>
        <w:rPr>
          <w:rFonts w:ascii="IRNazanin" w:hAnsi="IRNazanin" w:eastAsia="IRNazanin"/>
          <w:color w:val="111111"/>
          <w:sz w:val="28"/>
          <w:sz w:val="28"/>
          <w:szCs w:val="28"/>
          <w:rtl w:val="true"/>
          <w:lang w:bidi="fa-IR"/>
        </w:rPr>
        <w:t>و الصدوق</w:t>
      </w:r>
      <w:r>
        <w:rPr>
          <w:rStyle w:val="FootnoteAnchor"/>
          <w:rtl w:val="true"/>
        </w:rPr>
        <w:footnoteReference w:id="467"/>
      </w:r>
      <w:r>
        <w:rPr>
          <w:rFonts w:ascii="Amiri" w:hAnsi="Amiri" w:eastAsia="Amiri" w:cs="Amiri"/>
          <w:color w:val="111111"/>
          <w:sz w:val="28"/>
          <w:sz w:val="28"/>
          <w:szCs w:val="28"/>
          <w:rtl w:val="true"/>
          <w:lang w:bidi="ar-SA"/>
        </w:rPr>
        <w:t>و سلاّر</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أبو الصلاح الحلبی</w:t>
      </w:r>
      <w:r>
        <w:rPr>
          <w:rStyle w:val="FootnoteAnchor"/>
          <w:rtl w:val="true"/>
        </w:rPr>
        <w:footnoteReference w:id="469"/>
      </w:r>
      <w:r>
        <w:rPr>
          <w:rFonts w:ascii="IRNazanin" w:hAnsi="IRNazanin" w:eastAsia="IRNazanin"/>
          <w:color w:val="111111"/>
          <w:sz w:val="28"/>
          <w:sz w:val="28"/>
          <w:szCs w:val="28"/>
          <w:rtl w:val="true"/>
          <w:lang w:bidi="fa-IR"/>
        </w:rPr>
        <w:t>و ابن البرّاج</w:t>
      </w:r>
      <w:r>
        <w:rPr>
          <w:rStyle w:val="FootnoteAnchor"/>
          <w:rtl w:val="true"/>
        </w:rPr>
        <w:footnoteReference w:id="470"/>
      </w:r>
      <w:r>
        <w:rPr>
          <w:rFonts w:ascii="Amiri" w:hAnsi="Amiri" w:eastAsia="Amiri" w:cs="Amiri"/>
          <w:color w:val="111111"/>
          <w:sz w:val="28"/>
          <w:sz w:val="28"/>
          <w:szCs w:val="28"/>
          <w:rtl w:val="true"/>
          <w:lang w:bidi="ar-SA"/>
        </w:rPr>
        <w:t>و ابن حمزة</w:t>
      </w:r>
      <w:r>
        <w:rPr>
          <w:rStyle w:val="FootnoteAnchor"/>
          <w:rtl w:val="true"/>
        </w:rPr>
        <w:footnoteReference w:id="471"/>
      </w:r>
      <w:r>
        <w:rPr>
          <w:rFonts w:ascii="IRNazanin" w:hAnsi="IRNazanin" w:eastAsia="IRNazanin"/>
          <w:color w:val="111111"/>
          <w:sz w:val="28"/>
          <w:sz w:val="28"/>
          <w:szCs w:val="28"/>
          <w:rtl w:val="true"/>
          <w:lang w:bidi="fa-IR"/>
        </w:rPr>
        <w:t>و ابن إدریس</w:t>
      </w:r>
      <w:r>
        <w:rPr>
          <w:rStyle w:val="FootnoteAnchor"/>
          <w:rtl w:val="true"/>
        </w:rPr>
        <w:footnoteReference w:id="472"/>
      </w:r>
      <w:r>
        <w:rPr>
          <w:rFonts w:ascii="Amiri" w:hAnsi="Amiri" w:eastAsia="Amiri" w:cs="Amiri"/>
          <w:color w:val="111111"/>
          <w:sz w:val="28"/>
          <w:sz w:val="28"/>
          <w:szCs w:val="28"/>
          <w:rtl w:val="true"/>
          <w:lang w:bidi="ar-SA"/>
        </w:rPr>
        <w:t>و من تأخّر</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عنهم، و به قال أیضاً جماعة من المتأخِّرین</w:t>
      </w:r>
      <w:r>
        <w:rPr>
          <w:rStyle w:val="FootnoteAnchor"/>
          <w:rtl w:val="true"/>
        </w:rPr>
        <w:footnoteReference w:id="474"/>
      </w:r>
      <w:r>
        <w:rPr>
          <w:rFonts w:ascii="Amiri" w:hAnsi="Amiri" w:eastAsia="Amiri" w:cs="Amiri"/>
          <w:color w:val="111111"/>
          <w:sz w:val="28"/>
          <w:sz w:val="28"/>
          <w:szCs w:val="28"/>
          <w:rtl w:val="true"/>
          <w:lang w:bidi="ar-SA"/>
        </w:rPr>
        <w:t>و متأخِّری المتأخِّرین</w:t>
      </w:r>
      <w:r>
        <w:rPr>
          <w:rStyle w:val="FootnoteAnchor"/>
          <w:rtl w:val="true"/>
        </w:rPr>
        <w:footnoteReference w:id="475"/>
      </w:r>
      <w:r>
        <w:rPr>
          <w:rFonts w:ascii="IRNazanin" w:hAnsi="IRNazanin" w:eastAsia="IRNazanin"/>
          <w:color w:val="111111"/>
          <w:sz w:val="28"/>
          <w:sz w:val="28"/>
          <w:szCs w:val="28"/>
          <w:rtl w:val="true"/>
          <w:lang w:bidi="fa-IR"/>
        </w:rPr>
        <w:t>و بعض أعلام العصر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عدّة علی من لم یدخل بها و لا علی الصغیرة؛ و هی من لم تکمل التسع و إن دخل بها، و لا علی الیائسة؛ سواء بانت فی ذلک کلّه بطلاق أو فسخ أو هبة مدّةٍ أو انقضائها</w:t>
      </w:r>
      <w:r>
        <w:rPr>
          <w:rFonts w:eastAsia="IRNazanin" w:cs="IRNazanin"/>
          <w:color w:val="111111"/>
          <w:sz w:val="28"/>
          <w:szCs w:val="28"/>
          <w:rtl w:val="true"/>
          <w:lang w:bidi="fa-IR"/>
        </w:rPr>
        <w:t>»</w:t>
      </w:r>
      <w:r>
        <w:rPr>
          <w:rStyle w:val="FootnoteAnchor"/>
          <w:rtl w:val="true"/>
        </w:rPr>
        <w:footnoteReference w:id="477"/>
      </w:r>
      <w:bookmarkStart w:id="218" w:name="pg11753_114746"/>
    </w:p>
    <w:p>
      <w:pPr>
        <w:pStyle w:val="BookText"/>
        <w:rPr/>
      </w:pPr>
      <w:bookmarkEnd w:id="218"/>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عدّة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 بها مع الجواز أو بدونه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9482630_73709187"/>
      <w:bookmarkStart w:id="220" w:name="_Toc84"/>
      <w:bookmarkEnd w:id="219"/>
      <w:r>
        <w:rPr>
          <w:rtl w:val="true"/>
        </w:rPr>
        <w:t>أدلّة عدم ثبوت العدّة للصغیرة</w:t>
      </w:r>
      <w:bookmarkEnd w:id="220"/>
    </w:p>
    <w:p>
      <w:pPr>
        <w:pStyle w:val="BookText"/>
        <w:rPr/>
      </w:pPr>
      <w:r>
        <w:rPr>
          <w:rFonts w:ascii="Amiri" w:hAnsi="Amiri" w:eastAsia="Amiri" w:cs="Amiri"/>
          <w:color w:val="111111"/>
          <w:sz w:val="28"/>
          <w:sz w:val="28"/>
          <w:szCs w:val="28"/>
          <w:rtl w:val="true"/>
          <w:lang w:bidi="ar-SA"/>
        </w:rPr>
        <w:t>قد استدلّ لعدم ثبوت العدّة للصغیرة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الریاض</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مخالفة السیّد المرتضی و 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الجزم بتحقّق الإجماع التعبّدی الکاشف عن رأی المعصوم علیه السلام، مضافاً إلی أنّه محتمل المدرکیّة، فلا یکون دلیلاً مستقلاًّ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وجود الدلیل لا یجری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 بل کما قال فی الریاض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کادت تکون 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تحض و مثلها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لها أقلّ من تسع سنین، و التی لم یدخل بها، و التی قد یئست من المحیض و مثلها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لها خمسون سنة</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الثانیة لعبد الرحمن بن الحجّاج أو موثّقته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تعدّد الروایتین، و الروایة الثانیة مخصوصة بالقرشیّة</w:t>
      </w:r>
    </w:p>
    <w:p>
      <w:pPr>
        <w:pStyle w:val="BookText"/>
        <w:rPr/>
      </w:pPr>
      <w:r>
        <w:rPr>
          <w:rFonts w:ascii="IRNazanin" w:hAnsi="IRNazanin" w:eastAsia="IRNazanin"/>
          <w:color w:val="111111"/>
          <w:sz w:val="28"/>
          <w:sz w:val="28"/>
          <w:szCs w:val="28"/>
          <w:rtl w:val="true"/>
          <w:lang w:bidi="fa-IR"/>
        </w:rPr>
        <w:t>و النبطیّة، و الروایة الاُولی مخصوصة بغیرهما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لا تحبل مثلها لا عدّة علیها</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الحرّ العاملی رحمه الله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یدلّ علی حکم الصغیرة أیضاً،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زرارة، عن أبی عبد اللّه علیه السلام فی الصبیّة التی لا یحیض مثلها، و التی قد یئست من المحیض،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علیهما عدّة و إن دخل بهما</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الفقیه عن جمیل أنّه قال فی الرجل یطلّق الصبیة التی لم تبلغ و لا تحمل مثلها، و قد کان دخل بها، و المرأة التی قد یئست من المحیض و ارتفع طمثها و لا تلد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علیهما عدّة</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الخبر صحیحاً</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فی الکافی</w:t>
      </w:r>
      <w:r>
        <w:rPr>
          <w:rStyle w:val="FootnoteAnchor"/>
          <w:rtl w:val="true"/>
        </w:rPr>
        <w:footnoteReference w:id="487"/>
      </w:r>
      <w:r>
        <w:rPr>
          <w:rFonts w:ascii="IRNazanin" w:hAnsi="IRNazanin" w:eastAsia="IRNazanin"/>
          <w:color w:val="111111"/>
          <w:sz w:val="28"/>
          <w:sz w:val="28"/>
          <w:szCs w:val="28"/>
          <w:rtl w:val="true"/>
          <w:lang w:bidi="fa-IR"/>
        </w:rPr>
        <w:t>و السرائر</w:t>
      </w:r>
      <w:r>
        <w:rPr>
          <w:rStyle w:val="FootnoteAnchor"/>
          <w:rtl w:val="true"/>
        </w:rPr>
        <w:footnoteReference w:id="488"/>
      </w:r>
      <w:r>
        <w:rPr>
          <w:rFonts w:ascii="IRNazanin" w:hAnsi="IRNazanin" w:eastAsia="IRNazanin"/>
          <w:color w:val="111111"/>
          <w:sz w:val="28"/>
          <w:sz w:val="28"/>
          <w:szCs w:val="28"/>
          <w:rtl w:val="true"/>
          <w:lang w:bidi="fa-IR"/>
        </w:rPr>
        <w:t>مع اختلاف یسیر، و الصدوق رحمه الله عبّر عنه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بالنظر إلی هذه القرائن یکون الخبر صحیحاً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یضرّ إرسال مثل جمیل فی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الفقیه</w:t>
      </w:r>
      <w:r>
        <w:rPr>
          <w:rStyle w:val="FootnoteAnchor"/>
          <w:rtl w:val="true"/>
        </w:rPr>
        <w:footnoteReference w:id="4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جمیل أنّه قال فی الرجل إلی آخر الروایة، و کأنّه نقل بلا واسطة عن أبی عبد اللّه علیه السلام</w:t>
      </w:r>
      <w:r>
        <w:rPr>
          <w:rFonts w:eastAsia="IRNazanin" w:cs="IRNazanin"/>
          <w:color w:val="111111"/>
          <w:sz w:val="28"/>
          <w:szCs w:val="28"/>
          <w:rtl w:val="true"/>
          <w:lang w:bidi="fa-IR"/>
        </w:rPr>
        <w:t>»</w:t>
      </w:r>
      <w:r>
        <w:rPr>
          <w:rStyle w:val="FootnoteAnchor"/>
          <w:rtl w:val="true"/>
        </w:rPr>
        <w:footnoteReference w:id="490"/>
      </w:r>
      <w:bookmarkStart w:id="221" w:name="pg11753_114748"/>
    </w:p>
    <w:p>
      <w:pPr>
        <w:pStyle w:val="BookText"/>
        <w:rPr/>
      </w:pPr>
      <w:bookmarkEnd w:id="221"/>
      <w:r>
        <w:rPr>
          <w:rFonts w:ascii="IRNazanin" w:hAnsi="IRNazanin" w:eastAsia="IRNazanin"/>
          <w:color w:val="111111"/>
          <w:sz w:val="28"/>
          <w:sz w:val="28"/>
          <w:szCs w:val="28"/>
          <w:rtl w:val="true"/>
          <w:lang w:bidi="fa-IR"/>
        </w:rPr>
        <w:t>و مثلها المرسلة الثانیة لجمیل بن درّاج رواها فی التهذیب</w:t>
      </w:r>
      <w:r>
        <w:rPr>
          <w:rStyle w:val="FootnoteAnchor"/>
          <w:rtl w:val="true"/>
        </w:rPr>
        <w:footnoteReference w:id="491"/>
      </w:r>
      <w:r>
        <w:rPr>
          <w:rFonts w:ascii="IRNazanin" w:hAnsi="IRNazanin" w:eastAsia="IRNazanin"/>
          <w:color w:val="111111"/>
          <w:sz w:val="28"/>
          <w:sz w:val="28"/>
          <w:szCs w:val="28"/>
          <w:rtl w:val="true"/>
          <w:lang w:bidi="fa-IR"/>
        </w:rPr>
        <w:t>و یؤیّده أنّ المقتضی للاعتداد زال، فتزول العدّة؛ لأنّ العدّة إنّما شُرِّعت لاستعلام فراغ الرحم من الحمل غالباً، و هذه الحکمة منتفیة هنا قطعاً، فلا وجه لوجوب العدّة، و یشعر بهذه الحکمة روایة محمّد بن مسلم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غیر المدخول بها لا عدّة علیها إجماعاً، فکذا الصغیرة؛ إذ الدخول هنا لا اعتبار به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9482632_73709187"/>
      <w:bookmarkStart w:id="223" w:name="_Toc85"/>
      <w:bookmarkEnd w:id="222"/>
      <w:r>
        <w:rPr>
          <w:rtl w:val="true"/>
        </w:rPr>
        <w:t>وجوب عدّة الوفاة علی الزوجة الصغیرة</w:t>
      </w:r>
      <w:bookmarkEnd w:id="223"/>
    </w:p>
    <w:p>
      <w:pPr>
        <w:pStyle w:val="BookText"/>
        <w:rPr/>
      </w:pPr>
      <w:r>
        <w:rPr>
          <w:rFonts w:ascii="IRNazanin" w:hAnsi="IRNazanin" w:eastAsia="IRNazanin"/>
          <w:color w:val="111111"/>
          <w:sz w:val="28"/>
          <w:sz w:val="28"/>
          <w:szCs w:val="28"/>
          <w:rtl w:val="true"/>
          <w:lang w:bidi="fa-IR"/>
        </w:rPr>
        <w:t>ما سبق ذکره کان فی عدّة الطلاق، و أمّا عدّة الوفاة فلا خلاف بین الفقهاء</w:t>
      </w:r>
      <w:r>
        <w:rPr>
          <w:rStyle w:val="FootnoteAnchor"/>
          <w:rtl w:val="true"/>
        </w:rPr>
        <w:footnoteReference w:id="493"/>
      </w:r>
      <w:r>
        <w:rPr>
          <w:rFonts w:ascii="IRNazanin" w:hAnsi="IRNazanin" w:eastAsia="IRNazanin"/>
          <w:color w:val="111111"/>
          <w:sz w:val="28"/>
          <w:sz w:val="28"/>
          <w:szCs w:val="28"/>
          <w:rtl w:val="true"/>
          <w:lang w:bidi="fa-IR"/>
        </w:rPr>
        <w:t>فی أنّ الحرّة الحائل المتوفّی عنها زوجها تعتدّ أربعة أشهرٍ و عشرة أیّامٍ، صغیرة کانت أو کبیرة، مدخولاً بها أو غیر مدخول بها، دائمة أو متمتّعاً بها، بالغاً کان الزوج أو غیره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ذلک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بإطلاقها شاملة لجمیع 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تفصیل الشریعة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مقتضی إطلاقه عدم الفرق بین الموارد المذکورة حتی بالنسبة إلی الزوجة غیر المدخول بها، التی لا عدّة لها فی الطلاق، کما أنّه لا فرق بین</w:t>
      </w:r>
    </w:p>
    <w:p>
      <w:pPr>
        <w:pStyle w:val="BookText"/>
        <w:rPr/>
      </w:pPr>
      <w:r>
        <w:rPr>
          <w:rFonts w:ascii="IRNazanin" w:hAnsi="IRNazanin" w:eastAsia="IRNazanin"/>
          <w:color w:val="111111"/>
          <w:sz w:val="28"/>
          <w:sz w:val="28"/>
          <w:szCs w:val="28"/>
          <w:rtl w:val="true"/>
          <w:lang w:bidi="fa-IR"/>
        </w:rPr>
        <w:t>أن یکون الزوج کبیراً أو صغیراً</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المقام، و هی مستفیضة، بل کادت تکون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الحلبی، عن أبی عبد اللّه علیه السلام، أنّه قال فی المتوفّی عنها زوجها إذا لم یدخل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فرض لها مهراً فلها مهرها الذی فرض لها، و لها المیراث، و عدّتها أربعة أشهر و عشراً کعدّة التی دخل بها، و إن لم یکن فرض لها مهراً فلا مهر لها، و علیها العدّة و لها المیراث</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p>
    <w:p>
      <w:pPr>
        <w:pStyle w:val="BookText"/>
        <w:rPr/>
      </w:pPr>
      <w:r>
        <w:rPr>
          <w:rFonts w:ascii="IRNazanin" w:hAnsi="IRNazanin" w:eastAsia="IRNazanin"/>
          <w:color w:val="111111"/>
          <w:sz w:val="28"/>
          <w:sz w:val="28"/>
          <w:szCs w:val="28"/>
          <w:rtl w:val="true"/>
          <w:lang w:bidi="fa-IR"/>
        </w:rPr>
        <w:t>عبد الرحمن بن الحجّاج، عن علی بن الحسین علیهما السلام قال فی المتوفّی عنها زوجها و لم یدخل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لها نصف الصداق، و لها المیراث و علیها العدّة</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تزوّج جاریة لم تدرک لا یجامع مثلها، أوْ تزوّج رتقاء، فأُدخلت علیه، فطلّقها ساعة ادخلت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ینظر إلیهنّ من یوثق به من النساء، فإن کنّ کما دخلن علیه فإنّ لها نصف الصداق، الذی فرض لها، و لا عدّة علیهنّ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الزوج عنهنّ قبل أن یطلّق فإنّ لها المیراث و نصف الصداق، و علیهنّ العدّة أربعة أشهر و عشراً</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الأخبار المعتبرة الاُخری‌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فالنصوص مع کثرتها و صحّة أسنادها، بعضها صریح فی الصغیرة، و بعضها</w:t>
      </w:r>
    </w:p>
    <w:p>
      <w:pPr>
        <w:pStyle w:val="BookText"/>
        <w:rPr/>
      </w:pPr>
      <w:r>
        <w:rPr>
          <w:rFonts w:ascii="IRNazanin" w:hAnsi="IRNazanin" w:eastAsia="IRNazanin"/>
          <w:color w:val="111111"/>
          <w:sz w:val="28"/>
          <w:sz w:val="28"/>
          <w:szCs w:val="28"/>
          <w:rtl w:val="true"/>
          <w:lang w:bidi="fa-IR"/>
        </w:rPr>
        <w:t>مطلق یشمل کلّ امرأة صغیرةً کانت أو کبیرة، دخل بها أو لم یدخل بها، بالغاً کان الزوج أو غیره</w:t>
      </w:r>
      <w:r>
        <w:rPr>
          <w:rStyle w:val="FootnoteAnchor"/>
          <w:rtl w:val="true"/>
        </w:rPr>
        <w:footnoteReference w:id="499"/>
      </w:r>
      <w:r>
        <w:rPr>
          <w:rFonts w:ascii="IRNazanin" w:hAnsi="IRNazanin" w:eastAsia="IRNazanin"/>
          <w:color w:val="111111"/>
          <w:sz w:val="28"/>
          <w:sz w:val="28"/>
          <w:szCs w:val="28"/>
          <w:rtl w:val="true"/>
          <w:lang w:bidi="fa-IR"/>
        </w:rPr>
        <w:t>، و حیث إنّ الصغیرة لا تکلیف علیها علی نحو الإلزام، فالحکم یتوجّه إلی الولیّ، و هو الذی یأمر الصغیرة برعایة مسائل العدّة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ذیل روایة</w:t>
      </w:r>
    </w:p>
    <w:p>
      <w:pPr>
        <w:pStyle w:val="BookText"/>
        <w:rPr/>
      </w:pPr>
      <w:r>
        <w:rPr>
          <w:rFonts w:ascii="IRNazanin" w:hAnsi="IRNazanin" w:eastAsia="IRNazanin"/>
          <w:color w:val="111111"/>
          <w:sz w:val="28"/>
          <w:sz w:val="28"/>
          <w:szCs w:val="28"/>
          <w:rtl w:val="true"/>
          <w:lang w:bidi="fa-IR"/>
        </w:rPr>
        <w:t>الشیخ فی التهذیب عن محمّد بن عمر الساباطی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المتوفّی عنها زوجها من قبل أن یدخل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عدّة علیها هما سواء</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فهذه تدلّ علی عدم ثبوت العدّة علی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عنها، کما قال الشهید الثانی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ما رُوی فی شواذّ أخبارنا من عدم وجوب العدّة علی غیر المدخول بها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بما هو أجود سنداً و أوفق لظاهر القرآن و إجماع المسلمین</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سبطه السیّد العاملی</w:t>
      </w:r>
      <w:r>
        <w:rPr>
          <w:rStyle w:val="FootnoteAnchor"/>
          <w:rtl w:val="true"/>
        </w:rPr>
        <w:footnoteReference w:id="502"/>
      </w:r>
      <w:r>
        <w:rPr>
          <w:rFonts w:ascii="IRNazanin" w:hAnsi="IRNazanin" w:eastAsia="IRNazanin"/>
          <w:color w:val="111111"/>
          <w:sz w:val="28"/>
          <w:sz w:val="28"/>
          <w:szCs w:val="28"/>
          <w:rtl w:val="true"/>
          <w:lang w:bidi="fa-IR"/>
        </w:rPr>
        <w:t>و صاحب الجواهر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عندی أنّها محمولة علی التقیّة، کما یشیر إلیه</w:t>
      </w:r>
    </w:p>
    <w:p>
      <w:pPr>
        <w:pStyle w:val="BookText"/>
        <w:rPr/>
      </w:pPr>
      <w:r>
        <w:rPr>
          <w:rFonts w:ascii="IRNazanin" w:hAnsi="IRNazanin" w:eastAsia="IRNazanin"/>
          <w:color w:val="111111"/>
          <w:sz w:val="28"/>
          <w:sz w:val="28"/>
          <w:szCs w:val="28"/>
          <w:rtl w:val="true"/>
          <w:lang w:bidi="fa-IR"/>
        </w:rPr>
        <w:t>ما رواه الشیخ رحمه الله فی التهذیبین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طلّق امرأته قبل أن یدخل بها، أ علیها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قبل أن یدخل بها، أ علیها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 هذا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موثّقة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زرارة، عن أبی عبد اللّه علیه السلام فی المتوفّی عنها زوجها و لم یدخل بها، و فی آخرها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عن هذا</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bookmarkStart w:id="224" w:name="pg11753_114751"/>
    </w:p>
    <w:p>
      <w:pPr>
        <w:pStyle w:val="BookText"/>
        <w:rPr/>
      </w:pPr>
      <w:bookmarkEnd w:id="224"/>
      <w:r>
        <w:rPr>
          <w:rFonts w:ascii="IRNazanin" w:hAnsi="IRNazanin" w:eastAsia="IRNazanin"/>
          <w:color w:val="111111"/>
          <w:sz w:val="28"/>
          <w:sz w:val="28"/>
          <w:szCs w:val="28"/>
          <w:rtl w:val="true"/>
          <w:lang w:bidi="fa-IR"/>
        </w:rPr>
        <w:t>و لا ریب أنّ أمره علیه السلام للسائل بالکفّ و الإمساک فی هذین الخبرین لا وجه له إلاّ التقیّة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قوّی فی الجواهر وجوب عدّة الوفاة للصغیرة کالکبیرة، بأنّه فرق بین عدّة الطلاق، و عدّة الوفاة التی هی فی الحقیقة لإظهار التحزّن و التفجّع علی الزوج و الاحترام لفراشه، و لذلک اعتبرت بالأشهر و أمر فیها بالحداد، بخلاف عدّة الطلاق المعتبر فیها الأقراء أوّلاً و بالذات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9482634_73709187"/>
      <w:bookmarkStart w:id="226" w:name="_Toc86"/>
      <w:bookmarkEnd w:id="225"/>
      <w:r>
        <w:rPr>
          <w:rtl w:val="true"/>
        </w:rPr>
        <w:t>رأی فقهاء أهل السنّة فی عدّة الصغیرة</w:t>
      </w:r>
      <w:bookmarkEnd w:id="226"/>
    </w:p>
    <w:p>
      <w:pPr>
        <w:pStyle w:val="BookText"/>
        <w:rPr/>
      </w:pPr>
      <w:r>
        <w:rPr>
          <w:rFonts w:ascii="Amiri" w:hAnsi="Amiri" w:eastAsia="Amiri" w:cs="Amiri"/>
          <w:color w:val="111111"/>
          <w:sz w:val="28"/>
          <w:sz w:val="28"/>
          <w:szCs w:val="28"/>
          <w:rtl w:val="true"/>
          <w:lang w:bidi="ar-SA"/>
        </w:rPr>
        <w:t xml:space="preserve">ذهب جمهور فقهاء العامّة إلی أنّ عدّة الزوجة الصغیرة المتوفّی عنها زوجها أربعة أشهر و عشرة أیّام؛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المتوفّی عنها زوجها علیها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حائلاً، فتعتدّ الحرّة بأربعة أشهرٍ و عشرة أیّامٍ؛ سواء کانت مدخولاً بها أو غیر مدخولٍ بها، صغیرةً أو کبیرةً، حرّةً أو أمَةً، مؤمنةً أو کافرة</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و کذا فی أسهل المدارک</w:t>
      </w:r>
      <w:r>
        <w:rPr>
          <w:rStyle w:val="FootnoteAnchor"/>
          <w:rtl w:val="true"/>
        </w:rPr>
        <w:footnoteReference w:id="509"/>
      </w:r>
      <w:r>
        <w:rPr>
          <w:rFonts w:ascii="IRNazanin" w:hAnsi="IRNazanin" w:eastAsia="IRNazanin"/>
          <w:color w:val="111111"/>
          <w:sz w:val="28"/>
          <w:sz w:val="28"/>
          <w:szCs w:val="28"/>
          <w:rtl w:val="true"/>
          <w:lang w:bidi="fa-IR"/>
        </w:rPr>
        <w:t>، و المجموع شرح المهذّب</w:t>
      </w:r>
      <w:r>
        <w:rPr>
          <w:rStyle w:val="FootnoteAnchor"/>
          <w:rtl w:val="true"/>
        </w:rPr>
        <w:footnoteReference w:id="510"/>
      </w:r>
      <w:r>
        <w:rPr>
          <w:rFonts w:ascii="IRNazanin" w:hAnsi="IRNazanin" w:eastAsia="IRNazanin"/>
          <w:color w:val="111111"/>
          <w:sz w:val="28"/>
          <w:sz w:val="28"/>
          <w:szCs w:val="28"/>
          <w:rtl w:val="true"/>
          <w:lang w:bidi="fa-IR"/>
        </w:rPr>
        <w:t>و البنایة فی شرح الهدایة</w:t>
      </w:r>
      <w:r>
        <w:rPr>
          <w:rStyle w:val="FootnoteAnchor"/>
          <w:rtl w:val="true"/>
        </w:rPr>
        <w:footnoteReference w:id="511"/>
      </w:r>
      <w:r>
        <w:rPr>
          <w:rFonts w:ascii="IRNazanin" w:hAnsi="IRNazanin" w:eastAsia="IRNazanin"/>
          <w:color w:val="111111"/>
          <w:sz w:val="28"/>
          <w:sz w:val="28"/>
          <w:szCs w:val="28"/>
          <w:rtl w:val="true"/>
          <w:lang w:bidi="fa-IR"/>
        </w:rPr>
        <w:t>و کثیرٍ من کتبهم</w:t>
      </w:r>
      <w:r>
        <w:rPr>
          <w:rStyle w:val="FootnoteAnchor"/>
          <w:rtl w:val="true"/>
        </w:rPr>
        <w:footnoteReference w:id="512"/>
      </w:r>
      <w:bookmarkStart w:id="227" w:name="pg11753_114752"/>
    </w:p>
    <w:p>
      <w:pPr>
        <w:pStyle w:val="Heading5"/>
        <w:numPr>
          <w:ilvl w:val="4"/>
          <w:numId w:val="1"/>
        </w:numPr>
        <w:rPr/>
      </w:pPr>
      <w:bookmarkStart w:id="228" w:name="__RefHeading___Toc9482636_73709187"/>
      <w:bookmarkStart w:id="229" w:name="_Toc87"/>
      <w:bookmarkEnd w:id="227"/>
      <w:bookmarkEnd w:id="228"/>
      <w:r>
        <w:rPr>
          <w:rtl w:val="true"/>
        </w:rPr>
        <w:t>وجوب الحداد علی الزوجة الصغیرة</w:t>
      </w:r>
      <w:bookmarkEnd w:id="229"/>
    </w:p>
    <w:p>
      <w:pPr>
        <w:pStyle w:val="BookText"/>
        <w:rPr/>
      </w:pPr>
      <w:r>
        <w:rPr>
          <w:rFonts w:ascii="IRNazanin" w:hAnsi="IRNazanin" w:eastAsia="IRNazanin"/>
          <w:color w:val="111111"/>
          <w:sz w:val="28"/>
          <w:sz w:val="28"/>
          <w:szCs w:val="28"/>
          <w:rtl w:val="true"/>
          <w:lang w:bidi="fa-IR"/>
        </w:rPr>
        <w:t xml:space="preserve">المشهور بین الفقهاء أنّه یجب علی الزوجة 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 و هو لغةً‌</w:t>
      </w:r>
      <w:r>
        <w:rPr>
          <w:rStyle w:val="FootnoteAnchor"/>
          <w:rtl w:val="true"/>
        </w:rPr>
        <w:footnoteReference w:id="513"/>
      </w:r>
      <w:r>
        <w:rPr>
          <w:rFonts w:ascii="IRNazanin" w:hAnsi="IRNazanin" w:eastAsia="IRNazanin"/>
          <w:color w:val="111111"/>
          <w:sz w:val="28"/>
          <w:sz w:val="28"/>
          <w:szCs w:val="28"/>
          <w:rtl w:val="true"/>
          <w:lang w:bidi="fa-IR"/>
        </w:rPr>
        <w:t xml:space="preserve">المنع، و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 فیه زینة من الثیاب، و الادهان المقصود بها الزینة و التطیّب فیها أو فی البدن، و التکحیل بالأسود أو بغیره ممّا فیه زینةٌ بلونه أو بغیره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منه ترک کلّ ما یعدّ زینة، و ارید به التزیّن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اختلاف ذلک بحسب الأشخاص من جهة السنّ، و من جهة الغنی و الفقر، و من جهة الشرف و غیره، و بحسب الأزمان و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مثل تنظیف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تزیین الأولاد فلا مانع منه</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 زوجها إذا کانت صغیرة علیها الحداد بلا خلاف، و ینبغی لولیّها أن یجنّبها ما یجب علی الکبیرة اجتنابه من الحداد</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ابن البرّاج</w:t>
      </w:r>
      <w:r>
        <w:rPr>
          <w:rStyle w:val="FootnoteAnchor"/>
          <w:rtl w:val="true"/>
        </w:rPr>
        <w:footnoteReference w:id="517"/>
      </w:r>
      <w:r>
        <w:rPr>
          <w:rFonts w:ascii="Amiri" w:hAnsi="Amiri" w:eastAsia="Amiri" w:cs="Amiri"/>
          <w:color w:val="111111"/>
          <w:sz w:val="28"/>
          <w:sz w:val="28"/>
          <w:szCs w:val="28"/>
          <w:rtl w:val="true"/>
          <w:lang w:bidi="ar-SA"/>
        </w:rPr>
        <w:t>و المحقّق</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المسالک أنّ هذا الحکم اتّفاقیّ، حیث لم یشر إلی خلافٍ فیه</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فیستوی ذلک فی الصغیرة، و الکبیرة و المسلمة و الذمّیة، کما صرّح به غیر واحدٍ، بل ظاهر المسالک المفروغیّة منه، بل عن الشیخ فی الخلاف نفی الخلاف فیه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ذهب إلی هذا القول الشافعی</w:t>
      </w:r>
      <w:r>
        <w:rPr>
          <w:rStyle w:val="FootnoteAnchor"/>
          <w:rtl w:val="true"/>
        </w:rPr>
        <w:footnoteReference w:id="521"/>
      </w:r>
      <w:r>
        <w:rPr>
          <w:rFonts w:ascii="Amiri" w:hAnsi="Amiri" w:eastAsia="Amiri" w:cs="Amiri"/>
          <w:color w:val="111111"/>
          <w:sz w:val="28"/>
          <w:sz w:val="28"/>
          <w:szCs w:val="28"/>
          <w:rtl w:val="true"/>
          <w:lang w:bidi="ar-SA"/>
        </w:rPr>
        <w:t>و ابن قدامة</w:t>
      </w:r>
      <w:r>
        <w:rPr>
          <w:rStyle w:val="FootnoteAnchor"/>
          <w:rtl w:val="true"/>
        </w:rPr>
        <w:footnoteReference w:id="522"/>
      </w:r>
      <w:r>
        <w:rPr>
          <w:rFonts w:ascii="Amiri" w:hAnsi="Amiri" w:eastAsia="Amiri" w:cs="Amiri"/>
          <w:color w:val="111111"/>
          <w:sz w:val="28"/>
          <w:sz w:val="28"/>
          <w:szCs w:val="28"/>
          <w:rtl w:val="true"/>
          <w:lang w:bidi="ar-SA"/>
        </w:rPr>
        <w:t>و بعض الآخر من فقهاء أهل السنة</w:t>
      </w:r>
      <w:r>
        <w:rPr>
          <w:rStyle w:val="FootnoteAnchor"/>
          <w:rtl w:val="true"/>
        </w:rPr>
        <w:footnoteReference w:id="523"/>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ذلک الإجماع الذی ادّعاه فی الجواهر</w:t>
      </w:r>
      <w:r>
        <w:rPr>
          <w:rStyle w:val="FootnoteAnchor"/>
          <w:rtl w:val="true"/>
        </w:rPr>
        <w:footnoteReference w:id="524"/>
      </w:r>
      <w:r>
        <w:rPr>
          <w:rFonts w:ascii="IRNazanin" w:hAnsi="IRNazanin" w:eastAsia="IRNazanin"/>
          <w:color w:val="111111"/>
          <w:sz w:val="28"/>
          <w:sz w:val="28"/>
          <w:szCs w:val="28"/>
          <w:rtl w:val="true"/>
          <w:lang w:bidi="fa-IR"/>
        </w:rPr>
        <w:t>و الریاض</w:t>
      </w:r>
      <w:r>
        <w:rPr>
          <w:rStyle w:val="FootnoteAnchor"/>
          <w:rtl w:val="true"/>
        </w:rPr>
        <w:footnoteReference w:id="525"/>
      </w:r>
      <w:r>
        <w:rPr>
          <w:rFonts w:ascii="IRNazanin" w:hAnsi="IRNazanin" w:eastAsia="IRNazanin"/>
          <w:color w:val="111111"/>
          <w:sz w:val="28"/>
          <w:sz w:val="28"/>
          <w:szCs w:val="28"/>
          <w:rtl w:val="true"/>
          <w:lang w:bidi="fa-IR"/>
        </w:rPr>
        <w:t>و المسالک</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هکذا إطلاق النصوص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تکتحل للزینة و لا تطیب، و لا تلبس ثوباً مصبوغاً، و لا تبیت عن بیتها، و تقضی الحقوق، و تمتشط بغسلة، و تحجّ و إن کان فی عدّتها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تکتحل لزینةٍ، و لا تطیب، و لا تلبس ثوباً مصبوغاً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استشکل فیه ابن إدریس،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فی الصغیرة نظر؛ لأنّ لزوم الحداد حکم شرعیّ و تکلیف سمعیّ، و التکالیف لا تتوجّه إلاّ إلی العقلاء</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لأنّ الحداد هو ترک ما یحصل به الجمال و الزینة، و لبس الثیاب المزعفرات و الملوّنات التی تدعو النفس إلیها و تمیل الطباع نحوها، و هو إنّما یؤثّر فی البالغ دون الصبیّة غالباً</w:t>
      </w:r>
      <w:r>
        <w:rPr>
          <w:rFonts w:eastAsia="IRNazanin" w:cs="IRNazanin"/>
          <w:color w:val="111111"/>
          <w:sz w:val="28"/>
          <w:szCs w:val="28"/>
          <w:rtl w:val="true"/>
          <w:lang w:bidi="fa-IR"/>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فی</w:t>
      </w:r>
    </w:p>
    <w:p>
      <w:pPr>
        <w:pStyle w:val="BookText"/>
        <w:rPr/>
      </w:pPr>
      <w:r>
        <w:rPr>
          <w:rFonts w:ascii="IRNazanin" w:hAnsi="IRNazanin" w:eastAsia="IRNazanin"/>
          <w:color w:val="111111"/>
          <w:sz w:val="28"/>
          <w:sz w:val="28"/>
          <w:szCs w:val="28"/>
          <w:rtl w:val="true"/>
          <w:lang w:bidi="fa-IR"/>
        </w:rPr>
        <w:t>الحدائق</w:t>
      </w:r>
      <w:r>
        <w:rPr>
          <w:rStyle w:val="FootnoteAnchor"/>
          <w:rtl w:val="true"/>
        </w:rPr>
        <w:footnoteReference w:id="531"/>
      </w:r>
      <w:r>
        <w:rPr>
          <w:rFonts w:ascii="IRNazanin" w:hAnsi="IRNazanin" w:eastAsia="IRNazanin"/>
          <w:color w:val="111111"/>
          <w:sz w:val="28"/>
          <w:sz w:val="28"/>
          <w:szCs w:val="28"/>
          <w:rtl w:val="true"/>
          <w:lang w:bidi="fa-IR"/>
        </w:rPr>
        <w:t>و کشف اللثام</w:t>
      </w:r>
      <w:r>
        <w:rPr>
          <w:rStyle w:val="FootnoteAnchor"/>
          <w:rtl w:val="true"/>
        </w:rPr>
        <w:footnoteReference w:id="532"/>
      </w:r>
      <w:r>
        <w:rPr>
          <w:rFonts w:ascii="IRNazanin" w:hAnsi="IRNazanin" w:eastAsia="IRNazanin"/>
          <w:color w:val="111111"/>
          <w:sz w:val="28"/>
          <w:sz w:val="28"/>
          <w:szCs w:val="28"/>
          <w:rtl w:val="true"/>
          <w:lang w:bidi="fa-IR"/>
        </w:rPr>
        <w:t>و الجامع للشرائع</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به السیّد الخوئی</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اختاره أبو حنیفة</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فی الریاض</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قولان، أشهرهما الوجوب، بمعنی وجوبه علی ولیّ الصغیرة و المجنونة، فیجنّبهما عن التزیین ما دامتا فی العدة، و فیه تأمّل و إن کان أحوط‌</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 ابن ادریس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یخفی علی من رزقه اللّه فهم اللسان مساواة الأمر بالحداد؛ للأمر بالاعتداد الذی لا خلاف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جریانه علی الصغیرة، علی معنی تکلیف الولیّ بالتربّص بها فیجری مثله فی الحداد، و لا حاجة إلی الإشارة فی النصوص إلی خصوص ذلک؛ ضرورة معلومیّة توجّه التکلیف إلی الأولیاء فی کلّ ما یراد عدم وجوده فی الخارج، نحو ما سمعته فی مسّ الطفل و المجنون کتابة القرآن،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التربُّص بها هذه المدّة مجرّدةً عن الزینة، و هو معنی یشمل الصغیر و الکبیر</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أنّ ما اختاره ابن إدریس و من تبعه فی مقابل قول المشهور وجیه</w:t>
      </w:r>
      <w:r>
        <w:rPr>
          <w:rStyle w:val="FootnoteAnchor"/>
          <w:rtl w:val="true"/>
        </w:rPr>
        <w:footnoteReference w:id="5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لرفع القلم عن الصغیرة، و لأجل هذا تنصرف النصوص عنها، و لا یجب علی الولیّ أن یکلّفها علی الحداد؛ لأنّ ماهیّة حکم وجوب الحداد علی نحو تتوجّه بالمرأة فقط و لا تشمل الصبیّة، کما یشعر إلیها بعض النصوص</w:t>
      </w:r>
      <w:r>
        <w:rPr>
          <w:rStyle w:val="FootnoteAnchor"/>
          <w:rtl w:val="true"/>
        </w:rPr>
        <w:footnoteReference w:id="540"/>
      </w:r>
      <w:r>
        <w:rPr>
          <w:rFonts w:ascii="IRNazanin" w:hAnsi="IRNazanin" w:eastAsia="IRNazanin"/>
          <w:color w:val="111111"/>
          <w:sz w:val="28"/>
          <w:sz w:val="28"/>
          <w:szCs w:val="28"/>
          <w:rtl w:val="true"/>
          <w:lang w:bidi="fa-IR"/>
        </w:rPr>
        <w:t>، و قیاس هذا بوجوب حفظ الطفل و المجنون عن مسّ کتابة القرآن مع الفارق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الشکّ یدفع عن الولیّ بالأصل، و ینتج عدم وجوب شیء علیه، إلاّ أن یتمّ الإجماع فی المسألة و هو مشکل؛ لمخالفة بعض الفقهاء و ذهابهم علی عدم وجوب الحداد علی الصغیرة، فلا یکون القول بوجوبه علیها کاشفاً عن رأی المعصوم علیه السلام</w:t>
      </w:r>
      <w:r>
        <w:rPr>
          <w:rFonts w:eastAsia="IRNazanin" w:cs="IRNazanin"/>
          <w:color w:val="111111"/>
          <w:sz w:val="28"/>
          <w:szCs w:val="28"/>
          <w:rtl w:val="true"/>
          <w:lang w:bidi="fa-IR"/>
        </w:rPr>
        <w:t>.</w:t>
      </w:r>
      <w:bookmarkStart w:id="230" w:name="pg11753_114756"/>
    </w:p>
    <w:p>
      <w:pPr>
        <w:pStyle w:val="Heading4"/>
        <w:numPr>
          <w:ilvl w:val="3"/>
          <w:numId w:val="1"/>
        </w:numPr>
        <w:rPr/>
      </w:pPr>
      <w:bookmarkStart w:id="231" w:name="__RefHeading___Toc9482638_73709187"/>
      <w:bookmarkStart w:id="232" w:name="_Toc88"/>
      <w:bookmarkEnd w:id="230"/>
      <w:bookmarkEnd w:id="231"/>
      <w:r>
        <w:rPr>
          <w:rtl w:val="true"/>
        </w:rPr>
        <w:t>المبحث السابع</w:t>
      </w:r>
      <w:r>
        <w:rPr>
          <w:rtl w:val="true"/>
        </w:rPr>
        <w:t xml:space="preserve">: </w:t>
      </w:r>
      <w:r>
        <w:rPr>
          <w:rtl w:val="true"/>
        </w:rPr>
        <w:t>عدم الولایة علی الطلاق</w:t>
      </w:r>
      <w:bookmarkEnd w:id="232"/>
    </w:p>
    <w:p>
      <w:pPr>
        <w:pStyle w:val="Heading5"/>
        <w:numPr>
          <w:ilvl w:val="4"/>
          <w:numId w:val="1"/>
        </w:numPr>
        <w:rPr/>
      </w:pPr>
      <w:bookmarkStart w:id="233" w:name="__RefHeading___Toc9482640_73709187"/>
      <w:bookmarkStart w:id="234" w:name="_Toc89"/>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قد تقدّم أنّ للأب و الجدّ و غیرهما ولایة علی تزویج الصغار، و هنا سؤال؛ و هو أنّه هل کان للولیّ الولایة علی الطلاق کالنکاح أم لا؟</w:t>
      </w:r>
    </w:p>
    <w:p>
      <w:pPr>
        <w:pStyle w:val="BookText"/>
        <w:rPr/>
      </w:pPr>
      <w:r>
        <w:rPr>
          <w:rFonts w:ascii="IRNazanin" w:hAnsi="IRNazanin" w:eastAsia="IRNazanin"/>
          <w:color w:val="111111"/>
          <w:sz w:val="28"/>
          <w:sz w:val="28"/>
          <w:szCs w:val="28"/>
          <w:rtl w:val="true"/>
          <w:lang w:bidi="fa-IR"/>
        </w:rPr>
        <w:t>قد صرّح الفقهاء بعدم الولایة علی الطلاق، بل کان هذا إجماعیّاً بینهم؛ سواء کان الولیّ أباً أو جدّاً أو غیرهما، فلو طلّق ولیّه عنه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إذا طلّق و کان ممّن یحسن الطلاق و قد أتی علیه عشر سنین فصاعداً جاز طلاقه، و کذلک عتقه و صدقته و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لولیّه أن یُطلّق عنه، اللّهمّ إلاّ أن یکون قد بلغ و کان فاسد العقل؛ فإنّه و الحال علی ما ذکرناه جاز طلاق الولیّ عنه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المهذّب</w:t>
      </w:r>
      <w:r>
        <w:rPr>
          <w:rStyle w:val="FootnoteAnchor"/>
          <w:rtl w:val="true"/>
        </w:rPr>
        <w:footnoteReference w:id="542"/>
      </w:r>
      <w:r>
        <w:rPr>
          <w:rFonts w:ascii="IRNazanin" w:hAnsi="IRNazanin" w:eastAsia="IRNazanin"/>
          <w:color w:val="111111"/>
          <w:sz w:val="28"/>
          <w:sz w:val="28"/>
          <w:szCs w:val="28"/>
          <w:rtl w:val="true"/>
          <w:lang w:bidi="fa-IR"/>
        </w:rPr>
        <w:t>و السرائر</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الفاضلان</w:t>
      </w:r>
      <w:r>
        <w:rPr>
          <w:rStyle w:val="FootnoteAnchor"/>
          <w:rtl w:val="true"/>
        </w:rPr>
        <w:footnoteReference w:id="544"/>
      </w:r>
      <w:r>
        <w:rPr>
          <w:rFonts w:ascii="IRNazanin" w:hAnsi="IRNazanin" w:eastAsia="IRNazanin"/>
          <w:color w:val="111111"/>
          <w:sz w:val="28"/>
          <w:sz w:val="28"/>
          <w:szCs w:val="28"/>
          <w:rtl w:val="true"/>
          <w:lang w:bidi="fa-IR"/>
        </w:rPr>
        <w:t>و ابنا سعید</w:t>
      </w:r>
      <w:r>
        <w:rPr>
          <w:rStyle w:val="FootnoteAnchor"/>
          <w:rtl w:val="true"/>
        </w:rPr>
        <w:footnoteReference w:id="54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حمزة</w:t>
      </w:r>
      <w:r>
        <w:rPr>
          <w:rStyle w:val="FootnoteAnchor"/>
          <w:rtl w:val="true"/>
        </w:rPr>
        <w:footnoteReference w:id="546"/>
      </w:r>
      <w:r>
        <w:rPr>
          <w:rFonts w:ascii="IRNazanin" w:hAnsi="IRNazanin" w:eastAsia="IRNazanin"/>
          <w:color w:val="111111"/>
          <w:sz w:val="28"/>
          <w:sz w:val="28"/>
          <w:szCs w:val="28"/>
          <w:rtl w:val="true"/>
          <w:lang w:bidi="fa-IR"/>
        </w:rPr>
        <w:t>و الکیدری</w:t>
      </w:r>
      <w:r>
        <w:rPr>
          <w:rStyle w:val="FootnoteAnchor"/>
          <w:rtl w:val="true"/>
        </w:rPr>
        <w:footnoteReference w:id="547"/>
      </w:r>
      <w:r>
        <w:rPr>
          <w:rFonts w:ascii="IRNazanin" w:hAnsi="IRNazanin" w:eastAsia="IRNazanin"/>
          <w:color w:val="111111"/>
          <w:sz w:val="28"/>
          <w:sz w:val="28"/>
          <w:szCs w:val="28"/>
          <w:rtl w:val="true"/>
          <w:lang w:bidi="fa-IR"/>
        </w:rPr>
        <w:t>و الفاضل المقداد</w:t>
      </w:r>
      <w:r>
        <w:rPr>
          <w:rStyle w:val="FootnoteAnchor"/>
          <w:rtl w:val="true"/>
        </w:rPr>
        <w:footnoteReference w:id="548"/>
      </w:r>
      <w:r>
        <w:rPr>
          <w:rFonts w:ascii="IRNazanin" w:hAnsi="IRNazanin" w:eastAsia="IRNazanin"/>
          <w:color w:val="111111"/>
          <w:sz w:val="28"/>
          <w:sz w:val="28"/>
          <w:szCs w:val="28"/>
          <w:rtl w:val="true"/>
          <w:lang w:bidi="fa-IR"/>
        </w:rPr>
        <w:t>و الشهیدان</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أیضاً جماعة من المتأخِّرین</w:t>
      </w:r>
      <w:r>
        <w:rPr>
          <w:rStyle w:val="FootnoteAnchor"/>
          <w:rtl w:val="true"/>
        </w:rPr>
        <w:footnoteReference w:id="550"/>
      </w:r>
      <w:bookmarkStart w:id="235" w:name="pg11753_114757"/>
    </w:p>
    <w:p>
      <w:pPr>
        <w:pStyle w:val="Heading5"/>
        <w:numPr>
          <w:ilvl w:val="4"/>
          <w:numId w:val="1"/>
        </w:numPr>
        <w:rPr/>
      </w:pPr>
      <w:bookmarkStart w:id="236" w:name="__RefHeading___Toc9482642_73709187"/>
      <w:bookmarkStart w:id="237" w:name="_Toc90"/>
      <w:bookmarkEnd w:id="235"/>
      <w:bookmarkEnd w:id="236"/>
      <w:r>
        <w:rPr>
          <w:rtl w:val="true"/>
        </w:rPr>
        <w:t>أدلّة عدم جواز طلاق الولیّ عن الصبیّ‌</w:t>
      </w:r>
      <w:bookmarkEnd w:id="237"/>
    </w:p>
    <w:p>
      <w:pPr>
        <w:pStyle w:val="BookText"/>
        <w:rPr/>
      </w:pPr>
      <w:r>
        <w:rPr>
          <w:rFonts w:ascii="IRNazanin" w:hAnsi="IRNazanin" w:eastAsia="IRNazanin"/>
          <w:color w:val="111111"/>
          <w:sz w:val="28"/>
          <w:sz w:val="28"/>
          <w:szCs w:val="28"/>
          <w:rtl w:val="true"/>
          <w:lang w:bidi="fa-IR"/>
        </w:rPr>
        <w:t>و استدلّوا علی 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الشیخ فی الخلاف</w:t>
      </w:r>
      <w:r>
        <w:rPr>
          <w:rStyle w:val="FootnoteAnchor"/>
          <w:rtl w:val="true"/>
        </w:rPr>
        <w:footnoteReference w:id="551"/>
      </w:r>
      <w:r>
        <w:rPr>
          <w:rFonts w:ascii="IRNazanin" w:hAnsi="IRNazanin" w:eastAsia="IRNazanin"/>
          <w:color w:val="111111"/>
          <w:sz w:val="28"/>
          <w:sz w:val="28"/>
          <w:szCs w:val="28"/>
          <w:rtl w:val="true"/>
          <w:lang w:bidi="fa-IR"/>
        </w:rPr>
        <w:t>، و ادّعاه أیضاً الفاضل الاصفهانی</w:t>
      </w:r>
      <w:r>
        <w:rPr>
          <w:rStyle w:val="FootnoteAnchor"/>
          <w:rtl w:val="true"/>
        </w:rPr>
        <w:footnoteReference w:id="552"/>
      </w:r>
      <w:r>
        <w:rPr>
          <w:rFonts w:ascii="IRNazanin" w:hAnsi="IRNazanin" w:eastAsia="IRNazanin"/>
          <w:color w:val="111111"/>
          <w:sz w:val="28"/>
          <w:sz w:val="28"/>
          <w:szCs w:val="28"/>
          <w:rtl w:val="true"/>
          <w:lang w:bidi="fa-IR"/>
        </w:rPr>
        <w:t>و السیّد صاحب المدارک</w:t>
      </w:r>
      <w:r>
        <w:rPr>
          <w:rStyle w:val="FootnoteAnchor"/>
          <w:rtl w:val="true"/>
        </w:rPr>
        <w:footnoteReference w:id="553"/>
      </w:r>
      <w:r>
        <w:rPr>
          <w:rFonts w:ascii="IRNazanin" w:hAnsi="IRNazanin" w:eastAsia="IRNazanin"/>
          <w:color w:val="111111"/>
          <w:sz w:val="28"/>
          <w:sz w:val="28"/>
          <w:szCs w:val="28"/>
          <w:rtl w:val="true"/>
          <w:lang w:bidi="fa-IR"/>
        </w:rPr>
        <w:t>و صاحب الجواهر</w:t>
      </w:r>
      <w:r>
        <w:rPr>
          <w:rStyle w:val="FootnoteAnchor"/>
          <w:rtl w:val="true"/>
        </w:rPr>
        <w:footnoteReference w:id="554"/>
      </w:r>
      <w:r>
        <w:rPr>
          <w:rFonts w:ascii="IRNazanin" w:hAnsi="IRNazanin" w:eastAsia="IRNazanin"/>
          <w:color w:val="111111"/>
          <w:sz w:val="28"/>
          <w:sz w:val="28"/>
          <w:szCs w:val="28"/>
          <w:rtl w:val="true"/>
          <w:lang w:bidi="fa-IR"/>
        </w:rPr>
        <w:t>و حکاه فی الریاض</w:t>
      </w:r>
      <w:r>
        <w:rPr>
          <w:rStyle w:val="FootnoteAnchor"/>
          <w:rtl w:val="true"/>
        </w:rPr>
        <w:footnoteReference w:id="555"/>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الزوجیّة إذا طلّقها الولیّ، کما أشار إلیه فی کشف اللثام</w:t>
      </w:r>
      <w:r>
        <w:rPr>
          <w:rStyle w:val="FootnoteAnchor"/>
          <w:rtl w:val="true"/>
        </w:rPr>
        <w:footnoteReference w:id="556"/>
      </w:r>
      <w:r>
        <w:rPr>
          <w:rFonts w:ascii="IRNazanin" w:hAnsi="IRNazanin" w:eastAsia="IRNazanin"/>
          <w:color w:val="111111"/>
          <w:sz w:val="28"/>
          <w:sz w:val="28"/>
          <w:szCs w:val="28"/>
          <w:rtl w:val="true"/>
          <w:lang w:bidi="fa-IR"/>
        </w:rPr>
        <w:t>و الجواهر</w:t>
      </w:r>
      <w:r>
        <w:rPr>
          <w:rStyle w:val="FootnoteAnchor"/>
          <w:rtl w:val="true"/>
        </w:rPr>
        <w:footnoteReference w:id="557"/>
      </w:r>
      <w:r>
        <w:rPr>
          <w:rFonts w:ascii="IRNazanin" w:hAnsi="IRNazanin" w:eastAsia="IRNazanin"/>
          <w:color w:val="111111"/>
          <w:sz w:val="28"/>
          <w:sz w:val="28"/>
          <w:szCs w:val="28"/>
          <w:rtl w:val="true"/>
          <w:lang w:bidi="fa-IR"/>
        </w:rPr>
        <w:t>و الخلاف</w:t>
      </w:r>
      <w:r>
        <w:rPr>
          <w:rStyle w:val="FootnoteAnchor"/>
          <w:rtl w:val="true"/>
        </w:rPr>
        <w:footnoteReference w:id="558"/>
      </w:r>
      <w:r>
        <w:rPr>
          <w:rFonts w:ascii="IRNazanin" w:hAnsi="IRNazanin" w:eastAsia="IRNazanin"/>
          <w:color w:val="111111"/>
          <w:sz w:val="28"/>
          <w:sz w:val="28"/>
          <w:szCs w:val="28"/>
          <w:rtl w:val="true"/>
          <w:lang w:bidi="fa-IR"/>
        </w:rPr>
        <w:t>و الریاض</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تثبت الملازمة بین صحّة النکاح و صحّة الطلاق، فإذا جاز لولیّ الصغیر تزویجه فلا یلازم جواز صحّة الطلاق عنه، کما فی تفصیل الشریعة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المقبول بین الفریقین، الذی قال صلی الله علیه و آله و 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 أشار إلیه المحقّق فی الشرائع،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لاختصاص الطلاق</w:t>
      </w:r>
    </w:p>
    <w:p>
      <w:pPr>
        <w:pStyle w:val="BookText"/>
        <w:rPr/>
      </w:pPr>
      <w:r>
        <w:rPr>
          <w:rFonts w:ascii="IRNazanin" w:hAnsi="IRNazanin" w:eastAsia="IRNazanin"/>
          <w:color w:val="111111"/>
          <w:sz w:val="28"/>
          <w:sz w:val="28"/>
          <w:szCs w:val="28"/>
          <w:rtl w:val="true"/>
          <w:lang w:bidi="fa-IR"/>
        </w:rPr>
        <w:t>بمالک البضع</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بهذا التعلیل إلی الروایة عنه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المبتدأ منحصر فی خبره، و هو یقتضی انحصار وقوع الطلاق المعتبر فی الزوج المستحقّ للوصف</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بمقتضی الحصر علی اختصاص الطلاق بمالک البضع علی وجه ینافی الطلاق بالولایة، دون الوکالة التی هی فی الحقیقة طلاق من المالک عرفاً</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فضل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عنها السیّد صاحب المدارک</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بالصحیحة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یزوّج ابنه و هو صغیر؟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زرارة</w:t>
      </w:r>
      <w:r>
        <w:rPr>
          <w:rStyle w:val="FootnoteAnchor"/>
          <w:rtl w:val="true"/>
        </w:rPr>
        <w:footnoteReference w:id="567"/>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w:t>
      </w:r>
      <w:bookmarkStart w:id="238" w:name="pg11753_114759"/>
    </w:p>
    <w:p>
      <w:pPr>
        <w:pStyle w:val="BookText"/>
        <w:rPr/>
      </w:pPr>
      <w:bookmarkEnd w:id="238"/>
      <w:r>
        <w:rPr>
          <w:rFonts w:ascii="IRNazanin" w:hAnsi="IRNazanin" w:eastAsia="IRNazanin"/>
          <w:color w:val="111111"/>
          <w:sz w:val="28"/>
          <w:sz w:val="28"/>
          <w:szCs w:val="28"/>
          <w:rtl w:val="true"/>
          <w:lang w:bidi="fa-IR"/>
        </w:rPr>
        <w:t>یزوّج الصبیّة هل یتوارثان؟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أبواهما هما اللذان زوّجاهما فنعم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الشیخ بطریق صحیح، و الصدوق بطریق معتبر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 فإذا کان أبواهما حیّین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رواه أحمد بن محمّد بن عیسی فی نوادره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له عشر سنین فیزوّجه أبوه فی صغره، أ یجوز طلاقه و هو ابن عشر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تزویجه فهو صحیح، و أمّا طلاقه فینبغی أن تحبس علیه امرأته حتّی یدرک، فیعلم أنّه کان قد طلّق، فإن أقرّ بذلک و أمضاه فهی واحدة بائنة، و هو خاطب من الخطّاب، و إن أنکر ذلک و أبی أن یمضیه فهی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عن أبی جعفر علیه السلام لأنّ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طلاق الأب علی ابنه فی صِغَره؟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9482644_73709187"/>
      <w:bookmarkStart w:id="240" w:name="_Toc91"/>
      <w:bookmarkEnd w:id="239"/>
      <w:r>
        <w:rPr>
          <w:rtl w:val="true"/>
        </w:rPr>
        <w:t>آراء فقهاء أهل السنّة فی هذه المسألة</w:t>
      </w:r>
      <w:bookmarkEnd w:id="240"/>
    </w:p>
    <w:p>
      <w:pPr>
        <w:pStyle w:val="BookText"/>
        <w:rPr/>
      </w:pPr>
      <w:r>
        <w:rPr>
          <w:rFonts w:ascii="IRNazanin" w:hAnsi="IRNazanin" w:eastAsia="IRNazanin"/>
          <w:color w:val="111111"/>
          <w:sz w:val="28"/>
          <w:sz w:val="28"/>
          <w:szCs w:val="28"/>
          <w:rtl w:val="true"/>
          <w:lang w:bidi="fa-IR"/>
        </w:rPr>
        <w:t>المشهور بینهم أیضاً أنّه لا ولایة للأولیاء أباً کان أو غیره علی الطلاق، و لو طلّق ولیّ الصبیّ امرأته لم یصحّ، فنذکر فیما یلی شطراً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المبسوط للسرخسی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خلع الصبیّ و طلاقه باطلٌ؛ لأنّه لیس له قصد معتبر شرعاً، خصوصاً فیما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فعل أبیه علیه فی الطلاق</w:t>
      </w:r>
    </w:p>
    <w:p>
      <w:pPr>
        <w:pStyle w:val="BookText"/>
        <w:rPr/>
      </w:pPr>
      <w:r>
        <w:rPr>
          <w:rFonts w:ascii="IRNazanin" w:hAnsi="IRNazanin" w:eastAsia="IRNazanin"/>
          <w:color w:val="111111"/>
          <w:sz w:val="28"/>
          <w:sz w:val="28"/>
          <w:szCs w:val="28"/>
          <w:rtl w:val="true"/>
          <w:lang w:bidi="fa-IR"/>
        </w:rPr>
        <w:t>باطل؛ لأنّ الولایة إنّما تثبت علی الصبیّ لمعنی النظر له و لتحقّق الحاجة إلیه، و ذلک لا یتحقّق فی الطلاق و العتاق</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 أشار إلی هذا المعنی أیضاً فی ردّ المحتار</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للأب أن یطلّق امرأة الابن الصغیر بعوضٍ و غیر عوضٍ</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و کذلک فی شرحه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لولیّ الصبیّ و المجنون من أب و لا غیره أن یطلّق عنه و لا یخالع، فإن طلّق لم یقع طلاقه و لم یصحّ خلعه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لمن أخذ بالسّاق</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إنّما یملک الطلاق من ملک الأخذ بالسّاق؛ یعنی البضع، و الولیّ لا یملک البضع فلم یملک الطلاق، و لأنّ کلّ من لم یملک البضع لم یملک بنفسه الطلاق، کالأجنبی</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أنّهم قائلون بصحّة طلاق الولیّ إذا کان بعوضٍ، و عدم جوازه إذا طلّق عنه بغیر عوضٍ</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أرکان الخلع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العاقدان و العوضان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و شرطه أن یکون مکلّفاً زوجاً، أو من اقیم مقامه، کالأب فی غیر البالغ من بنیه إذا أخذ له شیئاً</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 کذا فی شرح الکبیر</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فی بدایة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یخالع الأب علی ابنته الصغیرة کما ینکحها، و کذلک علی ابنه الصغیر؛ لأنّه عنده یطلّق علیه، و الخلاف فی الابن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و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لأنّه لا یطلّق علیه عندهم، و اللّه أعلم</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الحاوی الکبیر لهذا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طلاقه بعوضٍ کالبیع بغیر عوضٍ، کالهبة، و لولیّه أن یبیع ماله و لیس له أن یهبه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فی مذهبهم أیضاً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الولیّ؛ أی یملک تطلیق زوجة الصغیر الذی تحت ولایته، و هو قول عطاء و قتادة، لأنّ ابن عمر طلّق علی ابن له معتوه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عمرو أنّ المعتوه إذا عبث بأهله طلّق علیه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یصحّ أن یزوّجه فیصحّ أن یطلّق علیه إذا لم یکن متّهماً، کالحاکم یفسخ للإعسار و یزوّج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ذلک، و هو قول أبی حنیفة و الشافعی؛ لأنّ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إسقاط لحقّه، فلم یملکه کالإبراء من الدین و إسقاط القصاص، و لأنّ طریقة الشهوة، فلم یدخل فی الولایة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یخلع البنت الصغیرة من زوجها بعوضٍ من مالها؛ لأنّه فی خلعها یسقط حقّها من المهر و النفقة و الاستمتاع</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بعد ما تحقّق أنّه لیس للولی أن یطلّق زوجة الصغیر الذی تحت ولایته، لا بدّ من ذکر فرعٍ یناسب هذا المقام، و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عَقَدَ الولیّ من الأب و الجدّ له علی امرأةٍ بکراً کانت أو ثیّباً لولده الصغیر الذی لم یبلغ، و زوّجها منه علی وجه الانقطاع و التمتّع إلی مدّةٍ معیّنة، ولایةً عنه و ملاحظةً لمصلحته، فلا إشکال فی صحّة هذا العقد، و هل یجوز و یصحّ لهذا الولیّ أن یهب للزوجة المتمتّع بها بعض المدّة المفروضة فی أثنائها قبل بلوغ الصغیر ولایة عنه، حیث یری مصلحته فی ذلک أم لا؟ فیکون الإبراء وهبة المدّة کالطلاق فی عدم جوازه من الولیّ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أجد إلی الآن أحداً من أصحابنا المتقدِّمین و لا من المتأخِّرین و لا من متأخِّریهم تعرّض لهذه المسألة من الجواز و العدم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المسألة ذات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أدلّة الولایة المقتضی لشمولها هذا المورد، و من أنّ الحکمة المقتضیة لمشروعیّة ولایة الولیّ فی الجملة یقتضی العموم قطعاً، و الخروج فی الطلاق لا ینافیه؛ لأنّه بسبب ورود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لاتّحاد طریق المسألتین؛ فإنّ طریق جواز تصرّفه فی المال هو الطریق فی جواز تصرّفه فی اموره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الوجوه تستدعی أنّه یجوز للولیّ أن یهب للزوجة المتمتّع بها المدّة المفروضة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قبال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ثبوت ولایة الولیّ فی إبراء المدّة، کما لم تثبت فی الطلاق، و أنّ الأصل بقاء الزوجیّة و عدم حصول التفریق بین الزوجین بمجرّد هبة الولیّ للمدّة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الولیّ علی خلاف الأصل، فیلزم فیه الاقتصار علی ما قام</w:t>
      </w:r>
      <w:bookmarkStart w:id="241" w:name="pg11753_114763"/>
    </w:p>
    <w:p>
      <w:pPr>
        <w:pStyle w:val="BookText"/>
        <w:rPr/>
      </w:pPr>
      <w:bookmarkEnd w:id="241"/>
      <w:r>
        <w:rPr>
          <w:rFonts w:ascii="IRNazanin" w:hAnsi="IRNazanin" w:eastAsia="IRNazanin"/>
          <w:color w:val="111111"/>
          <w:sz w:val="28"/>
          <w:sz w:val="28"/>
          <w:szCs w:val="28"/>
          <w:rtl w:val="true"/>
          <w:lang w:bidi="fa-IR"/>
        </w:rPr>
        <w:t>دلیل من الأدلّة الأربعة علی ثبوتها، و الوجوه التی تدلّ علی ولایة الولیّ لم یثبت شمولها لمحلّ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ثبت له ولایةٌ فلا بدّ فیها من الاقتصار علی المورد المتیقّن و الشروط المقرّرة</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المسألة فی غایة الإشکال، فلا ینبغی فیها ترک الاحتیاط، و أضاف أنّ القول الأوّل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هذا القول عن المیرزا المهدی المشهدی و الشیخ جعفر النجفی، و اختاره الفاضل القمّی صاحب القوانین، محتجّاً علیه بأنّ الأصل فی الولیّ صحّة تصرّفاته إلاّ ما قام الدلیل علی المنع، و مستنده فی هذا الأصل هو الاستقراء، و من المعلوم صحّة تصرّفاته فی کثیرٍ من الاُمور، کالبیع و الشراء و الإکساء و الإسکان و الزرع و الضرع و الإجارة و المضاربة و الأخذ بالشفعة و الرهن و تعلیم الصنائع و العلم و الآداب و النکاح، و استیفاء الحقوق مثل القصاص و الدیات و قطع الدعاوی</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لولیّ الصبیّ أن یهب المتمتّع بها المدّة؟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أظهرهما الجواز</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صاحب 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 للوجوه التی ذکرها و إن کان مقتضی الاحتیاط هو القول الثانی، و اللّه هو العالم</w:t>
      </w:r>
      <w:r>
        <w:rPr>
          <w:rFonts w:eastAsia="IRNazanin" w:cs="IRNazanin"/>
          <w:color w:val="111111"/>
          <w:sz w:val="28"/>
          <w:szCs w:val="28"/>
          <w:rtl w:val="true"/>
          <w:lang w:bidi="fa-IR"/>
        </w:rPr>
        <w:t>.</w:t>
      </w:r>
    </w:p>
    <w:p>
      <w:pPr>
        <w:pStyle w:val="Heading5"/>
        <w:numPr>
          <w:ilvl w:val="4"/>
          <w:numId w:val="1"/>
        </w:numPr>
        <w:rPr/>
      </w:pPr>
      <w:bookmarkStart w:id="242" w:name="__RefHeading___Toc9482646_73709187"/>
      <w:bookmarkStart w:id="243" w:name="_Toc92"/>
      <w:bookmarkEnd w:id="242"/>
      <w:r>
        <w:rPr>
          <w:rtl w:val="true"/>
        </w:rPr>
        <w:t>تنبیه</w:t>
      </w:r>
      <w:bookmarkEnd w:id="2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آخر الکلام یلزم أن نشیر إلی أنّه یکون للأب و الجدّ و الوصیّ منهما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الحاکم أنواع أُخر من الولایة علی النفس، کولایتهم علی تأدیب الصغار و علی إحرامهم فی الحجّ و غیرها سنذکرها فی الأبواب التی تناسب البحث عنها، و التی سنعقدها للتحقیق فی الأحکام المذکورة إن شاء اللّه تعالی</w:t>
      </w:r>
      <w:r>
        <w:rPr>
          <w:rFonts w:eastAsia="IRNazanin" w:cs="IRNazanin"/>
          <w:color w:val="111111"/>
          <w:sz w:val="28"/>
          <w:szCs w:val="28"/>
          <w:rtl w:val="true"/>
          <w:lang w:bidi="fa-IR"/>
        </w:rPr>
        <w:t>.</w:t>
      </w:r>
      <w:bookmarkStart w:id="244" w:name="pg11753_114765"/>
    </w:p>
    <w:p>
      <w:pPr>
        <w:pStyle w:val="Heading3"/>
        <w:numPr>
          <w:ilvl w:val="2"/>
          <w:numId w:val="1"/>
        </w:numPr>
        <w:rPr/>
      </w:pPr>
      <w:bookmarkStart w:id="245" w:name="__RefHeading___Toc9482648_73709187"/>
      <w:bookmarkStart w:id="246" w:name="_Toc93"/>
      <w:bookmarkEnd w:id="244"/>
      <w:bookmarkEnd w:id="245"/>
      <w:r>
        <w:rPr>
          <w:rtl w:val="true"/>
        </w:rPr>
        <w:t>الفصل الثامن فی النظر إلی الصبیّ و الصبیّة و لمسهما و تقبیلهما</w:t>
      </w:r>
      <w:bookmarkEnd w:id="246"/>
    </w:p>
    <w:p>
      <w:pPr>
        <w:pStyle w:val="Heading4"/>
        <w:numPr>
          <w:ilvl w:val="3"/>
          <w:numId w:val="1"/>
        </w:numPr>
        <w:rPr/>
      </w:pPr>
      <w:bookmarkStart w:id="247" w:name="__RefHeading___Toc9482650_73709187"/>
      <w:bookmarkStart w:id="248" w:name="_Toc94"/>
      <w:bookmarkEnd w:id="247"/>
      <w:r>
        <w:rPr>
          <w:rtl w:val="true"/>
        </w:rPr>
        <w:t>تمهید</w:t>
      </w:r>
      <w:bookmarkEnd w:id="24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أنّه لا یجوز للرجل لمس الأجنبیّة و لا النظر إلیها، و استثنی جماعة الوجه و الکفّین، و لا للمرأة لمس الأجنبیّ و النظر إلیه سواء کان بشهوةٍ أم لا؟ و سواء کان مع خوف الفتنة أو الأمن منها</w:t>
      </w:r>
      <w:r>
        <w:rPr>
          <w:rStyle w:val="FootnoteAnchor"/>
          <w:rtl w:val="true"/>
        </w:rPr>
        <w:footnoteReference w:id="58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حکم نظر الرجل للصبیّة و الصبیّ و لمسهما و تقبیلهما، و هکذا نظر الصبیّ الممیّز للصّبیة و لمسها و تقبیلها و بالعکس، و کذا نظر المرأة الصبیّ و الصبیّة و لمسهما و تقبیلهما؟ فعقدنا هذا الفصل للتحقیق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bookmarkStart w:id="249" w:name="pg11753_114767"/>
    </w:p>
    <w:p>
      <w:pPr>
        <w:pStyle w:val="Heading4"/>
        <w:numPr>
          <w:ilvl w:val="3"/>
          <w:numId w:val="1"/>
        </w:numPr>
        <w:rPr/>
      </w:pPr>
      <w:bookmarkStart w:id="250" w:name="__RefHeading___Toc9482652_73709187"/>
      <w:bookmarkStart w:id="251" w:name="_Toc95"/>
      <w:bookmarkEnd w:id="249"/>
      <w:bookmarkEnd w:id="250"/>
      <w:r>
        <w:rPr>
          <w:rtl w:val="true"/>
        </w:rPr>
        <w:t>المبحث الأوّل</w:t>
      </w:r>
      <w:r>
        <w:rPr>
          <w:rtl w:val="true"/>
        </w:rPr>
        <w:t xml:space="preserve">: </w:t>
      </w:r>
      <w:r>
        <w:rPr>
          <w:rtl w:val="true"/>
        </w:rPr>
        <w:t>النظر إلی جسد الصبیّة و الصبیّ و عورتهما</w:t>
      </w:r>
      <w:bookmarkEnd w:id="251"/>
    </w:p>
    <w:p>
      <w:pPr>
        <w:pStyle w:val="Heading5"/>
        <w:numPr>
          <w:ilvl w:val="4"/>
          <w:numId w:val="1"/>
        </w:numPr>
        <w:rPr/>
      </w:pPr>
      <w:bookmarkStart w:id="252" w:name="__RefHeading___Toc9482654_73709187"/>
      <w:bookmarkStart w:id="253" w:name="_Toc96"/>
      <w:bookmarkEnd w:id="252"/>
      <w:r>
        <w:rPr>
          <w:rtl w:val="true"/>
        </w:rPr>
        <w:t xml:space="preserve">أ </w:t>
      </w:r>
      <w:r>
        <w:rPr>
          <w:rtl w:val="true"/>
        </w:rPr>
        <w:t xml:space="preserve">- </w:t>
      </w:r>
      <w:r>
        <w:rPr>
          <w:rtl w:val="true"/>
        </w:rPr>
        <w:t>النظر إلی الصبیّة</w:t>
      </w:r>
      <w:bookmarkEnd w:id="253"/>
    </w:p>
    <w:p>
      <w:pPr>
        <w:pStyle w:val="Heading6"/>
        <w:numPr>
          <w:ilvl w:val="5"/>
          <w:numId w:val="1"/>
        </w:numPr>
        <w:rPr/>
      </w:pPr>
      <w:bookmarkStart w:id="254" w:name="__RefHeading___Toc9482656_73709187"/>
      <w:bookmarkStart w:id="255" w:name="_Toc97"/>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الظاهر أنّه لا خلاف فی جواز نظر الرجل إلی الصبیّة الصغیرة التی لیست فی مظنّة الشهوة إذا لم یکن بتلذّذٍ و شهوةٍ و خوف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الصبیّة الصغیرة التی لیست فی مظنّة الشهوة یجوز للرجل النظر إلیها؛ لأنّ داعی الشهوة منفیّ بالنسبة إلیها، و لا فرق بین حدّ العورة و غیره، لکن لا یجوز النظر إلی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فی مظنّة الشهوة فلا یجوز النظر إلیها</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الإیضاح</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صبیّة صغیرة لم تبلغ مبلغاً تکون فی مظنّة الشهوة، یجوز النظر إلیها؛ لانتفاء داعی الشهوة الذی هو مناط التحریم، و تجویز تغسیل الأجنبی بنت ثلاث سنین مجرّدة ینبّه لذلک</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فی المسالک</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592"/>
      </w:r>
      <w:r>
        <w:rPr>
          <w:rFonts w:ascii="IRNazanin" w:hAnsi="IRNazanin" w:eastAsia="IRNazanin"/>
          <w:color w:val="111111"/>
          <w:sz w:val="28"/>
          <w:sz w:val="28"/>
          <w:szCs w:val="28"/>
          <w:rtl w:val="true"/>
          <w:lang w:bidi="fa-IR"/>
        </w:rPr>
        <w:t>و الحدائق</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إلیه أیضاً</w:t>
      </w:r>
      <w:bookmarkStart w:id="256" w:name="pg11753_114768"/>
    </w:p>
    <w:p>
      <w:pPr>
        <w:pStyle w:val="BookText"/>
        <w:rPr/>
      </w:pPr>
      <w:bookmarkEnd w:id="256"/>
      <w:r>
        <w:rPr>
          <w:rFonts w:ascii="IRNazanin" w:hAnsi="IRNazanin" w:eastAsia="IRNazanin"/>
          <w:color w:val="111111"/>
          <w:sz w:val="28"/>
          <w:sz w:val="28"/>
          <w:szCs w:val="28"/>
          <w:rtl w:val="true"/>
          <w:lang w:bidi="fa-IR"/>
        </w:rPr>
        <w:t>فی الجواهر</w:t>
      </w:r>
      <w:r>
        <w:rPr>
          <w:rStyle w:val="FootnoteAnchor"/>
          <w:rtl w:val="true"/>
        </w:rPr>
        <w:footnoteReference w:id="594"/>
      </w:r>
      <w:r>
        <w:rPr>
          <w:rFonts w:ascii="IRNazanin" w:hAnsi="IRNazanin" w:eastAsia="IRNazanin"/>
          <w:color w:val="111111"/>
          <w:sz w:val="28"/>
          <w:sz w:val="28"/>
          <w:szCs w:val="28"/>
          <w:rtl w:val="true"/>
          <w:lang w:bidi="fa-IR"/>
        </w:rPr>
        <w:t>و تفصیل الشریعة</w:t>
      </w:r>
      <w:r>
        <w:rPr>
          <w:rStyle w:val="FootnoteAnchor"/>
          <w:rtl w:val="true"/>
        </w:rPr>
        <w:footnoteReference w:id="595"/>
      </w:r>
      <w:r>
        <w:rPr>
          <w:rFonts w:ascii="IRNazanin" w:hAnsi="IRNazanin" w:eastAsia="IRNazanin"/>
          <w:color w:val="111111"/>
          <w:sz w:val="28"/>
          <w:sz w:val="28"/>
          <w:szCs w:val="28"/>
          <w:rtl w:val="true"/>
          <w:lang w:bidi="fa-IR"/>
        </w:rPr>
        <w:t>و غیرها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جواز النظر إلی الصبیّة مشروط بعدم الوصفین، أعنی التلذّذ و الریبة و یحرم معهما، و مع مظنّتهما یکره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9482658_73709187"/>
      <w:bookmarkStart w:id="258" w:name="_Toc98"/>
      <w:bookmarkEnd w:id="257"/>
      <w:r>
        <w:rPr>
          <w:rtl w:val="true"/>
        </w:rPr>
        <w:t>أدلّة جواز النظر إلی الصغیرة</w:t>
      </w:r>
      <w:bookmarkEnd w:id="258"/>
    </w:p>
    <w:p>
      <w:pPr>
        <w:pStyle w:val="BookText"/>
        <w:rPr/>
      </w:pPr>
      <w:r>
        <w:rPr>
          <w:rFonts w:ascii="IRNazanin" w:hAnsi="IRNazanin" w:eastAsia="IRNazanin"/>
          <w:color w:val="111111"/>
          <w:sz w:val="28"/>
          <w:sz w:val="28"/>
          <w:szCs w:val="28"/>
          <w:rtl w:val="true"/>
          <w:lang w:bidi="fa-IR"/>
        </w:rPr>
        <w:t>و یمکن أن یستدلّ لإثبات هذا الحکم باُمور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المقتضی</w:t>
      </w:r>
      <w:r>
        <w:rPr>
          <w:rStyle w:val="FootnoteAnchor"/>
          <w:rtl w:val="true"/>
        </w:rPr>
        <w:footnoteReference w:id="598"/>
      </w:r>
      <w:r>
        <w:rPr>
          <w:rFonts w:ascii="Amiri" w:hAnsi="Amiri" w:eastAsia="Amiri" w:cs="Amiri"/>
          <w:color w:val="111111"/>
          <w:sz w:val="28"/>
          <w:sz w:val="28"/>
          <w:szCs w:val="28"/>
          <w:rtl w:val="true"/>
          <w:lang w:bidi="ar-SA"/>
        </w:rPr>
        <w:t xml:space="preserve">للحرمة؛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599"/>
      </w:r>
      <w:r>
        <w:rPr>
          <w:rFonts w:ascii="IRNazanin" w:hAnsi="IRNazanin" w:eastAsia="IRNazanin"/>
          <w:color w:val="111111"/>
          <w:sz w:val="28"/>
          <w:sz w:val="28"/>
          <w:szCs w:val="28"/>
          <w:rtl w:val="true"/>
          <w:lang w:bidi="fa-IR"/>
        </w:rPr>
        <w:t>مختصّ بالبالغات، حیث إنّ التکلیف لا یشمل غیر البالغ</w:t>
      </w:r>
      <w:r>
        <w:rPr>
          <w:rStyle w:val="FootnoteAnchor"/>
          <w:rtl w:val="true"/>
        </w:rPr>
        <w:footnoteReference w:id="600"/>
      </w:r>
      <w:r>
        <w:rPr>
          <w:rFonts w:ascii="IRNazanin" w:hAnsi="IRNazanin" w:eastAsia="IRNazanin"/>
          <w:color w:val="111111"/>
          <w:sz w:val="28"/>
          <w:sz w:val="28"/>
          <w:szCs w:val="28"/>
          <w:rtl w:val="true"/>
          <w:lang w:bidi="fa-IR"/>
        </w:rPr>
        <w:t>، فلا یجب علی الصبیّة التستّر، و من هنا یجوز النظر إلیها باعتبار أنّ حرمة النظر إلی المرأة إنّما استفیدت</w:t>
      </w:r>
      <w:r>
        <w:rPr>
          <w:rStyle w:val="FootnoteAnchor"/>
          <w:rtl w:val="true"/>
        </w:rPr>
        <w:footnoteReference w:id="601"/>
      </w:r>
      <w:r>
        <w:rPr>
          <w:rFonts w:ascii="IRNazanin" w:hAnsi="IRNazanin" w:eastAsia="IRNazanin"/>
          <w:color w:val="111111"/>
          <w:sz w:val="28"/>
          <w:sz w:val="28"/>
          <w:szCs w:val="28"/>
          <w:rtl w:val="true"/>
          <w:lang w:bidi="fa-IR"/>
        </w:rPr>
        <w:t>من وجوب التستّر علیها؛ لأنّ التستّر لا موضوعیة له، و إنّما هو مقدّمة لعدم النظر إلیها، و حیث إنّ وجوب التستّر</w:t>
      </w:r>
    </w:p>
    <w:p>
      <w:pPr>
        <w:pStyle w:val="BookText"/>
        <w:rPr/>
      </w:pPr>
      <w:r>
        <w:rPr>
          <w:rFonts w:ascii="IRNazanin" w:hAnsi="IRNazanin" w:eastAsia="IRNazanin"/>
          <w:color w:val="111111"/>
          <w:sz w:val="28"/>
          <w:sz w:val="28"/>
          <w:szCs w:val="28"/>
          <w:rtl w:val="true"/>
          <w:lang w:bidi="fa-IR"/>
        </w:rPr>
        <w:t>غیر ثابت علی الصبیّة فلا بأس بالنظر إلیها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المنظورة غیر بالغةٍ فیجوز للرجل النظر إلیها؛ للأصل</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العملیّة القطعیّة المتّصلة ظاهراً بزمن المعصوم علیه السلام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تغسیل الرجل و المرأة الصغیرة و الصغیر، کروایة أبی النمیر الذی رواها المشایخ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الصبیّ إلی کم تغسّله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w:t>
      </w:r>
    </w:p>
    <w:p>
      <w:pPr>
        <w:pStyle w:val="BookText"/>
        <w:rPr/>
      </w:pPr>
      <w:r>
        <w:rPr>
          <w:rFonts w:ascii="IRNazanin" w:hAnsi="IRNazanin" w:eastAsia="IRNazanin"/>
          <w:color w:val="111111"/>
          <w:sz w:val="28"/>
          <w:sz w:val="28"/>
          <w:szCs w:val="28"/>
          <w:rtl w:val="true"/>
          <w:lang w:bidi="fa-IR"/>
        </w:rPr>
        <w:t>عمّار الساباطی، عن أبی عبد اللّه علیه السلام، أنّه سئل عن الصبیّ تغسّله امرأةٌ؟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یغسّل الصبیان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الصبیّة تموت و لا تصاب امرأة تغسّلها؟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یغسّلها رجل أولی الناس بها</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سندهما منجبرٌ بالشهرة بین الأصحاب، بل بالإجماع الذی ادّعاه فی التذکرة</w:t>
      </w:r>
      <w:r>
        <w:rPr>
          <w:rStyle w:val="FootnoteAnchor"/>
          <w:rtl w:val="true"/>
        </w:rPr>
        <w:footnoteReference w:id="607"/>
      </w:r>
      <w:r>
        <w:rPr>
          <w:rFonts w:ascii="IRNazanin" w:hAnsi="IRNazanin" w:eastAsia="IRNazanin"/>
          <w:color w:val="111111"/>
          <w:sz w:val="28"/>
          <w:sz w:val="28"/>
          <w:szCs w:val="28"/>
          <w:rtl w:val="true"/>
          <w:lang w:bidi="fa-IR"/>
        </w:rPr>
        <w:t>و المنتهی</w:t>
      </w:r>
      <w:r>
        <w:rPr>
          <w:rStyle w:val="FootnoteAnchor"/>
          <w:rtl w:val="true"/>
        </w:rPr>
        <w:footnoteReference w:id="608"/>
      </w:r>
      <w:r>
        <w:rPr>
          <w:rFonts w:ascii="IRNazanin" w:hAnsi="IRNazanin" w:eastAsia="IRNazanin"/>
          <w:color w:val="111111"/>
          <w:sz w:val="28"/>
          <w:sz w:val="28"/>
          <w:szCs w:val="28"/>
          <w:rtl w:val="true"/>
          <w:lang w:bidi="fa-IR"/>
        </w:rPr>
        <w:t>و النهایة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الإجماع علیه محصّل فضلاً عن المنقول</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یشهد له التتبّع فی کلمات الفقهاء، إذ لم یوجد خلافٌ بین أصحابنا المتقدِّمین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عدم وجوب القناع علی الصغیرة، و جواز تکشّف المرأة عند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کصحیحة</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للجاریة إذا حاضت إلاّ أن تختمر</w:t>
      </w:r>
      <w:r>
        <w:rPr>
          <w:rStyle w:val="FootnoteAnchor"/>
          <w:rtl w:val="true"/>
        </w:rPr>
        <w:footnoteReference w:id="611"/>
      </w:r>
      <w:r>
        <w:rPr>
          <w:rFonts w:ascii="IRNazanin" w:hAnsi="IRNazanin" w:eastAsia="IRNazanin"/>
          <w:color w:val="111111"/>
          <w:sz w:val="28"/>
          <w:sz w:val="28"/>
          <w:szCs w:val="28"/>
          <w:rtl w:val="true"/>
          <w:lang w:bidi="fa-IR"/>
        </w:rPr>
        <w:t>إلاّ أن لا تجده</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مفهوم الشرط یدلّ علی عدم وجوب الاختمار قبل البلوغ، فلا بأس بالنظر إلیها؛ لأنّ وجوب التستّر علیها مقدّمة لعدم النظر إلیها، فإذا لم یجب التستّر جاز النظر؛ للتلازم عرفاً بین عدم وجوب التستّر، و جواز النظر بالإضافة إلی المناط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عبد الرحمن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الجاریة التی لم تدرک متی ینبغی لها أن تغطّی رأسها ممّن لیس بینها و بینه محرم؟ و متی یجب علیها أن تقنّع رأسها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تغطّی رأسها حتّی تحرم علیها الصلاة</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حتّی تحیض؛ فإنّها تدلّ بوضوح علی عدم وجوب التستّر علیها، و جواز إبدائها لشعرها ما لم تحض، و بثبوت ذلک یثبت جواز النظر إلیها بالملازمة العرفیّة کما تقدّم</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الصحیحة و إن کانت ظاهرة فی جواز تکشّف الصبیّة للبالغ، لکنّها تدلّ بالملازمة العرفیّة علی جواز نظره إلیها</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البزنطی،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الغلام بالصلاة و هو ابن سبع سنین، و لا تغطّی المرأة شعرها منه حتّی یحتلم</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صحیحته الاُخری</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تغطّی المرأة رأسها من الغلام حتّی یبلغ الغلام</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هاتان الروایتان و إن دلّتا علی جواز تکشّف المرأة عند الصبیّ، إلاّ أنّهما تدلاّن علی جواز نظر الرجل إلی الصبیّة، بعدم القول بالفصل</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یکن نظر الرجل إلی الصغیرة بتلذّذ و شهوة و ریبة، و لم یکن خوف افتتان، یجوز ذلک و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بعضها أنّه یجوز النظر إلیها قبل البلوغ، کما استظهره فی العروة و التعلیقات علیها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قال السیّد أبو الحسن الاصفهانی فی الوسیلة بالاحتیاط الوجوبی، بأنّه یقتصر علی مواضع لم تجر العادة علی سترها بالألبسة المتعارفة، مثل الوجه و الکفّین و شعر الرأس و الذراعین و القدمین، لا مثل الفخذ و الألیین و الظهر و الصدر، و الثدیین</w:t>
      </w:r>
      <w:r>
        <w:rPr>
          <w:rStyle w:val="FootnoteAnchor"/>
          <w:rtl w:val="true"/>
        </w:rPr>
        <w:footnoteReference w:id="620"/>
      </w:r>
      <w:bookmarkStart w:id="259" w:name="pg11753_114772"/>
    </w:p>
    <w:p>
      <w:pPr>
        <w:pStyle w:val="BookText"/>
        <w:rPr/>
      </w:pPr>
      <w:bookmarkEnd w:id="259"/>
      <w:r>
        <w:rPr>
          <w:rFonts w:ascii="IRNazanin" w:hAnsi="IRNazanin" w:eastAsia="IRNazanin"/>
          <w:color w:val="111111"/>
          <w:sz w:val="28"/>
          <w:sz w:val="28"/>
          <w:szCs w:val="28"/>
          <w:rtl w:val="true"/>
          <w:lang w:bidi="fa-IR"/>
        </w:rPr>
        <w:t>و قال فی تحریرها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و الأولی ذلک، و لا ینبغی ترک الاحتیاط فیها</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تفصیل الشریعة، و زاد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نوقش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صدق العورة المضافة إلی المؤمن و المؤمنة و الرجل و المرأة قبل تحقّق البلوغ</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الاحتیاط حسن</w:t>
      </w:r>
      <w:r>
        <w:rPr>
          <w:rFonts w:eastAsia="IRNazanin" w:cs="IRNazanin"/>
          <w:color w:val="111111"/>
          <w:sz w:val="28"/>
          <w:szCs w:val="28"/>
          <w:rtl w:val="true"/>
          <w:lang w:bidi="fa-IR"/>
        </w:rPr>
        <w:t>.</w:t>
      </w:r>
    </w:p>
    <w:p>
      <w:pPr>
        <w:pStyle w:val="Heading6"/>
        <w:numPr>
          <w:ilvl w:val="5"/>
          <w:numId w:val="1"/>
        </w:numPr>
        <w:rPr/>
      </w:pPr>
      <w:bookmarkStart w:id="260" w:name="__RefHeading___Toc9482660_73709187"/>
      <w:bookmarkStart w:id="261" w:name="_Toc99"/>
      <w:bookmarkEnd w:id="260"/>
      <w:r>
        <w:rPr>
          <w:rtl w:val="true"/>
        </w:rPr>
        <w:t>عدم جواز النظر إلی الصغیرة مع تلذّذ و شهوة</w:t>
      </w:r>
      <w:bookmarkEnd w:id="261"/>
    </w:p>
    <w:p>
      <w:pPr>
        <w:pStyle w:val="BookText"/>
        <w:rPr/>
      </w:pPr>
      <w:r>
        <w:rPr>
          <w:rFonts w:ascii="Amiri" w:hAnsi="Amiri" w:eastAsia="Amiri" w:cs="Amiri"/>
          <w:color w:val="111111"/>
          <w:sz w:val="28"/>
          <w:sz w:val="28"/>
          <w:szCs w:val="28"/>
          <w:rtl w:val="true"/>
          <w:lang w:bidi="ar-SA"/>
        </w:rPr>
        <w:t>ظهر ممّا ذکرنا أنّه لا یجوز للرجل النظر إلی الصبیّة مع الشهوة و التلذّذ، و یدلّ علیه ما ذکر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مقتضی هذه الآیة و کذا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جمیع الاستمتاعات الجنسیّة علی الإطلاق بالنسبة إلی غیر الزوجة و المملوکة، فیستفاد منها أنّه لا یجوز للرجل الاستمتاع و التلذّذ بالنظر إلی الصبیّة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کذا یشمله إطلاق النصوص الکثیرة التی تدلّ علی حرمة النظر إلی الأجنبیة، مثل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علی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إبلیس مسموم، و کم من نظرة أورثت</w:t>
      </w:r>
      <w:bookmarkStart w:id="262" w:name="pg11753_114773"/>
    </w:p>
    <w:p>
      <w:pPr>
        <w:pStyle w:val="BookText"/>
        <w:rPr/>
      </w:pPr>
      <w:bookmarkEnd w:id="262"/>
      <w:r>
        <w:rPr>
          <w:rFonts w:ascii="IRNazanin" w:hAnsi="IRNazanin" w:eastAsia="IRNazanin"/>
          <w:color w:val="111111"/>
          <w:sz w:val="28"/>
          <w:sz w:val="28"/>
          <w:szCs w:val="28"/>
          <w:rtl w:val="true"/>
          <w:lang w:bidi="fa-IR"/>
        </w:rPr>
        <w:t>حسرة طویلة</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 غیره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أنّ ملاک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المفسدة و خوف الوقوع فی الفتنة و ابتلاء الناظر بما هو أشدّ کالزنا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النظر إلی الصغیرة إذا نظر إلیها بتلذّذ و شهوة، و لا فرق بین الکبیرة و الصغیرة فی هذا</w:t>
      </w:r>
      <w:r>
        <w:rPr>
          <w:rFonts w:eastAsia="IRNazanin" w:cs="IRNazanin"/>
          <w:color w:val="111111"/>
          <w:sz w:val="28"/>
          <w:szCs w:val="28"/>
          <w:rtl w:val="true"/>
          <w:lang w:bidi="fa-IR"/>
        </w:rPr>
        <w:t>.</w:t>
      </w:r>
    </w:p>
    <w:p>
      <w:pPr>
        <w:pStyle w:val="Heading5"/>
        <w:numPr>
          <w:ilvl w:val="4"/>
          <w:numId w:val="1"/>
        </w:numPr>
        <w:rPr/>
      </w:pPr>
      <w:bookmarkStart w:id="263" w:name="__RefHeading___Toc9482662_73709187"/>
      <w:bookmarkStart w:id="264" w:name="_Toc100"/>
      <w:bookmarkEnd w:id="263"/>
      <w:r>
        <w:rPr>
          <w:rtl w:val="true"/>
        </w:rPr>
        <w:t>ب</w:t>
      </w:r>
      <w:r>
        <w:rPr>
          <w:rtl w:val="true"/>
        </w:rPr>
        <w:t xml:space="preserve">: </w:t>
      </w:r>
      <w:r>
        <w:rPr>
          <w:rtl w:val="true"/>
        </w:rPr>
        <w:t>نظر المرأة إلی الصغیر</w:t>
      </w:r>
      <w:bookmarkEnd w:id="264"/>
    </w:p>
    <w:p>
      <w:pPr>
        <w:pStyle w:val="BookText"/>
        <w:rPr/>
      </w:pPr>
      <w:r>
        <w:rPr>
          <w:rFonts w:ascii="IRNazanin" w:hAnsi="IRNazanin" w:eastAsia="IRNazanin"/>
          <w:color w:val="111111"/>
          <w:sz w:val="28"/>
          <w:sz w:val="28"/>
          <w:szCs w:val="28"/>
          <w:rtl w:val="true"/>
          <w:lang w:bidi="fa-IR"/>
        </w:rPr>
        <w:t>الظاهر أنّه یجوز أن تنظر المرأة إلی الصبیّ الغیر الممیّز؛ للأصل، و اختصاص أدلّة المنع بغیر الأطفال بمقتضی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النظر إلی الصبیّ الذی یکون فی سنّ التمییز و مظنّة الشهوة، فمع الالتذاذ لا یجوز، و الدلیل علیه ما تقدّم فی حرمة النظر للرجل إلی الصبیّة إن کان مع شهوةٍ و التذاذ؛ لوحدة الملاک حیث لا 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وسیلة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للمرأة النظر إلی الصبیّ الممیّز ما لم یبلغ، و لا یجب علیها التستّر عنه ما لم یبلغ مبلغاً یترتّب علی النظر منه أو إلیه ثوران الشهوة</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الأقوی فی الترتّب الفعلی و علی الأحوط فی غیره</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صحیحة البجلی و إن کانت واردةً فی الصبیّة، لکن یتعدّی منها إلی الصبیّ بالأولویّة، فیجوز نظر المرأة إلی الصبیّ قبل البلوغ</w:t>
      </w:r>
      <w:r>
        <w:rPr>
          <w:rFonts w:eastAsia="IRNazanin" w:cs="IRNazanin"/>
          <w:color w:val="111111"/>
          <w:sz w:val="28"/>
          <w:szCs w:val="28"/>
          <w:rtl w:val="true"/>
          <w:lang w:bidi="fa-IR"/>
        </w:rPr>
        <w:t>»</w:t>
      </w:r>
      <w:r>
        <w:rPr>
          <w:rStyle w:val="FootnoteAnchor"/>
          <w:rtl w:val="true"/>
        </w:rPr>
        <w:footnoteReference w:id="629"/>
      </w:r>
      <w:bookmarkStart w:id="265" w:name="pg11753_114774"/>
    </w:p>
    <w:p>
      <w:pPr>
        <w:pStyle w:val="BookText"/>
        <w:rPr/>
      </w:pPr>
      <w:bookmarkEnd w:id="265"/>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ترتّب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نظر المرأة إلی الصبیّ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الثوران، فإن کان الترتّب فعلیّاً فلا شبهة فی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الترتّب فعلیّاً، بل کان النظر منهما موجباً للثوران بالقوّة، فمقتضی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و الوجه فیه رعایة مذاق الشرع، حیث إنّ الشارع لا یرضی بذلک بعد کون المنظور إلیه أجنبیّاً و إن کان صبیّاً</w:t>
      </w:r>
      <w:r>
        <w:rPr>
          <w:rFonts w:eastAsia="IRNazanin" w:cs="IRNazanin"/>
          <w:color w:val="111111"/>
          <w:sz w:val="28"/>
          <w:szCs w:val="28"/>
          <w:rtl w:val="true"/>
          <w:lang w:bidi="fa-IR"/>
        </w:rPr>
        <w:t>»</w:t>
      </w:r>
      <w:r>
        <w:rPr>
          <w:rStyle w:val="FootnoteAnchor"/>
          <w:rtl w:val="true"/>
        </w:rPr>
        <w:footnoteReference w:id="630"/>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9482664_73709187"/>
      <w:bookmarkStart w:id="267" w:name="_Toc101"/>
      <w:bookmarkEnd w:id="266"/>
      <w:r>
        <w:rPr>
          <w:rtl w:val="true"/>
        </w:rPr>
        <w:t>ج</w:t>
      </w:r>
      <w:r>
        <w:rPr>
          <w:rtl w:val="true"/>
        </w:rPr>
        <w:t xml:space="preserve">: </w:t>
      </w:r>
      <w:r>
        <w:rPr>
          <w:rtl w:val="true"/>
        </w:rPr>
        <w:t>نظر الصبیّ إلی المرأة الأجنبیّة</w:t>
      </w:r>
      <w:bookmarkEnd w:id="267"/>
    </w:p>
    <w:p>
      <w:pPr>
        <w:pStyle w:val="Heading6"/>
        <w:numPr>
          <w:ilvl w:val="5"/>
          <w:numId w:val="1"/>
        </w:numPr>
        <w:rPr/>
      </w:pPr>
      <w:bookmarkStart w:id="268" w:name="__RefHeading___Toc9482666_73709187"/>
      <w:bookmarkStart w:id="269" w:name="_Toc102"/>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الصبیّ إمّا یکون ممیّزاً و إمّا غیر ممیّزٍ، فإن کان الناظر صبیّاً غیر ممیِّز فلا بأس أن ینظر إلی المرأة؛ بمعنی أنّه لم یحرم علیها التکشّف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التذکرة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الطفل الذی لم یظهر علی عورات النساء لا حجاب منه،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یبلغ مبلغاً یحکی ما یری فحضوره کغیبته، و یجوز له التکشّف من کلّ وجه</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و لا یجب علی الولیّ منعه منه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المحقّق و الشهید الثانیان</w:t>
      </w:r>
      <w:r>
        <w:rPr>
          <w:rStyle w:val="FootnoteAnchor"/>
          <w:rtl w:val="true"/>
        </w:rPr>
        <w:footnoteReference w:id="633"/>
      </w:r>
      <w:r>
        <w:rPr>
          <w:rFonts w:ascii="IRNazanin" w:hAnsi="IRNazanin" w:eastAsia="IRNazanin"/>
          <w:color w:val="111111"/>
          <w:sz w:val="28"/>
          <w:sz w:val="28"/>
          <w:szCs w:val="28"/>
          <w:rtl w:val="true"/>
          <w:lang w:bidi="fa-IR"/>
        </w:rPr>
        <w:t>و الفاضل الهندی</w:t>
      </w:r>
      <w:r>
        <w:rPr>
          <w:rStyle w:val="FootnoteAnchor"/>
          <w:rtl w:val="true"/>
        </w:rPr>
        <w:footnoteReference w:id="634"/>
      </w:r>
      <w:r>
        <w:rPr>
          <w:rFonts w:ascii="IRNazanin" w:hAnsi="IRNazanin" w:eastAsia="IRNazanin"/>
          <w:color w:val="111111"/>
          <w:sz w:val="28"/>
          <w:sz w:val="28"/>
          <w:szCs w:val="28"/>
          <w:rtl w:val="true"/>
          <w:lang w:bidi="fa-IR"/>
        </w:rPr>
        <w:t>و المحدّث البحرانی</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کذا فی الریاض</w:t>
      </w:r>
      <w:r>
        <w:rPr>
          <w:rStyle w:val="FootnoteAnchor"/>
          <w:rtl w:val="true"/>
        </w:rPr>
        <w:footnoteReference w:id="636"/>
      </w:r>
      <w:r>
        <w:rPr>
          <w:rFonts w:ascii="IRNazanin" w:hAnsi="IRNazanin" w:eastAsia="IRNazanin"/>
          <w:color w:val="111111"/>
          <w:sz w:val="28"/>
          <w:sz w:val="28"/>
          <w:szCs w:val="28"/>
          <w:rtl w:val="true"/>
          <w:lang w:bidi="fa-IR"/>
        </w:rPr>
        <w:t>و الجواهر</w:t>
      </w:r>
      <w:r>
        <w:rPr>
          <w:rStyle w:val="FootnoteAnchor"/>
          <w:rtl w:val="true"/>
        </w:rPr>
        <w:footnoteReference w:id="637"/>
      </w:r>
      <w:r>
        <w:rPr>
          <w:rFonts w:ascii="IRNazanin" w:hAnsi="IRNazanin" w:eastAsia="IRNazanin"/>
          <w:color w:val="111111"/>
          <w:sz w:val="28"/>
          <w:sz w:val="28"/>
          <w:szCs w:val="28"/>
          <w:rtl w:val="true"/>
          <w:lang w:bidi="fa-IR"/>
        </w:rPr>
        <w:t>و العروة مع التعلیقات</w:t>
      </w:r>
      <w:r>
        <w:rPr>
          <w:rStyle w:val="FootnoteAnchor"/>
          <w:rtl w:val="true"/>
        </w:rPr>
        <w:footnoteReference w:id="638"/>
      </w:r>
      <w:r>
        <w:rPr>
          <w:rFonts w:ascii="IRNazanin" w:hAnsi="IRNazanin" w:eastAsia="IRNazanin"/>
          <w:color w:val="111111"/>
          <w:sz w:val="28"/>
          <w:sz w:val="28"/>
          <w:szCs w:val="28"/>
          <w:rtl w:val="true"/>
          <w:lang w:bidi="fa-IR"/>
        </w:rPr>
        <w:t>و الوسیلة</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تحریرها</w:t>
      </w:r>
      <w:r>
        <w:rPr>
          <w:rStyle w:val="FootnoteAnchor"/>
          <w:rtl w:val="true"/>
        </w:rPr>
        <w:footnoteReference w:id="640"/>
      </w:r>
      <w:r>
        <w:rPr>
          <w:rFonts w:ascii="IRNazanin" w:hAnsi="IRNazanin" w:eastAsia="IRNazanin"/>
          <w:color w:val="111111"/>
          <w:sz w:val="28"/>
          <w:sz w:val="28"/>
          <w:szCs w:val="28"/>
          <w:rtl w:val="true"/>
          <w:lang w:bidi="fa-IR"/>
        </w:rPr>
        <w:t>، و کذا فی تفصیل الشریعة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إن کان ممیِّزاً، فإن کان فیه ثوران شهوةٍ و تشوّقٍ، فهو کالبالغ فی النظر، فیجب علی الولیّ منعه منه، و علی الأجنبیّة التستّر عنه، و به قطع العلاّمة فی التذکرة</w:t>
      </w:r>
      <w:r>
        <w:rPr>
          <w:rStyle w:val="FootnoteAnchor"/>
          <w:rtl w:val="true"/>
        </w:rPr>
        <w:footnoteReference w:id="642"/>
      </w:r>
      <w:r>
        <w:rPr>
          <w:rFonts w:ascii="IRNazanin" w:hAnsi="IRNazanin" w:eastAsia="IRNazanin"/>
          <w:color w:val="111111"/>
          <w:sz w:val="28"/>
          <w:sz w:val="28"/>
          <w:szCs w:val="28"/>
          <w:rtl w:val="true"/>
          <w:lang w:bidi="fa-IR"/>
        </w:rPr>
        <w:t>، و اختاره المحقّق و الشهید الثانیان</w:t>
      </w:r>
      <w:r>
        <w:rPr>
          <w:rStyle w:val="FootnoteAnchor"/>
          <w:rtl w:val="true"/>
        </w:rPr>
        <w:footnoteReference w:id="643"/>
      </w:r>
      <w:r>
        <w:rPr>
          <w:rFonts w:ascii="IRNazanin" w:hAnsi="IRNazanin" w:eastAsia="IRNazanin"/>
          <w:color w:val="111111"/>
          <w:sz w:val="28"/>
          <w:sz w:val="28"/>
          <w:szCs w:val="28"/>
          <w:rtl w:val="true"/>
          <w:lang w:bidi="fa-IR"/>
        </w:rPr>
        <w:t>، و قوّاه فی کشف اللثام</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الحدائق</w:t>
      </w:r>
      <w:r>
        <w:rPr>
          <w:rStyle w:val="FootnoteAnchor"/>
          <w:rtl w:val="true"/>
        </w:rPr>
        <w:footnoteReference w:id="645"/>
      </w:r>
      <w:r>
        <w:rPr>
          <w:rFonts w:ascii="IRNazanin" w:hAnsi="IRNazanin" w:eastAsia="IRNazanin"/>
          <w:color w:val="111111"/>
          <w:sz w:val="28"/>
          <w:sz w:val="28"/>
          <w:szCs w:val="28"/>
          <w:rtl w:val="true"/>
          <w:lang w:bidi="fa-IR"/>
        </w:rPr>
        <w:t>و الجواهر</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أطلق فی القواعد</w:t>
      </w:r>
      <w:r>
        <w:rPr>
          <w:rStyle w:val="FootnoteAnchor"/>
          <w:rtl w:val="true"/>
        </w:rPr>
        <w:footnoteReference w:id="647"/>
      </w:r>
      <w:r>
        <w:rPr>
          <w:rFonts w:ascii="IRNazanin" w:hAnsi="IRNazanin" w:eastAsia="IRNazanin"/>
          <w:color w:val="111111"/>
          <w:sz w:val="28"/>
          <w:sz w:val="28"/>
          <w:szCs w:val="28"/>
          <w:rtl w:val="true"/>
          <w:lang w:bidi="fa-IR"/>
        </w:rPr>
        <w:t>و التحریر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بعدم الجواز مبنیّ علی أنّ ما علم مبغوضیّة وقوعه فی الخارج من الشارع المقدّس علی کلّ تقدیر، بحیث لا یفرق الحال بین أن یکون مرتکبه بالغاً، أو غیر بالغ، کالزنا و شرب الخمر و اللواط و نحوها، فیجب علی المکلّفین المنع من تحقّقه، و سدّ الطریق إلیه، و قطع السبیل علی فاعله قولاً و فعلاً، و علی هذا فحیث إنّ من غیر البعید کون ما نحن فیه من هذا القبیل و لو بلحاظ انتهاء ذلک شیئاً فشیئاً إلی ما هو أعظم منه، باعتبار أنّ ذلک یوجب الاعتیاد، و نتیجته الابتلاء به أو</w:t>
      </w:r>
    </w:p>
    <w:p>
      <w:pPr>
        <w:pStyle w:val="BookText"/>
        <w:rPr/>
      </w:pPr>
      <w:r>
        <w:rPr>
          <w:rFonts w:ascii="IRNazanin" w:hAnsi="IRNazanin" w:eastAsia="IRNazanin"/>
          <w:color w:val="111111"/>
          <w:sz w:val="28"/>
          <w:sz w:val="28"/>
          <w:szCs w:val="28"/>
          <w:rtl w:val="true"/>
          <w:lang w:bidi="fa-IR"/>
        </w:rPr>
        <w:t>بما هو أشدّ منه بعد البلوغ، یجب علی المرأة قطع السبیل علی الصبیّ، و عدم السماح له بذلک، و هو لا یتحقّق عادةً إلاّ بالستر، فیجب علیها ذلک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 إن کان الصبیّ مع کونه ممیّزاً لم یکن فیه ثوران شهوةٍ و تشوّق، ففی جواز نظره إلی الأجنبیّة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لا یجب علی الولیّ منعه منه و لا یجب علیها الاحتجاب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کما استقربه فی التذکرة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جواز نظره کما ینظر الرجل إلی محارمه، کما أنّ له الدخول من غیر استئذان إلاّ فی الأوقات الثلاثة</w:t>
      </w:r>
      <w:r>
        <w:rPr>
          <w:rStyle w:val="FootnoteAnchor"/>
          <w:rtl w:val="true"/>
        </w:rPr>
        <w:footnoteReference w:id="651"/>
      </w:r>
      <w:r>
        <w:rPr>
          <w:rFonts w:ascii="Amiri" w:hAnsi="Amiri" w:eastAsia="Amiri" w:cs="Amiri"/>
          <w:color w:val="111111"/>
          <w:sz w:val="28"/>
          <w:sz w:val="28"/>
          <w:szCs w:val="28"/>
          <w:rtl w:val="true"/>
          <w:lang w:bidi="ar-SA"/>
        </w:rPr>
        <w:t xml:space="preserve">، التی هی مظنّة التبذّل و التکشّف، و ذلک قبل صلاة الفجر، و عند الظهیرة، و بعد صلاة العشاء،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لِیَسْتَأْذِنْکُمُ الَّذِینَ مَلَکَتْ أَیْمانُکُمْ وَ الَّذِینَ لَمْ یَبْلُغُوا الْحُلُمَ مِنْکُمْ ثَلاثَ مَرّاتٍ مِنْ قَبْلِ صَلاةِ الْفَجْرِ وَ حِینَ تَضَعُونَ ثِیابَکُمْ مِنَ الظَّهِیرَةِ وَ مِنْ بَعْدِ صَلاةِ الْعِشاءِ ثَلاثُ عَوْراتٍ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ففی فقه القرآن للراوندی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الصغار الذین لم یراهقوا</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الکشّاف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یَظْهَرُوا ، إمّا من ظهر علی الشیء إذا اطّلع علیه؛ أی</w:t>
      </w:r>
    </w:p>
    <w:p>
      <w:pPr>
        <w:pStyle w:val="BookText"/>
        <w:rPr/>
      </w:pPr>
      <w:r>
        <w:rPr>
          <w:rFonts w:ascii="IRNazanin" w:hAnsi="IRNazanin" w:eastAsia="IRNazanin"/>
          <w:color w:val="111111"/>
          <w:sz w:val="28"/>
          <w:sz w:val="28"/>
          <w:szCs w:val="28"/>
          <w:rtl w:val="true"/>
          <w:lang w:bidi="fa-IR"/>
        </w:rPr>
        <w:t>لا یعرفون ما العورة و لا یمیّزون بینها و بین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ظهر علی فلان إذا قوی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یبلغوا أوان القدرة علی الوط‌ء</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زبدة البیان</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أیضاً فی أحکام القرآن للجصّاص</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تفسیر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الظهور علی الشیء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له و الصولة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الوجه الأوّل یکون المعنی أَوِ الطِّفْلِ الَّذِینَ لَمْ یَظْهَرُوا ؛ أی لم یتصوّروا علی عورات النساء و لم یدروا ما هی لصغرهم، و علی 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الذین لم یبلغوا أن یطیقوا إتیان النساء</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معنی لَمْ یَظْهَرُوا أی لم یمیّزوا بینها و بین غیرها، فیدخل غیره فی النهی عن إبداء الزینة له، و لا أقلّ للجهل بکون الممیّز هو المقصود فی المقام من اَلطِّفْلِ الَّذِینَ لَمْ یَظْهَرُوا عَلی عَوْراتِ النِّساءِ ، فیدخل فی عموم النهی عن الکشف له، و یجب التستّر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 البأس عن هذا القول فی التذکرة، بل لعلّه اختاره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إلیه أیضاً المحقّق و الشهید الثانیان</w:t>
      </w:r>
      <w:r>
        <w:rPr>
          <w:rStyle w:val="FootnoteAnchor"/>
          <w:rtl w:val="true"/>
        </w:rPr>
        <w:footnoteReference w:id="659"/>
      </w:r>
      <w:r>
        <w:rPr>
          <w:rFonts w:ascii="IRNazanin" w:hAnsi="IRNazanin" w:eastAsia="IRNazanin"/>
          <w:color w:val="111111"/>
          <w:sz w:val="28"/>
          <w:sz w:val="28"/>
          <w:szCs w:val="28"/>
          <w:rtl w:val="true"/>
          <w:lang w:bidi="fa-IR"/>
        </w:rPr>
        <w:t>، و استقربه فی کشف اللثام</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أحوطهما المنع فیمنعه الولیّ عنه</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و قوّاه فی المسالک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بالنظر إلی ما ذکره محلّ إشکال و توقّف، إلاّ أنّه یمکن أن یُرجّح الجواز بأنّه الأوفق، بمقتضی الأصل حتّی یقوم دلیل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الصدوق فی الفقیه، عن أحمد بن محمّد بن عیسی، عن أحمد بن محمّد بن أبی نصر،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الغلام بالصلاة و هو ابن سبع سنین، و لا تغطّی المرأة شعرها منه حتّی یحتلم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الحمیری فی کتاب قرب الإسناد عن أحمد بن أبی نصر،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تغطّی المرأة رأسها من الغلام حتّی یبلغ الحلم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 فیهما تلازم جواز کشفها الرأس له و جواز نظره لها، إذ لو حرّم علیه النظر لها لحرم علیها التکشّف له، و الخبران مطلقان بالنسبة إلی من یحصل منه التلذّذ و غیره، و مع عدم تقییدهما بما ذکروه، من استثناء النظر الذی یترتّب علیه التلذّذ، فالدلالة علی الفرد الآخر لا معارض لها، و به یظهر صحّة القول بالجواز فی المسألة</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کلامه قدس سره هو الأظهر؛ لإطلاق الصحیحتین، و لعموم رفع القلم عن الصبیّ حتّی یحتلم</w:t>
      </w:r>
      <w:r>
        <w:rPr>
          <w:rStyle w:val="FootnoteAnchor"/>
          <w:rtl w:val="true"/>
        </w:rPr>
        <w:footnoteReference w:id="666"/>
      </w:r>
      <w:r>
        <w:rPr>
          <w:rFonts w:ascii="IRNazanin" w:hAnsi="IRNazanin" w:eastAsia="IRNazanin"/>
          <w:color w:val="111111"/>
          <w:sz w:val="28"/>
          <w:sz w:val="28"/>
          <w:szCs w:val="28"/>
          <w:rtl w:val="true"/>
          <w:lang w:bidi="fa-IR"/>
        </w:rPr>
        <w:t>، إلاّ أنّ الاحتیاط حسن، باعتبار أنّ ذلک یوجب الاعتیاد و الابتلاء به أو بما هو أشدّ منه، فلا ینبغی ترکه</w:t>
      </w:r>
      <w:r>
        <w:rPr>
          <w:rFonts w:eastAsia="IRNazanin" w:cs="IRNazanin"/>
          <w:color w:val="111111"/>
          <w:sz w:val="28"/>
          <w:szCs w:val="28"/>
          <w:rtl w:val="true"/>
          <w:lang w:bidi="fa-IR"/>
        </w:rPr>
        <w:t>.</w:t>
      </w:r>
      <w:bookmarkStart w:id="270" w:name="pg11753_114779"/>
    </w:p>
    <w:p>
      <w:pPr>
        <w:pStyle w:val="Heading6"/>
        <w:numPr>
          <w:ilvl w:val="5"/>
          <w:numId w:val="1"/>
        </w:numPr>
        <w:rPr/>
      </w:pPr>
      <w:bookmarkStart w:id="271" w:name="__RefHeading___Toc9482668_73709187"/>
      <w:bookmarkStart w:id="272" w:name="_Toc103"/>
      <w:bookmarkEnd w:id="270"/>
      <w:bookmarkEnd w:id="271"/>
      <w:r>
        <w:rPr>
          <w:rtl w:val="true"/>
        </w:rPr>
        <w:t>إیضاح</w:t>
      </w:r>
      <w:bookmarkEnd w:id="272"/>
    </w:p>
    <w:p>
      <w:pPr>
        <w:pStyle w:val="BookText"/>
        <w:rPr/>
      </w:pPr>
      <w:r>
        <w:rPr>
          <w:rFonts w:ascii="IRNazanin" w:hAnsi="IRNazanin" w:eastAsia="IRNazanin"/>
          <w:color w:val="111111"/>
          <w:sz w:val="28"/>
          <w:sz w:val="28"/>
          <w:szCs w:val="28"/>
          <w:rtl w:val="true"/>
          <w:lang w:bidi="fa-IR"/>
        </w:rPr>
        <w:t>الظاهر أنّ ما ذکرنا من حکم نظر الصبیّ إلی المرأة الأجنبیّة جارٍ بالنسبة إلی نظر الصبیّة إلی الرجل الأجنبی أیضاً؛ بمعنی أنّه إن کانت فیها ثوران الشهوة و تشوّق و یترتّب علی نظرها خوف الفتنة و لو بلحاظ انتهاء ذلک شیئاً فشیئاً إلی ما هو أعظم منه باعتبار ابتلائها بما هو أشدّ منه بعد البلوغ، فهی کالبالغة فی النظر إلی الأجنبی، فیجب علی الولیّ منعها؛ لوحدة الملاک، و هکذا فی نظر الصبیّة و الصبیّ إلی أنفسهما</w:t>
      </w:r>
      <w:r>
        <w:rPr>
          <w:rFonts w:eastAsia="IRNazanin" w:cs="IRNazanin"/>
          <w:color w:val="111111"/>
          <w:sz w:val="28"/>
          <w:szCs w:val="28"/>
          <w:rtl w:val="true"/>
          <w:lang w:bidi="fa-IR"/>
        </w:rPr>
        <w:t>.</w:t>
      </w:r>
    </w:p>
    <w:p>
      <w:pPr>
        <w:pStyle w:val="Heading5"/>
        <w:numPr>
          <w:ilvl w:val="4"/>
          <w:numId w:val="1"/>
        </w:numPr>
        <w:rPr/>
      </w:pPr>
      <w:bookmarkStart w:id="273" w:name="__RefHeading___Toc9482670_73709187"/>
      <w:bookmarkStart w:id="274" w:name="_Toc104"/>
      <w:bookmarkEnd w:id="273"/>
      <w:r>
        <w:rPr>
          <w:rtl w:val="true"/>
        </w:rPr>
        <w:t>د</w:t>
      </w:r>
      <w:r>
        <w:rPr>
          <w:rtl w:val="true"/>
        </w:rPr>
        <w:t xml:space="preserve">: </w:t>
      </w:r>
      <w:r>
        <w:rPr>
          <w:rtl w:val="true"/>
        </w:rPr>
        <w:t>النظر إلی عورة الصغیرة</w:t>
      </w:r>
      <w:bookmarkEnd w:id="274"/>
    </w:p>
    <w:p>
      <w:pPr>
        <w:pStyle w:val="BookText"/>
        <w:rPr/>
      </w:pPr>
      <w:r>
        <w:rPr>
          <w:rFonts w:ascii="IRNazanin" w:hAnsi="IRNazanin" w:eastAsia="IRNazanin"/>
          <w:color w:val="111111"/>
          <w:sz w:val="28"/>
          <w:sz w:val="28"/>
          <w:szCs w:val="28"/>
          <w:rtl w:val="true"/>
          <w:lang w:bidi="fa-IR"/>
        </w:rPr>
        <w:t xml:space="preserve">إن کانت الصغیرة غیر ممیّزة فالظاهر أنّه یجوز للرجل النظر إلی عورتها، 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و اختصاص أدلّة المنع بغیر الأطفال من البالغین و الممیِّزین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و کذا جملة من النصوص المتقدِّمة التی تدلّ علی جواز تغسیل الرجل و المرأة الصبیّة و الصبیّ الممیّزین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یکونوا ممیِّزین فالظاهر الجواز؛ لإطباق الناس فی الأعصار و الأمصار علی عدم منع هؤلاء عن کشف العورات و نظرهم إلیها</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النظر إلی عورة الصغیرة إن کانت ممیّزة و فی مظنّة الشهوة، فلا ینبغی الشکّ فی عدم جوازه؛ لإطلاق أدلّة المنع، و الأخبار المتقدِّمة، إذ لا موجب لتخصیصها بالبالغ؛ فإنّ مقتضی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w:t>
      </w:r>
      <w:r>
        <w:rPr>
          <w:rStyle w:val="FootnoteAnchor"/>
          <w:rtl w:val="true"/>
        </w:rPr>
        <w:footnoteReference w:id="668"/>
      </w:r>
      <w:r>
        <w:rPr>
          <w:rFonts w:ascii="IRNazanin" w:hAnsi="IRNazanin" w:eastAsia="IRNazanin"/>
          <w:color w:val="111111"/>
          <w:sz w:val="28"/>
          <w:sz w:val="28"/>
          <w:szCs w:val="28"/>
          <w:rtl w:val="true"/>
          <w:lang w:bidi="fa-IR"/>
        </w:rPr>
        <w:t>، هو حرمة النظر إلی عورة المؤمن من دون تقیید بکونه بالغاً، و أیضاً سائر الأدلّة التی تدلّ علی عدم</w:t>
      </w:r>
      <w:bookmarkStart w:id="275" w:name="pg11753_114780"/>
    </w:p>
    <w:p>
      <w:pPr>
        <w:pStyle w:val="BookText"/>
        <w:rPr/>
      </w:pPr>
      <w:bookmarkEnd w:id="275"/>
      <w:r>
        <w:rPr>
          <w:rFonts w:ascii="IRNazanin" w:hAnsi="IRNazanin" w:eastAsia="IRNazanin"/>
          <w:color w:val="111111"/>
          <w:sz w:val="28"/>
          <w:sz w:val="28"/>
          <w:szCs w:val="28"/>
          <w:rtl w:val="true"/>
          <w:lang w:bidi="fa-IR"/>
        </w:rPr>
        <w:t>جواز النظر إلی الصغیرة مع تلذّذ و شهوة جاریة هنا بالأولویّة،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الصبیّة الصغیرة التی لیست فی مظنّة الشهوة الأجنبیّة جائز؛ لانتفاء دواعی الشهوة، لکن لا یجوز النظر إلی فرجها</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الصغیرة الصغیر؛ لوحدة الملاک، فإن کان ممیّزاً و فی مظنّة الشهوة لا یجوز للمرأة و لا للرجل النظر إلی عورته</w:t>
      </w:r>
      <w:r>
        <w:rPr>
          <w:rFonts w:eastAsia="IRNazanin" w:cs="IRNazanin"/>
          <w:color w:val="111111"/>
          <w:sz w:val="28"/>
          <w:szCs w:val="28"/>
          <w:rtl w:val="true"/>
          <w:lang w:bidi="fa-IR"/>
        </w:rPr>
        <w:t>.</w:t>
      </w:r>
    </w:p>
    <w:p>
      <w:pPr>
        <w:pStyle w:val="Heading5"/>
        <w:numPr>
          <w:ilvl w:val="4"/>
          <w:numId w:val="1"/>
        </w:numPr>
        <w:rPr/>
      </w:pPr>
      <w:bookmarkStart w:id="276" w:name="__RefHeading___Toc9482672_73709187"/>
      <w:bookmarkStart w:id="277" w:name="_Toc105"/>
      <w:bookmarkEnd w:id="276"/>
      <w:r>
        <w:rPr>
          <w:rtl w:val="true"/>
        </w:rPr>
        <w:t>ه</w:t>
      </w:r>
      <w:r>
        <w:rPr>
          <w:rtl w:val="true"/>
        </w:rPr>
        <w:t xml:space="preserve">: </w:t>
      </w:r>
      <w:r>
        <w:rPr>
          <w:rtl w:val="true"/>
        </w:rPr>
        <w:t>نظر الممیّز إلی عورة الرجل أو المرأة</w:t>
      </w:r>
      <w:bookmarkEnd w:id="277"/>
    </w:p>
    <w:p>
      <w:pPr>
        <w:pStyle w:val="BookText"/>
        <w:rPr/>
      </w:pPr>
      <w:r>
        <w:rPr>
          <w:rFonts w:ascii="IRNazanin" w:hAnsi="IRNazanin" w:eastAsia="IRNazanin"/>
          <w:color w:val="111111"/>
          <w:sz w:val="28"/>
          <w:sz w:val="28"/>
          <w:szCs w:val="28"/>
          <w:rtl w:val="true"/>
          <w:lang w:bidi="fa-IR"/>
        </w:rPr>
        <w:t>الصبیّ أو الصبیّة إن کان غیر ممیِّزین، فیجوز لهما النظر إلی عورة الرجل أو المرأة؛ لعدم التکلیف بانتفاء موضوعه الذی هو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کانا ممیِّزین، فالظاهر أنّه یحرم أن ینظرا إلی عورة الرجل أو المرأة، و کذا یحرم أن ینظر الصبیّ إلی عورة الصبیّة و بالعکس، فیجب علی الولیّ منعهما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النظر إلی العورة و تکشّفها عنده مستثنی إجماعاً علی الظاهر، فیجب علی الولیّ منعه عن النظر إلیها، و یحرم أیضاً للرجال و النساء کشفها عنده</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و به قال الفقیه المحقّق الفاضل اللنکرانی</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مع التمیّز فلا یجوز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العورة؛ للأمر باستئذان الذین لم یبلغوا الحلم فی الآیة</w:t>
      </w:r>
      <w:r>
        <w:rPr>
          <w:rStyle w:val="FootnoteAnchor"/>
          <w:rtl w:val="true"/>
        </w:rPr>
        <w:footnoteReference w:id="672"/>
      </w:r>
      <w:r>
        <w:rPr>
          <w:rFonts w:ascii="IRNazanin" w:hAnsi="IRNazanin" w:eastAsia="IRNazanin"/>
          <w:color w:val="111111"/>
          <w:sz w:val="28"/>
          <w:sz w:val="28"/>
          <w:szCs w:val="28"/>
          <w:rtl w:val="true"/>
          <w:lang w:bidi="fa-IR"/>
        </w:rPr>
        <w:t>عند العورات الثلاث التی کانوا یضعون فیها الساتر للعورة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تؤیّده الروایتان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الغلام لا یقبِّل المرأة إذا جاز سبع سنین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الصبیّ یحجم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یحسن یصف فلا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المراد بعدم الجواز هنا حرمته و وجوب الاستئذان علی الصبیّ نفسه، أو الوجوب علی الولیّ أمره و نهیه، أو وجوب تستّر المنظور إلیه عنه؟</w:t>
      </w:r>
    </w:p>
    <w:p>
      <w:pPr>
        <w:pStyle w:val="BookText"/>
        <w:rPr/>
      </w:pPr>
      <w:r>
        <w:rPr>
          <w:rFonts w:ascii="IRNazanin" w:hAnsi="IRNazanin" w:eastAsia="IRNazanin"/>
          <w:color w:val="111111"/>
          <w:sz w:val="28"/>
          <w:sz w:val="28"/>
          <w:szCs w:val="28"/>
          <w:rtl w:val="true"/>
          <w:lang w:bidi="fa-IR"/>
        </w:rPr>
        <w:t>الظاهر هو الأوّل و لا بعد فیه؛ لأخصّیة دلیله عن أدلّة رفع القلم</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عن الصبیّ</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قدس سره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w:t>
      </w:r>
      <w:r>
        <w:rPr>
          <w:rStyle w:val="FootnoteAnchor"/>
          <w:rtl w:val="true"/>
        </w:rPr>
        <w:footnoteReference w:id="677"/>
      </w:r>
      <w:r>
        <w:rPr>
          <w:rFonts w:ascii="IRNazanin" w:hAnsi="IRNazanin" w:eastAsia="IRNazanin"/>
          <w:color w:val="111111"/>
          <w:sz w:val="28"/>
          <w:sz w:val="28"/>
          <w:szCs w:val="28"/>
          <w:rtl w:val="true"/>
          <w:lang w:bidi="fa-IR"/>
        </w:rPr>
        <w:t>موجب لتخصیص ما دلّ علی رفع القلم عن الصبیّ، لأنّ الخطاب فی الآیة الکریمة و إن کان متوجِّهاً إلی المکلّفین، إلاّ أنّ الأمر بالاستئذان متوجّه إلی غیر المکلّفین، کما هو واضح، فیتحصّل من الآیة الکریمة أنّ الصبیان مکلّفون فی هذا المورد بعدم النظر إلی عورة الغیر و یجب علیهم ذلک، و تکون هذه الآیة استثناءً و تخصیصاً لحدیث رفع القلم</w:t>
      </w:r>
      <w:r>
        <w:rPr>
          <w:rStyle w:val="FootnoteAnchor"/>
          <w:rtl w:val="true"/>
        </w:rPr>
        <w:footnoteReference w:id="678"/>
      </w:r>
      <w:r>
        <w:rPr>
          <w:rFonts w:ascii="IRNazanin" w:hAnsi="IRNazanin" w:eastAsia="IRNazanin"/>
          <w:color w:val="111111"/>
          <w:sz w:val="28"/>
          <w:sz w:val="28"/>
          <w:szCs w:val="28"/>
          <w:rtl w:val="true"/>
          <w:lang w:bidi="fa-IR"/>
        </w:rPr>
        <w:t>عن الصبیان، و بها تُرفع الید عن إطلاق دلیل رفع القلم کما تُرفع الید عنه فی باب الزنا و اللواط و السرقة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یجیء فی باب جنایات الأطفال زیادة توضیح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فی المستمسک علیه بأنّ الآیة الشریفة لیست واردة فی تحریم نظر الصبیّ إلی العورة، و إنّما فی تحریم التطلّع علی بعض الأفعال و الأحوال التی یستقبح التطلّع علیها و یستحیی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الاُولی لیست واردة فی النظر إلی العورة الحرام، و لا فی تحریم ذلک علی غیر البالغ</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فی مبانی العروة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بالاستئذان لأجل عدم النظر إلی العورة، و هو أوّل ما یتبادر من هذا الحکم، و لذا یقدّم فی کلام العرف عند تعلیل الاستئذان،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الاستئذان؟ اجیب بأنّه لأجل أن لا یری عورتهما و حالات العری و الجماع، کما عن بعض المعاصرین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إطلاقات الأخبار التی تدلّ علی حرمة النظر إلی العورة شاملة للصبیّ الممیّز أیضاً، و هکذا النصوص الدالّة علی وجوب تستّر العورة الملازم عرفاً لحرمة النظر، و هی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حنّان بن سدیر، عن أبیه، عن علیّ بن الحسین علیهما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یمنعکم من الاُزر؛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إطلاقها یشمل غیر البالغ الممیِّز، لأنّ مقتضی قوله علیه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نظر المؤمن إلی عورة المؤمن من دون تقیید بکونه</w:t>
      </w:r>
    </w:p>
    <w:p>
      <w:pPr>
        <w:pStyle w:val="BookText"/>
        <w:rPr/>
      </w:pPr>
      <w:r>
        <w:rPr>
          <w:rFonts w:ascii="IRNazanin" w:hAnsi="IRNazanin" w:eastAsia="IRNazanin"/>
          <w:color w:val="111111"/>
          <w:sz w:val="28"/>
          <w:sz w:val="28"/>
          <w:szCs w:val="28"/>
          <w:rtl w:val="true"/>
          <w:lang w:bidi="fa-IR"/>
        </w:rPr>
        <w:t xml:space="preserve">بالغاً؛ فإنّ الممیّز من غیر البالغین إذا أدرک وجود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 به، صدق علیه عنوان المؤمن، و بذلک یصبح مشمولاً لأدلّة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یغتسل بغیر إزار حیث لا یراه أحدٌ،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المنع من النظر إلی العورة کان مرتکزاً فی ذهن السائل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الإمام علیه السلام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کلامه علیه السلام</w:t>
      </w:r>
    </w:p>
    <w:p>
      <w:pPr>
        <w:pStyle w:val="BookText"/>
        <w:rPr/>
      </w:pPr>
      <w:r>
        <w:rPr>
          <w:rFonts w:ascii="IRNazanin" w:hAnsi="IRNazanin" w:eastAsia="IRNazanin"/>
          <w:color w:val="111111"/>
          <w:sz w:val="28"/>
          <w:sz w:val="28"/>
          <w:szCs w:val="28"/>
          <w:rtl w:val="true"/>
          <w:lang w:bidi="fa-IR"/>
        </w:rPr>
        <w:t>لا بأس حیث لا یراه أحدٌ، و هذا العموم یشمل الممیّز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الرجل بارزاً؟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یَرَهُ أحدٌ فلا بأس</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و مقتضی مفهوم الشرط أنّه إذا رآه أحدٌ ففیه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أبی بصیر، عن أبی عبد اللّه، عن أبیه، عن آبائه، عن أمیر المؤمنین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تعرّی أحدکم نظر إلیه الشیطان فطمع فیه، فاستتروا</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رواه الصدوق فی الفقیه و ثواب الأعمال</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أفعالٌ عُلِمَ مبغوضیّة وقوعها فی الخارج عند الشارع علی کلّ تقدیرٍ، بحیث لا یفرق الحال بین أن یکون مرتکبها بالغاً أو غیر بالغ، کالزنا و شرب الخمر و اللواط و نحوها، و لعلّ النظر إلی العورة کان من هذا القبیل؛ لأنّ النظر إلی العورة ممّا یستقبح و لو کان من غیر بالغٍ، و أیضاً أنّ نظر الصبیّ إلی العورة</w:t>
      </w:r>
    </w:p>
    <w:p>
      <w:pPr>
        <w:pStyle w:val="BookText"/>
        <w:rPr/>
      </w:pPr>
      <w:r>
        <w:rPr>
          <w:rFonts w:ascii="IRNazanin" w:hAnsi="IRNazanin" w:eastAsia="IRNazanin"/>
          <w:color w:val="111111"/>
          <w:sz w:val="28"/>
          <w:sz w:val="28"/>
          <w:szCs w:val="28"/>
          <w:rtl w:val="true"/>
          <w:lang w:bidi="fa-IR"/>
        </w:rPr>
        <w:t>ینتهی شیئاً فشیئاً إلی ما هو أعظم منه، و نتیجته الابتلاء بما هو أشدّ من النظر، فلذلک منعه الشارع منه مطلقاً، و کَرِهَهُ الإمام علیه السلام من کلّ أحدٍ کما فی صحیحة</w:t>
      </w:r>
    </w:p>
    <w:p>
      <w:pPr>
        <w:pStyle w:val="BookText"/>
        <w:rPr/>
      </w:pPr>
      <w:r>
        <w:rPr>
          <w:rFonts w:ascii="IRNazanin" w:hAnsi="IRNazanin" w:eastAsia="IRNazanin"/>
          <w:color w:val="111111"/>
          <w:sz w:val="28"/>
          <w:sz w:val="28"/>
          <w:szCs w:val="28"/>
          <w:rtl w:val="true"/>
          <w:lang w:bidi="fa-IR"/>
        </w:rPr>
        <w:t>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أ یتجرّد الرجل عند صبّ الماء تری عورته؟ أو یُصبُّ علیه الماء؟ أو یری هو عورة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یکره ذلک من کلّ أحدٍ</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تحف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الناظر و المنظور إلیه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w:t>
      </w:r>
    </w:p>
    <w:p>
      <w:pPr>
        <w:pStyle w:val="BookText"/>
        <w:rPr/>
      </w:pPr>
      <w:r>
        <w:rPr>
          <w:rFonts w:ascii="Amiri" w:hAnsi="Amiri" w:eastAsia="Amiri" w:cs="Amiri"/>
          <w:color w:val="111111"/>
          <w:sz w:val="28"/>
          <w:sz w:val="28"/>
          <w:szCs w:val="28"/>
          <w:rtl w:val="true"/>
          <w:lang w:bidi="ar-SA"/>
        </w:rPr>
        <w:t xml:space="preserve">ما جاء فی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المحکم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للسیّد المرتضی رحمه الله نقلاً من تفسیر النعمانی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 ذلِکَ أَزْکی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ینظر أحدکم إلی فرج أخیه المؤمن، أو یمکنه من النظر إلی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المرتکز فی أذهان المتشرّعة أنّه لا یجوز نظر الصبیان الممیِّزین إلی عورات الکبار، بل إلی عورات أمثالهم حتّی یعدّ ذلک من المنکرات الواضحة، و أیضاً سیرة المتشرّعة هی المنع الشدید للأطفال من النظر إلی العورات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المتحصّل من جمیع ذلک أنّ نفس هذا العمل مستقبح و مبغوض عند الشارع، و کرهه الإمام علیه السلام و لو صدر من غیر البالغین، و لا ینبغی أن یکون أفراد الناس کالحمر ینظر بعضهم إلی سوأة بعض، فالأظهر ما ذکره الشیخ الأعظم و المحقّق النراقی خلافاً للسیّدین الفقیهین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و الخوئی</w:t>
      </w:r>
      <w:r>
        <w:rPr>
          <w:rFonts w:eastAsia="IRNazanin" w:cs="IRNazanin"/>
          <w:color w:val="111111"/>
          <w:sz w:val="28"/>
          <w:szCs w:val="28"/>
          <w:rtl w:val="true"/>
          <w:lang w:bidi="fa-IR"/>
        </w:rPr>
        <w:t>».</w:t>
      </w:r>
      <w:bookmarkStart w:id="278" w:name="pg11753_114785"/>
    </w:p>
    <w:p>
      <w:pPr>
        <w:pStyle w:val="Heading4"/>
        <w:numPr>
          <w:ilvl w:val="3"/>
          <w:numId w:val="1"/>
        </w:numPr>
        <w:rPr/>
      </w:pPr>
      <w:bookmarkStart w:id="279" w:name="__RefHeading___Toc9482674_73709187"/>
      <w:bookmarkStart w:id="280" w:name="_Toc106"/>
      <w:bookmarkEnd w:id="278"/>
      <w:bookmarkEnd w:id="279"/>
      <w:r>
        <w:rPr>
          <w:rtl w:val="true"/>
        </w:rPr>
        <w:t>المبحث الثانی</w:t>
      </w:r>
      <w:r>
        <w:rPr>
          <w:rtl w:val="true"/>
        </w:rPr>
        <w:t xml:space="preserve">: </w:t>
      </w:r>
      <w:r>
        <w:rPr>
          <w:rtl w:val="true"/>
        </w:rPr>
        <w:t>لمس الصبیّة و الصبیّ‌</w:t>
      </w:r>
      <w:bookmarkEnd w:id="280"/>
    </w:p>
    <w:p>
      <w:pPr>
        <w:pStyle w:val="BookText"/>
        <w:rPr/>
      </w:pPr>
      <w:r>
        <w:rPr>
          <w:rFonts w:ascii="IRNazanin" w:hAnsi="IRNazanin" w:eastAsia="IRNazanin"/>
          <w:color w:val="111111"/>
          <w:sz w:val="28"/>
          <w:sz w:val="28"/>
          <w:szCs w:val="28"/>
          <w:rtl w:val="true"/>
          <w:lang w:bidi="fa-IR"/>
        </w:rPr>
        <w:t>لا خلاف فی حرمة مسّ ما یحرم النظر إلیه من المرأة للرجل و من الرجل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موضع یحرم فیه النظر فتحریم المسّ أولی؛ لأنّه أقوی و أشدّ فی التلذّذ و الاستمتاع من النظر، و لهذا لا یبطل الصوم بالإنزال المستند إلی النظر و یبطل لو استند إلی الملامسة</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ابنه فی الإیضاح</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موضع حکمنا فیه بتحریم النظر، فتحریم المسّ فیه أولی، و لو توقّف العلاج علی مسّ الأجنبیّة دون نظرها، فتحریم النظر بحاله، و جواز النظر إلی وجه الأجنبیّة و کفّیها لا یبیح مسّهما؛ لأنّ المسّ أدعی إلی الفتنة و أقوی فی تحریک الشهوة</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الجواهر، و لکن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أجد فیه خلافاً، بل کأنّه ضروریّ علی وجه یکون محرّماً لنفسه</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 المصنّف قدس سره لم یتعرّض لحکم اللمس، لکنّه اکتفی عن حکمه بالحکم بحرمة النظر، حیث إنّه إذا حرم النظر حرم اللمس قطعاً،</w:t>
      </w:r>
    </w:p>
    <w:p>
      <w:pPr>
        <w:pStyle w:val="BookText"/>
        <w:rPr/>
      </w:pPr>
      <w:r>
        <w:rPr>
          <w:rFonts w:ascii="IRNazanin" w:hAnsi="IRNazanin" w:eastAsia="IRNazanin"/>
          <w:color w:val="111111"/>
          <w:sz w:val="28"/>
          <w:sz w:val="28"/>
          <w:szCs w:val="28"/>
          <w:rtl w:val="true"/>
          <w:lang w:bidi="fa-IR"/>
        </w:rPr>
        <w:t>بل لا إشکال فی حرمة اللمس و إن جاز النظر؛ للأخبار الکثیرة</w:t>
      </w:r>
      <w:r>
        <w:rPr>
          <w:rStyle w:val="FootnoteAnchor"/>
          <w:rtl w:val="true"/>
        </w:rPr>
        <w:footnoteReference w:id="695"/>
      </w:r>
      <w:r>
        <w:rPr>
          <w:rFonts w:ascii="IRNazanin" w:hAnsi="IRNazanin" w:eastAsia="IRNazanin"/>
          <w:color w:val="111111"/>
          <w:sz w:val="28"/>
          <w:sz w:val="28"/>
          <w:szCs w:val="28"/>
          <w:rtl w:val="true"/>
          <w:lang w:bidi="fa-IR"/>
        </w:rPr>
        <w:t>، و الظاهر أنّه ممّا لا خلاف فیه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697"/>
      </w:r>
      <w:r>
        <w:rPr>
          <w:rFonts w:ascii="IRNazanin" w:hAnsi="IRNazanin" w:eastAsia="IRNazanin"/>
          <w:color w:val="111111"/>
          <w:sz w:val="28"/>
          <w:sz w:val="28"/>
          <w:szCs w:val="28"/>
          <w:rtl w:val="true"/>
          <w:lang w:bidi="fa-IR"/>
        </w:rPr>
        <w:t xml:space="preserve">و شرحه،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الدلیل علی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 النظر إلی الوجه و 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المَسّ أیضاً،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للأجنبی مصافحة الأجنبیّة المستلزمة للمسّ</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لمس الصغیرة و الصغیر أیضاً حکم النظر إلیهما، ففی کلّ موضع یجوز النظر إلی الصغیرة کما إذا لم تکن فی مظنّة الشهوة و الالتذاذ یجوز لمسها، و ما لا یجوز کالنظر إلی الصغیرة مع تلذّذ و شهوة و ریبة فلا یجوز لمسها، و الدلیل علیه ما تقدّم فی حکم النظر إلیها، و کذلک لمس المرأة الصبیّ، لوحدة الملاک و عدم التفاوت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 کالنظر فی أحکامه من المنع و الإذن، و یجوز لحاجة المعالجة کالنظر</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الممیّز من الصبیّ و الصبیّة؛ فإنّه یجوز النظر إلیهما بل اللمس</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الحکیم فی شرحها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فی الجملة من القطعیّات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فی اللمس</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و به قال المحقّق الفقیه الفاضل اللنکرانی</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اللمس، فیمکن أن یستفاد حکمه من حکم التغسیل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ممّا ذکرنا جواز اللمس من الجوانب کلّها، لمس الصبیّ و الصبیّة للرجل و المرأة، و لمس الرجل و المرأة لهما بدون ریبة</w:t>
      </w:r>
      <w:r>
        <w:rPr>
          <w:rStyle w:val="FootnoteAnchor"/>
          <w:rtl w:val="true"/>
        </w:rPr>
        <w:footnoteReference w:id="704"/>
      </w:r>
      <w:bookmarkStart w:id="281" w:name="pg11753_114788"/>
    </w:p>
    <w:p>
      <w:pPr>
        <w:pStyle w:val="Heading4"/>
        <w:numPr>
          <w:ilvl w:val="3"/>
          <w:numId w:val="1"/>
        </w:numPr>
        <w:rPr/>
      </w:pPr>
      <w:bookmarkStart w:id="282" w:name="__RefHeading___Toc9482676_73709187"/>
      <w:bookmarkStart w:id="283" w:name="_Toc107"/>
      <w:bookmarkEnd w:id="281"/>
      <w:bookmarkEnd w:id="282"/>
      <w:r>
        <w:rPr>
          <w:rtl w:val="true"/>
        </w:rPr>
        <w:t>المبحث الثالث</w:t>
      </w:r>
      <w:r>
        <w:rPr>
          <w:rtl w:val="true"/>
        </w:rPr>
        <w:t xml:space="preserve">: </w:t>
      </w:r>
      <w:r>
        <w:rPr>
          <w:rtl w:val="true"/>
        </w:rPr>
        <w:t>تقبیل الرجل الصبیّة و المرأة للصبیّ‌</w:t>
      </w:r>
      <w:bookmarkEnd w:id="283"/>
    </w:p>
    <w:p>
      <w:pPr>
        <w:pStyle w:val="Heading5"/>
        <w:numPr>
          <w:ilvl w:val="4"/>
          <w:numId w:val="1"/>
        </w:numPr>
        <w:rPr/>
      </w:pPr>
      <w:bookmarkStart w:id="284" w:name="__RefHeading___Toc9482678_73709187"/>
      <w:bookmarkStart w:id="285" w:name="_Toc108"/>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286" w:name="__RefHeading___Toc9482680_73709187"/>
      <w:bookmarkStart w:id="287" w:name="_Toc109"/>
      <w:bookmarkEnd w:id="286"/>
      <w:r>
        <w:rPr>
          <w:rtl w:val="true"/>
        </w:rPr>
        <w:t>المطلب الأوّل</w:t>
      </w:r>
      <w:r>
        <w:rPr>
          <w:rtl w:val="true"/>
        </w:rPr>
        <w:t xml:space="preserve">: </w:t>
      </w:r>
      <w:r>
        <w:rPr>
          <w:rtl w:val="true"/>
        </w:rPr>
        <w:t>تقبیلهما قبل أن یأتی علیهما ستّ سنین</w:t>
      </w:r>
      <w:bookmarkEnd w:id="287"/>
    </w:p>
    <w:p>
      <w:pPr>
        <w:pStyle w:val="Heading6"/>
        <w:numPr>
          <w:ilvl w:val="5"/>
          <w:numId w:val="1"/>
        </w:numPr>
        <w:rPr/>
      </w:pPr>
      <w:bookmarkStart w:id="288" w:name="__RefHeading___Toc9482682_73709187"/>
      <w:bookmarkStart w:id="289" w:name="_Toc110"/>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یجوز للرجل تقبیل الصبیّة قبل أن یأتی علیها ستّ سنین إذا لم یکن عن شهوةٍ و فی معرض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بتقبیل الرجل الصبیّة التی لیست له بمحرم، و وضعها فی حجره قبل أن یأتی علیها ستّ سنین إذا لم یکن عن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جمیع المحشّین علیها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فی الجملة لا إشکال فیه، و تقتضیه السیرة القطعیّة، مضافاً إلی أصل البراءة</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مهذّب الأحکام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فیه بین الأصحاب</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9482684_73709187"/>
      <w:bookmarkStart w:id="291" w:name="_Toc111"/>
      <w:bookmarkEnd w:id="290"/>
      <w:r>
        <w:rPr>
          <w:rtl w:val="true"/>
        </w:rPr>
        <w:t>أدلّة هذا الحکم</w:t>
      </w:r>
      <w:bookmarkEnd w:id="291"/>
    </w:p>
    <w:p>
      <w:pPr>
        <w:pStyle w:val="BookText"/>
        <w:rPr/>
      </w:pPr>
      <w:r>
        <w:rPr>
          <w:rFonts w:ascii="IRNazanin" w:hAnsi="IRNazanin" w:eastAsia="IRNazanin"/>
          <w:color w:val="111111"/>
          <w:sz w:val="28"/>
          <w:sz w:val="28"/>
          <w:szCs w:val="28"/>
          <w:rtl w:val="true"/>
          <w:lang w:bidi="fa-IR"/>
        </w:rPr>
        <w:t>و یمکن أن یستدلّ لهذا الحکم بوجوه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العملیّة القطعیّة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عدم الدلیل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 العمدة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خبر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الجاریة الحرّة ستّ سنین فلا ینبغی</w:t>
      </w:r>
      <w:r>
        <w:rPr>
          <w:rStyle w:val="FootnoteAnchor"/>
          <w:rtl w:val="true"/>
        </w:rPr>
        <w:footnoteReference w:id="709"/>
      </w:r>
      <w:r>
        <w:rPr>
          <w:rFonts w:ascii="IRNazanin" w:hAnsi="IRNazanin" w:eastAsia="IRNazanin"/>
          <w:color w:val="111111"/>
          <w:sz w:val="28"/>
          <w:sz w:val="28"/>
          <w:szCs w:val="28"/>
          <w:rtl w:val="true"/>
          <w:lang w:bidi="fa-IR"/>
        </w:rPr>
        <w:t>لک أن تقبّلها</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مرفوعة</w:t>
      </w:r>
    </w:p>
    <w:p>
      <w:pPr>
        <w:pStyle w:val="BookText"/>
        <w:rPr/>
      </w:pPr>
      <w:r>
        <w:rPr>
          <w:rFonts w:ascii="IRNazanin" w:hAnsi="IRNazanin" w:eastAsia="IRNazanin"/>
          <w:color w:val="111111"/>
          <w:sz w:val="28"/>
          <w:sz w:val="28"/>
          <w:szCs w:val="28"/>
          <w:rtl w:val="true"/>
          <w:lang w:bidi="fa-IR"/>
        </w:rPr>
        <w:t>زکریّا المؤمن رفعه،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الجاریة ستّ سنین فلا یقبّلها الغلام، و الغلام لا یقبِّل المرأة إذا جاز سبع سنین</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w:t>
      </w:r>
    </w:p>
    <w:p>
      <w:pPr>
        <w:pStyle w:val="BookText"/>
        <w:rPr/>
      </w:pPr>
      <w:r>
        <w:rPr>
          <w:rFonts w:ascii="IRNazanin" w:hAnsi="IRNazanin" w:eastAsia="IRNazanin"/>
          <w:color w:val="111111"/>
          <w:sz w:val="28"/>
          <w:sz w:val="28"/>
          <w:szCs w:val="28"/>
          <w:rtl w:val="true"/>
          <w:lang w:bidi="fa-IR"/>
        </w:rPr>
        <w:t>علی بن عقبة،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الماضی علیه السلام عند محمّد بن إبراهیم والی مکّة و هو زوج فاطمة بنت أبی عبد اللّه علیه السلام، و کانت لمحمّد بن إبراهیم بنت یلبسها الثیاب و تجیء إلی الرجل فیأخذها و یضمّها إلیه، فلمّا تناهت إلی أبی الحسن علیه السلام أمسکها بیدیه ممدودتین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أتت علی الجاریة ستّ سنین لم یجز أن یقبّلها رجل لیست هی بمحرم له و لا یضمّها إلیه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خبر عبد الرحمن بن بحر، عن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الجاریة ستّ سنین فلا ینبغی لک أن تقبّلها</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دلالة هذه الأخبار علی المدّعی واضحة؛ لأنّ مقتضی مفهوم جملة الشرطیّة جواز تقبیل الرجل الصبیّة التی لم تبلغ ستّ سنین، و یؤیّدها سائر أخبار الباب</w:t>
      </w:r>
      <w:r>
        <w:rPr>
          <w:rStyle w:val="FootnoteAnchor"/>
          <w:rtl w:val="true"/>
        </w:rPr>
        <w:footnoteReference w:id="7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تمسّک ببعضها فی المستمسک</w:t>
      </w:r>
      <w:r>
        <w:rPr>
          <w:rStyle w:val="FootnoteAnchor"/>
          <w:rtl w:val="true"/>
        </w:rPr>
        <w:footnoteReference w:id="715"/>
      </w:r>
      <w:r>
        <w:rPr>
          <w:rFonts w:ascii="IRNazanin" w:hAnsi="IRNazanin" w:eastAsia="IRNazanin"/>
          <w:color w:val="111111"/>
          <w:sz w:val="28"/>
          <w:sz w:val="28"/>
          <w:szCs w:val="28"/>
          <w:rtl w:val="true"/>
          <w:lang w:bidi="fa-IR"/>
        </w:rPr>
        <w:t>و غیره</w:t>
      </w:r>
      <w:r>
        <w:rPr>
          <w:rStyle w:val="FootnoteAnchor"/>
          <w:rtl w:val="true"/>
        </w:rPr>
        <w:footnoteReference w:id="716"/>
      </w:r>
      <w:r>
        <w:rPr>
          <w:rFonts w:ascii="IRNazanin" w:hAnsi="IRNazanin" w:eastAsia="IRNazanin"/>
          <w:color w:val="111111"/>
          <w:sz w:val="28"/>
          <w:sz w:val="28"/>
          <w:szCs w:val="28"/>
          <w:rtl w:val="true"/>
          <w:lang w:bidi="fa-IR"/>
        </w:rPr>
        <w:t>و لکن فی سندها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الفقیه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جمیع أخبار الباب لا تخلو من ضعف سندیّ أو قصور دلالیّ علی سبیل منع الخلوّ</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هذه الأخبار معتبر، مثل</w:t>
      </w:r>
    </w:p>
    <w:p>
      <w:pPr>
        <w:pStyle w:val="BookText"/>
        <w:rPr/>
      </w:pPr>
      <w:r>
        <w:rPr>
          <w:rFonts w:ascii="IRNazanin" w:hAnsi="IRNazanin" w:eastAsia="IRNazanin"/>
          <w:color w:val="111111"/>
          <w:sz w:val="28"/>
          <w:sz w:val="28"/>
          <w:szCs w:val="28"/>
          <w:rtl w:val="true"/>
          <w:lang w:bidi="fa-IR"/>
        </w:rPr>
        <w:t xml:space="preserve">ما رواه فی الکافی بسند صحیح عن علی بن الحکم، عن عبد اللّه بن یحیی الکاهلی، عن أبی أحمد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أظنّنی قد 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بینی و بینها محرم تغشانی فأحملها و اقبّلها؟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أتی علیها ستّ سنین فلا تضعها علی حجرک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رواه الصدوق باسناده عن عبد 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أحمد</w:t>
      </w:r>
      <w:r>
        <w:rPr>
          <w:rStyle w:val="FootnoteAnchor"/>
          <w:rtl w:val="true"/>
        </w:rPr>
        <w:footnoteReference w:id="718"/>
      </w:r>
      <w:r>
        <w:rPr>
          <w:rFonts w:ascii="IRNazanin" w:hAnsi="IRNazanin" w:eastAsia="IRNazanin"/>
          <w:color w:val="111111"/>
          <w:sz w:val="28"/>
          <w:sz w:val="28"/>
          <w:szCs w:val="28"/>
          <w:rtl w:val="true"/>
          <w:lang w:bidi="fa-IR"/>
        </w:rPr>
        <w:t xml:space="preserve">بن نعمان أبا عبد اللّه علیه السلام و ذکر نحوه </w:t>
      </w:r>
      <w:r>
        <w:rPr>
          <w:rStyle w:val="FootnoteAnchor"/>
          <w:rtl w:val="true"/>
        </w:rPr>
        <w:footnoteReference w:id="719"/>
      </w:r>
      <w:r>
        <w:rPr>
          <w:rFonts w:ascii="Amiri" w:hAnsi="Amiri" w:eastAsia="Amiri" w:cs="Amiri"/>
          <w:color w:val="111111"/>
          <w:sz w:val="28"/>
          <w:sz w:val="28"/>
          <w:szCs w:val="28"/>
          <w:rtl w:val="true"/>
          <w:lang w:bidi="ar-SA"/>
        </w:rPr>
        <w:t>فإنّ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أظنّنی قد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علی أنّ عبد اللّه بن یحیی الکاهلی سمع مباشرة السؤال و الجواب، إلاّ أنّها مضمرة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عند المتقدِّمین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صرّح به غیر واحد</w:t>
      </w:r>
      <w:r>
        <w:rPr>
          <w:rStyle w:val="FootnoteAnchor"/>
          <w:rtl w:val="true"/>
        </w:rPr>
        <w:footnoteReference w:id="720"/>
      </w:r>
      <w:r>
        <w:rPr>
          <w:rFonts w:ascii="IRNazanin" w:hAnsi="IRNazanin" w:eastAsia="IRNazanin"/>
          <w:color w:val="111111"/>
          <w:sz w:val="28"/>
          <w:sz w:val="28"/>
          <w:szCs w:val="28"/>
          <w:rtl w:val="true"/>
          <w:lang w:bidi="fa-IR"/>
        </w:rPr>
        <w:t>عبارة عن الوثوق و الرکون لا القطع و الیقین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یحصل لنا الوثوق و الاطمئنان بصدور مضمون هذه الأحادیث</w:t>
      </w:r>
    </w:p>
    <w:p>
      <w:pPr>
        <w:pStyle w:val="BookText"/>
        <w:rPr/>
      </w:pPr>
      <w:r>
        <w:rPr>
          <w:rFonts w:ascii="IRNazanin" w:hAnsi="IRNazanin" w:eastAsia="IRNazanin"/>
          <w:color w:val="111111"/>
          <w:sz w:val="28"/>
          <w:sz w:val="28"/>
          <w:szCs w:val="28"/>
          <w:rtl w:val="true"/>
          <w:lang w:bidi="fa-IR"/>
        </w:rPr>
        <w:t>من المعصوم علیه السلام؛ لکثرتها</w:t>
      </w:r>
      <w:r>
        <w:rPr>
          <w:rStyle w:val="FootnoteAnchor"/>
          <w:rtl w:val="true"/>
        </w:rPr>
        <w:footnoteReference w:id="722"/>
      </w:r>
      <w:r>
        <w:rPr>
          <w:rFonts w:ascii="IRNazanin" w:hAnsi="IRNazanin" w:eastAsia="IRNazanin"/>
          <w:color w:val="111111"/>
          <w:sz w:val="28"/>
          <w:sz w:val="28"/>
          <w:szCs w:val="28"/>
          <w:rtl w:val="true"/>
          <w:lang w:bidi="fa-IR"/>
        </w:rPr>
        <w:t>و وحدة مضامینها، و أیضاً موافقة تلک الأخبار للسیرة القطعیّة العملیّة قرینة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حسن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حَبَسَ آخرون نفوسهم علی الأخذ بما یحصل به الوثوق من الکتب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کأُصول من أجمعت لهم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الکتب التی شاع بین السلف الوثوق بها و الاعتماد علیها من کتب الإمامیّة الاثنی عشریّة، ککتاب الصلاة لحریز و کتب ابنی سعید</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البهائی فی مشرق الشمسین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یوجب الوثوق بالحدیث و الرکون إلیه أخذه من أحد الکتب التی شاع بین سلفهم الوثوق بها و الاعتماد علیها؛ سواء کان مؤلّفوها من الفرقة الناجیة الإمامیّة، ککتاب الصلاة لحریز بن عبد اللّه السجستانی و کتب ابنی سعید و علی بن مهزیار أو من غیر الإمامیّة، ککتاب حفص بن غیاث القاضی و</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الرحمن بن بحر، عن زرارة هی التی رواها حسین بن سعید کما فی التهذیب</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روضة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أبی أحمد الکاهلی حسن کالصحیح، و خبر زرارة من القوی کالصحیح، و مرسلة هارون بن مسلم من القوی</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کلّ ما رواه أصحابنا من الأخبار و أودعوه فی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مستنداً إلی رُواة معدودین من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معدوداً</w:t>
      </w:r>
    </w:p>
    <w:p>
      <w:pPr>
        <w:pStyle w:val="BookText"/>
        <w:rPr/>
      </w:pPr>
      <w:r>
        <w:rPr>
          <w:rFonts w:ascii="IRNazanin" w:hAnsi="IRNazanin" w:eastAsia="IRNazanin"/>
          <w:color w:val="111111"/>
          <w:sz w:val="28"/>
          <w:sz w:val="28"/>
          <w:szCs w:val="28"/>
          <w:rtl w:val="true"/>
          <w:lang w:bidi="fa-IR"/>
        </w:rPr>
        <w:t>فی الحکم من أخبار الآحاد، بل أکثر هذه الأخبار متواترٌ موجب للعلم</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أورده فی کتابی الأخبار إنّما آخذه من الاُصول المعتمدة علیها</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جمیع ما فیه مستخرج من کتب مشهورة علیها المعوّل و إلیها المرجع، مثل کتاب حریز بن عبد اللّه السجستانی، و کتاب عبید اللّه بن علی الحلبی و کتب علی بن مهزیار الأهوازی، و کتب الحسین بن سعید، و نوادر أحمد بن محمّد بن عیسی</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وجه لما ذکره السیّد الخوئی قدس سره</w:t>
      </w:r>
      <w:r>
        <w:rPr>
          <w:rStyle w:val="FootnoteAnchor"/>
          <w:rtl w:val="true"/>
        </w:rPr>
        <w:footnoteReference w:id="730"/>
      </w:r>
      <w:r>
        <w:rPr>
          <w:rFonts w:ascii="IRNazanin" w:hAnsi="IRNazanin" w:eastAsia="IRNazanin"/>
          <w:color w:val="111111"/>
          <w:sz w:val="28"/>
          <w:sz w:val="28"/>
          <w:szCs w:val="28"/>
          <w:rtl w:val="true"/>
          <w:lang w:bidi="fa-IR"/>
        </w:rPr>
        <w:t>من أنّ جمیع أخبار الباب ضعیفة سنداً أو دلالةً؛ لأنّ جملة من هذه النصوص ظاهرة فی جواز تقبیل الرجل الصبیّة قبل ستّ سنین من غیر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تقبیل الرجل للصبیّة المشار إلیها عن شهوة و تلذّذ فلا یجوز؛ لإجماع الفقهاء الأعلام و سیرة المتدیّنین من العوام، کما فی مهذّب الأحکام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کان عن شهوة فلما عرفت من الإجماع الارتکازی علی الحرمة</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فی ارتکاز المتشرّعة المنع من التقبیل إذا کان کذلک، و أیضاً أنّه ممّا علم بالضرورة مبغوضیّته عند الشارع</w:t>
      </w:r>
      <w:r>
        <w:rPr>
          <w:rFonts w:eastAsia="IRNazanin" w:cs="IRNazanin"/>
          <w:color w:val="111111"/>
          <w:sz w:val="28"/>
          <w:szCs w:val="28"/>
          <w:rtl w:val="true"/>
          <w:lang w:bidi="fa-IR"/>
        </w:rPr>
        <w:t>.</w:t>
      </w:r>
      <w:bookmarkStart w:id="292" w:name="pg11753_114793"/>
    </w:p>
    <w:p>
      <w:pPr>
        <w:pStyle w:val="Heading5"/>
        <w:numPr>
          <w:ilvl w:val="4"/>
          <w:numId w:val="1"/>
        </w:numPr>
        <w:rPr/>
      </w:pPr>
      <w:bookmarkStart w:id="293" w:name="__RefHeading___Toc9482686_73709187"/>
      <w:bookmarkStart w:id="294" w:name="_Toc112"/>
      <w:bookmarkEnd w:id="292"/>
      <w:bookmarkEnd w:id="293"/>
      <w:r>
        <w:rPr>
          <w:rtl w:val="true"/>
        </w:rPr>
        <w:t>المطلب الثانی</w:t>
      </w:r>
      <w:r>
        <w:rPr>
          <w:rtl w:val="true"/>
        </w:rPr>
        <w:t xml:space="preserve">: </w:t>
      </w:r>
      <w:r>
        <w:rPr>
          <w:rtl w:val="true"/>
        </w:rPr>
        <w:t>تقبیلها بعد أن یأتی علیها ستّ سنین</w:t>
      </w:r>
      <w:bookmarkEnd w:id="294"/>
    </w:p>
    <w:p>
      <w:pPr>
        <w:pStyle w:val="Heading6"/>
        <w:numPr>
          <w:ilvl w:val="5"/>
          <w:numId w:val="1"/>
        </w:numPr>
        <w:rPr/>
      </w:pPr>
      <w:bookmarkStart w:id="295" w:name="__RefHeading___Toc9482688_73709187"/>
      <w:bookmarkStart w:id="296" w:name="_Toc113"/>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الظاهر أنّه لا یجوز للرجل أن یقبِّل الصبیّة التی لیست له بمحرم بعد أن یأتی علیها ستّ سنین، و یمکن أن یستفاد هذا الحکم من النصوص المتقدِّمة و إن لم یطرح فی کلمات الفقهاء، و هی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علیه السلام فی روایة أبی أحمد الکاهلی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علیها ستّ سنین فلا تضعها علی حجرک</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 فی تقریب الاستدلال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السؤال فیها عن الحمل و التقبیل، إلاّ أنّه علیه السلام قد أجاب بالنهی عن وضعها فی الحجر إذا أتی علیها ستّ سنین، و هو 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متفاهم العرفی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 علیه السلام إنّما أجاب عمّا هو أهون منهما، فیستفاد منها أنّه لا مانع من التقبیل و الحمل ما لم تبلغ الصبیّة ستّ سنین، فإذا بلغت ذلک فلا یجوز وضعها فی الحجر فضلاً عن حملها أو تقبیلها، إلاّ أنّ الروایة ضعیفة بأبی أحمد الکاهلی، فلا مجال للاعتماد علیها</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عبد اللّه بن یحیی الکاهلی کان حاضراً فی المجلس؛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أظنّنی قد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معتبرة، و لا یضرّ بأنّ أبی أحمد الکاهلی لا توثیق له؛ لأنّه السائل و عبد اللّه یسمع، و یؤیّده ما فی روضة المتّقین من أنّ هذا الحدیث حسن کالصحیح</w:t>
      </w:r>
      <w:r>
        <w:rPr>
          <w:rStyle w:val="FootnoteAnchor"/>
          <w:rtl w:val="true"/>
        </w:rPr>
        <w:footnoteReference w:id="735"/>
      </w:r>
      <w:r>
        <w:rPr>
          <w:rFonts w:ascii="IRNazanin" w:hAnsi="IRNazanin" w:eastAsia="IRNazanin"/>
          <w:color w:val="111111"/>
          <w:sz w:val="28"/>
          <w:sz w:val="28"/>
          <w:szCs w:val="28"/>
          <w:rtl w:val="true"/>
          <w:lang w:bidi="fa-IR"/>
        </w:rPr>
        <w:t>، إلاّ أنّ الروایة 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ما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النعمان أبا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جویریة لیس بینی و بینها رحمٌ و لها ستّ سنین،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تضعها فی حجرک</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نهی الإمام علیه السلام عن الوضع فی الحجر فالنهی عن التقبیل بطریق أولی، کما فی الروایة المتقدّمة؛ و لا ریب أنّ مناط الأولویّة و عدمها هو الأهمّیة عند الشارع بحسب ترتّب المفاسد علیه، و من الواضح أنّ المفسدة التی تترتّب علی التقبیل تکون ذات أهمّیة أکثر من مفسدة الوضع فی الحجر؛ لأنّ التلذّذ و الاستمتاع فی التقبیل أشدّ و ثوران الشهوة فیه أکثر، فلا وجه لما ذکره فی مبانی العروة من أنّ الأولویّة فی روایة أبی أحمد الکاهلی إنّما استفیدت من إعراض الإمام علیه السلام عن الجواب عن المسئول عنه، و الإجابة ببیان حکم الوضع فی الحجر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علی بن عقبة؛ لأنّه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أتت علی الجاریة ستّ سنین لم یجز أن یقبّلها رجلٌ لیست هی بمحرمٍ له و لا یضمّها إلیه</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سائر النصوص المتقدِّمة من خبر زرارة و مرفوع زکریّا المؤمن و خبر غیاث بن إبراهیم و روایة عبد الرحمن بن بحر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هذه النصوص الحرمة؛ لأنّ فی جملة منها النهی عن التقبیل و الضمّ، و هو ظاهر فی الحرمة، و کذلک النصوص المشتملة علی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أیضاً ظاهرة فی الحرمة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المستفاد من النصوص المذکورة هو الکراهة دون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النصوص و إن کان ظاهراً فی الحرمة، لکنّه قاصر السند</w:t>
      </w:r>
      <w:r>
        <w:rPr>
          <w:rFonts w:eastAsia="IRNazanin" w:cs="IRNazanin"/>
          <w:color w:val="111111"/>
          <w:sz w:val="28"/>
          <w:szCs w:val="28"/>
          <w:rtl w:val="true"/>
          <w:lang w:bidi="fa-IR"/>
        </w:rPr>
        <w:t>»</w:t>
      </w:r>
      <w:r>
        <w:rPr>
          <w:rStyle w:val="FootnoteAnchor"/>
          <w:rtl w:val="true"/>
        </w:rPr>
        <w:footnoteReference w:id="740"/>
      </w:r>
      <w:bookmarkStart w:id="297" w:name="pg11753_114795"/>
    </w:p>
    <w:p>
      <w:pPr>
        <w:pStyle w:val="BookText"/>
        <w:rPr/>
      </w:pPr>
      <w:bookmarkEnd w:id="297"/>
      <w:r>
        <w:rPr>
          <w:rFonts w:ascii="IRNazanin" w:hAnsi="IRNazanin" w:eastAsia="IRNazanin"/>
          <w:color w:val="111111"/>
          <w:sz w:val="28"/>
          <w:sz w:val="28"/>
          <w:szCs w:val="28"/>
          <w:rtl w:val="true"/>
          <w:lang w:bidi="fa-IR"/>
        </w:rPr>
        <w:t>و تبعه فی ذلک السیّد السبزواری</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ممّا تقدّم أنّ جملة من النصوص 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السیّد الخوئی،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المقام روایة واحدة صحیحة السند، و تامّة الدلالة یمکن الاعتماد علیها لإثبات الحکم،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أصالة البراءة هو الجواز</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الحرمة، و ربما یحمل علی الکراهة مع عدم الریبة، کما هو ظاهر خبر الثانی، و الاحتیاط فی الترک</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وسیلة النجاة و تحریرها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عدم تقبیلها و عدم وضعها فی حجره إذا بلغت ستّ سنین</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تبعهما فی ذلک الشیخ الفقیه الفاضل اللنکرانی</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الاحتیاط و لا الحمل علی الکراهة؛ لأنّه لا قصور فی دلالة النصوص علی الحرمة، و لم تکن هناک قرینة علی الخلاف؛ و إنّما نوقش فی سندها، و قد عرفت أنّه یحصل لنا الوثوق بصدور جملة من هذه النصوص من المعصوم علیه السلام، فتلک الروایات تامّة الدلالة و السند فی إثبات هذا الحکم</w:t>
      </w:r>
      <w:r>
        <w:rPr>
          <w:rFonts w:eastAsia="IRNazanin" w:cs="IRNazanin"/>
          <w:color w:val="111111"/>
          <w:sz w:val="28"/>
          <w:szCs w:val="28"/>
          <w:rtl w:val="true"/>
          <w:lang w:bidi="fa-IR"/>
        </w:rPr>
        <w:t>.</w:t>
      </w:r>
    </w:p>
    <w:p>
      <w:pPr>
        <w:pStyle w:val="Heading6"/>
        <w:numPr>
          <w:ilvl w:val="5"/>
          <w:numId w:val="1"/>
        </w:numPr>
        <w:rPr/>
      </w:pPr>
      <w:bookmarkStart w:id="298" w:name="__RefHeading___Toc9482690_73709187"/>
      <w:bookmarkStart w:id="299" w:name="_Toc114"/>
      <w:bookmarkEnd w:id="298"/>
      <w:r>
        <w:rPr>
          <w:rtl w:val="true"/>
        </w:rPr>
        <w:t>إیضاح</w:t>
      </w:r>
      <w:bookmarkEnd w:id="2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ما ذکرنا فی هذا المبحث من حکم تقبیل الصبیّة فی کلتا الصورتین</w:t>
      </w:r>
      <w:bookmarkStart w:id="300" w:name="pg11753_114796"/>
    </w:p>
    <w:p>
      <w:pPr>
        <w:pStyle w:val="BookText"/>
        <w:rPr/>
      </w:pPr>
      <w:bookmarkEnd w:id="300"/>
      <w:r>
        <w:rPr>
          <w:rFonts w:ascii="IRNazanin" w:hAnsi="IRNazanin" w:eastAsia="IRNazanin"/>
          <w:color w:val="111111"/>
          <w:sz w:val="28"/>
          <w:sz w:val="28"/>
          <w:szCs w:val="28"/>
          <w:rtl w:val="true"/>
          <w:lang w:bidi="fa-IR"/>
        </w:rPr>
        <w:t>یجری فی الصبیّ أیضاً، لوحدة الملاک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أنّه یجوز للمرأة تقبیل الصبیّ؛ للأصل، و عدم الدلیل علی حرمته، و النصوص المتقدّمة و إن وردت فی الصبیّة و لکن یتعدّی منها إلی الصبیّ أیضاً، کما استفاد السیّد الحکیم</w:t>
      </w:r>
      <w:r>
        <w:rPr>
          <w:rStyle w:val="FootnoteAnchor"/>
          <w:rtl w:val="true"/>
        </w:rPr>
        <w:footnoteReference w:id="747"/>
      </w:r>
      <w:r>
        <w:rPr>
          <w:rFonts w:ascii="IRNazanin" w:hAnsi="IRNazanin" w:eastAsia="IRNazanin"/>
          <w:color w:val="111111"/>
          <w:sz w:val="28"/>
          <w:sz w:val="28"/>
          <w:szCs w:val="28"/>
          <w:rtl w:val="true"/>
          <w:lang w:bidi="fa-IR"/>
        </w:rPr>
        <w:t>من صحیحة عبد الرحمن بن الحجّاج المتقدّمة</w:t>
      </w:r>
      <w:r>
        <w:rPr>
          <w:rStyle w:val="FootnoteAnchor"/>
          <w:rtl w:val="true"/>
        </w:rPr>
        <w:footnoteReference w:id="748"/>
      </w:r>
      <w:r>
        <w:rPr>
          <w:rFonts w:ascii="IRNazanin" w:hAnsi="IRNazanin" w:eastAsia="IRNazanin"/>
          <w:color w:val="111111"/>
          <w:sz w:val="28"/>
          <w:sz w:val="28"/>
          <w:szCs w:val="28"/>
          <w:rtl w:val="true"/>
          <w:lang w:bidi="fa-IR"/>
        </w:rPr>
        <w:t>فی التعدّی عن نظر الرجل إلی الصبیّة إلی نظر المرأة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للصبیّ أکثر من ستّ سنین و کان تقبیلها عن شهوة و التذاذ، فلا یجوز لها ذلک، و الدلیل علیه ما ذکرنا فی تقبیل الرجل الصبیّة؛ إذ لا شکّ أنّ فی ارتکاز المتشرّعة المنع منه، و أیضاً هذا ممّا علم مبغوضیّته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التلذّذ و الاستمتاع فی التقبیل أشدّ من النظر، و ثوران الشهوة أکثر، فإذا لم یجز للمرأة النظر إلی الصبیّ الذی یأتی علیه ستّ سنین أو أکثر إذا کان عن شهوة و التذاذ، فلا یجوز لها تقبیله بطریق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أیضاً مرفوعة زکریّا المؤمن المتقدِّمة؛ فإنّ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الغلام لا یقبِّل المرأة إذا جاز سبع سنین</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 w:name="__RefHeading___Toc9482692_73709187"/>
      <w:bookmarkStart w:id="302" w:name="_Toc115"/>
      <w:bookmarkEnd w:id="301"/>
      <w:r>
        <w:rPr>
          <w:rtl w:val="true"/>
        </w:rPr>
        <w:t>أنظار فقهاء أهل السنّة فی مباحث هذا الفصل</w:t>
      </w:r>
      <w:bookmarkEnd w:id="30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الأصحّ عندهم</w:t>
      </w:r>
      <w:r>
        <w:rPr>
          <w:rStyle w:val="FootnoteAnchor"/>
          <w:rtl w:val="true"/>
        </w:rPr>
        <w:footnoteReference w:id="750"/>
      </w:r>
      <w:r>
        <w:rPr>
          <w:rFonts w:ascii="IRNazanin" w:hAnsi="IRNazanin" w:eastAsia="IRNazanin"/>
          <w:color w:val="111111"/>
          <w:sz w:val="28"/>
          <w:sz w:val="28"/>
          <w:szCs w:val="28"/>
          <w:rtl w:val="true"/>
          <w:lang w:bidi="fa-IR"/>
        </w:rPr>
        <w:t>أنّه یجوز للرجل النظر إلی صغیرةٍ لا تشتهی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الطفل الذی لم یظهر علی عورات النساء لا حجاب منه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للرجل النظر إلی شیء من بدن المرأة إلاّ إذا کان الناظر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صبیّة</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و به قال غیرهما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مقابل هذا، قول بالتحریم؛ لأنّها من جنس الإناث</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قالوا بتحریم النظر إلی فرج الصغیرة و الصغیر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إنّهم و إن لم یصرّحوا بحکم لمس الصبیّة، و لکن یستظهر من کلماتهم أنّ حکم لمس الرجل الأجنبیّ للصبیّة حکم نظره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یحرم النظر یحرم المسّ بطریق الأولی؛ لأنّه أقوی فی التلذّذ و الاستمتاع، و لهذا لا یبطل الصوم بالإنزال بمجرّد النظر، و یبطل بالإنزال بالملامسة</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أیضاً النووی</w:t>
      </w:r>
      <w:r>
        <w:rPr>
          <w:rStyle w:val="FootnoteAnchor"/>
          <w:rtl w:val="true"/>
        </w:rPr>
        <w:footnoteReference w:id="757"/>
      </w:r>
      <w:r>
        <w:rPr>
          <w:rFonts w:ascii="IRNazanin" w:hAnsi="IRNazanin" w:eastAsia="IRNazanin"/>
          <w:color w:val="111111"/>
          <w:sz w:val="28"/>
          <w:sz w:val="28"/>
          <w:szCs w:val="28"/>
          <w:rtl w:val="true"/>
          <w:lang w:bidi="fa-IR"/>
        </w:rPr>
        <w:t>و الخطیب الشربینی</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نظر الصبیّ إلی المرأة الأجنبیّة فقد جاء فی روضة الطالبین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 الصبیّ یکون فی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یبلغ أن یحکی ما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 و لا یکون فیه ثوران الشهوة و تشوّف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حضوره کغیبته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 التکشّف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کالمحرم،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کالبالغ</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یلزم المنظور إلیها الاحتجاب منه، و یلزم الولیّ أن یمنعه من النظر، کما یلزم أن یمنعه من الزنا و سائر المحرّمات</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غیر المراهق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المراهق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کالرجل البالغ الأجنبی معها، فلا یحلّ لها أن تبرز 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761"/>
      </w:r>
      <w:r>
        <w:rPr>
          <w:rFonts w:ascii="IRNazanin" w:hAnsi="IRNazanin" w:eastAsia="IRNazanin"/>
          <w:color w:val="111111"/>
          <w:sz w:val="28"/>
          <w:sz w:val="28"/>
          <w:szCs w:val="28"/>
          <w:rtl w:val="true"/>
          <w:lang w:bidi="fa-IR"/>
        </w:rPr>
        <w:t>،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یقووا علی الجماع، و المراهق یقوی علی الجماع، فهو کالبالغ</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لظهوره علی العورات</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المراهق مع الأجنبیّة کالبالغ من ذوی أرحامها،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 الْأَطْفالُ مِنْکُمُ الْحُلُمَ فَلْیَسْتَأْذِنُوا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بالاستئذان إذا بلغوا الحلم، فدلّ علی أنّه قبل أن یبلغوا الحلم یجوز دخولهم من غیر استئذان</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إلاّ فی الأوقات الثلاثة التی یضعن فیها ثیابهنّ، فلا بدّ من 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فنظره کنظر البالغ إلی المحارم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صغیرة لا یشتهی مثلها فلا بأس بالنظر إلیها و من مسّها؛</w:t>
      </w:r>
    </w:p>
    <w:p>
      <w:pPr>
        <w:pStyle w:val="BookText"/>
        <w:rPr/>
      </w:pPr>
      <w:r>
        <w:rPr>
          <w:rFonts w:ascii="IRNazanin" w:hAnsi="IRNazanin" w:eastAsia="IRNazanin"/>
          <w:color w:val="111111"/>
          <w:sz w:val="28"/>
          <w:sz w:val="28"/>
          <w:szCs w:val="28"/>
          <w:rtl w:val="true"/>
          <w:lang w:bidi="fa-IR"/>
        </w:rPr>
        <w:t>لأنّه لیس لبدنها حکم العورة، و لا فی النظر و المسّ معنی خوف الفتنة، و لأنّ العادة الظاهرة ترک التکلّف بستر عورتها قبل أن تبلغ حدّ الشهوة، و أمّا النظرة إلی العورة حرام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عورة للصغیر جدّاً و کذا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فیباح النظر و المسّ،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یبلغ الصغیر و الصغیرة حدّ الشهوة یغسلهما الرجال و النساء</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لجواز المسّ أن یکون أحدهما مأموناً؛ لأنّ أحدهما إذا کان لا یشتهی لا یکون اللمس سبباً للوقوع فی الفتنة، کالصغیر؛ لأنّه لا یؤدّی إلی الانتهاء من الجانبین؛ لأنّ الکبیر لا یشتهی بمسّ الصغیر، و لهذا إذا مات صغیر أو صغیرة تغسّله المرأة و الرجل ما لم تبلغ حدّ الشهوة، و کذا یجوز النظر إلی الصغیر و الصغیرة و المسّ إذا کان لا یشتهی</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إلی إبداء الزینة للطفل و نظره إلی النساء، قال الکاسانی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الطفل لم یظهر علی عورات النساء و لا یعرف العورة من غیر العورة، فلا بأس لهنّ من إبداء الزینة لهم؛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مستثنی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یعرف التمییز بین العورة و غیرها و قرب من الحلم، فلا ینبغی للمرأة أن تبدی زینتها له، أ لا تری أنّ مثل هذا الصبیّ قد امر بالاستئذان فی بعض</w:t>
      </w:r>
    </w:p>
    <w:p>
      <w:pPr>
        <w:pStyle w:val="BookText"/>
        <w:rPr/>
      </w:pPr>
      <w:r>
        <w:rPr>
          <w:rFonts w:ascii="Amiri" w:hAnsi="Amiri" w:eastAsia="Amiri" w:cs="Amiri"/>
          <w:color w:val="111111"/>
          <w:sz w:val="28"/>
          <w:sz w:val="28"/>
          <w:szCs w:val="28"/>
          <w:rtl w:val="true"/>
          <w:lang w:bidi="ar-SA"/>
        </w:rPr>
        <w:t xml:space="preserve">الأوقات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لَمْ یَبْلُغُوا الْحُلُمَ مِنْکُمْ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الطفلة التی لا تصلح للنکاح لا بأس بالنظر إلیها بغیر شهوةٍ، ففی المغنی و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فی روایة الأثرم فی رجل یأخذ الصغیرة فیضعها فی حجره و 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یجد شهوةً، فلا و إن کان بغیر شهوةٍ فلا بأس</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الکافی و الفروع</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المرداوی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هو محدود بدون السبع، أو بدون ما تشتهی غالباً؟ علی وجهین</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یحرم النظر إلی عورة الطفلة قبل بلوغ سبع سنوات من العمر، و لا لمسها نصّاً، و لا یجب سترها مع أمن الشهوة، و کذلک الحکم بالنسبة إلی الطفل</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بلغت الطفلة حدّاً تصلح للنکاح کابنة تسع سنین؛ فإنّ عورتها مخالفة لعورة البالغة، بدلیل قوله صلی الله علیه و آله و سلم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صلاة حائض إلاّ بخمار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 علی صحّة الصلاة ممّن لا تحیض و هی مکشوفة الرأس، فیحتمل أن یکون حکمها فی النظر إلیها حکم ذوات المحارم بالنسبة لنظر ذوی محارمهنّ إلیهنّ‌</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اللمس کالنظر فیحرم حیث یحرم النظر، بل اللمس أولی؛ لأنّه أبلغ من النظر</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کذا فی الفروع</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فی مسألة إبداء الزینة للطفل و نظره إلی النساء، ذهبوا إلی أنّه إذا کان الطفل غیر ممیّز لم یجب علی المرأة الاستتار منه فی شیء، و لها إبداء زینتها 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کان ممیّزاً غیر ذی شهوة، فله أن ینظر ما فوق السرّة و تحت الرکبة؛ لأنّه لا شهوة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الطفل ممیّزاً ذا شهوة، فحکمه حکم ذی المحرم من المرأة فی النظر إلیها و فی إبداء الزینة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أنّه کالأجنبیّ؛ لأنّه کالبالغ فی الشهوة، و معنی ذلک أنّ المقارب للاحتلام یعتبر کالبالغ</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فی الکافی فی الممیّز روایتین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کالبالغ،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کذی المحرم،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 الْأَطْفالُ مِنْکُمُ الْحُلُمَ فَلْیَسْتَأْذِنُوا کَمَا اسْتَأْذَنَ الَّذِینَ مِنْ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بینه و بین البالغ</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بحسب تتبّعنا لم نجد فی مذهب المالکیّة فی کلّ المباحث التی طرحناها فی هذا الفصل رأی</w:t>
      </w:r>
      <w:r>
        <w:rPr>
          <w:rFonts w:eastAsia="IRNazanin" w:cs="IRNazanin"/>
          <w:color w:val="111111"/>
          <w:sz w:val="28"/>
          <w:szCs w:val="28"/>
          <w:rtl w:val="true"/>
          <w:lang w:bidi="fa-IR"/>
        </w:rPr>
        <w:t>.</w:t>
      </w:r>
      <w:bookmarkStart w:id="303" w:name="pg11753_114803"/>
    </w:p>
    <w:p>
      <w:pPr>
        <w:pStyle w:val="Heading3"/>
        <w:numPr>
          <w:ilvl w:val="2"/>
          <w:numId w:val="1"/>
        </w:numPr>
        <w:rPr/>
      </w:pPr>
      <w:bookmarkStart w:id="304" w:name="__RefHeading___Toc9482694_73709187"/>
      <w:bookmarkStart w:id="305" w:name="_Toc116"/>
      <w:bookmarkEnd w:id="303"/>
      <w:bookmarkEnd w:id="304"/>
      <w:r>
        <w:rPr>
          <w:rtl w:val="true"/>
        </w:rPr>
        <w:t>الفصل التاسع فی ولایة الأب و الجدّ علی أموال الصغار</w:t>
      </w:r>
      <w:bookmarkEnd w:id="305"/>
    </w:p>
    <w:p>
      <w:pPr>
        <w:pStyle w:val="Heading4"/>
        <w:numPr>
          <w:ilvl w:val="3"/>
          <w:numId w:val="1"/>
        </w:numPr>
        <w:rPr/>
      </w:pPr>
      <w:bookmarkStart w:id="306" w:name="__RefHeading___Toc9482696_73709187"/>
      <w:bookmarkStart w:id="307" w:name="_Toc117"/>
      <w:bookmarkEnd w:id="306"/>
      <w:r>
        <w:rPr>
          <w:rtl w:val="true"/>
        </w:rPr>
        <w:t>تمهید</w:t>
      </w:r>
      <w:bookmarkEnd w:id="307"/>
    </w:p>
    <w:p>
      <w:pPr>
        <w:pStyle w:val="BookText"/>
        <w:rPr/>
      </w:pPr>
      <w:r>
        <w:rPr>
          <w:rFonts w:ascii="IRNazanin" w:hAnsi="IRNazanin" w:eastAsia="IRNazanin"/>
          <w:color w:val="111111"/>
          <w:sz w:val="28"/>
          <w:sz w:val="28"/>
          <w:szCs w:val="28"/>
          <w:rtl w:val="true"/>
          <w:lang w:bidi="fa-IR"/>
        </w:rPr>
        <w:t>بحثنا فی ما سبق</w:t>
      </w:r>
      <w:r>
        <w:rPr>
          <w:rStyle w:val="FootnoteAnchor"/>
          <w:rtl w:val="true"/>
        </w:rPr>
        <w:footnoteReference w:id="780"/>
      </w:r>
      <w:r>
        <w:rPr>
          <w:rFonts w:ascii="IRNazanin" w:hAnsi="IRNazanin" w:eastAsia="IRNazanin"/>
          <w:color w:val="111111"/>
          <w:sz w:val="28"/>
          <w:sz w:val="28"/>
          <w:szCs w:val="28"/>
          <w:rtl w:val="true"/>
          <w:lang w:bidi="fa-IR"/>
        </w:rPr>
        <w:t>أنّ الولایة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النفس؛ و هی التی تتعلّق بالنفس من قبیل الولایة علی التزویج، و ولایة الحضانة و ولایة التأدیب، و الولایة علی الإحرام و غیرها، و قد تقدّم البحث عن بعض هذه الاُمور فی الفصول السابقة، و یأتی عن بعضها الآخر فی الأبواب الآتیة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المال؛ و هی التی تتعلّق بأموال الصغار و المجنون و السفیه؛ لأنّ الولد الصغیر کما یحتاج إلی من یقوم بإرضاعه و حضانته و کفالته، کذلک یحتاج إلی من یراعی مصلحته فی أمواله بحسن إدارتها و حفظها من الضیاع و استثمارها و الإنفاق منها علی الاُمور الضروریّة له؛ لأنّ الولد الصغیر لِصغره لیس أهلاً لتقدیر المصلحة، و لا یتصوّر منه الرضا الصحیح و لا القصد و الاختیار، فلهذا منع</w:t>
      </w:r>
    </w:p>
    <w:p>
      <w:pPr>
        <w:pStyle w:val="BookText"/>
        <w:rPr/>
      </w:pPr>
      <w:r>
        <w:rPr>
          <w:rFonts w:ascii="IRNazanin" w:hAnsi="IRNazanin" w:eastAsia="IRNazanin"/>
          <w:color w:val="111111"/>
          <w:sz w:val="28"/>
          <w:sz w:val="28"/>
          <w:szCs w:val="28"/>
          <w:rtl w:val="true"/>
          <w:lang w:bidi="fa-IR"/>
        </w:rPr>
        <w:t>من التصرّفات فی ماله، فالحجر علی الولد الصغیر إنّما کان لعجزه عن التصرّف فی ماله علی وجه المصلحة، فکان من رحمة الشارع الحکیم أن حجر علیه، و لکن جعل الولایة فی أموال الصغار إلی من یحفظها و ینمیها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الولایة علی استیفاء حقوق الصغار، فیأتی البحث عنه فی الأبواب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نبحث هنا عن الأولیاء الذین لهم الولایة مَنْ هم؟ و ما الدلیل علی ولایتهم، و ما هو الشرط فی إثبات الولایة لهم؟ یعنی هل إثبات الولایة للولیّ مشروطٌ بأن یکون الولیّ عادلاً، أو یکفی أن یکون فعله ذا مصلحةٍ و إن لم یکن عادلاً، أو لا ذا و لا ذاک، بل یکفی أن لا یکون فی فعله مفسدةٌ؟ و هکذا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للبحث و التحقیق عن هذه الاُمور عقدنا هذا الفصل، و فیه مباحث</w:t>
      </w:r>
      <w:r>
        <w:rPr>
          <w:rFonts w:eastAsia="IRNazanin" w:cs="IRNazanin"/>
          <w:color w:val="111111"/>
          <w:sz w:val="28"/>
          <w:szCs w:val="28"/>
          <w:rtl w:val="true"/>
          <w:lang w:bidi="fa-IR"/>
        </w:rPr>
        <w:t>:</w:t>
      </w:r>
      <w:bookmarkStart w:id="308" w:name="pg11753_114805"/>
    </w:p>
    <w:p>
      <w:pPr>
        <w:pStyle w:val="Heading4"/>
        <w:numPr>
          <w:ilvl w:val="3"/>
          <w:numId w:val="1"/>
        </w:numPr>
        <w:rPr/>
      </w:pPr>
      <w:bookmarkStart w:id="309" w:name="__RefHeading___Toc9482698_73709187"/>
      <w:bookmarkStart w:id="310" w:name="_Toc118"/>
      <w:bookmarkEnd w:id="308"/>
      <w:bookmarkEnd w:id="309"/>
      <w:r>
        <w:rPr>
          <w:rtl w:val="true"/>
        </w:rPr>
        <w:t>المبحث الأوّل</w:t>
      </w:r>
      <w:r>
        <w:rPr>
          <w:rtl w:val="true"/>
        </w:rPr>
        <w:t xml:space="preserve">: </w:t>
      </w:r>
      <w:r>
        <w:rPr>
          <w:rtl w:val="true"/>
        </w:rPr>
        <w:t>ثبوت ولایة الأب و الجدّ علی الأموال و أدلّتها</w:t>
      </w:r>
      <w:bookmarkEnd w:id="310"/>
    </w:p>
    <w:p>
      <w:pPr>
        <w:pStyle w:val="Heading5"/>
        <w:numPr>
          <w:ilvl w:val="4"/>
          <w:numId w:val="1"/>
        </w:numPr>
        <w:rPr/>
      </w:pPr>
      <w:bookmarkStart w:id="311" w:name="__RefHeading___Toc9482700_73709187"/>
      <w:bookmarkStart w:id="312" w:name="_Toc119"/>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لا خلاف فی ثبوت الولایة للأب و الجدّ له علی الطفل إلی أن یبلغ الرشد، و أنّ ولایتهما بجعل إلهیّ؛ أی کان کلّ واحدٍ منهما ولیّاً إجباریّاً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یلی أمر الصغیر و 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و وصیّ الأب أو الجدّ، و الإمام أو من یأمره الإمام</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المتعاقدین کمال العقل و الاختیار، و أن یکون البائع مالکاً أو ولیّاً، کالأب و الجدّ للأب و الحاکم و أمینه و الوصیّ</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الوسیلة</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العلاّمة فی بعض کتبه</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الشهید الأوّل</w:t>
      </w:r>
      <w:r>
        <w:rPr>
          <w:rStyle w:val="FootnoteAnchor"/>
          <w:rtl w:val="true"/>
        </w:rPr>
        <w:footnoteReference w:id="785"/>
      </w:r>
      <w:r>
        <w:rPr>
          <w:rFonts w:ascii="IRNazanin" w:hAnsi="IRNazanin" w:eastAsia="IRNazanin"/>
          <w:color w:val="111111"/>
          <w:sz w:val="28"/>
          <w:sz w:val="28"/>
          <w:szCs w:val="28"/>
          <w:rtl w:val="true"/>
          <w:lang w:bidi="fa-IR"/>
        </w:rPr>
        <w:t>و یحیی ابن سعید</w:t>
      </w:r>
      <w:r>
        <w:rPr>
          <w:rStyle w:val="FootnoteAnchor"/>
          <w:rtl w:val="true"/>
        </w:rPr>
        <w:footnoteReference w:id="786"/>
      </w:r>
      <w:r>
        <w:rPr>
          <w:rFonts w:ascii="Amiri" w:hAnsi="Amiri" w:eastAsia="Amiri" w:cs="Amiri"/>
          <w:color w:val="111111"/>
          <w:sz w:val="28"/>
          <w:sz w:val="28"/>
          <w:szCs w:val="28"/>
          <w:rtl w:val="true"/>
          <w:lang w:bidi="ar-SA"/>
        </w:rPr>
        <w:t>، و المحقّق</w:t>
      </w:r>
      <w:r>
        <w:rPr>
          <w:rStyle w:val="FootnoteAnchor"/>
          <w:rtl w:val="true"/>
        </w:rPr>
        <w:footnoteReference w:id="787"/>
      </w:r>
      <w:r>
        <w:rPr>
          <w:rFonts w:ascii="IRNazanin" w:hAnsi="IRNazanin" w:eastAsia="IRNazanin"/>
          <w:color w:val="111111"/>
          <w:sz w:val="28"/>
          <w:sz w:val="28"/>
          <w:szCs w:val="28"/>
          <w:rtl w:val="true"/>
          <w:lang w:bidi="fa-IR"/>
        </w:rPr>
        <w:t>و الشهید</w:t>
      </w:r>
      <w:r>
        <w:rPr>
          <w:rStyle w:val="FootnoteAnchor"/>
          <w:rtl w:val="true"/>
        </w:rPr>
        <w:footnoteReference w:id="788"/>
      </w:r>
      <w:r>
        <w:rPr>
          <w:rFonts w:ascii="IRNazanin" w:hAnsi="IRNazanin" w:eastAsia="IRNazanin"/>
          <w:color w:val="111111"/>
          <w:sz w:val="28"/>
          <w:sz w:val="28"/>
          <w:szCs w:val="28"/>
          <w:rtl w:val="true"/>
          <w:lang w:bidi="fa-IR"/>
        </w:rPr>
        <w:t>الثانیان، و المحقّق الأردبیلی</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اختاره جماعة من متأخِّری المتأخِّرین</w:t>
      </w:r>
      <w:r>
        <w:rPr>
          <w:rStyle w:val="FootnoteAnchor"/>
          <w:rtl w:val="true"/>
        </w:rPr>
        <w:footnoteReference w:id="790"/>
      </w:r>
      <w:r>
        <w:rPr>
          <w:rFonts w:ascii="IRNazanin" w:hAnsi="IRNazanin" w:eastAsia="IRNazanin"/>
          <w:color w:val="111111"/>
          <w:sz w:val="28"/>
          <w:sz w:val="28"/>
          <w:szCs w:val="28"/>
          <w:rtl w:val="true"/>
          <w:lang w:bidi="fa-IR"/>
        </w:rPr>
        <w:t>و فقهاء العصر</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التصرّف فی مال الطفل و النظر فی مصالحه و شئونه لأبیه و جدّه لأبیه، و مع فقدهما للقیّم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فقده للحاکم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فقد الحاکم للمؤمنین مع وصف العدالة علی الأحوط</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من کلمات الفقهاء ظهر الترتیب فی الولایة علی الأموال عندهم أیضاً، و أنّه هو الأب و الجدّ للأب و إن علا، و الوصیّ‌</w:t>
      </w:r>
      <w:r>
        <w:rPr>
          <w:rStyle w:val="FootnoteAnchor"/>
          <w:rtl w:val="true"/>
        </w:rPr>
        <w:footnoteReference w:id="794"/>
      </w:r>
      <w:r>
        <w:rPr>
          <w:rFonts w:ascii="IRNazanin" w:hAnsi="IRNazanin" w:eastAsia="IRNazanin"/>
          <w:color w:val="111111"/>
          <w:sz w:val="28"/>
          <w:sz w:val="28"/>
          <w:szCs w:val="28"/>
          <w:rtl w:val="true"/>
          <w:lang w:bidi="fa-IR"/>
        </w:rPr>
        <w:t>من أحدهما، ثمّ الحاکم الشرعی</w:t>
      </w:r>
      <w:r>
        <w:rPr>
          <w:rStyle w:val="FootnoteAnchor"/>
          <w:rtl w:val="true"/>
        </w:rPr>
        <w:footnoteReference w:id="795"/>
      </w:r>
      <w:r>
        <w:rPr>
          <w:rFonts w:ascii="IRNazanin" w:hAnsi="IRNazanin" w:eastAsia="IRNazanin"/>
          <w:color w:val="111111"/>
          <w:sz w:val="28"/>
          <w:sz w:val="28"/>
          <w:szCs w:val="28"/>
          <w:rtl w:val="true"/>
          <w:lang w:bidi="fa-IR"/>
        </w:rPr>
        <w:t>و أمینه؛ و هو المنصوب من قبله لذلک أو لما هو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فی الحدائق فی تنقیح ترتیب الأولیاء فی المقام،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الأولیاء هم ستّة علی ما ذکره الأصحاب، و سبعةٌ علی ما یستفاد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صرّحوا أیضاً فی غیر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 الجدّ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الوصی من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لهما الولایة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الوکیل من المالک أو ممّن له الولایة، و الحاکم الشرعی حیث فقد الأربعة المتقدّمة، و أمینه؛ و هو المنصوب من قبله لذلک أو لما هو أعمّ، و عدول المؤمنین مع تعذّر الحاکم، أو تعذّر الوصول إلیه</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استدلّ به الفقهاء أو یمکن أن یستدلّ به لإثبات ولایة الأب و الجدّ علی أموال الصغار امورٌ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للإجماع المنقول</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فی مال المجنون و الطفل للأب و الجدّ له و إن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 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خلاف فی ثبوت الولایة لهؤلاء، بل الظاهر الإجماع علیه</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 و به صرّح المحقّق النائینی</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الأب و الجدّ و ثبوتها لهما فی الجملة علی الصغیر من ضروریّ الفقه و مورد الإجماع و السیرة المستمرّة القطعیّة</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الإجماعات بل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Style w:val="FootnoteAnchor"/>
          <w:rtl w:val="true"/>
        </w:rPr>
        <w:footnoteReference w:id="802"/>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 القطعیّة، کما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الکثیرة الواردة فی أبواب مختلفة؛ و هی علی طوائف نذکرها علی 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تزویج الأب و الجدّ للصغار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الواردة فی باب تزویج الأب و الجدّ للصغار، و فیها الصحاح و الموثّقات، و هی تدلّ بالصراحة علی ثبوت ولایتهما علی تزویج أولادهما الصغار، و قد سبق ذکر جملة منها</w:t>
      </w:r>
      <w:r>
        <w:rPr>
          <w:rStyle w:val="FootnoteAnchor"/>
          <w:rtl w:val="true"/>
        </w:rPr>
        <w:footnoteReference w:id="804"/>
      </w:r>
      <w:r>
        <w:rPr>
          <w:rStyle w:val="FootnoteAnchor"/>
          <w:rtl w:val="true"/>
        </w:rPr>
        <w:footnoteReference w:id="805"/>
      </w:r>
      <w:r>
        <w:rPr>
          <w:rFonts w:ascii="IRNazanin" w:hAnsi="IRNazanin" w:eastAsia="IRNazanin"/>
          <w:color w:val="111111"/>
          <w:sz w:val="28"/>
          <w:sz w:val="28"/>
          <w:szCs w:val="28"/>
          <w:rtl w:val="true"/>
          <w:lang w:bidi="fa-IR"/>
        </w:rPr>
        <w:t>فی إثبات ولایة الأب و الجدّ علی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فی مفتاح الکرامة</w:t>
      </w:r>
      <w:r>
        <w:rPr>
          <w:rStyle w:val="FootnoteAnchor"/>
          <w:rtl w:val="true"/>
        </w:rPr>
        <w:footnoteReference w:id="806"/>
      </w:r>
      <w:r>
        <w:rPr>
          <w:rFonts w:ascii="IRNazanin" w:hAnsi="IRNazanin" w:eastAsia="IRNazanin"/>
          <w:color w:val="111111"/>
          <w:sz w:val="28"/>
          <w:sz w:val="28"/>
          <w:szCs w:val="28"/>
          <w:rtl w:val="true"/>
          <w:lang w:bidi="fa-IR"/>
        </w:rPr>
        <w:t>و الریاض</w:t>
      </w:r>
      <w:r>
        <w:rPr>
          <w:rStyle w:val="FootnoteAnchor"/>
          <w:rtl w:val="true"/>
        </w:rPr>
        <w:footnoteReference w:id="807"/>
      </w:r>
      <w:r>
        <w:rPr>
          <w:rFonts w:ascii="IRNazanin" w:hAnsi="IRNazanin" w:eastAsia="IRNazanin"/>
          <w:color w:val="111111"/>
          <w:sz w:val="28"/>
          <w:sz w:val="28"/>
          <w:szCs w:val="28"/>
          <w:rtl w:val="true"/>
          <w:lang w:bidi="fa-IR"/>
        </w:rPr>
        <w:t>و کذا الشیخ الأعظم</w:t>
      </w:r>
      <w:r>
        <w:rPr>
          <w:rStyle w:val="FootnoteAnchor"/>
          <w:rtl w:val="true"/>
        </w:rPr>
        <w:footnoteReference w:id="808"/>
      </w:r>
      <w:r>
        <w:rPr>
          <w:rFonts w:ascii="IRNazanin" w:hAnsi="IRNazanin" w:eastAsia="IRNazanin"/>
          <w:color w:val="111111"/>
          <w:sz w:val="28"/>
          <w:sz w:val="28"/>
          <w:szCs w:val="28"/>
          <w:rtl w:val="true"/>
          <w:lang w:bidi="fa-IR"/>
        </w:rPr>
        <w:t>بفحوی سلطنتهما علی بضع البنت فی باب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ولایة الأب و الجدّ علی الأولاد الصغار فی النکاح و کونهم سبباً فی إیجاد التزویج بینهم مع کونه من أهمّ الاُمور، فلا شبهة فی جواز ولایتهم و نفوذ أمرهم فی سائر العقود، بالفحوی و 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الولد و ماله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یحتاج إلی مال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منه ما شاء من غیر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لا یأخذ من مال والده شیئاً إلاّ بإذنه، و الوالد یأخذ من مال ابنه ما شاء، و له أن یقع علی جاریة ابنه إذا لم یکن الابن وقع علیها، و ذکر أنّ رسول اللّه صلی الله علیه و آله و سلم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الحسین بن أبی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من مال ولده؟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سرف إذا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 صلی الله علیه و آله و سلم للرجل الذی أتاه فقدّم أباه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بأبیه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أبی و قد ظلمنی میراثی من امّی، فأخبره الأب أنّه قد أنفقه علیه و علی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و لم یکن عند الرجل شیء، أو کان</w:t>
      </w:r>
    </w:p>
    <w:p>
      <w:pPr>
        <w:pStyle w:val="BookText"/>
        <w:rPr/>
      </w:pPr>
      <w:r>
        <w:rPr>
          <w:rFonts w:ascii="IRNazanin" w:hAnsi="IRNazanin" w:eastAsia="IRNazanin"/>
          <w:color w:val="111111"/>
          <w:sz w:val="28"/>
          <w:sz w:val="28"/>
          <w:szCs w:val="28"/>
          <w:rtl w:val="true"/>
          <w:lang w:bidi="fa-IR"/>
        </w:rPr>
        <w:t>رسول اللّه صلی الله علیه و آله و سلم یحبس الأب للابن</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فی الفقیه و معانی الأخبار</w:t>
      </w:r>
      <w:r>
        <w:rPr>
          <w:rStyle w:val="FootnoteAnchor"/>
          <w:rtl w:val="true"/>
        </w:rPr>
        <w:footnoteReference w:id="811"/>
      </w:r>
      <w:r>
        <w:rPr>
          <w:rFonts w:ascii="IRNazanin" w:hAnsi="IRNazanin" w:eastAsia="IRNazanin"/>
          <w:color w:val="111111"/>
          <w:sz w:val="28"/>
          <w:sz w:val="28"/>
          <w:szCs w:val="28"/>
          <w:rtl w:val="true"/>
          <w:lang w:bidi="fa-IR"/>
        </w:rPr>
        <w:t>و الشیخ فی التهذیب و الاستبصار</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حمزة الثمالی</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فی عیون أخبار الرضا علیه السلام و علل الشرائع</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کیفیّة الاستدلال بتلک الأخبار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اللاّم فی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للاختصاص، و فیه احتمالات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الاختصاص بنحو الملک و الولد و ماله ملکاً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الاختصاص بنحو الولایة؛ یعنی أنّ ولایة الأب ثابتة علی الولد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الاختصاص بنحو السلطنة علی الانتفاع به و بماله، کما أشار إلیها المحقّق الاصفهانی</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فباطل قطعاً؛ لأنّه من البدیهی أنّ المراد بهذه الروایات لیس ما هو الظاهر منها؛ من کون الولد و ما بیده من متملّکات أبیه لیکون الابن کعبد الأب و البنت کالجاریة، بداهة أنّ رقبة الولد غیر مملوکة لأحدٍ، و أیضاً لیس المراد بتلک النصوص کون مال الولد للأب حقیقة بحیث یفعل ما یشاء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تعذّر الأخذ بظاهرها لا بدّ من حملها علی معنی کنائیّ، کما یقال فی العرف</w:t>
      </w:r>
    </w:p>
    <w:p>
      <w:pPr>
        <w:pStyle w:val="BookText"/>
        <w:rPr/>
      </w:pPr>
      <w:r>
        <w:rPr>
          <w:rFonts w:ascii="IRNazanin" w:hAnsi="IRNazanin" w:eastAsia="IRNazanin"/>
          <w:color w:val="111111"/>
          <w:sz w:val="28"/>
          <w:sz w:val="28"/>
          <w:szCs w:val="28"/>
          <w:rtl w:val="true"/>
          <w:lang w:bidi="fa-IR"/>
        </w:rPr>
        <w:t>فی مورد صحّة تصرّف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و ما فی یده لمولاه، و المعنی الکنائی هو أن ینزّل الولد و ما له بمنزلة الملک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 مالک للولد و ما له، تنزیلاً بأن یعامل معه معاملة مال نفسه و إن لم یکن مالکاً حقیقةً؛ لأنّ المتفاهم من هذا الترکیب و نحوه من المخاطبات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مال الأب بحسب التنزیل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هذه المالکیّة التنزیلیّة جواز الانتفاع بماله إذا کان فقیراً و محتاجاً، کما هو مفاد صحیحتی محمّد بن مسلم و أبی حمزة الثمالی المتقدّمین، حیث علّل الحکم فیهما بقول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w:t>
      </w:r>
      <w:r>
        <w:rPr>
          <w:rStyle w:val="FootnoteAnchor"/>
          <w:rtl w:val="true"/>
        </w:rPr>
        <w:footnoteReference w:id="816"/>
      </w:r>
      <w:r>
        <w:rPr>
          <w:rFonts w:ascii="IRNazanin" w:hAnsi="IRNazanin" w:eastAsia="IRNazanin"/>
          <w:color w:val="111111"/>
          <w:sz w:val="28"/>
          <w:sz w:val="28"/>
          <w:szCs w:val="28"/>
          <w:rtl w:val="true"/>
          <w:lang w:bidi="fa-IR"/>
        </w:rPr>
        <w:t>منهما أنّ للأب السلطنة علی جمیع التصرّفات الراجعة إلی الولد و ماله، بشرط أن لا یوجب الفساد و الإسراف، و لکنّ الولد الکبیر خرج منهما إمّا بالدلیل، و إمّا تنصرف أدلّة الولایة عنه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من تلک الروایات و من غیرها حدود جواز الأخذ بلا إذن من الابن، و لیس المقصود 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الأب علی ولده الکبیر أو جواز أخذه من ماله کیفما کان</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تلک الأخبار أنّ للأب التصرّف فی مال ولده الصغیر و نفسه؛ لأنّه و ماله لأبیه و للجدّ و إن علا</w:t>
      </w:r>
      <w:r>
        <w:rPr>
          <w:rFonts w:eastAsia="IRNazanin" w:cs="IRNazanin"/>
          <w:color w:val="111111"/>
          <w:sz w:val="28"/>
          <w:szCs w:val="28"/>
          <w:rtl w:val="true"/>
          <w:lang w:bidi="fa-IR"/>
        </w:rPr>
        <w:t>.</w:t>
      </w:r>
      <w:bookmarkStart w:id="313" w:name="pg11753_114811"/>
    </w:p>
    <w:p>
      <w:pPr>
        <w:pStyle w:val="Heading5"/>
        <w:numPr>
          <w:ilvl w:val="4"/>
          <w:numId w:val="1"/>
        </w:numPr>
        <w:rPr/>
      </w:pPr>
      <w:bookmarkStart w:id="314" w:name="__RefHeading___Toc9482702_73709187"/>
      <w:bookmarkStart w:id="315" w:name="_Toc120"/>
      <w:bookmarkEnd w:id="313"/>
      <w:bookmarkEnd w:id="314"/>
      <w:r>
        <w:rPr>
          <w:rtl w:val="true"/>
        </w:rPr>
        <w:t>إیراد المحقّق الاصفهانی و الجواب عنه</w:t>
      </w:r>
      <w:bookmarkEnd w:id="315"/>
    </w:p>
    <w:p>
      <w:pPr>
        <w:pStyle w:val="BookText"/>
        <w:rPr/>
      </w:pPr>
      <w:r>
        <w:rPr>
          <w:rFonts w:ascii="IRNazanin" w:hAnsi="IRNazanin" w:eastAsia="IRNazanin"/>
          <w:color w:val="111111"/>
          <w:sz w:val="28"/>
          <w:sz w:val="28"/>
          <w:szCs w:val="28"/>
          <w:rtl w:val="true"/>
          <w:lang w:bidi="fa-IR"/>
        </w:rPr>
        <w:t>أورد المحقّق الاصفهانی علی الاستدلال بتلک الأخبار فی المقام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اقتراض الأب من مال الصغیر ینافی هذه الملکیّة التنزیلیّة، إذ لو کان الولد و ماله ملکاً للأب لا معنی للاقتراض؛ لأنّه لا یقترض الإنسان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فی الروایات أنّه یجوز للأب أن یُقوّم جاریة ابنه أو بنته و یبیعها لنفسه، و لا یعقل أن یقوّم شخص ماله و یشتریه من نفسه، و وافقه فی ذلک تلمیذه المحقّق السیّد الخوئی</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w:t>
      </w:r>
      <w:r>
        <w:rPr>
          <w:rStyle w:val="FootnoteAnchor"/>
          <w:rtl w:val="true"/>
        </w:rPr>
        <w:footnoteReference w:id="820"/>
      </w:r>
      <w:r>
        <w:rPr>
          <w:rFonts w:ascii="IRNazanin" w:hAnsi="IRNazanin" w:eastAsia="IRNazanin"/>
          <w:color w:val="111111"/>
          <w:sz w:val="28"/>
          <w:sz w:val="28"/>
          <w:szCs w:val="28"/>
          <w:rtl w:val="true"/>
          <w:lang w:bidi="fa-IR"/>
        </w:rPr>
        <w:t>عنهما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هناک ملکیّة حقیقیّة 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یعقل أن یقترض الإنسان من مال نفسه، أو یشتری من ماله، و لکن قلنا بأنّ للأب ملکیّة تنزیلیّة لولایته علی أموال الصغیر، و باعتبار أنّ الأب مالک تنزیلاً یجوز له أن یُقرض من مال الصغیر، و باعتبار أنّه غیر مالک واقعاً یستقرض من مال الصغیر، و کذلک فی الجاریة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باعتبار أنّ الأب مالک لها تنزیلاً یقوّمها و یبیعها، و باعتبار أنّه غیر مالک حقیقةً یشتریها و یملّکها؛ لأنّ الاقتراض و البیع من الاُمور الاعتباریّة و هی سهل المئونة، فلا یرد أنّ الأب مقرض و مقترض، أو أنّه بائع و مشترٍ؛ لأنّ الأب هنا متعدّد اعتباراً و لو کان واحداً فی الواقع</w:t>
      </w:r>
      <w:r>
        <w:rPr>
          <w:rFonts w:eastAsia="IRNazanin" w:cs="IRNazanin"/>
          <w:color w:val="111111"/>
          <w:sz w:val="28"/>
          <w:szCs w:val="28"/>
          <w:rtl w:val="true"/>
          <w:lang w:bidi="fa-IR"/>
        </w:rPr>
        <w:t>.</w:t>
      </w:r>
      <w:bookmarkStart w:id="316" w:name="pg11753_114812"/>
    </w:p>
    <w:p>
      <w:pPr>
        <w:pStyle w:val="Heading5"/>
        <w:numPr>
          <w:ilvl w:val="4"/>
          <w:numId w:val="1"/>
        </w:numPr>
        <w:rPr/>
      </w:pPr>
      <w:bookmarkStart w:id="317" w:name="__RefHeading___Toc9482704_73709187"/>
      <w:bookmarkStart w:id="318" w:name="_Toc121"/>
      <w:bookmarkEnd w:id="316"/>
      <w:bookmarkEnd w:id="317"/>
      <w:r>
        <w:rPr>
          <w:rtl w:val="true"/>
        </w:rPr>
        <w:t>إیراد المحقّق الإیروانی و السیّد الخوئی و الجواب عنهما</w:t>
      </w:r>
      <w:bookmarkEnd w:id="318"/>
    </w:p>
    <w:p>
      <w:pPr>
        <w:pStyle w:val="BookText"/>
        <w:rPr/>
      </w:pPr>
      <w:r>
        <w:rPr>
          <w:rFonts w:ascii="IRNazanin" w:hAnsi="IRNazanin" w:eastAsia="IRNazanin"/>
          <w:color w:val="111111"/>
          <w:sz w:val="28"/>
          <w:sz w:val="28"/>
          <w:szCs w:val="28"/>
          <w:rtl w:val="true"/>
          <w:lang w:bidi="fa-IR"/>
        </w:rPr>
        <w:t>أورد المحقّق الإیروانی علی الاستدلال بتلک الأخبار أیضاً، بأنّه لیس عنوان تلک الأخبار نفوذ معاملات الأب فی حقّ ابنه، و إنّما عنوانها جواز استیلاء الأب علی مال ابنه و أکله منه، و تصرّف الأب فی أموال ابنه تصرّف الملاّک فی أموالهم، لا التصرّف فیه بعنوان الولایة علی الابن، فالأخبار أجنبیّة عمّا هو المدّعی فی المقام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أورد السیّد الخوئی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هذه النصوص راجعة إلی بیان أمرٍ أخلاقیّ ناشئ من أمرٍ تکوینیّ؛ فإنّ الولد بحسب التکوین موهبة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و مقتضی ذلک أن لا یعارض فی تصرّفاته و یکون منقاداً بأمره و نهیه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الاُستاذ الشیخ جواد التبریزی دام ظلّه تبعاً للسیّد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جواز أخذ الأب مال ابنه للإنفاق علی نفسه و دفع اضطراره لا یقتضی ثبوت الولایة له بالإضافة إلی مال ولده</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عمّا ذکره المحقّق الإیروانی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روایة عبید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کالصحیحة بل صحیحة علی الأصحّ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معتبرةٌ أیضاً لاعتبار کتاب علی بن جعفر علی قول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التصرّفات الاعتباریّة، و قد استشهد</w:t>
      </w:r>
    </w:p>
    <w:p>
      <w:pPr>
        <w:pStyle w:val="BookText"/>
        <w:rPr/>
      </w:pPr>
      <w:r>
        <w:rPr>
          <w:rFonts w:ascii="IRNazanin" w:hAnsi="IRNazanin" w:eastAsia="IRNazanin"/>
          <w:color w:val="111111"/>
          <w:sz w:val="28"/>
          <w:sz w:val="28"/>
          <w:szCs w:val="28"/>
          <w:rtl w:val="true"/>
          <w:lang w:bidi="fa-IR"/>
        </w:rPr>
        <w:t>الإمام علیه السلام لصحّة نکاح الجدّ بدون إذن الأب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یکون هذا و هو و ماله لأبیه، و لا یجوز نکاحه؟</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تطبیق الإمام علیه السلام</w:t>
      </w:r>
      <w:r>
        <w:rPr>
          <w:rStyle w:val="FootnoteAnchor"/>
          <w:rtl w:val="true"/>
        </w:rPr>
        <w:footnoteReference w:id="827"/>
      </w:r>
      <w:r>
        <w:rPr>
          <w:rFonts w:ascii="IRNazanin" w:hAnsi="IRNazanin" w:eastAsia="IRNazanin"/>
          <w:color w:val="111111"/>
          <w:sz w:val="28"/>
          <w:sz w:val="28"/>
          <w:szCs w:val="28"/>
          <w:rtl w:val="true"/>
          <w:lang w:bidi="fa-IR"/>
        </w:rPr>
        <w:t>هذه القاعدة فی مقام إعمال الولایة دون الأخذ و الانتفاع یعلم أنّ المراد بهذه القاعدة فی سائر الأخبار أیضاً معنی یشمل الولایة بقرینة اتّحاد السیاق</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یدّعی المحقّق الإیروانی أنّ مفادها هو جواز انتفاع الأب من أموال الولد فقط، و لا یدلّ علی ثبوت الولایة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کثرتها و اختلافها فی الإطلاق و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تصرّفٍ اعتباریّاً کان أم خارجیّاً نافذ و جائز، لکن وردت فی التصرّفات الخارجیّة قیودٌ فیؤخذ بها فی موردها، و لا حجّة لرفع الید عن الروایات فی غیر مورد القیود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أورده السیّد الخوئی من أنّه حکم أخلاقیّ فهو ساقط أیضاً؛ لأنّ نفوذ التصرّف الاعتباری و لزوم الأخذ به لا یمکن أن یعلّل بأمرٍ أخلاقیّ، فلا ینبغی الإشکال فی الحکم بالنسبة إلی ولایة الجدّ و الأب فی التصرّف فی مال الطفل بالبیع و الشراء و غیرهما بمفاد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للأب تقویم جاریة ولده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نصوص و دلّت علی أنّه یجوز للأب أن یقوّم جاریة ولده و یأخذها لنفسه ثمّ یطأها، فیمکن الاستدلال بهذه الأخبار أیضاً فی المقام؛ و هی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یحلّ للوالد من مال وَلَدِه؟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أنفق علیه ولده بأحسن النفقة فلیس له أن یأخذ من ماله شیئاً، و إن کان لوالده جاریة للولد فیها نصیب فلیس له أن یطأها إلاّ أن یقوّمها قیمة تصیر لولده قیمتها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للرجل ولد صغار لهم جاریة فأحبّ أن یفتضّها</w:t>
      </w:r>
      <w:r>
        <w:rPr>
          <w:rStyle w:val="FootnoteAnchor"/>
          <w:rtl w:val="true"/>
        </w:rPr>
        <w:footnoteReference w:id="829"/>
      </w:r>
      <w:r>
        <w:rPr>
          <w:rFonts w:ascii="IRNazanin" w:hAnsi="IRNazanin" w:eastAsia="IRNazanin"/>
          <w:color w:val="111111"/>
          <w:sz w:val="28"/>
          <w:sz w:val="28"/>
          <w:szCs w:val="28"/>
          <w:rtl w:val="true"/>
          <w:lang w:bidi="fa-IR"/>
        </w:rPr>
        <w:t>فلیقوّمها علی نفسه قیمة، ثمّ لیصنع بها ما شاء، إن شاء وطأ و إن شاء باع</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عن أبی عبد اللّه علیه السلام؛ لأنّ فی ذیلها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یقع علی جاریة ابنه إذا لم یکن الابن وقع علیها، و ذکر أنّ رسول اللّه صلی الله علیه و آله و سلم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أبی الصباح، عن أبی عبد اللّه علیه السلام فی الرجل یکون لبعض ولده جاریة و وُلده صغار هل یصلح أن یطأها؟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یقوّمها قیمة عدل ثمّ یأخذها و یکون لولده علیه ثمنها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الحجّاج،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bookmarkStart w:id="319" w:name="pg11753_114815"/>
    </w:p>
    <w:p>
      <w:pPr>
        <w:pStyle w:val="BookText"/>
        <w:rPr/>
      </w:pPr>
      <w:bookmarkEnd w:id="319"/>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لابنه جاریة أ له أن یطأها؟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یقوّمها علی نفسه و یشهد علی نفسه بثمنها أحبّ إلیّ‌</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صحیحة داود بن سرحان</w:t>
      </w:r>
      <w:r>
        <w:rPr>
          <w:rStyle w:val="FootnoteAnchor"/>
          <w:rtl w:val="true"/>
        </w:rPr>
        <w:footnoteReference w:id="834"/>
      </w:r>
      <w:r>
        <w:rPr>
          <w:rFonts w:ascii="Amiri" w:hAnsi="Amiri" w:eastAsia="Amiri" w:cs="Amiri"/>
          <w:color w:val="111111"/>
          <w:sz w:val="28"/>
          <w:sz w:val="28"/>
          <w:szCs w:val="28"/>
          <w:rtl w:val="true"/>
          <w:lang w:bidi="ar-SA"/>
        </w:rPr>
        <w:t>و موثّقة إسحاق بن عمّار</w:t>
      </w:r>
      <w:r>
        <w:rPr>
          <w:rStyle w:val="FootnoteAnchor"/>
          <w:rtl w:val="true"/>
        </w:rPr>
        <w:footnoteReference w:id="835"/>
      </w:r>
      <w:r>
        <w:rPr>
          <w:rFonts w:ascii="IRNazanin" w:hAnsi="IRNazanin" w:eastAsia="IRNazanin"/>
          <w:color w:val="111111"/>
          <w:sz w:val="28"/>
          <w:sz w:val="28"/>
          <w:szCs w:val="28"/>
          <w:rtl w:val="true"/>
          <w:lang w:bidi="fa-IR"/>
        </w:rPr>
        <w:t>و مکاتبة الحسن بن محبوب</w:t>
      </w:r>
      <w:r>
        <w:rPr>
          <w:rStyle w:val="FootnoteAnchor"/>
          <w:rtl w:val="true"/>
        </w:rPr>
        <w:footnoteReference w:id="836"/>
      </w:r>
      <w:r>
        <w:rPr>
          <w:rFonts w:ascii="IRNazanin" w:hAnsi="IRNazanin" w:eastAsia="IRNazanin"/>
          <w:color w:val="111111"/>
          <w:sz w:val="28"/>
          <w:sz w:val="28"/>
          <w:szCs w:val="28"/>
          <w:rtl w:val="true"/>
          <w:lang w:bidi="fa-IR"/>
        </w:rPr>
        <w:t>و صحیحة عبد الرحمن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مفاد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قوّة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للأب تقویم الجاریة و بیعها لنفسه و تملّکها بقیمة عدل و علیه ثمنها لولده، و هذا هو معنی الولایة علی أموال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تضمّنته هذه الأخبار من أنّ للأب أن یطأ جاریة ابنه إذا قوّمها علی نفسه ما لم یمسّها الابن، محمول علی أنّه إذا کان ولده صغاراً، و یکون الأب هو القیّم بأمرهم و الناظر فی أحوالهم، فیجری مجری الوکیل، فیجوز للأب أن یقوّمها علی نفسه</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9482706_73709187"/>
      <w:bookmarkStart w:id="321" w:name="_Toc122"/>
      <w:bookmarkEnd w:id="320"/>
      <w:r>
        <w:rPr>
          <w:rtl w:val="true"/>
        </w:rPr>
        <w:t>الایراد علی الاستدلال بهذه الأخبار و الجواب عنه</w:t>
      </w:r>
      <w:bookmarkEnd w:id="3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المحقّق الإیروانی علی الاستدلال بتلک النصوص لولایة الأب و الجدّ علی أموال الصغار، بأنّ فی بعض هذه الأخبار تقویم جاریة الولد البالغ، کالروایة المتضمِّنة لشکایة الولد إلی النبیّ صلی الله علیه و آله و سلم و تقدیم عقد الجدّ بأنّها و أباها للجدّ، و الاستدلال بها یقتضی ثبوت ولایة الأب علی الولد البالغ و ماله، و لا ریب أنّه</w:t>
      </w:r>
    </w:p>
    <w:p>
      <w:pPr>
        <w:pStyle w:val="BookText"/>
        <w:rPr/>
      </w:pPr>
      <w:r>
        <w:rPr>
          <w:rFonts w:ascii="IRNazanin" w:hAnsi="IRNazanin" w:eastAsia="IRNazanin"/>
          <w:color w:val="111111"/>
          <w:sz w:val="28"/>
          <w:sz w:val="28"/>
          <w:szCs w:val="28"/>
          <w:rtl w:val="true"/>
          <w:lang w:bidi="fa-IR"/>
        </w:rPr>
        <w:t>لا ولایة له علی ولده البالغ و ماله، و وافقه فی هذا الإشکال السیّد الخوئی قدس سره و الاُستاذ الفقیه الشیخ جواد التبریزی دام ظلّه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هذه الأخبار و غیرها علی التصرّفات المعاملیّة و التصرّفات الخارجیّة للأب فی أموال الصغار واضحةٌ لا شبهة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البالغ و ابنته البالغة کما فی مکاتبة الحسن بن محبوب</w:t>
      </w:r>
      <w:r>
        <w:rPr>
          <w:rStyle w:val="FootnoteAnchor"/>
          <w:rtl w:val="true"/>
        </w:rPr>
        <w:footnoteReference w:id="840"/>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تنصرف</w:t>
      </w:r>
      <w:r>
        <w:rPr>
          <w:rStyle w:val="FootnoteAnchor"/>
          <w:rtl w:val="true"/>
        </w:rPr>
        <w:footnoteReference w:id="841"/>
      </w:r>
      <w:r>
        <w:rPr>
          <w:rFonts w:ascii="IRNazanin" w:hAnsi="IRNazanin" w:eastAsia="IRNazanin"/>
          <w:color w:val="111111"/>
          <w:sz w:val="28"/>
          <w:sz w:val="28"/>
          <w:szCs w:val="28"/>
          <w:rtl w:val="true"/>
          <w:lang w:bidi="fa-IR"/>
        </w:rPr>
        <w:t>عن ولایة الأب علی البالغین؛ لأنّه من المعهود أنّ البالغ مکلّف و مستقلّ فی نفسه و ماله، و لا سلطنة للغیر علیه و علی ماله، و هو کالضروریّ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الأدلّة مطلقة تشمل الولایة علی البالغین أیضاً، و لکن تحمل علی المقیّدات و یعمل بها فی غیر موردها، و هو مورد ولایة الأب و الجدّ علی مال الطفل و نفسه، کما یستظهر هذا من بعض عبائر الإمام الخمینی قدس سره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أنّه لو اتّجر بمال الطفل ففیه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مال الیتیم 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یتّجر به أو تعمل به</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تدلّ علی جواز الاتّجار بمال الطفل، و تثبت الولایة للأب أیضاً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الیتیم علیه</w:t>
      </w:r>
    </w:p>
    <w:p>
      <w:pPr>
        <w:pStyle w:val="BookText"/>
        <w:rPr/>
      </w:pPr>
      <w:r>
        <w:rPr>
          <w:rFonts w:ascii="IRNazanin" w:hAnsi="IRNazanin" w:eastAsia="IRNazanin"/>
          <w:color w:val="111111"/>
          <w:sz w:val="28"/>
          <w:sz w:val="28"/>
          <w:szCs w:val="28"/>
          <w:rtl w:val="true"/>
          <w:lang w:bidi="fa-IR"/>
        </w:rPr>
        <w:t>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موضوعاً فلیس علیه زکاة، فإذا عملت به فأنت له ضامن و الربح للیتیم</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کالمتقدّمة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عنده مال الیتیم فیتّجر به أ یضمنه؟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لعمری لا أجمع علیه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و الزکاة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صبیة صغار لهم مال بید أبیهم أو أخیهم هل یجب علی مالهم 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فی مالهم زکاة حتّی یعمل به، فإذا عمل به وجبت الزکاة، فأمّا إذا کان موقوفاً فلا زکاة علیه</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روایات سعید بن السمّان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العطارد الخیّاط</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منصور بن الصیقل</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مع أنّ فیها الصحاح و الموثّقات تدلّ علی جواز التصرّفات المعاملیّة، کالاتّجار و البیع و الشراء بمال الطفل، و أنّ هذه المعاملات صحیحةٌ نافذةٌ شرعاً، فینتج لأجل صحّة هذه التصرّفات إثبات ولایة الأب و الجدّ و الوصیّ و غیرهم، کأمین الحاکم و عدول المؤمنین، و حیث اقتصر فی خبر محمّد بن الفضیل علی جواز التصرّف للأب، فیثبت ولایته فقط، و لکن إطلاق الوارد فی سائر النصوص یشمل الجدّ أیضاً و کذلک یطلق الأب علی الجدّ، مضافاً إلی إمکان إثبات ولایته بعدم القول بالفصل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کفایة قبض الأب فی باب الوقف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باب الوقف و الهبة نصوص تدلّ علی أنّ من شرائط الوقف و الهبة</w:t>
      </w:r>
    </w:p>
    <w:p>
      <w:pPr>
        <w:pStyle w:val="BookText"/>
        <w:rPr/>
      </w:pPr>
      <w:r>
        <w:rPr>
          <w:rFonts w:ascii="IRNazanin" w:hAnsi="IRNazanin" w:eastAsia="IRNazanin"/>
          <w:color w:val="111111"/>
          <w:sz w:val="28"/>
          <w:sz w:val="28"/>
          <w:szCs w:val="28"/>
          <w:rtl w:val="true"/>
          <w:lang w:bidi="fa-IR"/>
        </w:rPr>
        <w:t>أن یقبضه الموقوف علیه، و الموهوب له، أو من یتولّی عنهم، و أنّه یکفی قبض الأب عن وُلده الصغار إذا کانوا هم الموقوف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عن أبی جعفر علیه السلام أنّه قال فی الرجل یتصدّق علی وُلده و قد أدرکوا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یقبضوا حتّی یموت فهو میراث، فإن تصدّق علی من لم یدرک من ولده فهو جائز؛ لأنّ والده هو الذی یلی أمره</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الصدقة علی الأولاد الوقف علیهم و الأب یقبضه، فیتحقّق شرط لزوم الوقف؛ لأنّ للأب ولایة علی مال ولده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تصدّق علی ابنه بالمال أو الدار أ له أن یرجع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أن یکون صغیراً</w:t>
      </w:r>
      <w:r>
        <w:rPr>
          <w:rFonts w:eastAsia="IRNazanin" w:cs="IRNazanin"/>
          <w:color w:val="111111"/>
          <w:sz w:val="28"/>
          <w:szCs w:val="28"/>
          <w:rtl w:val="true"/>
          <w:lang w:bidi="fa-IR"/>
        </w:rPr>
        <w:t>»</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صحّة الرجوع إلی المال؛ فلأنّ الموقوف علیه لم یقبضه، و إذا لم یُقَبّضْهُ الموقوف علیه، أو من یتولّی عنهم لم یصحّ الوقف و کان باقیاً علی ما کان علیه من الملک</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للأب الرجوع من الوقف؛ لأنّ المال الموقوف قبل القبض باق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الموقوف علیهم أولاده الصغار جاز الوقف؛ لأنّ الوالد یُقَبّضْهُ ولایة علیهم، فلا یصحّ الرجوع و قد خرج عن یده و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کذا صحیحة اخری لجمیل</w:t>
      </w:r>
      <w:r>
        <w:rPr>
          <w:rStyle w:val="FootnoteAnchor"/>
          <w:rtl w:val="true"/>
        </w:rPr>
        <w:footnoteReference w:id="850"/>
      </w:r>
      <w:r>
        <w:rPr>
          <w:rFonts w:ascii="IRNazanin" w:hAnsi="IRNazanin" w:eastAsia="IRNazanin"/>
          <w:color w:val="111111"/>
          <w:sz w:val="28"/>
          <w:sz w:val="28"/>
          <w:szCs w:val="28"/>
          <w:rtl w:val="true"/>
          <w:lang w:bidi="fa-IR"/>
        </w:rPr>
        <w:t>و روایة عبید بن زرارة</w:t>
      </w:r>
      <w:r>
        <w:rPr>
          <w:rStyle w:val="FootnoteAnchor"/>
          <w:rtl w:val="true"/>
        </w:rPr>
        <w:footnoteReference w:id="851"/>
      </w:r>
      <w:r>
        <w:rPr>
          <w:rFonts w:ascii="IRNazanin" w:hAnsi="IRNazanin" w:eastAsia="IRNazanin"/>
          <w:color w:val="111111"/>
          <w:sz w:val="28"/>
          <w:sz w:val="28"/>
          <w:szCs w:val="28"/>
          <w:rtl w:val="true"/>
          <w:lang w:bidi="fa-IR"/>
        </w:rPr>
        <w:t>و صحیحة ثالثة لجمیل،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فی رجل وهب لابنه شیئاً هل یصلح أن یرجع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أن یکون صغیراً</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إذا لم تقبض هل تجوز لصاحبها؟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أب تصدّق بها علی ولد صغیر فإنّها جائزة؛ لأنّه یَقبِضُ لولده إذا کان صغیراً، و إذا کان ولداً کبیراً فلا یجوز له حتّی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موثّقة داود بن الحصین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النصوص تدلّ بالصراحة علی أنّ الأب هو المتولّی لأمر الصغیر فی 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الأخبار التی تدلّ علی أنّ من تصدّق علی ولده الصغار بشیء ثمّ أراد أن یدخل معهم غیرهم، کصحیحة</w:t>
      </w:r>
    </w:p>
    <w:p>
      <w:pPr>
        <w:pStyle w:val="BookText"/>
        <w:rPr/>
      </w:pPr>
      <w:r>
        <w:rPr>
          <w:rFonts w:ascii="IRNazanin" w:hAnsi="IRNazanin" w:eastAsia="IRNazanin"/>
          <w:color w:val="111111"/>
          <w:sz w:val="28"/>
          <w:sz w:val="28"/>
          <w:szCs w:val="28"/>
          <w:rtl w:val="true"/>
          <w:lang w:bidi="fa-IR"/>
        </w:rPr>
        <w:t>عبد الرحمن بن الحجّاج، عن أبی عبد اللّه علیه السلام فی الرجل یجعل لولده شیئاً و هم صغار، ثمّ یبدو له أن یجعل معهم غیرهم من ولده،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 الإمام علیه السلام فی صحیحة علی بن جعفر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الوالد بمال ولده ما أحبّ</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مرسلة أبان</w:t>
      </w:r>
      <w:r>
        <w:rPr>
          <w:rStyle w:val="FootnoteAnchor"/>
          <w:rtl w:val="true"/>
        </w:rPr>
        <w:footnoteReference w:id="856"/>
      </w:r>
      <w:r>
        <w:rPr>
          <w:rFonts w:ascii="IRNazanin" w:hAnsi="IRNazanin" w:eastAsia="IRNazanin"/>
          <w:color w:val="111111"/>
          <w:sz w:val="28"/>
          <w:sz w:val="28"/>
          <w:szCs w:val="28"/>
          <w:rtl w:val="true"/>
          <w:lang w:bidi="fa-IR"/>
        </w:rPr>
        <w:t>، و أخبار المضاربة فی مال الیتیم</w:t>
      </w:r>
      <w:r>
        <w:rPr>
          <w:rStyle w:val="FootnoteAnchor"/>
          <w:rtl w:val="true"/>
        </w:rPr>
        <w:footnoteReference w:id="857"/>
      </w:r>
      <w:r>
        <w:rPr>
          <w:rFonts w:ascii="IRNazanin" w:hAnsi="IRNazanin" w:eastAsia="IRNazanin"/>
          <w:color w:val="111111"/>
          <w:sz w:val="28"/>
          <w:sz w:val="28"/>
          <w:szCs w:val="28"/>
          <w:rtl w:val="true"/>
          <w:lang w:bidi="fa-IR"/>
        </w:rPr>
        <w:t>، و هکذا طوائف اخری من الروایات سنذکرها فی باب الوصیّة للطفل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جواز البیع و المضاربة بماله و غیرها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ولایة الأب و الجدّ علی أموال الصغیر من ضروریّ الفقه و مورد للإجماع و الشهرة، کما یطّلع علیه من تتبّع الأبواب المتفرّقة فی الفقه، مثل</w:t>
      </w:r>
      <w:bookmarkStart w:id="322" w:name="pg11753_114820"/>
    </w:p>
    <w:p>
      <w:pPr>
        <w:pStyle w:val="BookText"/>
        <w:rPr/>
      </w:pPr>
      <w:bookmarkEnd w:id="322"/>
      <w:r>
        <w:rPr>
          <w:rFonts w:ascii="IRNazanin" w:hAnsi="IRNazanin" w:eastAsia="IRNazanin"/>
          <w:color w:val="111111"/>
          <w:sz w:val="28"/>
          <w:sz w:val="28"/>
          <w:szCs w:val="28"/>
          <w:rtl w:val="true"/>
          <w:lang w:bidi="fa-IR"/>
        </w:rPr>
        <w:t>کتاب النکاح و المضاربة و الحجر و الزکوات و الوقوف و الصدقات و الهبات و الوصایا و غیرها، بل هذا ممّا قامت به السیرة العقلائیة؛ إذ لیس ذلک مخصوصاً بالشریعة الإسلامیّة، بل جاریةٌ فی غیرها من الشرائع أیضاً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9482708_73709187"/>
      <w:bookmarkStart w:id="324" w:name="_Toc123"/>
      <w:bookmarkEnd w:id="323"/>
      <w:r>
        <w:rPr>
          <w:rtl w:val="true"/>
        </w:rPr>
        <w:t>«</w:t>
      </w:r>
      <w:r>
        <w:rPr>
          <w:rtl w:val="true"/>
        </w:rPr>
        <w:t>الولایة علی أموال الصغار عند فقهاء أهل السنّة</w:t>
      </w:r>
      <w:r>
        <w:rPr>
          <w:rtl w:val="true"/>
        </w:rPr>
        <w:t>»</w:t>
      </w:r>
      <w:bookmarkEnd w:id="32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 أمر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ثمّ الجدّ، ثمّ وصیّهما، ثمّ القاضی، أو من ینصبه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الصبیّ أبوه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یشمل الصبیّة و العبد یشمل الأمة</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الجدّ أبو الأب و إن علا، کما فی ولایة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الوصیّ؛ أی المنصوب من جهة الأب أو الجدّ، أو وصیّ من تأخّر موته منهما؛ لأنّه یقوم مقامه، و شرطه العدالة، ثمّ القاضی أو من ینصبه، و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أمینه، استدلالاً بحدیث</w:t>
      </w:r>
    </w:p>
    <w:p>
      <w:pPr>
        <w:pStyle w:val="BookText"/>
        <w:rPr/>
      </w:pPr>
      <w:r>
        <w:rPr>
          <w:rFonts w:ascii="IRNazanin" w:hAnsi="IRNazanin" w:eastAsia="IRNazanin"/>
          <w:color w:val="111111"/>
          <w:sz w:val="28"/>
          <w:sz w:val="28"/>
          <w:szCs w:val="28"/>
          <w:rtl w:val="true"/>
          <w:lang w:bidi="fa-IR"/>
        </w:rPr>
        <w:t>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نکحت بغیر إذن ولیّها فنکاحها باطل، مرّتین أو ثلاث مرّات، فإن اشتجروا فالسلطان ولیّ من لا ولیّ له</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 ولیّه فی النکاح کما هو ولیّه فی المال</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أیضاً الرافعی</w:t>
      </w:r>
      <w:r>
        <w:rPr>
          <w:rStyle w:val="FootnoteAnchor"/>
          <w:rtl w:val="true"/>
        </w:rPr>
        <w:footnoteReference w:id="862"/>
      </w:r>
      <w:r>
        <w:rPr>
          <w:rFonts w:ascii="IRNazanin" w:hAnsi="IRNazanin" w:eastAsia="IRNazanin"/>
          <w:color w:val="111111"/>
          <w:sz w:val="28"/>
          <w:sz w:val="28"/>
          <w:szCs w:val="28"/>
          <w:rtl w:val="true"/>
          <w:lang w:bidi="fa-IR"/>
        </w:rPr>
        <w:t>و الشربینی</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ولیّ الطفل أباً أو جدّاً، فهو یستحقّ الولایة علیه</w:t>
      </w:r>
    </w:p>
    <w:p>
      <w:pPr>
        <w:pStyle w:val="BookText"/>
        <w:rPr/>
      </w:pPr>
      <w:r>
        <w:rPr>
          <w:rFonts w:ascii="IRNazanin" w:hAnsi="IRNazanin" w:eastAsia="IRNazanin"/>
          <w:color w:val="111111"/>
          <w:sz w:val="28"/>
          <w:sz w:val="28"/>
          <w:szCs w:val="28"/>
          <w:rtl w:val="true"/>
          <w:lang w:bidi="fa-IR"/>
        </w:rPr>
        <w:t>بنفسه؛ لفضل حنوّه و کثرة نفقته، و انتفاء التهمة عنه فی تصرّفاته، أ لا تری أنّ رسول اللّه صلی الله علیه و آله و سلم وصف حاله مع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مَجْبَنَة محزنة مجهلة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فوصفه بهذه الصفة؛ لما جُبِل علیه من محبّته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هامشه حدیث</w:t>
      </w:r>
    </w:p>
    <w:p>
      <w:pPr>
        <w:pStyle w:val="BookText"/>
        <w:rPr/>
      </w:pPr>
      <w:r>
        <w:rPr>
          <w:rFonts w:ascii="IRNazanin" w:hAnsi="IRNazanin" w:eastAsia="IRNazanin"/>
          <w:color w:val="111111"/>
          <w:sz w:val="28"/>
          <w:sz w:val="28"/>
          <w:szCs w:val="28"/>
          <w:rtl w:val="true"/>
          <w:lang w:bidi="fa-IR"/>
        </w:rPr>
        <w:t>عبد اللّه بن عثمان بن خثیم</w:t>
      </w:r>
      <w:r>
        <w:rPr>
          <w:rStyle w:val="FootnoteAnchor"/>
          <w:rtl w:val="true"/>
        </w:rPr>
        <w:footnoteReference w:id="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و سلم حسناً و حسیناً، فجعل هذا علی هذا الفخذ، و هذا علی هذا الفخذ، ثمّ أقبل علی الحسن فقبّله، ثمّ أقبل علی الحسین فقبّله،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أحبّهما فأحبّهما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مَجْبَنَةٌ مَبْخَلةٌ مجهلة</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قال الکاسانی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الولایة فی الأصل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ولایة الأب و الجدّ أب الأب و الوصیّ و القاضی، و هو نوعان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النکاح و ولایة غیره من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فسبب، هذا النوع من الولایة فی التحقیق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الاُبوّة، و الثانی القضاء؛ لأنّ الجدّ من قبل الأب أب لکن بواسطةٍ، و وصیّ الأب و الجدّ استفاد الولایة منهما، لکان ذلک ولایةُ الاُبوّة من حیث المعنی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الاُبوّة؛ فلأنّها داعیة إلی کمال النظر فی حقّ الصغیر، لوفور شفقة الأب و هو قادر علی ذلک لکمال رأیه و عقله، و الصغیر عاجز عن النظر لنفسه بنفسه، و ثبوت ولایة النظر للقادر علی العاجز عن النظر أمر معقول مشروع؛ لأنّه من باب الإعانة علی البرّ، و من باب الإحسان، و من باب إعانة الضعیف و إغاثة اللهفان، و کلّ ذلک</w:t>
      </w:r>
    </w:p>
    <w:p>
      <w:pPr>
        <w:pStyle w:val="BookText"/>
        <w:rPr/>
      </w:pPr>
      <w:r>
        <w:rPr>
          <w:rFonts w:ascii="Amiri" w:hAnsi="Amiri" w:eastAsia="Amiri" w:cs="Amiri"/>
          <w:color w:val="111111"/>
          <w:sz w:val="28"/>
          <w:sz w:val="28"/>
          <w:szCs w:val="28"/>
          <w:rtl w:val="true"/>
          <w:lang w:bidi="ar-SA"/>
        </w:rPr>
        <w:t>حسن عقلاً و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شرع فی بیان شرائطها،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شرائط الولیّ فأشیاء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عاقلاً فلا ولایة للمجنون؛ لما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الولیّ إذا کان المولّی علیه مسلماً</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إنّهم قائلون أیضاً بولایة الأب و الجدّ، قال ابن قدامة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یتولّی الأب مال الصبیّ و المجنون؛ لأنّها ولایة علی الصغیر، فقدّم فیها الأب کولایة النکاح، ثمّ وصیّه بعده؛ لأنّه نائبه، فاشبه وکیله فی الحیاة، ثمّ الحاکم؛ لأنّ الولایة من جهة القرابة قد سقطت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و شبیه هذا الکلام فی کشّاف القناع</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 xml:space="preserve">و عندهم الولایة علی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أو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ثمّ لوصیّه أو وصیّ وصیّه، ثمّ الحاکم أومن یقوم مقامه، و لا ولایة للجدّ و لا للاُمّ و لا لغیرهم من الأقارب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عقد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ولیّ الصبیّ أبوه، و عند عدمه الوصی أو وصیّه، فإن لم یکن فالحاکم، و لا ولایة للجدّ و لا للاُمّ و لا لغیر من ذکرنا</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شرح الزرقانی</w:t>
      </w:r>
      <w:r>
        <w:rPr>
          <w:rStyle w:val="FootnoteAnchor"/>
          <w:rtl w:val="true"/>
        </w:rPr>
        <w:footnoteReference w:id="871"/>
      </w:r>
      <w:bookmarkStart w:id="325" w:name="pg11753_114823"/>
    </w:p>
    <w:p>
      <w:pPr>
        <w:pStyle w:val="Heading4"/>
        <w:numPr>
          <w:ilvl w:val="3"/>
          <w:numId w:val="1"/>
        </w:numPr>
        <w:rPr/>
      </w:pPr>
      <w:bookmarkStart w:id="326" w:name="__RefHeading___Toc9482710_73709187"/>
      <w:bookmarkStart w:id="327" w:name="_Toc124"/>
      <w:bookmarkEnd w:id="325"/>
      <w:bookmarkEnd w:id="326"/>
      <w:r>
        <w:rPr>
          <w:rtl w:val="true"/>
        </w:rPr>
        <w:t>المبحث الثانی</w:t>
      </w:r>
      <w:r>
        <w:rPr>
          <w:rtl w:val="true"/>
        </w:rPr>
        <w:t xml:space="preserve">: </w:t>
      </w:r>
      <w:r>
        <w:rPr>
          <w:rtl w:val="true"/>
        </w:rPr>
        <w:t>تعمیم الولایة للأجداد کلّهم</w:t>
      </w:r>
      <w:bookmarkEnd w:id="327"/>
    </w:p>
    <w:p>
      <w:pPr>
        <w:pStyle w:val="Heading5"/>
        <w:numPr>
          <w:ilvl w:val="4"/>
          <w:numId w:val="1"/>
        </w:numPr>
        <w:rPr/>
      </w:pPr>
      <w:bookmarkStart w:id="328" w:name="__RefHeading___Toc9482712_73709187"/>
      <w:bookmarkStart w:id="329" w:name="_Toc125"/>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330" w:name="__RefHeading___Toc9482714_73709187"/>
      <w:bookmarkStart w:id="331" w:name="_Toc126"/>
      <w:bookmarkEnd w:id="330"/>
      <w:r>
        <w:rPr>
          <w:rtl w:val="true"/>
        </w:rPr>
        <w:t>المطلب الأوّل</w:t>
      </w:r>
      <w:r>
        <w:rPr>
          <w:rtl w:val="true"/>
        </w:rPr>
        <w:t xml:space="preserve">: </w:t>
      </w:r>
      <w:r>
        <w:rPr>
          <w:rtl w:val="true"/>
        </w:rPr>
        <w:t>عدم اختصاص الولایة بالجدّ الدانی</w:t>
      </w:r>
      <w:bookmarkEnd w:id="331"/>
    </w:p>
    <w:p>
      <w:pPr>
        <w:pStyle w:val="Heading6"/>
        <w:numPr>
          <w:ilvl w:val="5"/>
          <w:numId w:val="1"/>
        </w:numPr>
        <w:rPr/>
      </w:pPr>
      <w:bookmarkStart w:id="332" w:name="__RefHeading___Toc9482716_73709187"/>
      <w:bookmarkStart w:id="333" w:name="_Toc127"/>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ظاهر کلمات الفقهاء أنّ الولایة لا تختصّ بالجدّ الدانی، بل تعمّ العالی أیضاً، کما صرّح به فی التذکرة</w:t>
      </w:r>
      <w:r>
        <w:rPr>
          <w:rStyle w:val="FootnoteAnchor"/>
          <w:rtl w:val="true"/>
        </w:rPr>
        <w:footnoteReference w:id="872"/>
      </w:r>
      <w:r>
        <w:rPr>
          <w:rFonts w:ascii="Amiri" w:hAnsi="Amiri" w:eastAsia="Amiri" w:cs="Amiri"/>
          <w:color w:val="111111"/>
          <w:sz w:val="28"/>
          <w:sz w:val="28"/>
          <w:szCs w:val="28"/>
          <w:rtl w:val="true"/>
          <w:lang w:bidi="ar-SA"/>
        </w:rPr>
        <w:t>و الروضة</w:t>
      </w:r>
      <w:r>
        <w:rPr>
          <w:rStyle w:val="FootnoteAnchor"/>
          <w:rtl w:val="true"/>
        </w:rPr>
        <w:footnoteReference w:id="873"/>
      </w:r>
      <w:r>
        <w:rPr>
          <w:rFonts w:ascii="IRNazanin" w:hAnsi="IRNazanin" w:eastAsia="IRNazanin"/>
          <w:color w:val="111111"/>
          <w:sz w:val="28"/>
          <w:sz w:val="28"/>
          <w:szCs w:val="28"/>
          <w:rtl w:val="true"/>
          <w:lang w:bidi="fa-IR"/>
        </w:rPr>
        <w:t>و المسالک</w:t>
      </w:r>
      <w:r>
        <w:rPr>
          <w:rStyle w:val="FootnoteAnchor"/>
          <w:rtl w:val="true"/>
        </w:rPr>
        <w:footnoteReference w:id="874"/>
      </w:r>
      <w:r>
        <w:rPr>
          <w:rFonts w:ascii="IRNazanin" w:hAnsi="IRNazanin" w:eastAsia="IRNazanin"/>
          <w:color w:val="111111"/>
          <w:sz w:val="28"/>
          <w:sz w:val="28"/>
          <w:szCs w:val="28"/>
          <w:rtl w:val="true"/>
          <w:lang w:bidi="fa-IR"/>
        </w:rPr>
        <w:t>و الکفایة</w:t>
      </w:r>
      <w:r>
        <w:rPr>
          <w:rStyle w:val="FootnoteAnchor"/>
          <w:rtl w:val="true"/>
        </w:rPr>
        <w:footnoteReference w:id="875"/>
      </w:r>
      <w:r>
        <w:rPr>
          <w:rFonts w:ascii="IRNazanin" w:hAnsi="IRNazanin" w:eastAsia="IRNazanin"/>
          <w:color w:val="111111"/>
          <w:sz w:val="28"/>
          <w:sz w:val="28"/>
          <w:szCs w:val="28"/>
          <w:rtl w:val="true"/>
          <w:lang w:bidi="fa-IR"/>
        </w:rPr>
        <w:t>و الریاض</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فی المناهل</w:t>
      </w:r>
      <w:r>
        <w:rPr>
          <w:rStyle w:val="FootnoteAnchor"/>
          <w:rtl w:val="true"/>
        </w:rPr>
        <w:footnoteReference w:id="878"/>
      </w:r>
      <w:r>
        <w:rPr>
          <w:rFonts w:ascii="IRNazanin" w:hAnsi="IRNazanin" w:eastAsia="IRNazanin"/>
          <w:color w:val="111111"/>
          <w:sz w:val="28"/>
          <w:sz w:val="28"/>
          <w:szCs w:val="28"/>
          <w:rtl w:val="true"/>
          <w:lang w:bidi="fa-IR"/>
        </w:rPr>
        <w:t>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العرف یفهم من التعلیل الوارد فی معتبرة عبید بن زرارة، و معتبرة علی بن جعفر أنّ الأجداد کالجدّ القریب و کالأب فی الولایة، و لا فرق بین الجدّ و جدّ الجدّ و إن علا؛ لأنّه ورد فیها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أولی بذلک ما لم یکن مضارّاً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 علیها تزویج الأب و الجدّ</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إطلاق الجدّ یشمل الجدّ العالی و الدانی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الجدّ و إن علا</w:t>
      </w:r>
      <w:bookmarkStart w:id="334" w:name="pg11753_114824"/>
    </w:p>
    <w:p>
      <w:pPr>
        <w:pStyle w:val="BookText"/>
        <w:rPr/>
      </w:pPr>
      <w:bookmarkEnd w:id="334"/>
      <w:r>
        <w:rPr>
          <w:rFonts w:ascii="IRNazanin" w:hAnsi="IRNazanin" w:eastAsia="IRNazanin"/>
          <w:color w:val="111111"/>
          <w:sz w:val="28"/>
          <w:sz w:val="28"/>
          <w:szCs w:val="28"/>
          <w:rtl w:val="true"/>
          <w:lang w:bidi="fa-IR"/>
        </w:rPr>
        <w:t xml:space="preserve">یشارک الأب فی الحکم، و یدلّ علیه ما دلّ علی أنّ الشخص و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منه مال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w:t>
      </w:r>
    </w:p>
    <w:p>
      <w:pPr>
        <w:pStyle w:val="BookText"/>
        <w:rPr/>
      </w:pPr>
      <w:r>
        <w:rPr>
          <w:rFonts w:ascii="Amiri" w:hAnsi="Amiri" w:eastAsia="Amiri" w:cs="Amiri"/>
          <w:color w:val="111111"/>
          <w:sz w:val="28"/>
          <w:sz w:val="28"/>
          <w:szCs w:val="28"/>
          <w:rtl w:val="true"/>
          <w:lang w:bidi="ar-SA"/>
        </w:rPr>
        <w:t>أنّ الولد و والده لجدّه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مقتضی قوله علیه السلام فی روایة الکافی و غیره،</w:t>
      </w:r>
    </w:p>
    <w:p>
      <w:pPr>
        <w:pStyle w:val="BookText"/>
        <w:rPr/>
      </w:pPr>
      <w:r>
        <w:rPr>
          <w:rFonts w:ascii="IRNazanin" w:hAnsi="IRNazanin" w:eastAsia="IRNazanin"/>
          <w:color w:val="111111"/>
          <w:sz w:val="28"/>
          <w:sz w:val="28"/>
          <w:szCs w:val="28"/>
          <w:rtl w:val="true"/>
          <w:lang w:bidi="fa-IR"/>
        </w:rPr>
        <w:t>یجوز علیها تزویج الأب و الجدّ عدم الفرق بین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 قدس سره بعد نقل بعض الروایات المتقدّمة و تقریب الاستدلال بها و وجه الجمع بینها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المتفاهم منها بحکم التعلیل عدم الفرق بین الجدّ و جدّ الجدّ و إن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یفهم العرف من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الأجداد کالجدّ القریب و کالأب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جعل الولایة للأب و الجدّ و إن علا لیس بجعل النبیّ صلی الله علیه و آله، بل بجعل إلهیّ، بل لا یبعد أن یکون حکم اللّه تبارک و تعالی بنفوذ تصرّفاتهم موضوعاً لانتزاع الولایة، لا أنّ المجعول هی بلا واسطة</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توقّف فی الجواهر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تعدّی الحکم إلی أب الجدّ و جدّ الجدّ و إن علا مع الأب نظر، و لعلّ إطلاق القائل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یتوقّف فی تقدیمه علی من هو أدنی منه؛ لعدم انسباقه من الأب، فتأمّل جیّداً</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9482718_73709187"/>
      <w:bookmarkStart w:id="336" w:name="_Toc128"/>
      <w:bookmarkEnd w:id="335"/>
      <w:r>
        <w:rPr>
          <w:rtl w:val="true"/>
        </w:rPr>
        <w:t>الإیراد علی الاستدلال و الجواب عنه</w:t>
      </w:r>
      <w:bookmarkEnd w:id="33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یستشکل فی صحّة هذا الاستدلال بالنبوی علی ولایة جدّ الجدّ و إن علا، بأنّه یلزم منه إثبات الموضوع بالحکم، نظیر الإشکال الذی فی حجّیة الأخبار مع الواسطة فی باب حجّیة الخبر الواحد</w:t>
      </w:r>
      <w:r>
        <w:rPr>
          <w:rFonts w:eastAsia="IRNazanin" w:cs="IRNazanin"/>
          <w:color w:val="111111"/>
          <w:sz w:val="28"/>
          <w:szCs w:val="28"/>
          <w:rtl w:val="true"/>
          <w:lang w:bidi="fa-IR"/>
        </w:rPr>
        <w:t>.</w:t>
      </w:r>
      <w:bookmarkStart w:id="337" w:name="pg11753_114825"/>
    </w:p>
    <w:p>
      <w:pPr>
        <w:pStyle w:val="BookText"/>
        <w:rPr/>
      </w:pPr>
      <w:bookmarkEnd w:id="337"/>
      <w:r>
        <w:rPr>
          <w:rFonts w:ascii="IRNazanin" w:hAnsi="IRNazanin" w:eastAsia="IRNazanin"/>
          <w:color w:val="111111"/>
          <w:sz w:val="28"/>
          <w:sz w:val="28"/>
          <w:szCs w:val="28"/>
          <w:rtl w:val="true"/>
          <w:lang w:bidi="fa-IR"/>
        </w:rPr>
        <w:t>و تقریب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الابن و ماله لأبیه ثبت بالنبویّ المتقدّم</w:t>
      </w:r>
      <w:r>
        <w:rPr>
          <w:rStyle w:val="FootnoteAnchor"/>
          <w:rtl w:val="true"/>
        </w:rPr>
        <w:footnoteReference w:id="883"/>
      </w:r>
      <w:r>
        <w:rPr>
          <w:rFonts w:ascii="IRNazanin" w:hAnsi="IRNazanin" w:eastAsia="IRNazanin"/>
          <w:color w:val="111111"/>
          <w:sz w:val="28"/>
          <w:sz w:val="28"/>
          <w:szCs w:val="28"/>
          <w:rtl w:val="true"/>
          <w:lang w:bidi="fa-IR"/>
        </w:rPr>
        <w:t>، فکیف یمکن إثبات کون الأب و ماله 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أموال الأب بحکم هذا النبوی ابنه و ماله، و هکذا بالنسبة إلی جدّ الجدّ، فیلزم أن یتحقّق الموضوع بالحکم، و نسبة الموضوع إلی الحکم نسبة المعروض إلی العرض، فلا یعقل أن یکون الحکم موجِداً لموضوعه، لاستلزامه الدور المحال؛ لأنّ وجود الحکم یتوقّف علی الموضوع، و لو توقّف الموضوع علی الحکم بحسب الفرض 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هذا الإشکال بأنّ الذی لا یعقل هو إثبات الحکم موضوع شخصه لا إثبات موضوعٍ لحکم آخر؛ فإنّ هذا بمکان من الإمکان، و المقام من هذا القبیل؛ لأنّ ثبوت کون الابن و ماله للجدّ بالنبویّ، یوجب تحقّق موضوعٍ لحکم آخر، و هو کون الأب و ماله للجدّ؛ لأنّه یستفاد من النبویّ الکبری الکلّیة القابلة للانحلال عرفاً، و تترتّب هذه الکبری الکلّیة علی موضوعاتٍ متعدّدة، فالابن و ماله للأب بحکم النبویّ، و یثبت به موضوعٌ لحکم آخر، و هو أنّ الأب و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ماله مال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للجدّ بحکم هذا النبوی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جدّ الجدّ، فکلّ حکم لموضوعٍ یوجب لتحقّق موضوع آخر و یترتّب علیه حکمه الآخر، فتکون موضوعات متعدّدة لأحکام متعدّدة، غایته أنّ الأحکام تکون من سنخ واحد، و تعدّد الأحکام إنّما ینشأ من انحلال قضیّة أنّ کلّ ابنٍ و ماله لأبیه، کما هو الشأن فی جمیع القضایا الحقیقیّة، حیث إنّها تنحلّ إلی أحکامٍ متعدّدة حسب ما لموضوعها من الأفراد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9482720_73709187"/>
      <w:bookmarkStart w:id="339" w:name="_Toc129"/>
      <w:bookmarkEnd w:id="338"/>
      <w:r>
        <w:rPr>
          <w:rtl w:val="true"/>
        </w:rPr>
        <w:t>المطلب الثانی</w:t>
      </w:r>
      <w:r>
        <w:rPr>
          <w:rtl w:val="true"/>
        </w:rPr>
        <w:t xml:space="preserve">: </w:t>
      </w:r>
      <w:r>
        <w:rPr>
          <w:rtl w:val="true"/>
        </w:rPr>
        <w:t>کون الأجداد فی مرتبة واحدة</w:t>
      </w:r>
      <w:bookmarkEnd w:id="3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ثبت أنّ للأجداد ولایة علی أموال الصغار فیمکن أن یقع سؤال، و هو أنّه هل یکونوا فی مرتبة واحدة، أو تختصّ الولایة بالجدّ الأدنی، و بعده الجدّ العالی،</w:t>
      </w:r>
    </w:p>
    <w:p>
      <w:pPr>
        <w:pStyle w:val="BookText"/>
        <w:rPr/>
      </w:pPr>
      <w:r>
        <w:rPr>
          <w:rFonts w:ascii="IRNazanin" w:hAnsi="IRNazanin" w:eastAsia="IRNazanin"/>
          <w:color w:val="111111"/>
          <w:sz w:val="28"/>
          <w:sz w:val="28"/>
          <w:szCs w:val="28"/>
          <w:rtl w:val="true"/>
          <w:lang w:bidi="fa-IR"/>
        </w:rPr>
        <w:t>و بعده الجدّ الأعلی إن کان باقیاً، و هکذا؟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تختصّ الولایة بعد موت الأب بالجدّ الأدنی، بمعنی أنّ الأقرب یمنع الأبعد</w:t>
      </w:r>
      <w:r>
        <w:rPr>
          <w:rStyle w:val="FootnoteAnchor"/>
          <w:rtl w:val="true"/>
        </w:rPr>
        <w:footnoteReference w:id="885"/>
      </w:r>
      <w:r>
        <w:rPr>
          <w:rFonts w:ascii="IRNazanin" w:hAnsi="IRNazanin" w:eastAsia="IRNazanin"/>
          <w:color w:val="111111"/>
          <w:sz w:val="28"/>
          <w:sz w:val="28"/>
          <w:szCs w:val="28"/>
          <w:rtl w:val="true"/>
          <w:lang w:bidi="fa-IR"/>
        </w:rPr>
        <w:t>کما اختاره فی المسالک</w:t>
      </w:r>
      <w:r>
        <w:rPr>
          <w:rStyle w:val="FootnoteAnchor"/>
          <w:rtl w:val="true"/>
        </w:rPr>
        <w:footnoteReference w:id="886"/>
      </w:r>
      <w:r>
        <w:rPr>
          <w:rFonts w:ascii="IRNazanin" w:hAnsi="IRNazanin" w:eastAsia="IRNazanin"/>
          <w:color w:val="111111"/>
          <w:sz w:val="28"/>
          <w:sz w:val="28"/>
          <w:szCs w:val="28"/>
          <w:rtl w:val="true"/>
          <w:lang w:bidi="fa-IR"/>
        </w:rPr>
        <w:t>، و حکی أیضاً عن جامع المقاصد و الکفایة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الأجداد کانوا فی مرتبةٍ واحدةٍ، فکلّهم أولیاء بالاستقلال، و یظهر هذا من إطلاق الشرائع</w:t>
      </w:r>
      <w:r>
        <w:rPr>
          <w:rStyle w:val="FootnoteAnchor"/>
          <w:rtl w:val="true"/>
        </w:rPr>
        <w:footnoteReference w:id="888"/>
      </w:r>
      <w:r>
        <w:rPr>
          <w:rFonts w:ascii="IRNazanin" w:hAnsi="IRNazanin" w:eastAsia="IRNazanin"/>
          <w:color w:val="111111"/>
          <w:sz w:val="28"/>
          <w:sz w:val="28"/>
          <w:szCs w:val="28"/>
          <w:rtl w:val="true"/>
          <w:lang w:bidi="fa-IR"/>
        </w:rPr>
        <w:t>و المختصر النافع</w:t>
      </w:r>
      <w:r>
        <w:rPr>
          <w:rStyle w:val="FootnoteAnchor"/>
          <w:rtl w:val="true"/>
        </w:rPr>
        <w:footnoteReference w:id="889"/>
      </w:r>
      <w:r>
        <w:rPr>
          <w:rFonts w:ascii="IRNazanin" w:hAnsi="IRNazanin" w:eastAsia="IRNazanin"/>
          <w:color w:val="111111"/>
          <w:sz w:val="28"/>
          <w:sz w:val="28"/>
          <w:szCs w:val="28"/>
          <w:rtl w:val="true"/>
          <w:lang w:bidi="fa-IR"/>
        </w:rPr>
        <w:t>، و اختاره فی التبصرة</w:t>
      </w:r>
      <w:r>
        <w:rPr>
          <w:rStyle w:val="FootnoteAnchor"/>
          <w:rtl w:val="true"/>
        </w:rPr>
        <w:footnoteReference w:id="890"/>
      </w:r>
      <w:r>
        <w:rPr>
          <w:rFonts w:ascii="IRNazanin" w:hAnsi="IRNazanin" w:eastAsia="IRNazanin"/>
          <w:color w:val="111111"/>
          <w:sz w:val="28"/>
          <w:sz w:val="28"/>
          <w:szCs w:val="28"/>
          <w:rtl w:val="true"/>
          <w:lang w:bidi="fa-IR"/>
        </w:rPr>
        <w:t>و الإرشاد</w:t>
      </w:r>
      <w:r>
        <w:rPr>
          <w:rStyle w:val="FootnoteAnchor"/>
          <w:rtl w:val="true"/>
        </w:rPr>
        <w:footnoteReference w:id="891"/>
      </w:r>
      <w:r>
        <w:rPr>
          <w:rFonts w:ascii="IRNazanin" w:hAnsi="IRNazanin" w:eastAsia="IRNazanin"/>
          <w:color w:val="111111"/>
          <w:sz w:val="28"/>
          <w:sz w:val="28"/>
          <w:szCs w:val="28"/>
          <w:rtl w:val="true"/>
          <w:lang w:bidi="fa-IR"/>
        </w:rPr>
        <w:t>و التحریر</w:t>
      </w:r>
      <w:r>
        <w:rPr>
          <w:rStyle w:val="FootnoteAnchor"/>
          <w:rtl w:val="true"/>
        </w:rPr>
        <w:footnoteReference w:id="892"/>
      </w:r>
      <w:r>
        <w:rPr>
          <w:rFonts w:ascii="IRNazanin" w:hAnsi="IRNazanin" w:eastAsia="IRNazanin"/>
          <w:color w:val="111111"/>
          <w:sz w:val="28"/>
          <w:sz w:val="28"/>
          <w:szCs w:val="28"/>
          <w:rtl w:val="true"/>
          <w:lang w:bidi="fa-IR"/>
        </w:rPr>
        <w:t>و القواعد</w:t>
      </w:r>
      <w:r>
        <w:rPr>
          <w:rStyle w:val="FootnoteAnchor"/>
          <w:rtl w:val="true"/>
        </w:rPr>
        <w:footnoteReference w:id="893"/>
      </w:r>
      <w:r>
        <w:rPr>
          <w:rFonts w:ascii="IRNazanin" w:hAnsi="IRNazanin" w:eastAsia="IRNazanin"/>
          <w:color w:val="111111"/>
          <w:sz w:val="28"/>
          <w:sz w:val="28"/>
          <w:szCs w:val="28"/>
          <w:rtl w:val="true"/>
          <w:lang w:bidi="fa-IR"/>
        </w:rPr>
        <w:t>و التذکرة</w:t>
      </w:r>
      <w:r>
        <w:rPr>
          <w:rStyle w:val="FootnoteAnchor"/>
          <w:rtl w:val="true"/>
        </w:rPr>
        <w:footnoteReference w:id="894"/>
      </w:r>
      <w:r>
        <w:rPr>
          <w:rFonts w:ascii="IRNazanin" w:hAnsi="IRNazanin" w:eastAsia="IRNazanin"/>
          <w:color w:val="111111"/>
          <w:sz w:val="28"/>
          <w:sz w:val="28"/>
          <w:szCs w:val="28"/>
          <w:rtl w:val="true"/>
          <w:lang w:bidi="fa-IR"/>
        </w:rPr>
        <w:t>و الدروس</w:t>
      </w:r>
      <w:r>
        <w:rPr>
          <w:rStyle w:val="FootnoteAnchor"/>
          <w:rtl w:val="true"/>
        </w:rPr>
        <w:footnoteReference w:id="89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اللمعة</w:t>
      </w:r>
      <w:r>
        <w:rPr>
          <w:rStyle w:val="FootnoteAnchor"/>
          <w:rtl w:val="true"/>
        </w:rPr>
        <w:footnoteReference w:id="896"/>
      </w:r>
      <w:r>
        <w:rPr>
          <w:rFonts w:ascii="IRNazanin" w:hAnsi="IRNazanin" w:eastAsia="IRNazanin"/>
          <w:color w:val="111111"/>
          <w:sz w:val="28"/>
          <w:sz w:val="28"/>
          <w:szCs w:val="28"/>
          <w:rtl w:val="true"/>
          <w:lang w:bidi="fa-IR"/>
        </w:rPr>
        <w:t>و کنز العرفان</w:t>
      </w:r>
      <w:r>
        <w:rPr>
          <w:rStyle w:val="FootnoteAnchor"/>
          <w:rtl w:val="true"/>
        </w:rPr>
        <w:footnoteReference w:id="897"/>
      </w:r>
      <w:r>
        <w:rPr>
          <w:rFonts w:ascii="IRNazanin" w:hAnsi="IRNazanin" w:eastAsia="IRNazanin"/>
          <w:color w:val="111111"/>
          <w:sz w:val="28"/>
          <w:sz w:val="28"/>
          <w:szCs w:val="28"/>
          <w:rtl w:val="true"/>
          <w:lang w:bidi="fa-IR"/>
        </w:rPr>
        <w:t>و الروضة البهیّة</w:t>
      </w:r>
      <w:r>
        <w:rPr>
          <w:rStyle w:val="FootnoteAnchor"/>
          <w:rtl w:val="true"/>
        </w:rPr>
        <w:footnoteReference w:id="898"/>
      </w:r>
      <w:r>
        <w:rPr>
          <w:rFonts w:ascii="IRNazanin" w:hAnsi="IRNazanin" w:eastAsia="IRNazanin"/>
          <w:color w:val="111111"/>
          <w:sz w:val="28"/>
          <w:sz w:val="28"/>
          <w:szCs w:val="28"/>
          <w:rtl w:val="true"/>
          <w:lang w:bidi="fa-IR"/>
        </w:rPr>
        <w:t>و الریاض</w:t>
      </w:r>
      <w:r>
        <w:rPr>
          <w:rStyle w:val="FootnoteAnchor"/>
          <w:rtl w:val="true"/>
        </w:rPr>
        <w:footnoteReference w:id="899"/>
      </w:r>
      <w:r>
        <w:rPr>
          <w:rFonts w:ascii="IRNazanin" w:hAnsi="IRNazanin" w:eastAsia="IRNazanin"/>
          <w:color w:val="111111"/>
          <w:sz w:val="28"/>
          <w:sz w:val="28"/>
          <w:szCs w:val="28"/>
          <w:rtl w:val="true"/>
          <w:lang w:bidi="fa-IR"/>
        </w:rPr>
        <w:t>و غیرهم</w:t>
      </w:r>
      <w:r>
        <w:rPr>
          <w:rStyle w:val="FootnoteAnchor"/>
          <w:rtl w:val="true"/>
        </w:rPr>
        <w:footnoteReference w:id="900"/>
      </w:r>
      <w:bookmarkStart w:id="340" w:name="pg11753_114827"/>
    </w:p>
    <w:p>
      <w:pPr>
        <w:pStyle w:val="BookText"/>
        <w:rPr/>
      </w:pPr>
      <w:bookmarkEnd w:id="340"/>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لولایتهم حال کونها فی مرتبةٍ واحدة موجود و المانع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المقتضی، فلأنّ مقتضی إطلاقات باب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التعلیل المذکور فی الروایات 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الأجداد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عدم المانع، فلأنّ ما توهّم من المانع لیس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بناءً علی أن یدّعی بأنّ الآیة تشمل الولایة أیضاً، و لکنّها وردت فی الإرث، فلا یجوز التمسّک بها فی المقام کما هو ظاهر لمن تأمّل فیها و تدبّر فی القرائن المحفوف بها، و ممّا قلنا ظهر ما فی الوجه الأوّل</w:t>
      </w:r>
      <w:r>
        <w:rPr>
          <w:rFonts w:eastAsia="IRNazanin" w:cs="IRNazanin"/>
          <w:color w:val="111111"/>
          <w:sz w:val="28"/>
          <w:szCs w:val="28"/>
          <w:rtl w:val="true"/>
          <w:lang w:bidi="fa-IR"/>
        </w:rPr>
        <w:t>.</w:t>
      </w:r>
    </w:p>
    <w:p>
      <w:pPr>
        <w:pStyle w:val="Heading5"/>
        <w:numPr>
          <w:ilvl w:val="4"/>
          <w:numId w:val="1"/>
        </w:numPr>
        <w:rPr/>
      </w:pPr>
      <w:bookmarkStart w:id="341" w:name="__RefHeading___Toc9482722_73709187"/>
      <w:bookmarkStart w:id="342" w:name="_Toc130"/>
      <w:bookmarkEnd w:id="341"/>
      <w:r>
        <w:rPr>
          <w:rtl w:val="true"/>
        </w:rPr>
        <w:t>المطلب الثالث</w:t>
      </w:r>
      <w:r>
        <w:rPr>
          <w:rtl w:val="true"/>
        </w:rPr>
        <w:t xml:space="preserve">: </w:t>
      </w:r>
      <w:r>
        <w:rPr>
          <w:rtl w:val="true"/>
        </w:rPr>
        <w:t>تقارن تصرّف الأب و الجدّ</w:t>
      </w:r>
      <w:bookmarkEnd w:id="342"/>
    </w:p>
    <w:p>
      <w:pPr>
        <w:pStyle w:val="Heading6"/>
        <w:numPr>
          <w:ilvl w:val="5"/>
          <w:numId w:val="1"/>
        </w:numPr>
        <w:rPr/>
      </w:pPr>
      <w:bookmarkStart w:id="343" w:name="__RefHeading___Toc9482724_73709187"/>
      <w:bookmarkStart w:id="344" w:name="_Toc131"/>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قد عرفت اشتراک الأب و الجدّ فی الولایة؛ بمعنی نفوذ تصرّف أحدهما مع فقد تصرّف الآخر، أو الموافقة و عدم المعارضة، أو سبق تصرّف المتصرّف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التقارن، کما إذا باع أحدهما شیئاً من أموال الصغار لشخص، و باع الآخر ذلک الشیء بعینه لغیر ذلک الشخص، و وقع عقدهما فی آنٍ واحد، ففی تقدیم تصرّف الأب أو الجدّ أو البطلان احتمالاتٌ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یقدّم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 الوصایا من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ولایة الأب مقدّمة علی ولایة الجدّ، و ولایة الجدّ مقدّمة علی ولایة الوصیّ للأب، و الوصیّ للأب و الجدّ أولی من الحاکم</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یقدّم عقد الجدّ، تمسّکاً بفحوی ما دلّ علی تقدّم عقده فی التزویج من الإجماعات و النصوص المستفیضة، و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الجدّ أولی لو عارضه الأب</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کلا العقدین، تمسّکاً بقاعدة استحالة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الروضة التوقّف فی 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اجتمعا، فإن اتّفقا علی أمرٍ نفذ، و إن تعارضا قدّم عقد السابق، فإن اتّفقا ففی بطلانه أو ترجیح الأب أو الجدّ أوجُهٌ</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یقرع بینهما</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یتخیّر الحاکم بینهما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المسألة خالیة من النصّ، فمن أجل ذلک حصل التردّد فیها، و الاحتمال فی تقدیم کلّ من الجدّ و الأب علی الآخر</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 و 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 و الجدّ مستقلاّن فی الولایة، فینفذ تصرّف السابق منهما ولغا اللاحق، و لو اقترنا ففی تقدیم الجدّ أو الأب، أو عدم الترجیح و بطلان تصرّف کلیهما وجوهٌ بل أقوال، فلا یترک الاحتیاط</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 تفصیل الشریعة،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یحصل بما فیه النفع الأکثر و الغبطة الکاملة</w:t>
      </w:r>
      <w:r>
        <w:rPr>
          <w:rFonts w:eastAsia="IRNazanin" w:cs="IRNazanin"/>
          <w:color w:val="111111"/>
          <w:sz w:val="28"/>
          <w:szCs w:val="28"/>
          <w:rtl w:val="true"/>
          <w:lang w:bidi="fa-IR"/>
        </w:rPr>
        <w:t>»</w:t>
      </w:r>
      <w:r>
        <w:rPr>
          <w:rStyle w:val="FootnoteAnchor"/>
          <w:rtl w:val="true"/>
        </w:rPr>
        <w:footnoteReference w:id="908"/>
      </w:r>
      <w:bookmarkStart w:id="345" w:name="pg11753_114829"/>
    </w:p>
    <w:p>
      <w:pPr>
        <w:pStyle w:val="Heading6"/>
        <w:numPr>
          <w:ilvl w:val="5"/>
          <w:numId w:val="1"/>
        </w:numPr>
        <w:rPr/>
      </w:pPr>
      <w:bookmarkStart w:id="346" w:name="__RefHeading___Toc9482726_73709187"/>
      <w:bookmarkStart w:id="347" w:name="_Toc132"/>
      <w:bookmarkEnd w:id="345"/>
      <w:bookmarkEnd w:id="346"/>
      <w:r>
        <w:rPr>
          <w:rtl w:val="true"/>
        </w:rPr>
        <w:t>آراء فقهاء أهل السنّة فی مسائل هذا المبحث</w:t>
      </w:r>
      <w:bookmarkEnd w:id="34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إنّهم یعتقدون بأنّ أولی الأولیاء الأب، ثمّ وصیّه، ثمّ وصیّ وصیّه، ثمّ الجدّ، ثمّ وصیّه، ثمّ وصیّ وصیّه، ثمّ القاضی، ثمّ من نصبه القاضی، و یعلّل الکاسانی هذا الترتیب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تثبت الولایة علی هذا الترتیب؛ لأنّ الولایة علی الصغار باعتبار النظر لهم لعجزهم عن التصرّف بأنفسهم و النظر علی هذا الترتیب؛ لأنّ ذلک مبنیّ علی الشفقة</w:t>
      </w:r>
      <w:r>
        <w:rPr>
          <w:rStyle w:val="FootnoteAnchor"/>
          <w:rtl w:val="true"/>
        </w:rPr>
        <w:footnoteReference w:id="909"/>
      </w:r>
      <w:r>
        <w:rPr>
          <w:rFonts w:ascii="IRNazanin" w:hAnsi="IRNazanin" w:eastAsia="IRNazanin"/>
          <w:color w:val="111111"/>
          <w:sz w:val="28"/>
          <w:sz w:val="28"/>
          <w:szCs w:val="28"/>
          <w:rtl w:val="true"/>
          <w:lang w:bidi="fa-IR"/>
        </w:rPr>
        <w:t>، و شفقة الأب فوق شفقة الکلّ، و شفقة وصیّه فوق شفقة الجدّ؛ لأنّه مرضیّ الأب و مختاره، فکان خلف الأب فی الشفقة، و خلف الشیء قائم مقامه کأنّه هو، و شفقة الجدّ فوق شفقة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شفقة وصیّه؛ لأنّه مرضیّ الجدّ،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لمن سوی هؤلاء من الاُمّ و الأخ و العمّ و غیرهم ولایة التصرّف علی الصغیر فی ماله</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الصبیّ أبوه، ثمّ جدّه أبو الأب، ثمّ وصیّهما، ثمّ القاضی، و لا ولایة عند الشافعیّة للاُمّ فی القول الأصحّ قیاساً علی النکاح، و فی القول الثانی لها الولایة المالیّة بعد الأب و الجدّ و تقدّم علی وصیّهما لکمال شفقتها</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الولایة المالیّة للأب، ثمّ بعد الأب وصیّه، ثمّ للحاکم، فإن لم یوجد حاکم فأمینٌ یقوم به، و الاُمّ و سائر العصبات لا ولایة لهم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و رأیهم کرأی الحنابلة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فالحنفیة و الشافعیّة قائلون بولایة الجدّ، إلاّ أنّ الشافعیّة یقدّمونه علی وصیّ الأب، بخلاف الحنفیّة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ولایته متأخّرة عنه، و أمّا الحنابلة و المالکیّة لا یقولون بولایة الجدّ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الشافعیّة قالوا بولایة الاُمّ فی أحد قولیهم، بخلاف المذاهب الثلاث الأخر</w:t>
      </w:r>
      <w:r>
        <w:rPr>
          <w:rFonts w:eastAsia="IRNazanin" w:cs="IRNazanin"/>
          <w:color w:val="111111"/>
          <w:sz w:val="28"/>
          <w:szCs w:val="28"/>
          <w:rtl w:val="true"/>
          <w:lang w:bidi="fa-IR"/>
        </w:rPr>
        <w:t>.</w:t>
      </w:r>
      <w:bookmarkStart w:id="348" w:name="pg11753_114831"/>
    </w:p>
    <w:p>
      <w:pPr>
        <w:pStyle w:val="Heading4"/>
        <w:numPr>
          <w:ilvl w:val="3"/>
          <w:numId w:val="1"/>
        </w:numPr>
        <w:rPr/>
      </w:pPr>
      <w:bookmarkStart w:id="349" w:name="__RefHeading___Toc9482728_73709187"/>
      <w:bookmarkStart w:id="350" w:name="_Toc133"/>
      <w:bookmarkEnd w:id="348"/>
      <w:bookmarkEnd w:id="349"/>
      <w:r>
        <w:rPr>
          <w:rtl w:val="true"/>
        </w:rPr>
        <w:t>المبحث الثالث</w:t>
      </w:r>
      <w:r>
        <w:rPr>
          <w:rtl w:val="true"/>
        </w:rPr>
        <w:t xml:space="preserve">: </w:t>
      </w:r>
      <w:r>
        <w:rPr>
          <w:rtl w:val="true"/>
        </w:rPr>
        <w:t>شرائط ولایة الأب و الجدّ علی أموال الصغار</w:t>
      </w:r>
      <w:bookmarkEnd w:id="350"/>
    </w:p>
    <w:p>
      <w:pPr>
        <w:pStyle w:val="Heading5"/>
        <w:numPr>
          <w:ilvl w:val="4"/>
          <w:numId w:val="1"/>
        </w:numPr>
        <w:rPr/>
      </w:pPr>
      <w:bookmarkStart w:id="351" w:name="__RefHeading___Toc9482730_73709187"/>
      <w:bookmarkStart w:id="352" w:name="_Toc134"/>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353" w:name="__RefHeading___Toc9482732_73709187"/>
      <w:bookmarkStart w:id="354" w:name="_Toc135"/>
      <w:bookmarkEnd w:id="353"/>
      <w:r>
        <w:rPr>
          <w:rtl w:val="true"/>
        </w:rPr>
        <w:t>المطلب الأوّل</w:t>
      </w:r>
      <w:r>
        <w:rPr>
          <w:rtl w:val="true"/>
        </w:rPr>
        <w:t xml:space="preserve">: </w:t>
      </w:r>
      <w:r>
        <w:rPr>
          <w:rtl w:val="true"/>
        </w:rPr>
        <w:t>اشتراط العدالة</w:t>
      </w:r>
      <w:bookmarkEnd w:id="354"/>
    </w:p>
    <w:p>
      <w:pPr>
        <w:pStyle w:val="Heading6"/>
        <w:numPr>
          <w:ilvl w:val="5"/>
          <w:numId w:val="1"/>
        </w:numPr>
        <w:rPr/>
      </w:pPr>
      <w:bookmarkStart w:id="355" w:name="__RefHeading___Toc9482734_73709187"/>
      <w:bookmarkStart w:id="356" w:name="_Toc136"/>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هل یشترط فی ثبوت الولایة للأب و الجدّ عدالتهما، أو لا؟</w:t>
      </w:r>
    </w:p>
    <w:p>
      <w:pPr>
        <w:pStyle w:val="Heading6"/>
        <w:numPr>
          <w:ilvl w:val="5"/>
          <w:numId w:val="1"/>
        </w:numPr>
        <w:rPr/>
      </w:pPr>
      <w:bookmarkStart w:id="357" w:name="__RefHeading___Toc9482736_73709187"/>
      <w:bookmarkStart w:id="358" w:name="_Toc137"/>
      <w:bookmarkEnd w:id="357"/>
      <w:r>
        <w:rPr>
          <w:rtl w:val="true"/>
        </w:rPr>
        <w:t>أقوال</w:t>
      </w:r>
      <w:r>
        <w:rPr>
          <w:rtl w:val="true"/>
        </w:rPr>
        <w:t>:</w:t>
      </w:r>
      <w:bookmarkEnd w:id="358"/>
    </w:p>
    <w:p>
      <w:pPr>
        <w:pStyle w:val="Heading6"/>
        <w:numPr>
          <w:ilvl w:val="5"/>
          <w:numId w:val="1"/>
        </w:numPr>
        <w:rPr/>
      </w:pPr>
      <w:bookmarkStart w:id="359" w:name="__RefHeading___Toc9482738_73709187"/>
      <w:bookmarkStart w:id="360" w:name="_Toc138"/>
      <w:bookmarkEnd w:id="359"/>
      <w:r>
        <w:rPr>
          <w:rtl w:val="true"/>
        </w:rPr>
        <w:t>القول الأوّل</w:t>
      </w:r>
      <w:r>
        <w:rPr>
          <w:rtl w:val="true"/>
        </w:rPr>
        <w:t xml:space="preserve">: </w:t>
      </w:r>
      <w:r>
        <w:rPr>
          <w:rtl w:val="true"/>
        </w:rPr>
        <w:t>أنّه یعتبر فی موضوع ولایة الأب و الجدّ العدالة</w:t>
      </w:r>
      <w:bookmarkEnd w:id="360"/>
    </w:p>
    <w:p>
      <w:pPr>
        <w:pStyle w:val="BookText"/>
        <w:rPr/>
      </w:pPr>
      <w:r>
        <w:rPr>
          <w:rFonts w:ascii="IRNazanin" w:hAnsi="IRNazanin" w:eastAsia="IRNazanin"/>
          <w:color w:val="111111"/>
          <w:sz w:val="28"/>
          <w:sz w:val="28"/>
          <w:szCs w:val="28"/>
          <w:rtl w:val="true"/>
          <w:lang w:bidi="fa-IR"/>
        </w:rPr>
        <w:t>، اختاره فی الإیضاح</w:t>
      </w:r>
      <w:r>
        <w:rPr>
          <w:rStyle w:val="FootnoteAnchor"/>
          <w:rtl w:val="true"/>
        </w:rPr>
        <w:footnoteReference w:id="914"/>
      </w:r>
      <w:r>
        <w:rPr>
          <w:rFonts w:ascii="IRNazanin" w:hAnsi="IRNazanin" w:eastAsia="IRNazanin"/>
          <w:color w:val="111111"/>
          <w:sz w:val="28"/>
          <w:sz w:val="28"/>
          <w:szCs w:val="28"/>
          <w:rtl w:val="true"/>
          <w:lang w:bidi="fa-IR"/>
        </w:rPr>
        <w:t>، و حکاه فی مفتاح الکرامة</w:t>
      </w:r>
      <w:r>
        <w:rPr>
          <w:rStyle w:val="FootnoteAnchor"/>
          <w:rtl w:val="true"/>
        </w:rPr>
        <w:footnoteReference w:id="915"/>
      </w:r>
      <w:r>
        <w:rPr>
          <w:rFonts w:ascii="IRNazanin" w:hAnsi="IRNazanin" w:eastAsia="IRNazanin"/>
          <w:color w:val="111111"/>
          <w:sz w:val="28"/>
          <w:sz w:val="28"/>
          <w:szCs w:val="28"/>
          <w:rtl w:val="true"/>
          <w:lang w:bidi="fa-IR"/>
        </w:rPr>
        <w:t>و الجواهر</w:t>
      </w:r>
      <w:r>
        <w:rPr>
          <w:rStyle w:val="FootnoteAnchor"/>
          <w:rtl w:val="true"/>
        </w:rPr>
        <w:footnoteReference w:id="916"/>
      </w:r>
      <w:r>
        <w:rPr>
          <w:rFonts w:ascii="IRNazanin" w:hAnsi="IRNazanin" w:eastAsia="IRNazanin"/>
          <w:color w:val="111111"/>
          <w:sz w:val="28"/>
          <w:sz w:val="28"/>
          <w:szCs w:val="28"/>
          <w:rtl w:val="true"/>
          <w:lang w:bidi="fa-IR"/>
        </w:rPr>
        <w:t>عن الوسیلة، و لکن لم نعثر علیه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اشترط فی تصرّف الولیّ کونه ثقة، و فی الوصیّ أن یکون عادلاً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القواعد التوقّف فی المسألة،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یشکل الأمر فی الأب الفاسق</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و لکن استظهر منه المحقّق الأردبیلی القول باشتراط العدالة،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أکثر العبارات خالیة عن اشتراط العدالة فی الأب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القواعد و شرحه إشارة إلی ذلک</w:t>
      </w:r>
      <w:r>
        <w:rPr>
          <w:rFonts w:eastAsia="IRNazanin" w:cs="IRNazanin"/>
          <w:color w:val="111111"/>
          <w:sz w:val="28"/>
          <w:szCs w:val="28"/>
          <w:rtl w:val="true"/>
          <w:lang w:bidi="fa-IR"/>
        </w:rPr>
        <w:t>»</w:t>
      </w:r>
      <w:r>
        <w:rPr>
          <w:rStyle w:val="FootnoteAnchor"/>
          <w:rtl w:val="true"/>
        </w:rPr>
        <w:footnoteReference w:id="918"/>
      </w:r>
      <w:bookmarkStart w:id="361" w:name="pg11753_114832"/>
    </w:p>
    <w:p>
      <w:pPr>
        <w:pStyle w:val="Heading6"/>
        <w:numPr>
          <w:ilvl w:val="5"/>
          <w:numId w:val="1"/>
        </w:numPr>
        <w:rPr/>
      </w:pPr>
      <w:bookmarkStart w:id="362" w:name="__RefHeading___Toc9482740_73709187"/>
      <w:bookmarkStart w:id="363" w:name="_Toc139"/>
      <w:bookmarkEnd w:id="361"/>
      <w:bookmarkEnd w:id="362"/>
      <w:r>
        <w:rPr>
          <w:rtl w:val="true"/>
        </w:rPr>
        <w:t>أدلّة هذا الشرط‌</w:t>
      </w:r>
      <w:bookmarkEnd w:id="363"/>
    </w:p>
    <w:p>
      <w:pPr>
        <w:pStyle w:val="BookText"/>
        <w:rPr/>
      </w:pP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علی لزوم هذا الشرط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ما نهی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عن رکون الناس إلی الظالم، و المراد به الفاسق و مطلق من عصی اللّه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بذلک، فیجب أن لا یدفع أمر ولایة مال الصغیر إلی الأب الظالم؛ لأنّه رکون إلیه و اعتماد به، و قد نهی سبحانه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بالرکون إلی الظالم الدخول فی أعوانه و جعل الظالم ولیّاً علی نفسه؛ حیث إنّ هذا فی نفسه محرّم، و القرینة علی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مِنْ دُونِ اللّهِ مِنْ أَوْلِیاءَ ثُمَّ لا تُنْصَرُونَ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لذلک لم یلتزم أحد فیما نعلم باعتبار العدالة فی الوکیل أو العامل فی المضاربة أو المستعیر أو الودعی و نحو ذلک، مع أنّ فی جمیع ذلک رکون من الموکّل و المضارب و المالک إلی الوکیل و العامل و المعیر و الودعی</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الخمینی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إمکان دعوی ظهور الآیة الکریمة فی الرکون إلی ولاة الجور؛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فَتَمَسَّکُمُ النّارُ وَ ما لَکُمْ مِنْ دُونِ اللّهِ</w:t>
      </w:r>
    </w:p>
    <w:p>
      <w:pPr>
        <w:pStyle w:val="BookText"/>
        <w:rPr/>
      </w:pPr>
      <w:r>
        <w:rPr>
          <w:rFonts w:ascii="IRNazanin" w:hAnsi="IRNazanin" w:eastAsia="IRNazanin"/>
          <w:color w:val="111111"/>
          <w:sz w:val="28"/>
          <w:sz w:val="28"/>
          <w:szCs w:val="28"/>
          <w:rtl w:val="true"/>
          <w:lang w:bidi="fa-IR"/>
        </w:rPr>
        <w:t>مِنْ أَوْلِیاءَ ثُمَّ لا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سیاقه یشهد بأنّ الرکون إلیه أمر عظیم، و من الکبائر و ذو مفسدةٍ عظیمة؛ حیث أوعد علیه بالنار و عدم الأولیاء و الناصر لهم، و هذا یناسب الرکون إلیهم، حیث ورد فیهم و فی إعانتهم ما ورد فی الأخبار، لا الرکون و المیل إلی فاسقٍ کان سبب فسقه عدم ردّ السلام الواجب</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قیاس فعل الباری المتعال بأفعال المکلّفین مع أنّه مع الفارق جدّاً؛ فإنّ 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لصلاح النظام الکلّی التکوینیّ لا النظام التشریعی المحدود، کما أنّ جعله التشریعی لا بدّ و أن یوافق صلاح النظام التشریعی العام، و هو ممّا لا تحیط به العقول المحدودة، و لهذا تری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التعاون علی الإثم و العدوان، و مع ذلک جمیع أسباب الإثم و العدوان موجودة بإرادته و فعله، و لا شبهة فی وجوب حفظ نفس المؤمن علینا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قادر علی حفظها و لم یحفظها، بل وکّل ملک الموت بإماتتها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الرکون کالتصدیق من فعل الجنان، فإمّا أن یحمل علی العمل الخارجی و ترتیب الأثر له فیصیر مرتبطاً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یحمل علی نفس ما هو عمل الجنان و القلب من المیل و الحبّ،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مساس للآیة بما نحن فیه؛ إذ یمکن إیکال أمرٍ إلی ظالمٍ مع النفرة عنه قلباً غایة النفرة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من الآیة عرفاً هو الثانی، خصوصاً بملاحظة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ملاحظة ما ورد فی تفسیرها من أنّ الرجل یأتی السلطان فیحبّ بقاءه إلی أن یدخل یده فی کیسه فیعطیه</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الرکون فی الآیة الکریمة لیس الرکون فی الاُمور الدنیویّة، بل المراد به هو الرکون فی الاُمور الدینیّة</w:t>
      </w:r>
      <w:r>
        <w:rPr>
          <w:rStyle w:val="FootnoteAnchor"/>
          <w:rtl w:val="true"/>
        </w:rPr>
        <w:footnoteReference w:id="923"/>
      </w:r>
      <w:r>
        <w:rPr>
          <w:rFonts w:ascii="IRNazanin" w:hAnsi="IRNazanin" w:eastAsia="IRNazanin"/>
          <w:color w:val="111111"/>
          <w:sz w:val="28"/>
          <w:sz w:val="28"/>
          <w:szCs w:val="28"/>
          <w:rtl w:val="true"/>
          <w:lang w:bidi="fa-IR"/>
        </w:rPr>
        <w:t xml:space="preserve">بقرینة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إنّ ذلک نتیجة الرکون إلی الظالم فی الاُمور الدینیّة لا فی الاُمور الدنیویّة، و إلاّ فلازمه عدم جواز توکیل الفاسق فی الأموال الشخصیّة للبالغین الراشدین و کونه من المحرّمات الشخصیّة، فهی بدیهی البطلان، و لا أنّه یجوز تأمین الفاسق و جعل الودیعة عنده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الأعظم بعد حکایة اشتراط العدالة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أراد بنصّ القرآن آیة الرکون إلی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دلالة الآیة نظر</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و لعلّ وجه النظر بعض هذه الوجوه التی ذکرناها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النبأ الدالّة علی عدم الاعتناء بقول الفاسق و نبئه، و ثبوت الولایة للفاسق مستلزم</w:t>
      </w:r>
      <w:r>
        <w:rPr>
          <w:rStyle w:val="FootnoteAnchor"/>
          <w:rtl w:val="true"/>
        </w:rPr>
        <w:footnoteReference w:id="926"/>
      </w:r>
      <w:r>
        <w:rPr>
          <w:rFonts w:ascii="IRNazanin" w:hAnsi="IRNazanin" w:eastAsia="IRNazanin"/>
          <w:color w:val="111111"/>
          <w:sz w:val="28"/>
          <w:sz w:val="28"/>
          <w:szCs w:val="28"/>
          <w:rtl w:val="true"/>
          <w:lang w:bidi="fa-IR"/>
        </w:rPr>
        <w:t>لقبول إخباراته و إقراراته، و هو منافٍ للآیة، و أنّ بین مفاد الآیة و دلیل جعل الولایة تعارض العموم من وجه؛ لأنّ لازم جعل الولایة هو قبول إقراراته و إخباراته بالنسبة إلی ما تولاّه و إطلاقه یقتضی وجوب قبول قول الولیّ الفاسق، و الآیة الشریفة بإطلاقها تشمل الولیّ الفاسق فیتعارضان فیه، فیجب رفع الید عن مفاد الأخبار؛ لعدم إمکان تعارضها مع الکتاب</w:t>
      </w:r>
      <w:r>
        <w:rPr>
          <w:rStyle w:val="FootnoteAnchor"/>
          <w:rtl w:val="true"/>
        </w:rPr>
        <w:footnoteReference w:id="927"/>
      </w:r>
      <w:bookmarkStart w:id="364" w:name="pg11753_114835"/>
    </w:p>
    <w:p>
      <w:pPr>
        <w:pStyle w:val="Heading6"/>
        <w:numPr>
          <w:ilvl w:val="5"/>
          <w:numId w:val="1"/>
        </w:numPr>
        <w:rPr/>
      </w:pPr>
      <w:bookmarkStart w:id="365" w:name="__RefHeading___Toc9482742_73709187"/>
      <w:bookmarkStart w:id="366" w:name="_Toc140"/>
      <w:bookmarkEnd w:id="364"/>
      <w:bookmarkEnd w:id="365"/>
      <w:r>
        <w:rPr>
          <w:rtl w:val="true"/>
        </w:rPr>
        <w:t>الجواب عن الاستدلال بآیة النبأ</w:t>
      </w:r>
      <w:bookmarkEnd w:id="366"/>
    </w:p>
    <w:p>
      <w:pPr>
        <w:pStyle w:val="BookText"/>
        <w:rPr/>
      </w:pPr>
      <w:r>
        <w:rPr>
          <w:rFonts w:ascii="IRNazanin" w:hAnsi="IRNazanin" w:eastAsia="IRNazanin"/>
          <w:color w:val="111111"/>
          <w:sz w:val="28"/>
          <w:sz w:val="28"/>
          <w:szCs w:val="28"/>
          <w:rtl w:val="true"/>
          <w:lang w:bidi="fa-IR"/>
        </w:rPr>
        <w:t>اجیب عن الاستدلال بآیة النبأ فی المقام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الاصفهانی من أنّ عدم قبول قول الفاسق و إخباراته من حیث إنّه فاسق لا ینافی قبول إقراراته و إخباراته من حیث ولایته و وکالته و نحوهما، حیث إنّ من ملک شیئاً ملک الإقرار به و نحوه، خصوصاً بعد الاتّفاق علی ولایة الفاسق أباً کان أو جدّاً علی تزویج الصغیر و الصغیرة، مضافاً إلی أنّ اعتبار ولایة الأب و الجدّ علی الصغیر و ماله مغایر لاعتبار ولایة غیره، بملاحظة أنّه و ماله لأبیه، فهو کالولایة و السلطنة علی نفسه و ماله عادلاً کان أو فاسقاً، فتدبّر</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الإمام الخمینی بأنّ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فی الحکم الحیثی، کحلّیة الغنم فی قبال حرمة الموطوء؛ 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حیثی للبهیمة مقابل السباع مثلاً، و لیس فیه إطلاق حتّی یعارض ما دلّت علی حرمة الموطوء، بخلاف الآیة الشریفة؛ فإنّها کافلة لحکم فعلیّ له إطلاق علی فرض الدلالة، فتعارض دلیل اعتبار قول الأولیاء، کما أنّ من ملک شیئاً ملک الإقرار به لو کان مفاد روایةٍ أو معقد إجماعٍ یکشف عن الحکم علی هذا العنوان، لکان مفاده معارضاً للآیة الکریمة بالعموم من وجهٍ‌</w:t>
      </w:r>
      <w:r>
        <w:rPr>
          <w:rStyle w:val="FootnoteAnchor"/>
          <w:rtl w:val="true"/>
        </w:rPr>
        <w:footnoteReference w:id="929"/>
      </w:r>
      <w:r>
        <w:rPr>
          <w:rFonts w:ascii="IRNazanin" w:hAnsi="IRNazanin" w:eastAsia="IRNazanin"/>
          <w:color w:val="111111"/>
          <w:sz w:val="28"/>
          <w:sz w:val="28"/>
          <w:szCs w:val="28"/>
          <w:rtl w:val="true"/>
          <w:lang w:bidi="fa-IR"/>
        </w:rPr>
        <w:t>، فلا بدّ من الأخذ بها و رفض إطلاق الروایة أو معقد الإجماع</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ما قاله المحقّق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الاستدلال بالآیة</w:t>
      </w:r>
    </w:p>
    <w:p>
      <w:pPr>
        <w:pStyle w:val="BookText"/>
        <w:rPr/>
      </w:pPr>
      <w:r>
        <w:rPr>
          <w:rFonts w:ascii="IRNazanin" w:hAnsi="IRNazanin" w:eastAsia="IRNazanin"/>
          <w:color w:val="111111"/>
          <w:sz w:val="28"/>
          <w:sz w:val="28"/>
          <w:szCs w:val="28"/>
          <w:rtl w:val="true"/>
          <w:lang w:bidi="fa-IR"/>
        </w:rPr>
        <w:t xml:space="preserve">الکریمة علی اشتراط العدالة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فهم العرف باختلاف الحیث فی المورد؛ فإنّهم فرّقوا بین الإخبار من حیث إنّه خبر و یدلّ علی واقعةٍ فی الخارج، و بین الإخبار من الولیّ من حیث إعمال ولایته علی مال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کلام الإمام الخمینی رحمه الله، و هو أنّه لا إطلاق</w:t>
      </w:r>
      <w:r>
        <w:rPr>
          <w:rStyle w:val="FootnoteAnchor"/>
          <w:rtl w:val="true"/>
        </w:rPr>
        <w:footnoteReference w:id="931"/>
      </w:r>
      <w:r>
        <w:rPr>
          <w:rFonts w:ascii="IRNazanin" w:hAnsi="IRNazanin" w:eastAsia="IRNazanin"/>
          <w:color w:val="111111"/>
          <w:sz w:val="28"/>
          <w:sz w:val="28"/>
          <w:szCs w:val="28"/>
          <w:rtl w:val="true"/>
          <w:lang w:bidi="fa-IR"/>
        </w:rPr>
        <w:t xml:space="preserve">فی الآیة الکریمة بالنسبة إلی عدم قبول قول ولیّ الفاسق؛ حیث إنّ ظاهر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بملاحظة التعلیل الوارد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الاعتماد علی خبر الفاسق فی الوقائع المهمّة، نحو خبر الولید بکفر بنی المصطلق؛ لأنّ الاعتماد فی مثله یوجب تجهیز الجیش و قتال المرتدّین، و قتل العامّ الموجب للإصباح نادمین، أیّة ندامةٍ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مثله لا بدّ من التثبّت و التفتیش فی الواقعة لا العمل بقول الواحد أو الاثنین، سیّما إذا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أجنبیّة عن الحکم بعدم قبول قول الفاسق مطلقاً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قبول إخبار الملاّک و ذوی أیادی و الأولیاء بالتصرّفات فیما بأیدیهم أو ثبوت ولایتهم علیها، ممّا جرت علیه السیرة العقلائیة من دون نظرٍ إلی کونهم عدولاً، و الردع عمّا جرت علیه سیرتهم یحتاج إلی النهی عنه بخصوصه، و لا یصحّ بالعموم و الإطلاق، و تفصیل ذلک فی الاُصول فی بحث عدم کون الآیات الناهیة عن اتّباع غیر العلم رادعة عن العمل بأخبار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هذا الجواب أیضاً الإمام الخمینی قدس سره</w:t>
      </w:r>
      <w:r>
        <w:rPr>
          <w:rStyle w:val="FootnoteAnchor"/>
          <w:rtl w:val="true"/>
        </w:rPr>
        <w:footnoteReference w:id="933"/>
      </w:r>
      <w:r>
        <w:rPr>
          <w:rFonts w:ascii="IRNazanin" w:hAnsi="IRNazanin" w:eastAsia="IRNazanin"/>
          <w:color w:val="111111"/>
          <w:sz w:val="28"/>
          <w:sz w:val="28"/>
          <w:szCs w:val="28"/>
          <w:rtl w:val="true"/>
          <w:lang w:bidi="fa-IR"/>
        </w:rPr>
        <w:t>و تبعه فی ذلک الاُستاذ</w:t>
      </w:r>
      <w:bookmarkStart w:id="367" w:name="pg11753_114837"/>
    </w:p>
    <w:p>
      <w:pPr>
        <w:pStyle w:val="BookText"/>
        <w:rPr/>
      </w:pPr>
      <w:bookmarkEnd w:id="367"/>
      <w:r>
        <w:rPr>
          <w:rFonts w:ascii="IRNazanin" w:hAnsi="IRNazanin" w:eastAsia="IRNazanin"/>
          <w:color w:val="111111"/>
          <w:sz w:val="28"/>
          <w:sz w:val="28"/>
          <w:szCs w:val="28"/>
          <w:rtl w:val="true"/>
          <w:lang w:bidi="fa-IR"/>
        </w:rPr>
        <w:t>الشیخ جواد التبریزی</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الفاسق سفیهٌ، خصوصاً إذا کان شارب الخمر، و السفیه لا تثبت له الولایة مطلقاً، و فیه نظر، للمنع من أنّ الفاسق سفیه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ثبوت الولایة للأب و الجدّ؛ لأنّ الولایة علی خلاف الأصل، فیلزم فیه الاقتصار علی المتیقّن</w:t>
      </w:r>
      <w:r>
        <w:rPr>
          <w:rStyle w:val="FootnoteAnchor"/>
          <w:rtl w:val="true"/>
        </w:rPr>
        <w:footnoteReference w:id="936"/>
      </w:r>
      <w:r>
        <w:rPr>
          <w:rFonts w:ascii="Amiri" w:hAnsi="Amiri" w:eastAsia="Amiri" w:cs="Amiri"/>
          <w:color w:val="111111"/>
          <w:sz w:val="28"/>
          <w:sz w:val="28"/>
          <w:szCs w:val="28"/>
          <w:rtl w:val="true"/>
          <w:lang w:bidi="ar-SA"/>
        </w:rPr>
        <w:t>؛ و هو صورة ثبوت العدالة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نظر؛ لأنّ الأصل بقاء الولایة لهما إذا کانا عدلین ثمّ فسقا، و لا قائل بالفصل بین الصور علی الظاهر، مع أنّ المثبت للولایة مقدّم علی النافی لهما، کما لا یخفی</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ممّا ذکرنا أنّه لا دلیل علی اشتراط العدالة فی ثبوت الولایة للأب و الجدّ</w:t>
      </w:r>
      <w:r>
        <w:rPr>
          <w:rFonts w:eastAsia="IRNazanin" w:cs="IRNazanin"/>
          <w:color w:val="111111"/>
          <w:sz w:val="28"/>
          <w:szCs w:val="28"/>
          <w:rtl w:val="true"/>
          <w:lang w:bidi="fa-IR"/>
        </w:rPr>
        <w:t>.</w:t>
      </w:r>
    </w:p>
    <w:p>
      <w:pPr>
        <w:pStyle w:val="Heading6"/>
        <w:numPr>
          <w:ilvl w:val="5"/>
          <w:numId w:val="1"/>
        </w:numPr>
        <w:rPr/>
      </w:pPr>
      <w:bookmarkStart w:id="368" w:name="__RefHeading___Toc9482744_73709187"/>
      <w:bookmarkStart w:id="369" w:name="_Toc141"/>
      <w:bookmarkEnd w:id="368"/>
      <w:r>
        <w:rPr>
          <w:rtl w:val="true"/>
        </w:rPr>
        <w:t>إیضاحٌ‌</w:t>
      </w:r>
      <w:bookmarkEnd w:id="36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الإیروانی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مجال لتوهّم دخل العدالة علی سبیل الموضوعیّة کما فی المقلّد و القاضی و البیِّنة و إمام الجماعة؛ لعدم الدلیل علیه، بل هی طریق للحکم بوقوع تصرّفات الولیّ علی طبق ما یعتبر أن یقع علیه من المصلحة أو عدم المفسدة، فلو فرض صدور التصرّف من الفاسق علی طبق ما یعتبر نفذ، کما أنّه لو فرض صدور التصرّف من العادل علی خلاف ما یعتبر لم ینفذ و فسق بذلک إن کان عن عمدٍ</w:t>
      </w:r>
      <w:r>
        <w:rPr>
          <w:rFonts w:eastAsia="IRNazanin" w:cs="IRNazanin"/>
          <w:color w:val="111111"/>
          <w:sz w:val="28"/>
          <w:szCs w:val="28"/>
          <w:rtl w:val="true"/>
          <w:lang w:bidi="fa-IR"/>
        </w:rPr>
        <w:t>.</w:t>
      </w:r>
      <w:bookmarkStart w:id="370" w:name="pg11753_114838"/>
    </w:p>
    <w:p>
      <w:pPr>
        <w:pStyle w:val="BookText"/>
        <w:rPr/>
      </w:pPr>
      <w:bookmarkEnd w:id="370"/>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فی مقدار ما هو ولیّ فیه من التصرّفات تصرّفه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طریق معرفة أنّ تصرّفه غیر متخطّئ عن ذلک القانون للأجانب هو العدالة</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الاُستاذ الشیخ جواد التبریزی فی الردّ علیه،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الاعتبار لو کان مستند الحکم النهی عن الرکون إلی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المستند آیة النبأ لکان الالتزام باعتبارها طریقاً وجیهاً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9482746_73709187"/>
      <w:bookmarkStart w:id="372" w:name="_Toc142"/>
      <w:bookmarkEnd w:id="371"/>
      <w:r>
        <w:rPr>
          <w:rtl w:val="true"/>
        </w:rPr>
        <w:t>القول الثانی عدم اشتراط العدالة فی ثبوت الولایة للأب و الجدّ</w:t>
      </w:r>
      <w:bookmarkEnd w:id="372"/>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فی ثبوت الولایة للأب و الجدّ عدالتهما، بل تثبت الولایة لهما و لو کانا فاسقین، کما یظهر من إطلاق کلام المحقّق فی الشرائع و النافع</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 کذلک فی التبصرة</w:t>
      </w:r>
      <w:r>
        <w:rPr>
          <w:rStyle w:val="FootnoteAnchor"/>
          <w:rtl w:val="true"/>
        </w:rPr>
        <w:footnoteReference w:id="941"/>
      </w:r>
      <w:r>
        <w:rPr>
          <w:rFonts w:ascii="IRNazanin" w:hAnsi="IRNazanin" w:eastAsia="IRNazanin"/>
          <w:color w:val="111111"/>
          <w:sz w:val="28"/>
          <w:sz w:val="28"/>
          <w:szCs w:val="28"/>
          <w:rtl w:val="true"/>
          <w:lang w:bidi="fa-IR"/>
        </w:rPr>
        <w:t>و الإرشاد</w:t>
      </w:r>
      <w:r>
        <w:rPr>
          <w:rStyle w:val="FootnoteAnchor"/>
          <w:rtl w:val="true"/>
        </w:rPr>
        <w:footnoteReference w:id="942"/>
      </w:r>
      <w:r>
        <w:rPr>
          <w:rFonts w:ascii="IRNazanin" w:hAnsi="IRNazanin" w:eastAsia="IRNazanin"/>
          <w:color w:val="111111"/>
          <w:sz w:val="28"/>
          <w:sz w:val="28"/>
          <w:szCs w:val="28"/>
          <w:rtl w:val="true"/>
          <w:lang w:bidi="fa-IR"/>
        </w:rPr>
        <w:t>و التحریر</w:t>
      </w:r>
      <w:r>
        <w:rPr>
          <w:rStyle w:val="FootnoteAnchor"/>
          <w:rtl w:val="true"/>
        </w:rPr>
        <w:footnoteReference w:id="943"/>
      </w:r>
      <w:r>
        <w:rPr>
          <w:rFonts w:ascii="IRNazanin" w:hAnsi="IRNazanin" w:eastAsia="IRNazanin"/>
          <w:color w:val="111111"/>
          <w:sz w:val="28"/>
          <w:sz w:val="28"/>
          <w:szCs w:val="28"/>
          <w:rtl w:val="true"/>
          <w:lang w:bidi="fa-IR"/>
        </w:rPr>
        <w:t>و القواعد</w:t>
      </w:r>
      <w:r>
        <w:rPr>
          <w:rStyle w:val="FootnoteAnchor"/>
          <w:rtl w:val="true"/>
        </w:rPr>
        <w:footnoteReference w:id="944"/>
      </w:r>
      <w:r>
        <w:rPr>
          <w:rFonts w:ascii="IRNazanin" w:hAnsi="IRNazanin" w:eastAsia="IRNazanin"/>
          <w:color w:val="111111"/>
          <w:sz w:val="28"/>
          <w:sz w:val="28"/>
          <w:szCs w:val="28"/>
          <w:rtl w:val="true"/>
          <w:lang w:bidi="fa-IR"/>
        </w:rPr>
        <w:t>و الدروس</w:t>
      </w:r>
      <w:r>
        <w:rPr>
          <w:rStyle w:val="FootnoteAnchor"/>
          <w:rtl w:val="true"/>
        </w:rPr>
        <w:footnoteReference w:id="94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اللمعة</w:t>
      </w:r>
      <w:r>
        <w:rPr>
          <w:rStyle w:val="FootnoteAnchor"/>
          <w:rtl w:val="true"/>
        </w:rPr>
        <w:footnoteReference w:id="946"/>
      </w:r>
      <w:r>
        <w:rPr>
          <w:rFonts w:ascii="IRNazanin" w:hAnsi="IRNazanin" w:eastAsia="IRNazanin"/>
          <w:color w:val="111111"/>
          <w:sz w:val="28"/>
          <w:sz w:val="28"/>
          <w:szCs w:val="28"/>
          <w:rtl w:val="true"/>
          <w:lang w:bidi="fa-IR"/>
        </w:rPr>
        <w:t>و کنز العرفان</w:t>
      </w:r>
      <w:r>
        <w:rPr>
          <w:rStyle w:val="FootnoteAnchor"/>
          <w:rtl w:val="true"/>
        </w:rPr>
        <w:footnoteReference w:id="947"/>
      </w:r>
      <w:r>
        <w:rPr>
          <w:rFonts w:ascii="Amiri" w:hAnsi="Amiri" w:eastAsia="Amiri" w:cs="Amiri"/>
          <w:color w:val="111111"/>
          <w:sz w:val="28"/>
          <w:sz w:val="28"/>
          <w:szCs w:val="28"/>
          <w:rtl w:val="true"/>
          <w:lang w:bidi="ar-SA"/>
        </w:rPr>
        <w:t>و الروضة</w:t>
      </w:r>
      <w:r>
        <w:rPr>
          <w:rStyle w:val="FootnoteAnchor"/>
          <w:rtl w:val="true"/>
        </w:rPr>
        <w:footnoteReference w:id="948"/>
      </w:r>
      <w:r>
        <w:rPr>
          <w:rFonts w:ascii="IRNazanin" w:hAnsi="IRNazanin" w:eastAsia="IRNazanin"/>
          <w:color w:val="111111"/>
          <w:sz w:val="28"/>
          <w:sz w:val="28"/>
          <w:szCs w:val="28"/>
          <w:rtl w:val="true"/>
          <w:lang w:bidi="fa-IR"/>
        </w:rPr>
        <w:t>و مجمع البرهان</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جماعة من متأخّری</w:t>
      </w:r>
      <w:bookmarkStart w:id="373" w:name="pg11753_114839"/>
    </w:p>
    <w:p>
      <w:pPr>
        <w:pStyle w:val="BookText"/>
        <w:rPr/>
      </w:pPr>
      <w:bookmarkEnd w:id="373"/>
      <w:r>
        <w:rPr>
          <w:rFonts w:ascii="Amiri" w:hAnsi="Amiri" w:eastAsia="Amiri" w:cs="Amiri"/>
          <w:color w:val="111111"/>
          <w:sz w:val="28"/>
          <w:sz w:val="28"/>
          <w:szCs w:val="28"/>
          <w:rtl w:val="true"/>
          <w:lang w:bidi="ar-SA"/>
        </w:rPr>
        <w:t>المتأخّرین</w:t>
      </w:r>
      <w:r>
        <w:rPr>
          <w:rStyle w:val="FootnoteAnchor"/>
          <w:rtl w:val="true"/>
        </w:rPr>
        <w:footnoteReference w:id="950"/>
      </w:r>
      <w:r>
        <w:rPr>
          <w:rFonts w:ascii="IRNazanin" w:hAnsi="IRNazanin" w:eastAsia="IRNazanin"/>
          <w:color w:val="111111"/>
          <w:sz w:val="28"/>
          <w:sz w:val="28"/>
          <w:szCs w:val="28"/>
          <w:rtl w:val="true"/>
          <w:lang w:bidi="fa-IR"/>
        </w:rPr>
        <w:t>و فقهاء العصر</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یشکل الأمر فی الأب الفاسق</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 فی توضیحه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الإشکال أنّ ولایته ثابتةٌ بأصل الشرع تابعةٌ لأبوّته، و لم یشترط الشارع فی ولایته العدالة، و الفرق بینه و بین الأجنبی قائم؛ لأنّ شفقته المرکوزة فی الجبلّة تمنعه من تضییع مصلحة أولاده، و من حیث إنّ الفاسق لا یرکن إلیه و لیس أهلاً للاستئمان</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 w:name="__RefHeading___Toc9482748_73709187"/>
      <w:bookmarkStart w:id="375" w:name="_Toc143"/>
      <w:bookmarkEnd w:id="374"/>
      <w:r>
        <w:rPr>
          <w:rtl w:val="true"/>
        </w:rPr>
        <w:t>أدلّة قول الثانی</w:t>
      </w:r>
      <w:bookmarkEnd w:id="375"/>
    </w:p>
    <w:p>
      <w:pPr>
        <w:pStyle w:val="BookText"/>
        <w:rPr/>
      </w:pPr>
      <w:r>
        <w:rPr>
          <w:rFonts w:ascii="IRNazanin" w:hAnsi="IRNazanin" w:eastAsia="IRNazanin"/>
          <w:color w:val="111111"/>
          <w:sz w:val="28"/>
          <w:sz w:val="28"/>
          <w:szCs w:val="28"/>
          <w:rtl w:val="true"/>
          <w:lang w:bidi="fa-IR"/>
        </w:rPr>
        <w:t>و یمکن الاستدلال علی عدم اعتبار العدالة فی ولایتهما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أکثر العبارات خالیة عن اشتراط العدالة فی الأب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یقتضی العدم</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حکاه أیضاً عن الکفایة فی مفتاح الکرامة</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الأعظم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عدم اعتبار العدالة؛ للأصل و الإطلاقات</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و کذا فی الجواهر</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 ظاهر عطف الثانی علی الأوّل، أنّه لا یکون المراد من الأصل هی الإطلاقات أو القاعدة المستفادة منها، بل المراد منه الأصل العملی، أی البراءة أو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البراءة؛ فإنّ مثل حدیث الرفع بناءً علی شموله للأحکام الوضعیّة، فلا مانع من التمسّک به و رفع ما یحتمل شرطیّته فی تأثیر تصرّفات الأب و الجد؛ لکونها مجهولة و یناسبه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أنّه عند الشکّ فی جزئیّة شیء للمرکّب أو شرطیّته تجری فیه البراءة الشرعیّة، و یندرج فی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و به قال المحقّق الخراسانی</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المرفوع عند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المؤاخذة علی الأقرب و الأظهر، مع إشکال و تأمّل فیه منه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فیبعد أن یکون المراد من الأصل هو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الاستصحاب، فإن کان المراد به هو الاستصحاب النعتی؛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کانت فی زمان و لم تکن مشروطة بالعدالة، فکذلک الحال، فلا شبهة أنّه لم یکن لذلک حالة سابقة؛ إذ لیس زمانٌ تکون الولایة ثابتةً و لم تکن مشروطة بالعدالة حتّی نستصحبها، و إن کان المراد منه أصل العدم الأزلی لسلم من إشکال عدم وجود الحالة السابقة، إلاّ أنّ الشیخ الأعظم قدس سره لا یقول به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أصل لهذا الأصل الذی ذکره المحقّق الأردبیلی و السبزواری و الشیخ الأعظم کما أشار إلیه المحقّق الاصفهانی و تلمیذه</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lang w:bidi="fa-IR"/>
        </w:rPr>
        <w:t>0</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من الأصل هنا هو الأصل العقلائی؛ لأنّ العقلاء یلاحظون فی تصرّفات الأولیاء فی أموال الصغار بأن یکونوا امناء و موثّقین لحفظ المال و التصرّف لمصلحة الطفل، و لا یعتبرون أزید من الأمانة و الوثاقة، فعدم اعتبار العدالة لهذا الأصل العقلائی، و لا یکون المراد منه الأصل العملی، کالبراءة و الاستصحاب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العدالة لو کانت شرطاً فی ثبوت ولایتهما لاشتهر روایةً؛ لتوفّر الدواعی علیه، و إلیه أشار فی جامع المقاصد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ولایته ثابتةٌ بمقتضی النصّ و الإجماع، و اشتراط العدالة فیه لا دلیل علیه</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النصوص، قال الشیخ الفقیه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مقتضی إطلاق أدلّة ولایة الأب و الجدّ له ثبوت الولایة لهما من غیر التقیید بالعدالة، کما عرفت أنّه الأحوط فی المؤمنین، فثبوت فسقهما أو عروضه لا یوجب بنفسه الخروج عن الولایة، بحیث لو راعیا المصلحة الکاملة فی التصرّف فی أموال الطفل لکان التّصرّف بلا وجهٍ و صادراً عن غیر ولیّ الشرعیّ، بل تصرّفهما صحیح و صادر عمّن له الولایة</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النصوص ما یلی، و هی علی طوائف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باب الوصیّة بالمضاربة بمال الولد الصغیر، کموثّقة محمّد بن مسلم، عن أبی عبد اللّه علیه السلام، أنّه سئل عن رجلٍ أوصی إلی رجلٍ بوُلده</w:t>
      </w:r>
    </w:p>
    <w:p>
      <w:pPr>
        <w:pStyle w:val="BookText"/>
        <w:rPr/>
      </w:pPr>
      <w:r>
        <w:rPr>
          <w:rFonts w:ascii="IRNazanin" w:hAnsi="IRNazanin" w:eastAsia="IRNazanin"/>
          <w:color w:val="111111"/>
          <w:sz w:val="28"/>
          <w:sz w:val="28"/>
          <w:szCs w:val="28"/>
          <w:rtl w:val="true"/>
          <w:lang w:bidi="fa-IR"/>
        </w:rPr>
        <w:t>و بمال لهم، و أذِن له عند الوصیّة أن یعمل بالمال، و أن یکون الربح بینه و بینهم،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من أجل أنّ أباه قد أذِن له فی ذلک و هو حیٌّ</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 فإنّها تدلّ علی نفوذ تصرّف الوالد فی مال ولده، و لها إطلاق یشمل حالتی الفسق و العدالة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ترک الاستفصال فی صدرها،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إطلاق التعلیل؛ لأنّه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أباه قد أذِن له فی ذلک و 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ترک الاستفصال فی روایة خالد بن بکیر أیضاً دلیل علی عدم اعتبار العدالة؛ فإنّ فی 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فیما بینک و 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فلیس علیک ضمان</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باب الوقف علی الولد الصغیر، کصحیحة</w:t>
      </w:r>
    </w:p>
    <w:p>
      <w:pPr>
        <w:pStyle w:val="BookText"/>
        <w:rPr/>
      </w:pPr>
      <w:r>
        <w:rPr>
          <w:rFonts w:ascii="IRNazanin" w:hAnsi="IRNazanin" w:eastAsia="IRNazanin"/>
          <w:color w:val="111111"/>
          <w:sz w:val="28"/>
          <w:sz w:val="28"/>
          <w:szCs w:val="28"/>
          <w:rtl w:val="true"/>
          <w:lang w:bidi="fa-IR"/>
        </w:rPr>
        <w:t>محمّد بن مسلم، عن أبی جعفر علیه السلام، أنّه قال فی الرجل یتصدّق علی ولده و قد أدرکوا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یقبضوا حتّی یموت فهو میراث، فإن تصدّق علی من لم یدرک من ولده فهو جائز؛ لأنّ والده هو الذی یلی أمره</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مفاد التعلیل أنّ الوالد الذی یلی أمر الصغیر یکفی قبضه فی صحّة الوقف و لزومه؛ لأنّه ولیّ الموقوف علیه، و هو قضیّةٌ مطلقة شاملة لحالتی الفسق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معتبرة عبید بن زرارة؛ فإنّ فی 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الوالد هو الذی یلی أمره</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أی أمر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معتبرة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عن رجلٍ تصدّق علی ولده بصدقةٍ، ثمّ بدا له أن یدخُل غیره فیه مع ولده، أ یصلح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یصنع الوالد بمال ولده ما أحبّ، و الهبة من الولد بمنزلة الصدقة من غیره</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فإنّ إطلاق التعلیل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یصنع الوالد بمال ولده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اعتبار العدالة فی ولایة الأب، و یثبت فی ولایة الجدّ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باب نکاح الأب أو الجدّ ولده الصغیر، کروایة</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الجاریة الصغیرة یزوّجها أبوها لها أمر إذا بلغت؟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لها مع أبیها أمرٌ،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البکر، إذا بلغت مبلغ النساء أ لها مع أبیها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مع أبیها أمر ما لم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تثیب خ ل</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مقتضی إطلاق الذیل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مع أبیها 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نکرةٌ فی سیاق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امورها کلّها مسلوبةٌ‌</w:t>
      </w:r>
      <w:r>
        <w:rPr>
          <w:rStyle w:val="FootnoteAnchor"/>
          <w:rtl w:val="true"/>
        </w:rPr>
        <w:footnoteReference w:id="970"/>
      </w:r>
      <w:r>
        <w:rPr>
          <w:rFonts w:ascii="IRNazanin" w:hAnsi="IRNazanin" w:eastAsia="IRNazanin"/>
          <w:color w:val="111111"/>
          <w:sz w:val="28"/>
          <w:sz w:val="28"/>
          <w:szCs w:val="28"/>
          <w:rtl w:val="true"/>
          <w:lang w:bidi="fa-IR"/>
        </w:rPr>
        <w:t>عنها و مفوّضة إلی أبیها، و أنّ امورها الراجعة إلی نفسها و مالها موکولةٌ إلی الوالد، و هذا معنی الولایة للأب، و لم یقیّد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معتبرة زرارة؛ فإنّ فی ذیلها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کذلک فلا یجوز تزویجها إلاّ بأمر ولیّها</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فإنّ الظاهر من الولیّ متولّی الاُمور کلّها فی الأموال و غیرها، و هو مطلق یشمل حالتی الفسق و العدالة، کما یظهر ذلک من کلام</w:t>
      </w:r>
    </w:p>
    <w:p>
      <w:pPr>
        <w:pStyle w:val="BookText"/>
        <w:rPr/>
      </w:pPr>
      <w:r>
        <w:rPr>
          <w:rFonts w:ascii="IRNazanin" w:hAnsi="IRNazanin" w:eastAsia="IRNazanin"/>
          <w:color w:val="111111"/>
          <w:sz w:val="28"/>
          <w:sz w:val="28"/>
          <w:szCs w:val="28"/>
          <w:rtl w:val="true"/>
          <w:lang w:bidi="fa-IR"/>
        </w:rPr>
        <w:t>الشیخ الحائری قدس سره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حکی فی نکاح التذکرة</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الإجماع علی ولایة الفاسق فی النکاح</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و فحواه یشمل ولایته علی الأموال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ذکرناه أنّه لا یشترط فی ولایة الأب و الجدّ عدالتهما نصّاً و فتوی و إجماعاً، و إنّما الکلام فی رفع المانع الذی ذکره فخر المحقّقین فی الإیضاح،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الأصحّ عندی أنّه لا ولایة له ما دام فاسقاً، لأنّها ولایةٌ علی من لا یدفع عن نفسه و لا یعرف عن حاله، و یستحیل من حکمة الصانع أن یجعل الفاسق أمیناً یقبل إقراراته و إخباراته علی غیره مع نصّ القرآن علی خلافه</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 یرجع إلی أنّ تولیة أمره إلی الفاسق تؤول أحیاناً إلی تلف مال الصغیر، و لعلّ مراده من نصّ القرآن</w:t>
      </w:r>
      <w:r>
        <w:rPr>
          <w:rStyle w:val="FootnoteAnchor"/>
          <w:rtl w:val="true"/>
        </w:rPr>
        <w:footnoteReference w:id="976"/>
      </w:r>
      <w:r>
        <w:rPr>
          <w:rFonts w:ascii="IRNazanin" w:hAnsi="IRNazanin" w:eastAsia="IRNazanin"/>
          <w:color w:val="111111"/>
          <w:sz w:val="28"/>
          <w:sz w:val="28"/>
          <w:szCs w:val="28"/>
          <w:rtl w:val="true"/>
          <w:lang w:bidi="fa-IR"/>
        </w:rPr>
        <w:t>آیة الرکون إلی الظالم</w:t>
      </w:r>
      <w:r>
        <w:rPr>
          <w:rStyle w:val="FootnoteAnchor"/>
          <w:rtl w:val="true"/>
        </w:rPr>
        <w:footnoteReference w:id="977"/>
      </w:r>
      <w:r>
        <w:rPr>
          <w:rFonts w:ascii="IRNazanin" w:hAnsi="IRNazanin" w:eastAsia="IRNazanin"/>
          <w:color w:val="111111"/>
          <w:sz w:val="28"/>
          <w:sz w:val="28"/>
          <w:szCs w:val="28"/>
          <w:rtl w:val="true"/>
          <w:lang w:bidi="fa-IR"/>
        </w:rPr>
        <w:t>، کما فی جامع المقاصد</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دلالة الآیة نظر یظهر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العقلی الذی ذکره فی الإیضاح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یقتضی اعتبار العدالة، بل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الوثاقة و الأمانة، فربما یکون الفاسق أوثق فی الأموال من بعض العدول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الأدلّة المؤیّد بالإجماع دلیلٌ قطعیٌّ علی عدم اشتراط</w:t>
      </w:r>
      <w:bookmarkStart w:id="376" w:name="pg11753_114845"/>
    </w:p>
    <w:p>
      <w:pPr>
        <w:pStyle w:val="BookText"/>
        <w:rPr/>
      </w:pPr>
      <w:bookmarkEnd w:id="376"/>
      <w:r>
        <w:rPr>
          <w:rFonts w:ascii="IRNazanin" w:hAnsi="IRNazanin" w:eastAsia="IRNazanin"/>
          <w:color w:val="111111"/>
          <w:sz w:val="28"/>
          <w:sz w:val="28"/>
          <w:szCs w:val="28"/>
          <w:rtl w:val="true"/>
          <w:lang w:bidi="fa-IR"/>
        </w:rPr>
        <w:t xml:space="preserve">العدالة، و هو حجّة قطعیّة، و لا یمکن رفع الید عن هذه الحجّة إلاّ مع قیام حجّةٍ شرعیّةٍ أو عقلیّة قطعیّة التی لا یمکن دفعها، و مع وجود الاحتمال لا یصحّ الأخذ بالدلیل العقلی، و فی هذا المورد لو احتملنا أنّ فی ترک الولایة للأب 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کانا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مفسدة غالبة بحیث توجب تلف مال الصغیر أحیاناً لا دافع لهذا الاحتمال، و معه لا یجوز رفع الید عن تلک المطلقات الکثیرة بمثل هذه الاُمور الظنّیة، کما أشار إلیه الإمام الخمینی</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المحقّق الثانی عمّا فی الإیضاح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هذا المحذور بأنّ الحاکم متی ظهر عنده بقرائن الأحوال اختلال حال الطفل إذا کان للأب علیه ولایة، عَزَلَه و مَنَعَه من التصرّف فی ماله و إثبات الید علیه، و إن ظهر خلافه فولایته ثابتة، و إن لم یعلم حاله استعلم بالاجتهاد و تتبّع سلوکه و شواهد أحواله</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إنّ الحکمة بل العلّة فی ثبوت الولایة للأب و الجدّ رعایة الغبطة و المصلحة للأطفال، بحیث لم یقع منهما تضرّر علی المولّی علیه لعدم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ظهر للحاکم و لو بقرائن الأحوال ثبوت الضرر منهما علی الطفل المولّی علیه، یجب علی الحاکم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صورة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عزلهما و منعهما من التصرّف فی أمواله؛ لاستلزامه خلاف علّة ثبوت الولایة لهما</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9482750_73709187"/>
      <w:bookmarkStart w:id="378" w:name="_Toc144"/>
      <w:bookmarkEnd w:id="377"/>
      <w:r>
        <w:rPr>
          <w:rtl w:val="true"/>
        </w:rPr>
        <w:t>القول الثالث</w:t>
      </w:r>
      <w:r>
        <w:rPr>
          <w:rtl w:val="true"/>
        </w:rPr>
        <w:t xml:space="preserve">: </w:t>
      </w:r>
      <w:r>
        <w:rPr>
          <w:rtl w:val="true"/>
        </w:rPr>
        <w:t>التوقّف فی المسألة</w:t>
      </w:r>
      <w:bookmarkEnd w:id="3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العلاّمة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اعتبار العدالة فی الوصیّ خلافٌ، الأقرب ذلک، و یشکل الأمر فی الأب الفاسق</w:t>
      </w:r>
      <w:r>
        <w:rPr>
          <w:rStyle w:val="FootnoteAnchor"/>
          <w:rtl w:val="true"/>
        </w:rPr>
        <w:footnoteReference w:id="982"/>
      </w:r>
      <w:bookmarkStart w:id="379" w:name="pg11753_114846"/>
    </w:p>
    <w:p>
      <w:pPr>
        <w:pStyle w:val="BookText"/>
        <w:rPr/>
      </w:pPr>
      <w:bookmarkEnd w:id="379"/>
      <w:r>
        <w:rPr>
          <w:rFonts w:ascii="IRNazanin" w:hAnsi="IRNazanin" w:eastAsia="IRNazanin"/>
          <w:color w:val="111111"/>
          <w:sz w:val="28"/>
          <w:sz w:val="28"/>
          <w:szCs w:val="28"/>
          <w:rtl w:val="true"/>
          <w:lang w:bidi="fa-IR"/>
        </w:rPr>
        <w:t>و وجه التوقّف أنّ ولایة الأب و الجدّ ثبت قطعاً فی الشریعة، و لا دلیل علی اعتبار العدالة، و فرق واضح بین الأب و الجدّ و الأجنبی، کالوصیّ و الوکیل و غیرهما؛ لأنّ رأفتهما علی الأولاد أکثر من رأفة العادل الأجنبی؛ إذ فی الأب و الجدّ من الشفقة الذاتیة و الرأفة الطبیعیّة بالنسبة إلی أولادهم ما لا ینکر و لو کان فاسقاً، و هذه الشفقة الذاتیّة تمنعُهما من تضییع مصلحتهم، و من أنّ الفاسق لا یرکن إلیه للاستئمان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9482752_73709187"/>
      <w:bookmarkStart w:id="381" w:name="_Toc145"/>
      <w:bookmarkEnd w:id="380"/>
      <w:r>
        <w:rPr>
          <w:rtl w:val="true"/>
        </w:rPr>
        <w:t>اشتراط العدالة فی الولایة علی الأموال، عند بعض أهل السنّة</w:t>
      </w:r>
      <w:bookmarkEnd w:id="381"/>
    </w:p>
    <w:p>
      <w:pPr>
        <w:pStyle w:val="BookText"/>
        <w:rPr/>
      </w:pPr>
      <w:r>
        <w:rPr>
          <w:rFonts w:ascii="IRNazanin" w:hAnsi="IRNazanin" w:eastAsia="IRNazanin"/>
          <w:color w:val="111111"/>
          <w:sz w:val="28"/>
          <w:sz w:val="28"/>
          <w:szCs w:val="28"/>
          <w:rtl w:val="true"/>
          <w:lang w:bidi="fa-IR"/>
        </w:rPr>
        <w:t>اشترط الشافعیّة و کذا الحنابلة فی الولیّ العدالة و لو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الشربینی من فقهاء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الصبیّ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جدّه أبو الأب و إن علا کولایة النکاح، و تکفی عدالتهما الظاهرة لوفور شفقتهما، فإن فسقا نزع القاضی المال منهما</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قدامة بعد بیان ثبوت ولایة الأب و الوصیّ علی 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شرط ثبوت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بلا خلافٍ؛ لأنّ فی تفویضها إلی الفاسق تضییعاً لماله، فلم یجز، کتفویضها إلی السفیه</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کشّاف القناع، بل الحنابلة و کذلک الشافعیّة اشترطوا فی القاضی الذی تثبت له الولایة أن یکون عدلاً، فقد جاء فی کشّاف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لم یکن أبٌ و لا وصیّه، ثبتت الولایة علی الصغیر للحاکم بالصفات المعتبرة؛ و منها العدالة</w:t>
      </w:r>
      <w:r>
        <w:rPr>
          <w:rStyle w:val="FootnoteAnchor"/>
          <w:rtl w:val="true"/>
        </w:rPr>
        <w:footnoteReference w:id="986"/>
      </w:r>
      <w:bookmarkStart w:id="382" w:name="pg11753_114847"/>
    </w:p>
    <w:p>
      <w:pPr>
        <w:pStyle w:val="BookText"/>
        <w:rPr/>
      </w:pPr>
      <w:bookmarkEnd w:id="382"/>
      <w:r>
        <w:rPr>
          <w:rFonts w:ascii="IRNazanin" w:hAnsi="IRNazanin" w:eastAsia="IRNazanin"/>
          <w:color w:val="111111"/>
          <w:sz w:val="28"/>
          <w:sz w:val="28"/>
          <w:szCs w:val="28"/>
          <w:rtl w:val="true"/>
          <w:lang w:bidi="fa-IR"/>
        </w:rPr>
        <w:t>و فی نهایة المحتاج فی فقه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الصغیر و لو انثی أبوه، ثمّ جدّه، ثمّ وصیّهما، ثمّ القاضی العدل الأمین</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الحنفیّة و المالکیّة، فلم یتعرّضوا لاشتراط العدالة فی الولایة علی الصبیّ فی أمواله</w:t>
      </w:r>
      <w:r>
        <w:rPr>
          <w:rFonts w:eastAsia="IRNazanin" w:cs="IRNazanin"/>
          <w:color w:val="111111"/>
          <w:sz w:val="28"/>
          <w:szCs w:val="28"/>
          <w:rtl w:val="true"/>
          <w:lang w:bidi="fa-IR"/>
        </w:rPr>
        <w:t>.</w:t>
      </w:r>
    </w:p>
    <w:p>
      <w:pPr>
        <w:pStyle w:val="Heading5"/>
        <w:numPr>
          <w:ilvl w:val="4"/>
          <w:numId w:val="1"/>
        </w:numPr>
        <w:rPr/>
      </w:pPr>
      <w:bookmarkStart w:id="383" w:name="__RefHeading___Toc9482754_73709187"/>
      <w:bookmarkStart w:id="384" w:name="_Toc146"/>
      <w:bookmarkEnd w:id="383"/>
      <w:r>
        <w:rPr>
          <w:rtl w:val="true"/>
        </w:rPr>
        <w:t>المطلب الثانی</w:t>
      </w:r>
      <w:r>
        <w:rPr>
          <w:rtl w:val="true"/>
        </w:rPr>
        <w:t xml:space="preserve">: </w:t>
      </w:r>
      <w:r>
        <w:rPr>
          <w:rtl w:val="true"/>
        </w:rPr>
        <w:t>اشتراط المصلحة أو عدم المفسدة</w:t>
      </w:r>
      <w:bookmarkEnd w:id="384"/>
    </w:p>
    <w:p>
      <w:pPr>
        <w:pStyle w:val="Heading6"/>
        <w:numPr>
          <w:ilvl w:val="5"/>
          <w:numId w:val="1"/>
        </w:numPr>
        <w:rPr/>
      </w:pPr>
      <w:bookmarkStart w:id="385" w:name="__RefHeading___Toc9482756_73709187"/>
      <w:bookmarkStart w:id="386" w:name="_Toc147"/>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هل یشترط فی نفوذ تصرّفات الأب و الجدّ توافقها مع المصلحة، أو یکفی عدم المفسدة، أو لا یعتبر شیء من ذلک؟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شیء من المصلحة أو عدم المفسدة، بل ینفذ و لو مع المفسدة، یدلّ علی هذا الوجه إطلاق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کصحیحة</w:t>
      </w:r>
    </w:p>
    <w:p>
      <w:pPr>
        <w:pStyle w:val="BookText"/>
        <w:rPr/>
      </w:pPr>
      <w:r>
        <w:rPr>
          <w:rFonts w:ascii="IRNazanin" w:hAnsi="IRNazanin" w:eastAsia="IRNazanin"/>
          <w:color w:val="111111"/>
          <w:sz w:val="28"/>
          <w:sz w:val="28"/>
          <w:szCs w:val="28"/>
          <w:rtl w:val="true"/>
          <w:lang w:bidi="fa-IR"/>
        </w:rPr>
        <w:t>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یحتاج إلی مال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منه ما شاء من غیر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علیه السلام إنّ الولد لا یأخذ من مال والده شیئاً إلاّ بإذنه، و الوالد یأخذ من مال ابنه ما شاء</w:t>
      </w:r>
      <w:r>
        <w:rPr>
          <w:rStyle w:val="FootnoteAnchor"/>
          <w:rtl w:val="true"/>
        </w:rPr>
        <w:footnoteReference w:id="9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إطلاق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 یأخذ من مال ابنه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نفوذ تصرّفه و لو مع المفسدة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روایة</w:t>
      </w:r>
    </w:p>
    <w:p>
      <w:pPr>
        <w:pStyle w:val="BookText"/>
        <w:rPr/>
      </w:pPr>
      <w:r>
        <w:rPr>
          <w:rFonts w:ascii="IRNazanin" w:hAnsi="IRNazanin" w:eastAsia="IRNazanin"/>
          <w:color w:val="111111"/>
          <w:sz w:val="28"/>
          <w:sz w:val="28"/>
          <w:szCs w:val="28"/>
          <w:rtl w:val="true"/>
          <w:lang w:bidi="fa-IR"/>
        </w:rPr>
        <w:t>سعید بن یسار، عن أبی عبد اللّه علیه السلام؛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یحجّ منه و ینفق منه، إنّ مال الولد للوالد</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دلّ علی أنّ الولد و ماله لأبیه، کما فی النبویّ المشهور المتقدّم</w:t>
      </w:r>
      <w:r>
        <w:rPr>
          <w:rStyle w:val="FootnoteAnchor"/>
          <w:rtl w:val="true"/>
        </w:rPr>
        <w:footnoteReference w:id="9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فی العیون و العلل، عن محمّد بن سنان، أنّ الرضا علیه السلام، کتب إلیه فیما کتب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تحلیل مال الولد لوالده بغیر إذنه و لیس ذلک للولد؛ لأنّ الولد موهوب للوالد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دلّ علی ثبوت الولایة للأب و الجدّ علی الأولاد الصغار فی النکاح؛ فإنّ إطلاق الأخبار فی باب النکاح تمام، سیّما فی موثّقة عبید بن زرارة عن أبی عبد اللّه علیه السلام؛ فإنّ فی 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علیها تزویج الأب و الجدّ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لکونها مطلقةٌ من حیث ثبوت المصلحة فی النکاح و عدم ثبوتها، و وجود المفسدة و عدمها، و تتعدّی إلی الأموال بالأولویّة القطعیّة؛ لکون النکاح أهمّ، بل تلک الأولویّة منصوصةٌ؛ فإنّه علیه السلام بعد ما سئل عن قول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هذا و هو و ماله لأبیه و لا یجوز نکاحه؟</w:t>
      </w:r>
      <w:r>
        <w:rPr>
          <w:rStyle w:val="FootnoteAnchor"/>
          <w:rtl w:val="true"/>
        </w:rPr>
        <w:footnoteReference w:id="993"/>
      </w:r>
      <w:r>
        <w:rPr>
          <w:rFonts w:ascii="IRNazanin" w:hAnsi="IRNazanin" w:eastAsia="IRNazanin"/>
          <w:color w:val="111111"/>
          <w:sz w:val="28"/>
          <w:sz w:val="28"/>
          <w:szCs w:val="28"/>
          <w:rtl w:val="true"/>
          <w:lang w:bidi="fa-IR"/>
        </w:rPr>
        <w:t>هذا ما یمکن أن یقال فی توجیه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المتقدّمة و إن دلّت علی إطلاق ولایة الأب حتّی مع المفسدة، إلاّ أنّ النصوص الاُخری دلّت علی أنّه لا یراد هذا الإطلاق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مقیّد بالأدلّة اللفظیّة و العقلیّة، و سنذکرها فی الاستدلال للوجه الثانی قریباً إن شاء اللّه، و الذی یسهّل الخطب أنّه لا قائل بهذا القول کما صرّح به الشهیدی فی حاشیته علی المکاسب</w:t>
      </w:r>
      <w:r>
        <w:rPr>
          <w:rStyle w:val="FootnoteAnchor"/>
          <w:rtl w:val="true"/>
        </w:rPr>
        <w:footnoteReference w:id="994"/>
      </w:r>
      <w:bookmarkStart w:id="387" w:name="pg11753_114849"/>
    </w:p>
    <w:p>
      <w:pPr>
        <w:pStyle w:val="Heading6"/>
        <w:numPr>
          <w:ilvl w:val="5"/>
          <w:numId w:val="1"/>
        </w:numPr>
        <w:rPr/>
      </w:pPr>
      <w:bookmarkStart w:id="388" w:name="__RefHeading___Toc9482758_73709187"/>
      <w:bookmarkStart w:id="389" w:name="_Toc148"/>
      <w:bookmarkEnd w:id="387"/>
      <w:bookmarkEnd w:id="388"/>
      <w:r>
        <w:rPr>
          <w:rtl w:val="true"/>
        </w:rPr>
        <w:t>کون نفوذ تصرّفات الأب و الجدّ منوطاً بعدم المفسدة</w:t>
      </w:r>
      <w:bookmarkEnd w:id="38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عدم المفسدة فی تصرّفات الأب و الجدّ، اختاره فی الجواهر</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 کذا شیخه فی شرح القواعد</w:t>
      </w:r>
      <w:r>
        <w:rPr>
          <w:rStyle w:val="FootnoteAnchor"/>
          <w:rtl w:val="true"/>
        </w:rPr>
        <w:footnoteReference w:id="996"/>
      </w:r>
      <w:r>
        <w:rPr>
          <w:rFonts w:ascii="IRNazanin" w:hAnsi="IRNazanin" w:eastAsia="IRNazanin"/>
          <w:color w:val="111111"/>
          <w:sz w:val="28"/>
          <w:sz w:val="28"/>
          <w:szCs w:val="28"/>
          <w:rtl w:val="true"/>
          <w:lang w:bidi="fa-IR"/>
        </w:rPr>
        <w:t>و الشیخ الأعظم الأنصاری</w:t>
      </w:r>
      <w:r>
        <w:rPr>
          <w:rStyle w:val="FootnoteAnchor"/>
          <w:rtl w:val="true"/>
        </w:rPr>
        <w:footnoteReference w:id="997"/>
      </w:r>
      <w:r>
        <w:rPr>
          <w:rFonts w:ascii="IRNazanin" w:hAnsi="IRNazanin" w:eastAsia="IRNazanin"/>
          <w:color w:val="111111"/>
          <w:sz w:val="28"/>
          <w:sz w:val="28"/>
          <w:szCs w:val="28"/>
          <w:rtl w:val="true"/>
          <w:lang w:bidi="fa-IR"/>
        </w:rPr>
        <w:t>و المحقّق النائینی</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و السیّد الخوئی</w:t>
      </w:r>
      <w:r>
        <w:rPr>
          <w:rStyle w:val="FootnoteAnchor"/>
          <w:rtl w:val="true"/>
        </w:rPr>
        <w:footnoteReference w:id="999"/>
      </w:r>
      <w:r>
        <w:rPr>
          <w:rFonts w:ascii="IRNazanin" w:hAnsi="IRNazanin" w:eastAsia="IRNazanin"/>
          <w:color w:val="111111"/>
          <w:sz w:val="28"/>
          <w:sz w:val="28"/>
          <w:szCs w:val="28"/>
          <w:rtl w:val="true"/>
          <w:lang w:bidi="fa-IR"/>
        </w:rPr>
        <w:t>و الإمام الخمینی</w:t>
      </w:r>
      <w:r>
        <w:rPr>
          <w:rStyle w:val="FootnoteAnchor"/>
          <w:rtl w:val="true"/>
        </w:rPr>
        <w:footnoteReference w:id="1000"/>
      </w:r>
      <w:r>
        <w:rPr>
          <w:rFonts w:ascii="IRNazanin" w:hAnsi="IRNazanin" w:eastAsia="IRNazanin"/>
          <w:color w:val="111111"/>
          <w:sz w:val="28"/>
          <w:sz w:val="28"/>
          <w:szCs w:val="28"/>
          <w:rtl w:val="true"/>
          <w:lang w:bidi="fa-IR"/>
        </w:rPr>
        <w:t>قدّس اللّه أسرارهم، و الشیخ الفقیه اللنکرانی</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 القول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ینقدح من إطلاق أخبار ولایة الأب و الجدّ فی ذهن أحدٍ أنّ للولیّ أن یتصرّف فی مال المولّی علیه بما یوجب فناءه و تلفه، و هذا قرینةٌ عقلیّةٌ قطعیّة علی أنّ إطلاق النصوص المتقدّمة؛ أی نفوذ تصرّف الولیّ و شرعیّته، حتّی فی صورة المفسدة غیر مراد، کما أشار إلیه الإمام الخمینی</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Amiri" w:hAnsi="Amiri" w:eastAsia="Amiri" w:cs="Amiri"/>
          <w:color w:val="111111"/>
          <w:sz w:val="28"/>
          <w:sz w:val="28"/>
          <w:szCs w:val="28"/>
          <w:rtl w:val="true"/>
          <w:lang w:bidi="ar-SA"/>
        </w:rPr>
        <w:t>أبی حمزة الثمالی، عن أبی جعفر علیه السلام إنّ رسول اللّه صلی الله علیه و آله و سلم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مالک لأبیک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یأخذ من مال ابنه إلاّ ما احتاج إلیه ممّا لا بدّ منه، إنّ اَللّهُ لا یُحِبُّ الْفَسادَ </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یدلّ علی الحرمة</w:t>
      </w:r>
    </w:p>
    <w:p>
      <w:pPr>
        <w:pStyle w:val="BookText"/>
        <w:rPr/>
      </w:pPr>
      <w:r>
        <w:rPr>
          <w:rFonts w:ascii="IRNazanin" w:hAnsi="IRNazanin" w:eastAsia="IRNazanin"/>
          <w:color w:val="111111"/>
          <w:sz w:val="28"/>
          <w:sz w:val="28"/>
          <w:szCs w:val="28"/>
          <w:rtl w:val="true"/>
          <w:lang w:bidi="fa-IR"/>
        </w:rPr>
        <w:t xml:space="preserve">و لکن بضمیمة استشهاده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یُحِبُّ الْفَسادَ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الحرمة؛ إذ لا شبهة أنّ الفساد لیس علی قسمین، قسم منه مکروه و قسم منه حرام، بل هو متمحّض فی الحرمة، فهی تدلّ علی عدم الولایة مع الفساد، و لا یجوز التصرّف فی ما فیه مفسدة للطفل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التعلیل فی الروایة، أی استشهاده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المورد، فیستفاد من الروایة أنّ تصرّفات الأب و الجدّ منوطة بعدم المفسدة، و هو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الحسین بن أبی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من مال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سرفٍ إذا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 صلی الله علیه و آله و سلم للرجل الذی أتاه فقدّم أباه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بأبیه إلی النبیّ صلی الله علیه و آله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هذا أبی و قد ظلمنی میراثی من امّی، فأخبره الأب أنّه قد أنفقه علیه و علی نفسه،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یکن عند الرجل شیء، أَ وَ کان رسول اللّه صلی الله علیه و آله یحبس الأب للابن</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النائینی فی بیان تقریب الاستدلال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أیضاً ظاهرة الدلالة علی أنّ الحکم کان فی حقّ الأب هو الضمان، لکن لمّا لم یکن للأب شیء یؤخذ منه للابن، و کان استنقاذ حقّ الابن منه منوطاً بحبسه،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رسول اللّه یحبس الأب للابن، و إلاّ فلو کان صرفه فی نفقته بحقّ منه لما کان حکمه الحبس و لو جاز حبس الأب للابن؛ إذ التعلیل بوجود المانع مع عدم المقتضی رکیک</w:t>
      </w:r>
      <w:r>
        <w:rPr>
          <w:rStyle w:val="FootnoteAnchor"/>
          <w:rtl w:val="true"/>
        </w:rPr>
        <w:footnoteReference w:id="10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لاستناد عدم الشیء عند عدم المقتضی إلیه دون وجود المانع، لکون المعلول مستنداً إلی أسبق علله، کما لا یخفی</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أبی الصباح الکنانی، عن أبی عبد اللّه علیه السلام فی الرجل یکون لبعض ولده جاریة و ولده صغار هل یصلح أن یطأها؟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یقوّمها قیمة عدل ثمّ یأخذها و یکون لولده علیه ثمنها</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هذه الروایة أنّ الوالد له التصرّف الاعتباری بالبیع و الشراء و غیرهما فی مال ابنه الصغیر، لکن لا بما یوجب الفساد؛ لأنّ القیمة العادلة هی التی لا فساد فیها</w:t>
      </w:r>
      <w:r>
        <w:rPr>
          <w:rStyle w:val="FootnoteAnchor"/>
          <w:rtl w:val="true"/>
        </w:rPr>
        <w:footnoteReference w:id="1008"/>
      </w:r>
      <w:r>
        <w:rPr>
          <w:rFonts w:ascii="IRNazanin" w:hAnsi="IRNazanin" w:eastAsia="IRNazanin"/>
          <w:color w:val="111111"/>
          <w:sz w:val="28"/>
          <w:sz w:val="28"/>
          <w:szCs w:val="28"/>
          <w:rtl w:val="true"/>
          <w:lang w:bidi="fa-IR"/>
        </w:rPr>
        <w:t>، و لو کانت تصرّفات الولیّ نافذةً فی حقّ الطفل مطلقاً لم یکن وجهٌ للتقویم بقیمة عادلة، بل کانت القیمة النازلة أیضاً وافیة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صحیحة عبد الرحمن بن الحجّاج</w:t>
      </w:r>
      <w:r>
        <w:rPr>
          <w:rStyle w:val="FootnoteAnchor"/>
          <w:rtl w:val="true"/>
        </w:rPr>
        <w:footnoteReference w:id="1009"/>
      </w:r>
      <w:r>
        <w:rPr>
          <w:rFonts w:ascii="IRNazanin" w:hAnsi="IRNazanin" w:eastAsia="IRNazanin"/>
          <w:color w:val="111111"/>
          <w:sz w:val="28"/>
          <w:sz w:val="28"/>
          <w:szCs w:val="28"/>
          <w:rtl w:val="true"/>
          <w:lang w:bidi="fa-IR"/>
        </w:rPr>
        <w:t>، و روایة داود بن سرحان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یرید أبوها أن یزوّجها من رجلٍ، و یرید جدّها أن یزوّجها من رجلٍ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أولی بذلک ما لم یکن مضارّاً</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فانّها تدلّ مفهوماً علی عدم الولایة للجدّ مع الضرر، فیکون مقیّداً للإطلاقات، کما أشار إلیه المحقّق الاصفهانی</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السیّد الخوئی،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المفهوم و إن کان موجوداً، و لکنّه عدم الولایة مع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یدلّ علی عدم الولایة للجدّ مع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به نفی</w:t>
      </w:r>
      <w:bookmarkStart w:id="390" w:name="pg11753_114852"/>
    </w:p>
    <w:p>
      <w:pPr>
        <w:pStyle w:val="BookText"/>
        <w:rPr/>
      </w:pPr>
      <w:bookmarkEnd w:id="390"/>
      <w:r>
        <w:rPr>
          <w:rFonts w:ascii="IRNazanin" w:hAnsi="IRNazanin" w:eastAsia="IRNazanin"/>
          <w:color w:val="111111"/>
          <w:sz w:val="28"/>
          <w:sz w:val="28"/>
          <w:szCs w:val="28"/>
          <w:rtl w:val="true"/>
          <w:lang w:bidi="fa-IR"/>
        </w:rPr>
        <w:t>أولویّة الجدّ و تقدیمه علی الأب عند الضرر، و هذا غیر مربوط بالروایة، فلا یکون ذلک مقیّداً للإطلاقات فی باب النکاح</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اعتبار عدم الضرر لأصل الولایة لا لأولویّة نکاح الجدّ، و یبعد أن یکون للجدّ ولایة مع الضرر، و لکن عقد الأب 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أنّه یکفی فی تصرّفات الأب و الجدّ عدم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الأحوط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ولایة الأبوین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غیرهما مراعاة المصلحة، کما اعترف به الاُستاذ فی شرحه، حیث إنّه بعد أن ذکر الاکتفاء بعدم المفسدة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الاقتصار علی ما ذکره الفقهاء و تنزیل الروایات أوفق فی النظر و أسلم من الخطر</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حسن لما یستفاد من الأدلّة التی سنذکرها للقول الثالث قریباً</w:t>
      </w:r>
      <w:r>
        <w:rPr>
          <w:rFonts w:eastAsia="IRNazanin" w:cs="IRNazanin"/>
          <w:color w:val="111111"/>
          <w:sz w:val="28"/>
          <w:szCs w:val="28"/>
          <w:rtl w:val="true"/>
          <w:lang w:bidi="fa-IR"/>
        </w:rPr>
        <w:t>.</w:t>
      </w:r>
    </w:p>
    <w:p>
      <w:pPr>
        <w:pStyle w:val="Heading6"/>
        <w:numPr>
          <w:ilvl w:val="5"/>
          <w:numId w:val="1"/>
        </w:numPr>
        <w:rPr/>
      </w:pPr>
      <w:bookmarkStart w:id="391" w:name="__RefHeading___Toc9482760_73709187"/>
      <w:bookmarkStart w:id="392" w:name="_Toc149"/>
      <w:bookmarkEnd w:id="391"/>
      <w:r>
        <w:rPr>
          <w:rtl w:val="true"/>
        </w:rPr>
        <w:t>تصرّفات الولیّ مشروطٌ بالمصلحة</w:t>
      </w:r>
      <w:bookmarkEnd w:id="392"/>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تصرّفات الولیّ ملاحظة المصلحة زائداً عن اعتبار عدم المفسدة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بیان ذلک لا بدّ و أن یعلم أنّه یجوز تصرّف الولیّ لأنفسهم فی مال الطفل و إن لم یکن فیه المصلحة، و من هنا یجوز قرض الولیّ من مال الطفل و تقویم جاریته علی نفسه مع عدم وجود المصلحة فی ذلک للطفل بوجهٍ، و هذا بالنسبة إلی نفس الأولیاء ممّا لا شبهة فی جوازه، و أمّا اعتبار المصلحة فی غیر ما یرجع إلی شئونهم، فهو محلّ النزاع</w:t>
      </w:r>
      <w:r>
        <w:rPr>
          <w:rStyle w:val="FootnoteAnchor"/>
          <w:rtl w:val="true"/>
        </w:rPr>
        <w:footnoteReference w:id="1015"/>
      </w:r>
      <w:r>
        <w:rPr>
          <w:rFonts w:ascii="IRNazanin" w:hAnsi="IRNazanin" w:eastAsia="IRNazanin"/>
          <w:color w:val="111111"/>
          <w:sz w:val="28"/>
          <w:sz w:val="28"/>
          <w:szCs w:val="28"/>
          <w:rtl w:val="true"/>
          <w:lang w:bidi="fa-IR"/>
        </w:rPr>
        <w:t>، فقد صرّح الشیخ فی المبسوط بلزومها،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یلی أمر</w:t>
      </w:r>
      <w:bookmarkStart w:id="393" w:name="pg11753_114853"/>
    </w:p>
    <w:p>
      <w:pPr>
        <w:pStyle w:val="BookText"/>
        <w:rPr/>
      </w:pPr>
      <w:bookmarkEnd w:id="393"/>
      <w:r>
        <w:rPr>
          <w:rFonts w:ascii="IRNazanin" w:hAnsi="IRNazanin" w:eastAsia="IRNazanin"/>
          <w:color w:val="111111"/>
          <w:sz w:val="28"/>
          <w:sz w:val="28"/>
          <w:szCs w:val="28"/>
          <w:rtl w:val="true"/>
          <w:lang w:bidi="fa-IR"/>
        </w:rPr>
        <w:t>الصغیر و 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و وصیّ الأب أو الجدّ، و الإمام أو من یأمره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هؤلاء الخمسة لا یصحّ تصرّفهم إلاّ علی وجه الاحتیاط و الحظّ للصغیر المولّی علیه؛ لأنّهم إنّما نصبوا لذلک، فإذا تصرّف علی وجهٍ لا حظّ له فیه کان باطلاً؛ لأنّه خالف ما نصب له</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یجوز للولیّ و الوصیّ أن یتصرّف فی المال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یکون فیه صلاح المال، و یعود نفعه إلی الطفل دون المتصرّف فیه، و هذا هو الذی یقتضیه أصل المذهب</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یصحّ بیع من له الولایة مع المصلحة للمولّی علیه</w:t>
      </w:r>
      <w:r>
        <w:rPr>
          <w:rStyle w:val="FootnoteAnchor"/>
          <w:rtl w:val="true"/>
        </w:rPr>
        <w:footnoteReference w:id="1018"/>
      </w:r>
      <w:r>
        <w:rPr>
          <w:rFonts w:ascii="Amiri" w:hAnsi="Amiri" w:eastAsia="Amiri" w:cs="Amiri"/>
          <w:color w:val="111111"/>
          <w:sz w:val="28"/>
          <w:sz w:val="28"/>
          <w:szCs w:val="28"/>
          <w:rtl w:val="true"/>
          <w:lang w:bidi="ar-SA"/>
        </w:rPr>
        <w:t>، و صرّح بذلک أیضاً المحقّق</w:t>
      </w:r>
      <w:r>
        <w:rPr>
          <w:rStyle w:val="FootnoteAnchor"/>
          <w:rtl w:val="true"/>
        </w:rPr>
        <w:footnoteReference w:id="1019"/>
      </w:r>
      <w:r>
        <w:rPr>
          <w:rFonts w:ascii="IRNazanin" w:hAnsi="IRNazanin" w:eastAsia="IRNazanin"/>
          <w:color w:val="111111"/>
          <w:sz w:val="28"/>
          <w:sz w:val="28"/>
          <w:szCs w:val="28"/>
          <w:rtl w:val="true"/>
          <w:lang w:bidi="fa-IR"/>
        </w:rPr>
        <w:t>و الشهیدان</w:t>
      </w:r>
      <w:r>
        <w:rPr>
          <w:rStyle w:val="FootnoteAnchor"/>
          <w:rtl w:val="true"/>
        </w:rPr>
        <w:footnoteReference w:id="1020"/>
      </w:r>
      <w:r>
        <w:rPr>
          <w:rFonts w:ascii="IRNazanin" w:hAnsi="IRNazanin" w:eastAsia="IRNazanin"/>
          <w:color w:val="111111"/>
          <w:sz w:val="28"/>
          <w:sz w:val="28"/>
          <w:szCs w:val="28"/>
          <w:rtl w:val="true"/>
          <w:lang w:bidi="fa-IR"/>
        </w:rPr>
        <w:t>و المحقّق الثانی</w:t>
      </w:r>
      <w:r>
        <w:rPr>
          <w:rStyle w:val="FootnoteAnchor"/>
          <w:rtl w:val="true"/>
        </w:rPr>
        <w:footnoteReference w:id="1021"/>
      </w:r>
      <w:r>
        <w:rPr>
          <w:rFonts w:ascii="IRNazanin" w:hAnsi="IRNazanin" w:eastAsia="IRNazanin"/>
          <w:color w:val="111111"/>
          <w:sz w:val="28"/>
          <w:sz w:val="28"/>
          <w:szCs w:val="28"/>
          <w:rtl w:val="true"/>
          <w:lang w:bidi="fa-IR"/>
        </w:rPr>
        <w:t>و غیرهم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 بعد نقل کلمات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المحصّل من مجموع کلامهم و ما یقتضیه أصول المذهب أنّه یجوز لولیّ الطفل مطلقاً الرهن و الارتهان مع کمال الاحتیاط بمراعاة المصلحة</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4" w:name="__RefHeading___Toc9482762_73709187"/>
      <w:bookmarkStart w:id="395" w:name="_Toc150"/>
      <w:bookmarkEnd w:id="394"/>
      <w:r>
        <w:rPr>
          <w:rtl w:val="true"/>
        </w:rPr>
        <w:t>أدلّة اعتبار المصلحة فی تصرّفات الأب و الجدّ</w:t>
      </w:r>
      <w:bookmarkEnd w:id="39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استدلّ علی اعتبار المصلحة فی تصرّفات الأب و الجدّ بوجوهٍ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حکمة جعل الولایة للأب و الجدّ تقتضی ذلک؛ لأنّ جعل الولایة لأجل أن یتصرّف فی أموالهم بما فیه المصلحة من التجارة و الاستنماء و الحفظ و الإجارة و غیرها و إلاّ فمجرّد التصرّفات اللغویة بلا وجود ثمرةٍ فیه لا یجوز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حکمة جعل الولایة للأب و الجدّ بحسب الطبع هی جلب المنافع للطفل و دفع المضار عنه، و إلاّ فلا یجوز التصرّف فی ماله و لو لم یکن فیه مفسدةٌ، کما أشار إلیه السیّد الخوئی رحمه الله، و لکن استشکل هو قدس سره علیه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إن کان بحسب نفسه تماماً، و لکن لا یتمّ فی جمیع الموارد؛ لإمکان أن یکون الصلاح فی ذلک الجعل راجعاً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یلاحظ فی جعل الولایة للأب و الجدّ صلاح المولّی علیه فیجری فیه ذلک الحکمة، و اخری یلاحظ حال الولیّ، فلا شبهة أنّا نحتمل الثانی أیضاً، فإذن لا دافع للإطلاقات الدالّة علی جعل الولایة لهما علیه حتّی فی صورة عدم المصلحة فی تصرّفهم</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ضعیفٌ‌</w:t>
      </w:r>
      <w:r>
        <w:rPr>
          <w:rStyle w:val="FootnoteAnchor"/>
          <w:rtl w:val="true"/>
        </w:rPr>
        <w:footnoteReference w:id="1025"/>
      </w:r>
      <w:r>
        <w:rPr>
          <w:rFonts w:ascii="IRNazanin" w:hAnsi="IRNazanin" w:eastAsia="IRNazanin"/>
          <w:color w:val="111111"/>
          <w:sz w:val="28"/>
          <w:sz w:val="28"/>
          <w:szCs w:val="28"/>
          <w:rtl w:val="true"/>
          <w:lang w:bidi="fa-IR"/>
        </w:rPr>
        <w:t>؛ لأنّه یبعد من حکمة البارئ تعالی أن یجعل الولایة علی أموال الطفل لأجل المصلحة الراجعة إلی غیره، لا للطفل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یصحّ بیع من له الولایة مع المصلحة للمولّی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إجماعی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نسبه المصنّف إلی الأصحاب فیما حکی عنه</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الضابط فی تصرّف المتولّی لأموال الیتامی و المجانین اعتبار الغبطة، و کون التصرّف علی وجه النظر و المصلحة</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استظهر السیّد العاملی قدس سره منه بأنّه لا خلاف فیه بین المسلمین،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أنّه ممّا لا خلاف فیه بین المسلمین، و أنّه لا فرق فی ذلک بین الأب و الجدّ، و الوصیّ و الحاکم و أمینه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أجاد السیّد الخوئی رحمه الله فی الردّ علی هذا الإجماع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المحصّل منه غیر حاصل، و المنقول منه لیس بحجّة؛ لمخالفة جملة من الأعاظم فی ذلک، بل نحتمل استناده إلی الوجوه المذکورة هنا؛ لعدم الجعل فی صورة عدم المصلحة، فلا یکون هنا إجماع تعبّدی کاشف عن رأی الحجّة</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العمدة فی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ارید منه التفضیل، أو المجرّد عنه، و علی الأوّل لا ریب فی الدلالة، بل قضیّتها لزوم مراعاة الأصلح، و علی الثانی، فالظاهر أنّ المراد من الحسن ما فیه المصلحة لا ما لا مفسدة فیه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الأحسن من جمیع الوجوه أو من ترکه، و مع عدم المصلحة لا یکون أحسن بشیءٍ من المعنیین</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الخالی عن المصلحة فی مال الیتیم لیس تصرّفاً حسناً فیحرم؛ للنهی عن التقرّب إلیه، حیث إنّ التقرّب إلی ماله بلا مصلحةٍ فیه لیس بأحسن،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لو کان إطلاق الیتیم علی من ماتت امّه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لیس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فتشمل الآیة لکلّ من الأب و الجدّ، و إلاّ فتختصّ بالجدّ و یتمّ فی الأب بعدم القول بالفصل، إذن نرفع الید عن الإطلاقات الدالّة علی ثبوت الولایة للأب و الجدّ مطلقاً حتّی مع عدم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المراد بالقرب التصرّف فیه، و إنّما خصّ مال الیتیم بالذکر لأنّه لا یستطیع الدفاع عن نفسه و لا عن ماله، فیکون الطمع فی ماله أشدّ، و ید الرغبة إلیه أمدّ، فأکّد سبحانه النهی عن التصرّف فی ماله و إن کان ذلک واجباً فی مال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بالخصلة أو الطریقة الحُسنی</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الآیة نهی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المکلّفین أن یقربوا مال الیتیم إلاّ بالتی هی أحسن، و هو أن یحفظوا علیه و یثمروه، أو ینفقوا علیه بالمعروف علی ما لا یشکّ أنّه أصلح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لغیر ذلک، فلا یجوز لأحدٍ التصرّف فیه</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 فی معنی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تقربوا من مال الیتیم؛ بأن تتصرّفوا و تفعلوا فیه فعلاً، فلا تدنوا إلیه بفعلة أصلاً إلاّ بالفعلة التی هی أحسن ما یفعل بماله بحسب ما یقتضیه عقل العقلاء، کحفظه و تعمیر ما هو خراب منه، و تنمیته و تثمیره، أو أحسن 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یجده العقل السلیم حسناً و أولی من ترکه، و هو مقتضی أکثر عقول العقلاء</w:t>
      </w:r>
      <w:r>
        <w:rPr>
          <w:rFonts w:eastAsia="IRNazanin" w:cs="IRNazanin"/>
          <w:color w:val="111111"/>
          <w:sz w:val="28"/>
          <w:szCs w:val="28"/>
          <w:rtl w:val="true"/>
          <w:lang w:bidi="fa-IR"/>
        </w:rPr>
        <w:t>»</w:t>
      </w:r>
      <w:r>
        <w:rPr>
          <w:rStyle w:val="FootnoteAnchor"/>
          <w:rtl w:val="true"/>
        </w:rPr>
        <w:footnoteReference w:id="1034"/>
      </w:r>
      <w:bookmarkStart w:id="396" w:name="pg11753_114857"/>
    </w:p>
    <w:p>
      <w:pPr>
        <w:pStyle w:val="Heading6"/>
        <w:numPr>
          <w:ilvl w:val="5"/>
          <w:numId w:val="1"/>
        </w:numPr>
        <w:rPr/>
      </w:pPr>
      <w:bookmarkStart w:id="397" w:name="__RefHeading___Toc9482764_73709187"/>
      <w:bookmarkStart w:id="398" w:name="_Toc151"/>
      <w:bookmarkEnd w:id="396"/>
      <w:bookmarkEnd w:id="397"/>
      <w:r>
        <w:rPr>
          <w:rtl w:val="true"/>
        </w:rPr>
        <w:t>مناقشة الشیخ الأعظم علی الاستدلال بالآیة و الجواب عنه</w:t>
      </w:r>
      <w:bookmarkEnd w:id="398"/>
    </w:p>
    <w:p>
      <w:pPr>
        <w:pStyle w:val="BookText"/>
        <w:rPr/>
      </w:pPr>
      <w:r>
        <w:rPr>
          <w:rFonts w:ascii="IRNazanin" w:hAnsi="IRNazanin" w:eastAsia="IRNazanin"/>
          <w:color w:val="111111"/>
          <w:sz w:val="28"/>
          <w:sz w:val="28"/>
          <w:szCs w:val="28"/>
          <w:rtl w:val="true"/>
          <w:lang w:bidi="fa-IR"/>
        </w:rPr>
        <w:t>و استشکل الشیخ الأعظم علی الاستدلال بالآیة الکریمة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للآیة الکریمة علی اشتراط المصلحة، و أشار إلیه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 دلالتها</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الإیروانی فی توضیح هذا الإیراد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منشأ عدم الدلالة هو انصرافها إلی تصرّف الأجانب دون الجدّ، و یمکن التشکیک فی صدق الیتیم مع حیاة الجدّ،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منه معنی الحسن دون التفضیل، و التصرّف غیر المشتمل علی المفسدة حسنٌ</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 لمنع هذا الانصراف؛ لأنّ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التفضیل؛ لأنّه صیغة أفعل التفضیل، و لا موجب لرفع الید عن هذا الظهور، و أنّه خروج عن ظاهر اللفظ هیئةً و مادّةً من دون قیام قرینة علیه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بحکم السیاق عامّةٌ لجمیع الأفراد؛ سواء کان</w:t>
      </w:r>
      <w:r>
        <w:rPr>
          <w:rStyle w:val="FootnoteAnchor"/>
          <w:rtl w:val="true"/>
        </w:rPr>
        <w:footnoteReference w:id="1038"/>
      </w:r>
      <w:r>
        <w:rPr>
          <w:rFonts w:ascii="IRNazanin" w:hAnsi="IRNazanin" w:eastAsia="IRNazanin"/>
          <w:color w:val="111111"/>
          <w:sz w:val="28"/>
          <w:sz w:val="28"/>
          <w:szCs w:val="28"/>
          <w:rtl w:val="true"/>
          <w:lang w:bidi="fa-IR"/>
        </w:rPr>
        <w:t>أباً أو جدّاً أو غیرهما؛ لأنّ الآیة تنهی عن التقرّب لمال الیتیم، و هذا النهی لکلّ أحدٍ، و تخصّص بالروایات الدالّة علی جعل الولایة للجدّ و لو مع عدم المصلحة، أشار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مخصّصةٌ بما دلّ علی ولایة الجدّ و سلطنته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فمفاد الآیة یکون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التقرّب إلی مال الیتیم بغیر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لکلّ أحدٍ إلاّ للجدّ، و لیس بینهما عموم من وجهٍ حتّی یعمل بقواعده، لانحصار الموضوع فی روایات الولایة بالجدّ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الآیة، فموضوعها عامّ یشمل کلّ أحدٍ و تخصّص بالروایات؛ لأنّ ما دلّ علی ولایة الجدّ فی النکاح معلّلاً بأنّ البنت و أباها للجدّ</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 خصوصاً استشهاد الإمام علیه السلام به فی مضیّ نکاح الجدّ بدون إذن الأب؛ ردّاً علی من أنکر ذلک و حکم ببطلان ذلک من العامّة فی مجلس بعض الأمراء</w:t>
      </w:r>
      <w:r>
        <w:rPr>
          <w:rStyle w:val="FootnoteAnchor"/>
          <w:rtl w:val="true"/>
        </w:rPr>
        <w:footnoteReference w:id="1041"/>
      </w:r>
      <w:r>
        <w:rPr>
          <w:rFonts w:ascii="IRNazanin" w:hAnsi="IRNazanin" w:eastAsia="IRNazanin"/>
          <w:color w:val="111111"/>
          <w:sz w:val="28"/>
          <w:sz w:val="28"/>
          <w:szCs w:val="28"/>
          <w:rtl w:val="true"/>
          <w:lang w:bidi="fa-IR"/>
        </w:rPr>
        <w:t>، و غیر ذلک،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هذه النصوص ولایة الجدّ علی نکاح المولّی علیه و لو مع عدم المصلحة و المفسدة، و یثبت ذلک فی الأموال بالأولویّة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الآیة الکریمة و أخبار ولایة الجدّ إن لوحظ مع المستثنی منه فقط عامّ و خاصّ مطلق، کما ادّعاه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لوحظ مجموع الآیة من المستثنی و المستثنی منه، فمفادها ظاهراً أنّ التقرّب بمال الیتیم لا یجوز إلاّ أن یکون ذلک التصرّف علی الوجه الأحسن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التصرّف الأحسن هو الذی کان علی الطریقة الشرعیّة أو العقلائیة و ذا مصلحةٍ للیتیم، و لا ریب أنّ تصرّف الأجانب لا یکون کذلک غالباً بمقتضی الضرورة و الإجماع و الأخبار الدالّة علی عدم جواز التصرّف فی مال الغیر إلاّ بإذنه</w:t>
      </w:r>
      <w:r>
        <w:rPr>
          <w:rStyle w:val="FootnoteAnchor"/>
          <w:rtl w:val="true"/>
        </w:rPr>
        <w:footnoteReference w:id="1043"/>
      </w:r>
      <w:r>
        <w:rPr>
          <w:rFonts w:ascii="IRNazanin" w:hAnsi="IRNazanin" w:eastAsia="IRNazanin"/>
          <w:color w:val="111111"/>
          <w:sz w:val="28"/>
          <w:sz w:val="28"/>
          <w:szCs w:val="28"/>
          <w:rtl w:val="true"/>
          <w:lang w:bidi="fa-IR"/>
        </w:rPr>
        <w:t>، فعلی هذا تکون تصرّفات الأجانب خارجةٌ عن مفاد الآیة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تصرّفات الأولیاء</w:t>
      </w:r>
      <w:r>
        <w:rPr>
          <w:rStyle w:val="FootnoteAnchor"/>
          <w:rtl w:val="true"/>
        </w:rPr>
        <w:footnoteReference w:id="1044"/>
      </w:r>
      <w:r>
        <w:rPr>
          <w:rFonts w:ascii="IRNazanin" w:hAnsi="IRNazanin" w:eastAsia="IRNazanin"/>
          <w:color w:val="111111"/>
          <w:sz w:val="28"/>
          <w:sz w:val="28"/>
          <w:szCs w:val="28"/>
          <w:rtl w:val="true"/>
          <w:lang w:bidi="fa-IR"/>
        </w:rPr>
        <w:t>إذا لم تکن لمصلحة الطفل؛ لأنّه لا تکون مثل هذه التصرّفات تصرّفاً بالأحسن، فالآیة الکریمة لا تشمل عموم المکلّفین، بل هی خطاب للأولیاء، و النسبة بین الآیة و الأخبار هی الإطلاق و التقیید، و الآیة مقیّدة للأخبار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لا بدّ أن یکون تصرّفات الجدّ فی مال الطفل علی الوجه الأحسن و لمصلحة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إطلاق للأخبار؛ لعدم کونها فی مقام البیان من حیث کیفیّة إعمال هذه الولایة؛ لأنّ ولایة الأمر بمعنی ولایة البیع و الشراء و العتق و الشهادة و الأخذ و الإعطاء و غیر ذلک، و لم یؤخذ فی الأخبار کیفیّة إعمال هذه الاُمور، بل کانت فی مقام إثبات أصل الولایة، و لا مساس لها بکیفیّة إعمالها، فلو قام دلیلٌ علی اعتبار المصلحة لا یکون تقییداً للأخبار، کما أشار إلی ذلک الشیخ الفقیه الحائری</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منع تحقّق الإطلاقات حتّی فی باب النکاح؛ إذ الولایة للأب و الجدّ علی الأولاد لأجل حفظهم عن وقوعهم بالمضرّات بمالهما من الرأفة الطبیعیّة لأولادهم؛ بأن یعاملوا معاملة أنفسهم فی حفظه و عدم التصرّفات المتلفة فیه، فأصل جعل الولایة لهذا الموضوع مشعر بهذه الحکمة و العلّة، فلو أوجبت الولایة توجّه الضرر إلیهم، أو</w:t>
      </w:r>
      <w:r>
        <w:rPr>
          <w:rStyle w:val="FootnoteAnchor"/>
          <w:rtl w:val="true"/>
        </w:rPr>
        <w:footnoteReference w:id="1046"/>
      </w:r>
      <w:r>
        <w:rPr>
          <w:rFonts w:ascii="IRNazanin" w:hAnsi="IRNazanin" w:eastAsia="IRNazanin"/>
          <w:color w:val="111111"/>
          <w:sz w:val="28"/>
          <w:sz w:val="28"/>
          <w:szCs w:val="28"/>
          <w:rtl w:val="true"/>
          <w:lang w:bidi="fa-IR"/>
        </w:rPr>
        <w:t>عدم المصلحة، فمن الأوّل یمکن القول بعدم جعل</w:t>
      </w:r>
    </w:p>
    <w:p>
      <w:pPr>
        <w:pStyle w:val="BookText"/>
        <w:rPr/>
      </w:pPr>
      <w:r>
        <w:rPr>
          <w:rFonts w:ascii="IRNazanin" w:hAnsi="IRNazanin" w:eastAsia="IRNazanin"/>
          <w:color w:val="111111"/>
          <w:sz w:val="28"/>
          <w:sz w:val="28"/>
          <w:szCs w:val="28"/>
          <w:rtl w:val="true"/>
          <w:lang w:bidi="fa-IR"/>
        </w:rPr>
        <w:t>الولایة، و خروجه عن مورد الروایات تخصّصاً، بل هذا هو المتعیّن؛ إذ لا یمکن القول بولایة الأب و الجدّ علی الأولاد کیف شاءا، إذن فلیس هنا إطلاق أصلاً من الأوّل فضلاً عن احتیاجه إلی المقیّد</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لو سلّمنا عدم التخصیص وجب الاقتصار علیه فی حکم الجدّ دون الأب</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قلنا فی الجواب عن الإیراد الثانی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الشیخ الأعظم بأنّ عدم القول بالفصل ممنوعة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الیتیم یطلق علی من فقد الاُمّ أیضاً، کما ادّعاه بعضهم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خصّ مال الیتیم بالذکر؛ لأنّه لا یستطیع الدفاع عن نفسه و لا عن ماله، فیکون الطمع فی ماله أشدّ و ید الرغبة إلیه أمدّ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و إلاّ کان رعایة مفاد الآیة لازماً فی مال کلّ 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إدخال غیر الرشید فیه إلی أن یرشد؛ لاحتمال أن یکون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 رشده، أی یبلغ و یرشد، کما صرّح به المحقّق الأردبیلی</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لا نحتاج إلی القول بالفصل، و الآیة تشمل الأب و الجدّ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نفوذ تصرّفات الأب و الجدّ منوطة برعایة المصلحة للطفل، و هذا ما یقتضیه بناء العقلاء، فاعتبار المصلحة فی تصرّف الأب</w:t>
      </w:r>
      <w:bookmarkStart w:id="399" w:name="pg11753_114861"/>
    </w:p>
    <w:p>
      <w:pPr>
        <w:pStyle w:val="BookText"/>
        <w:rPr/>
      </w:pPr>
      <w:bookmarkEnd w:id="399"/>
      <w:r>
        <w:rPr>
          <w:rFonts w:ascii="IRNazanin" w:hAnsi="IRNazanin" w:eastAsia="IRNazanin"/>
          <w:color w:val="111111"/>
          <w:sz w:val="28"/>
          <w:sz w:val="28"/>
          <w:szCs w:val="28"/>
          <w:rtl w:val="true"/>
          <w:lang w:bidi="fa-IR"/>
        </w:rPr>
        <w:t>و الجدّ أمر عقلائی، و الأدلّة الشرعیّة دلیلٌ لإمضائه، کما أشار إلیه أیضاً المحقّق الأردبیلی رحمه الله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المحقّق الشهیدی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الأصل عدم تسلّط أحدٍ علی مال أحدٍ إلاّ مع الیقین بخلافه، و هو صورة وجود المصلحة؛ إذ لیس فی المقام إطلاق یدلّ علی عدم اعتبارها</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هو قدس سره إلیه 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من أدلّة ولایة عدول المؤمنین کما یأتی اعتبار المصلحة فی ولایتهم، و مناط الاعتبار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قصور الصغیر عن التمیّز بین صلاحه و 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Style w:val="FootnoteAnchor"/>
          <w:rtl w:val="true"/>
        </w:rPr>
        <w:footnoteReference w:id="1055"/>
      </w:r>
      <w:r>
        <w:rPr>
          <w:rFonts w:ascii="IRNazanin" w:hAnsi="IRNazanin" w:eastAsia="IRNazanin"/>
          <w:color w:val="111111"/>
          <w:sz w:val="28"/>
          <w:sz w:val="28"/>
          <w:szCs w:val="28"/>
          <w:rtl w:val="true"/>
          <w:lang w:bidi="fa-IR"/>
        </w:rPr>
        <w:t>فی المقام، مع عدم دلیلٍ یدلّ علی عدم اعتبارها فی المقام</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0" w:name="__RefHeading___Toc9482766_73709187"/>
      <w:bookmarkStart w:id="401" w:name="_Toc152"/>
      <w:bookmarkEnd w:id="400"/>
      <w:r>
        <w:rPr>
          <w:rtl w:val="true"/>
        </w:rPr>
        <w:t>اشتراط إحراز المصلحة أو عدم المفسدة</w:t>
      </w:r>
      <w:bookmarkEnd w:id="401"/>
    </w:p>
    <w:p>
      <w:pPr>
        <w:pStyle w:val="BookText"/>
        <w:rPr/>
      </w:pPr>
      <w:r>
        <w:rPr>
          <w:rFonts w:ascii="IRNazanin" w:hAnsi="IRNazanin" w:eastAsia="IRNazanin"/>
          <w:color w:val="111111"/>
          <w:sz w:val="28"/>
          <w:sz w:val="28"/>
          <w:szCs w:val="28"/>
          <w:rtl w:val="true"/>
          <w:lang w:bidi="fa-IR"/>
        </w:rPr>
        <w:t>بعد الفراغ عن اعتبار المصلحة، أو کفایة عدم المفسدة فی نفوذ تصرّفات الأب و الجدّ، یلزم أن نبیّن ما هو المدار فی المصلحة و عدم المفسدة، فهل یکون هذا الشرط فی عالم الإحراز، فلو أحرز عدم المفسدة فی مورد فباع مال الطفل فانکشف وجود المفسدة فلا یبطل البیع و ینفذ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أنّهما شرط فی الواقع، فلو کان فی موردٍ مفسدة واقعیّة فلم یحرز فأقدم علی البیع فیکون باطلاً، أو أنّهما معاً من الشرائط؟</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الوجه الأخیر، لأنّ من المقیّدات للإطلاقات صحیحة الثمالی</w:t>
      </w:r>
    </w:p>
    <w:p>
      <w:pPr>
        <w:pStyle w:val="BookText"/>
        <w:rPr/>
      </w:pPr>
      <w:r>
        <w:rPr>
          <w:rFonts w:ascii="Amiri" w:hAnsi="Amiri" w:eastAsia="Amiri" w:cs="Amiri"/>
          <w:color w:val="111111"/>
          <w:sz w:val="28"/>
          <w:sz w:val="28"/>
          <w:szCs w:val="28"/>
          <w:rtl w:val="true"/>
          <w:lang w:bidi="ar-SA"/>
        </w:rPr>
        <w:t>المتقدّمة</w:t>
      </w:r>
      <w:r>
        <w:rPr>
          <w:rStyle w:val="FootnoteAnchor"/>
          <w:rtl w:val="true"/>
        </w:rPr>
        <w:footnoteReference w:id="1057"/>
      </w:r>
      <w:r>
        <w:rPr>
          <w:rFonts w:ascii="IRNazanin" w:hAnsi="IRNazanin" w:eastAsia="IRNazanin"/>
          <w:color w:val="111111"/>
          <w:sz w:val="28"/>
          <w:sz w:val="28"/>
          <w:szCs w:val="28"/>
          <w:rtl w:val="true"/>
          <w:lang w:bidi="fa-IR"/>
        </w:rPr>
        <w:t>؛ فإنّها اعتبرت عدم الفساد فی تصرّفات الأب و الجدّ فی مال الطفل، و هو کالمعصیة</w:t>
      </w:r>
      <w:r>
        <w:rPr>
          <w:rStyle w:val="FootnoteAnchor"/>
          <w:rtl w:val="true"/>
        </w:rPr>
        <w:footnoteReference w:id="1058"/>
      </w:r>
      <w:r>
        <w:rPr>
          <w:rFonts w:ascii="IRNazanin" w:hAnsi="IRNazanin" w:eastAsia="IRNazanin"/>
          <w:color w:val="111111"/>
          <w:sz w:val="28"/>
          <w:sz w:val="28"/>
          <w:szCs w:val="28"/>
          <w:rtl w:val="true"/>
          <w:lang w:bidi="fa-IR"/>
        </w:rPr>
        <w:t>قائم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الواقعی،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إحرازه، أی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سفر المعصیة یتحقّق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یسافر لأجل الغرض المعلوم کونه معصیة،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المسافر بذلک و تنجّز التکلیف فی حقّه، فلو سافرت المرأة بدون رضایة الزوج، فبان أنّها مطلّقة فلا یکون سفرها معصیةً، أو سافرت بزعم أنّها مطلّقة فبان خلافها، فلیس سفرها سفر معصیةٍ أیضاً، و إنّما یکون سفر معصیةٍ مع اجتماع الأمرین، و کذلک فیما نحن فیه أنّ التصرّف لا بدّ أن یکون عن مصلحةٍ، أو عدم المفسدة فیه، و لا یتحقّق هذا إلاّ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المصلحة الواقعیّة، أو عدم المفسدة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بذلک و تنجّزه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یکون المقیّد للإطلاقات المثبتة للولایة للأب و الجدّ خصوص کون تصرّفهم مفسداً لحال الیتیم مع العلم به، و ما لم یتنجّز فلا مانع من التمسّک بالإطلاقات و الحکم بثبوت الولایة لهما، و لکنّ السیّد الخوئی قال فی منهاجه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فی کون التصرّف مشتملاً علی المصلحة أو عدم المفسدة علی کونه کذلک فی نظر العقلاء، لا بالنظر إلی علم الغیب، فلو تصرّف الولیّ باعتقاد المصلحة فتبیّن انّه لیس کذلک فی نظر العقلاء بطل التصرّف، و لو تبیّن أنّه لیس کذلک بالنظر إلی علم الغیب صحّ إذا کانت فیه مصلحة بنظر العقلاء</w:t>
      </w:r>
      <w:r>
        <w:rPr>
          <w:rFonts w:eastAsia="IRNazanin" w:cs="IRNazanin"/>
          <w:color w:val="111111"/>
          <w:sz w:val="28"/>
          <w:szCs w:val="28"/>
          <w:rtl w:val="true"/>
          <w:lang w:bidi="fa-IR"/>
        </w:rPr>
        <w:t>»</w:t>
      </w:r>
      <w:r>
        <w:rPr>
          <w:rStyle w:val="FootnoteAnchor"/>
          <w:rtl w:val="true"/>
        </w:rPr>
        <w:footnoteReference w:id="1059"/>
      </w:r>
      <w:bookmarkStart w:id="402" w:name="pg11753_114863"/>
    </w:p>
    <w:p>
      <w:pPr>
        <w:pStyle w:val="Heading6"/>
        <w:numPr>
          <w:ilvl w:val="5"/>
          <w:numId w:val="1"/>
        </w:numPr>
        <w:rPr/>
      </w:pPr>
      <w:bookmarkStart w:id="403" w:name="__RefHeading___Toc9482768_73709187"/>
      <w:bookmarkStart w:id="404" w:name="_Toc153"/>
      <w:bookmarkEnd w:id="402"/>
      <w:bookmarkEnd w:id="403"/>
      <w:r>
        <w:rPr>
          <w:rtl w:val="true"/>
        </w:rPr>
        <w:t>آراء جمهور أهل السنّة فی مسائل هذا البحث</w:t>
      </w:r>
      <w:bookmarkEnd w:id="404"/>
    </w:p>
    <w:p>
      <w:pPr>
        <w:pStyle w:val="BookText"/>
        <w:rPr/>
      </w:pPr>
      <w:r>
        <w:rPr>
          <w:rFonts w:ascii="IRNazanin" w:hAnsi="IRNazanin" w:eastAsia="IRNazanin"/>
          <w:color w:val="111111"/>
          <w:sz w:val="28"/>
          <w:sz w:val="28"/>
          <w:szCs w:val="28"/>
          <w:rtl w:val="true"/>
          <w:lang w:bidi="fa-IR"/>
        </w:rPr>
        <w:t>اعتبر جمهور الفقهاء من الشافعیّة و الحنابلة و المالکیّة أن یکون تصرّف الأب و الجدّ فی أموال الصبیّ موافقاً للمصلحة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لیس لولیّه التصرّف فی ماله بما لا حظّ له فیه، کالعتق و الهبة و التبرّعات و المحاباة؛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ضرر و لا ضرار </w:t>
      </w:r>
      <w:r>
        <w:rPr>
          <w:rStyle w:val="FootnoteAnchor"/>
          <w:rtl w:val="true"/>
        </w:rPr>
        <w:footnoteReference w:id="1060"/>
      </w:r>
      <w:r>
        <w:rPr>
          <w:rFonts w:ascii="IRNazanin" w:hAnsi="IRNazanin" w:eastAsia="IRNazanin"/>
          <w:color w:val="111111"/>
          <w:sz w:val="28"/>
          <w:sz w:val="28"/>
          <w:szCs w:val="28"/>
          <w:rtl w:val="true"/>
          <w:lang w:bidi="fa-IR"/>
        </w:rPr>
        <w:t>من المسند، و فی هذه إضرار، فلا یملکه</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یتصرّف له الولیّ بالمصلحة وجوباً؛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تُخالِطُوهُمْ فَإِخْوانُکُمْ وَ اللّهُ یَعْلَمُ الْمُفْسِدَ مِنَ الْمُصْلِحِ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قضیّة کلامه کأصله أنّ التصرّف الذی لا خیر فیه و لا شرّ ممنوع منه؛ إذ لا مصلحة فیه، و هو کذلک کما صرّح به الشیخ أبو محمّد و الماوردی</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 الولیّ مال الصبیّ و المجنون و المحجور علیه بالسفه، و ارتهانه لهم مشترط بالمصلحة و الاحتیاط، فمن صوّر الرهن علی وجه المصلحة أن یشتری للطفل ما یساوی مائتین بمائة نسیئة، و یرهن به ما یساوی مائة من ماله فیجوز</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الزمان زمان نهب، أو وقع حَریق، و خاف الولیّ علی ماله، فله</w:t>
      </w:r>
    </w:p>
    <w:p>
      <w:pPr>
        <w:pStyle w:val="BookText"/>
        <w:rPr/>
      </w:pPr>
      <w:r>
        <w:rPr>
          <w:rFonts w:ascii="IRNazanin" w:hAnsi="IRNazanin" w:eastAsia="IRNazanin"/>
          <w:color w:val="111111"/>
          <w:sz w:val="28"/>
          <w:sz w:val="28"/>
          <w:szCs w:val="28"/>
          <w:rtl w:val="true"/>
          <w:lang w:bidi="fa-IR"/>
        </w:rPr>
        <w:t>أن یشتری عقاراً و یرهن بالثمن شیئاً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یستقرض الولیّ له لحاجته إلی النفقة أو الکسوة أو توفیة ما یلزمه، أو لإصلاح ضیاعه</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لیس لولیّه رهن ماله إلاّ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عند ثقةٍ،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فیه حظّ</w:t>
      </w:r>
      <w:r>
        <w:rPr>
          <w:rFonts w:eastAsia="IRNazanin" w:cs="IRNazanin"/>
          <w:color w:val="111111"/>
          <w:sz w:val="28"/>
          <w:szCs w:val="28"/>
          <w:rtl w:val="true"/>
          <w:lang w:bidi="fa-IR"/>
        </w:rPr>
        <w:t>»</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کشّاف القناع</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یتصرّف الولیّ إلاّ علی ما یقتضیه حسن النظر</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کلمات بعض الحنفیّة أنّهم اکتفوا بلزوم عدم المفسدة فی تصرّفات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 یرجع إلی المولّی فیه، فهو أن لا یکون من التصرّفات الضارّة بالمُولّی علیه؛ لقوله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و لا ضرار فی الإسلام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الصلاة و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یرحم صغیرنا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حقّ کبیرنا فلیس منّا</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الإضرار بالصغیر لیس من المرحمة فی شیء، فلیس له أن یهب مال الصغیر من غیره بغیر عوضٍ؛ لأنّه إزالة ملکه من غیر عوضٍ، فکان ضرراً محضاً</w:t>
      </w:r>
      <w:r>
        <w:rPr>
          <w:rFonts w:eastAsia="IRNazanin" w:cs="IRNazanin"/>
          <w:color w:val="111111"/>
          <w:sz w:val="28"/>
          <w:szCs w:val="28"/>
          <w:rtl w:val="true"/>
          <w:lang w:bidi="fa-IR"/>
        </w:rPr>
        <w:t>»</w:t>
      </w:r>
      <w:r>
        <w:rPr>
          <w:rStyle w:val="FootnoteAnchor"/>
          <w:rtl w:val="true"/>
        </w:rPr>
        <w:footnoteReference w:id="1069"/>
      </w:r>
      <w:bookmarkStart w:id="405" w:name="pg11753_114865"/>
    </w:p>
    <w:p>
      <w:pPr>
        <w:pStyle w:val="Heading4"/>
        <w:numPr>
          <w:ilvl w:val="3"/>
          <w:numId w:val="1"/>
        </w:numPr>
        <w:rPr/>
      </w:pPr>
      <w:bookmarkStart w:id="406" w:name="__RefHeading___Toc9482770_73709187"/>
      <w:bookmarkStart w:id="407" w:name="_Toc154"/>
      <w:bookmarkEnd w:id="405"/>
      <w:bookmarkEnd w:id="406"/>
      <w:r>
        <w:rPr>
          <w:rtl w:val="true"/>
        </w:rPr>
        <w:t>المبحث الرابع</w:t>
      </w:r>
      <w:r>
        <w:rPr>
          <w:rtl w:val="true"/>
        </w:rPr>
        <w:t xml:space="preserve">: </w:t>
      </w:r>
      <w:r>
        <w:rPr>
          <w:rtl w:val="true"/>
        </w:rPr>
        <w:t>ولایة الوصیّ علی أموال الصغار</w:t>
      </w:r>
      <w:bookmarkEnd w:id="407"/>
    </w:p>
    <w:p>
      <w:pPr>
        <w:pStyle w:val="Heading5"/>
        <w:numPr>
          <w:ilvl w:val="4"/>
          <w:numId w:val="1"/>
        </w:numPr>
        <w:rPr/>
      </w:pPr>
      <w:bookmarkStart w:id="408" w:name="__RefHeading___Toc9482772_73709187"/>
      <w:bookmarkStart w:id="409" w:name="_Toc155"/>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410" w:name="__RefHeading___Toc9482774_73709187"/>
      <w:bookmarkStart w:id="411" w:name="_Toc156"/>
      <w:bookmarkEnd w:id="410"/>
      <w:r>
        <w:rPr>
          <w:rtl w:val="true"/>
        </w:rPr>
        <w:t>المطلب الأوّل</w:t>
      </w:r>
      <w:r>
        <w:rPr>
          <w:rtl w:val="true"/>
        </w:rPr>
        <w:t xml:space="preserve">: </w:t>
      </w:r>
      <w:r>
        <w:rPr>
          <w:rtl w:val="true"/>
        </w:rPr>
        <w:t>ولایة الوصیّ و أدلّتها</w:t>
      </w:r>
      <w:bookmarkEnd w:id="411"/>
    </w:p>
    <w:p>
      <w:pPr>
        <w:pStyle w:val="Heading6"/>
        <w:numPr>
          <w:ilvl w:val="5"/>
          <w:numId w:val="1"/>
        </w:numPr>
        <w:rPr/>
      </w:pPr>
      <w:bookmarkStart w:id="412" w:name="__RefHeading___Toc9482776_73709187"/>
      <w:bookmarkStart w:id="413" w:name="_Toc157"/>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المشهور بین الفقهاء من المتقدِّمین و المتأخِّرین، بل الإجماع بینهم ثبوت الولایة علی الصغار فی أموالهم لوصیّ الأب و الجدّ مع فقدهما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یلی أمر الصغیر و 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الأب أو الجدّ</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التصرّف فی مال الیتیم إلاّ لأحد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و هو الجدّ، ثمّ الوصیّ و هو الذی ینصبه أبوه</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المحقّق</w:t>
      </w:r>
      <w:r>
        <w:rPr>
          <w:rStyle w:val="FootnoteAnchor"/>
          <w:rtl w:val="true"/>
        </w:rPr>
        <w:footnoteReference w:id="1072"/>
      </w:r>
      <w:r>
        <w:rPr>
          <w:rFonts w:ascii="Amiri" w:hAnsi="Amiri" w:eastAsia="Amiri" w:cs="Amiri"/>
          <w:color w:val="111111"/>
          <w:sz w:val="28"/>
          <w:sz w:val="28"/>
          <w:szCs w:val="28"/>
          <w:rtl w:val="true"/>
          <w:lang w:bidi="ar-SA"/>
        </w:rPr>
        <w:t>و العلاّمة</w:t>
      </w:r>
      <w:r>
        <w:rPr>
          <w:rStyle w:val="FootnoteAnchor"/>
          <w:rtl w:val="true"/>
        </w:rPr>
        <w:footnoteReference w:id="1073"/>
      </w:r>
      <w:r>
        <w:rPr>
          <w:rFonts w:ascii="IRNazanin" w:hAnsi="IRNazanin" w:eastAsia="IRNazanin"/>
          <w:color w:val="111111"/>
          <w:sz w:val="28"/>
          <w:sz w:val="28"/>
          <w:szCs w:val="28"/>
          <w:rtl w:val="true"/>
          <w:lang w:bidi="fa-IR"/>
        </w:rPr>
        <w:t>و الشهید</w:t>
      </w:r>
      <w:r>
        <w:rPr>
          <w:rStyle w:val="FootnoteAnchor"/>
          <w:rtl w:val="true"/>
        </w:rPr>
        <w:footnoteReference w:id="1074"/>
      </w:r>
      <w:r>
        <w:rPr>
          <w:rFonts w:ascii="IRNazanin" w:hAnsi="IRNazanin" w:eastAsia="IRNazanin"/>
          <w:color w:val="111111"/>
          <w:sz w:val="28"/>
          <w:sz w:val="28"/>
          <w:szCs w:val="28"/>
          <w:rtl w:val="true"/>
          <w:lang w:bidi="fa-IR"/>
        </w:rPr>
        <w:t>و یحیی بن سعید</w:t>
      </w:r>
      <w:r>
        <w:rPr>
          <w:rStyle w:val="FootnoteAnchor"/>
          <w:rtl w:val="true"/>
        </w:rPr>
        <w:footnoteReference w:id="1075"/>
      </w:r>
      <w:r>
        <w:rPr>
          <w:rFonts w:ascii="Amiri" w:hAnsi="Amiri" w:eastAsia="Amiri" w:cs="Amiri"/>
          <w:color w:val="111111"/>
          <w:sz w:val="28"/>
          <w:sz w:val="28"/>
          <w:szCs w:val="28"/>
          <w:rtl w:val="true"/>
          <w:lang w:bidi="ar-SA"/>
        </w:rPr>
        <w:t>و المحقّق</w:t>
      </w:r>
      <w:r>
        <w:rPr>
          <w:rStyle w:val="FootnoteAnchor"/>
          <w:rtl w:val="true"/>
        </w:rPr>
        <w:footnoteReference w:id="107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الشهید الثانیان</w:t>
      </w:r>
      <w:r>
        <w:rPr>
          <w:rStyle w:val="FootnoteAnchor"/>
          <w:rtl w:val="true"/>
        </w:rPr>
        <w:footnoteReference w:id="1077"/>
      </w:r>
      <w:r>
        <w:rPr>
          <w:rFonts w:ascii="IRNazanin" w:hAnsi="IRNazanin" w:eastAsia="IRNazanin"/>
          <w:color w:val="111111"/>
          <w:sz w:val="28"/>
          <w:sz w:val="28"/>
          <w:szCs w:val="28"/>
          <w:rtl w:val="true"/>
          <w:lang w:bidi="fa-IR"/>
        </w:rPr>
        <w:t>و المحقّق الأردبیلی</w:t>
      </w:r>
      <w:r>
        <w:rPr>
          <w:rStyle w:val="FootnoteAnchor"/>
          <w:rtl w:val="true"/>
        </w:rPr>
        <w:footnoteReference w:id="1078"/>
      </w:r>
      <w:r>
        <w:rPr>
          <w:rFonts w:ascii="Amiri" w:hAnsi="Amiri" w:eastAsia="Amiri" w:cs="Amiri"/>
          <w:color w:val="111111"/>
          <w:sz w:val="28"/>
          <w:sz w:val="28"/>
          <w:szCs w:val="28"/>
          <w:rtl w:val="true"/>
          <w:lang w:bidi="ar-SA"/>
        </w:rPr>
        <w:t>، و جماعة من متأخِّری المتأخّرین</w:t>
      </w:r>
      <w:r>
        <w:rPr>
          <w:rStyle w:val="FootnoteAnchor"/>
          <w:rtl w:val="true"/>
        </w:rPr>
        <w:footnoteReference w:id="1079"/>
      </w:r>
      <w:bookmarkStart w:id="414" w:name="pg11753_114866"/>
    </w:p>
    <w:p>
      <w:pPr>
        <w:pStyle w:val="BookText"/>
        <w:rPr/>
      </w:pPr>
      <w:bookmarkEnd w:id="414"/>
      <w:r>
        <w:rPr>
          <w:rFonts w:ascii="IRNazanin" w:hAnsi="IRNazanin" w:eastAsia="IRNazanin"/>
          <w:color w:val="111111"/>
          <w:sz w:val="28"/>
          <w:sz w:val="28"/>
          <w:szCs w:val="28"/>
          <w:rtl w:val="true"/>
          <w:lang w:bidi="fa-IR"/>
        </w:rPr>
        <w:t>و فقهاء العصر</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الوصیّ من أحدهما علی من لهما الولایة علیه</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5" w:name="__RefHeading___Toc9482778_73709187"/>
      <w:bookmarkStart w:id="416" w:name="_Toc158"/>
      <w:bookmarkEnd w:id="415"/>
      <w:r>
        <w:rPr>
          <w:rtl w:val="true"/>
        </w:rPr>
        <w:t>أدلّة ولایة الوصی علی أموال الصغار</w:t>
      </w:r>
      <w:bookmarkEnd w:id="416"/>
    </w:p>
    <w:p>
      <w:pPr>
        <w:pStyle w:val="BookText"/>
        <w:rPr/>
      </w:pPr>
      <w:r>
        <w:rPr>
          <w:rFonts w:ascii="IRNazanin" w:hAnsi="IRNazanin" w:eastAsia="IRNazanin"/>
          <w:color w:val="111111"/>
          <w:sz w:val="28"/>
          <w:sz w:val="28"/>
          <w:szCs w:val="28"/>
          <w:rtl w:val="true"/>
          <w:lang w:bidi="fa-IR"/>
        </w:rPr>
        <w:t>استدلّوا علی إثبات ولایة الوصیّ علی أموال الصغار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الریاض</w:t>
      </w:r>
      <w:r>
        <w:rPr>
          <w:rStyle w:val="FootnoteAnchor"/>
          <w:rtl w:val="true"/>
        </w:rPr>
        <w:footnoteReference w:id="1082"/>
      </w:r>
      <w:r>
        <w:rPr>
          <w:rFonts w:ascii="IRNazanin" w:hAnsi="IRNazanin" w:eastAsia="IRNazanin"/>
          <w:color w:val="111111"/>
          <w:sz w:val="28"/>
          <w:sz w:val="28"/>
          <w:szCs w:val="28"/>
          <w:rtl w:val="true"/>
          <w:lang w:bidi="fa-IR"/>
        </w:rPr>
        <w:t>و مهذّب الأحکام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مستندهم الوجوه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 بین المتشرّعة</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أنّ کلّ ما جاز فعله حال الحیاة، جازت الوصیّة به بعد الممات إلاّ ما خرج بالدلیل، و لا دلیل علی الخروج فی المقام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تمامیّة هذه القاعدة إشکالٌ سیأتی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دلیل الولایة له، بدعوی أنّه غیر مختصٍّ بتصرّفاته فی حیاته، و عمومه لما یکون متأخّراً عن وفاته أیضاً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أدلّة نفوذ الوصیّة و دعوی شمولها لوصیّتهما بالاتّجار بمال الصبیّ بعد موتهما؛ فإنّ مقتضاها صحّة مثل هذه الوصیّة و نفوذها</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 استشکل السیّد الخوئی رحمه الله علی الدلیل الرابع، بأنّه لا إطلاق و لا عموم یشمل تصرّف الأب و الجدّ بعد موتهما، بل لهما التصرّف فی مال الصغیر ما داما حیّین، و أمّا بعد موتهما فلا ولایة لهما علیه فی شیء</w:t>
      </w:r>
      <w:r>
        <w:rPr>
          <w:rStyle w:val="FootnoteAnchor"/>
          <w:rtl w:val="true"/>
        </w:rPr>
        <w:footnoteReference w:id="1086"/>
      </w:r>
      <w:r>
        <w:rPr>
          <w:rFonts w:ascii="IRNazanin" w:hAnsi="IRNazanin" w:eastAsia="IRNazanin"/>
          <w:color w:val="111111"/>
          <w:sz w:val="28"/>
          <w:sz w:val="28"/>
          <w:szCs w:val="28"/>
          <w:rtl w:val="true"/>
          <w:lang w:bidi="fa-IR"/>
        </w:rPr>
        <w:t>، و ما ذکره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أیضاً علی الدلیل الخامس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 أدلّة الوصیّة إطلاق یشمل الوصیّة التی لا ترجع إلی المیّت و أمواله؛ فإنّها و بأجمعها واردة فی الوصایا الراجعة إلی المیّت نفسه و أمواله، و من هنا لا تنفذ إلاّ فی الثلث ممّا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الزائد عنه فهو وصیّةٌ فی مال الغیر علی ما دلّت علیه النصوص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تقتضیه القواعد و مع قطع النظر عن النصوص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الکافی و التهذیب، عن أحمد بن محمّد، عن علی بن الحسن، عن الحسن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مثنی بن الولید، عن محمّد بن مسلم، عن أبی عبد اللّه علیه السلام أنّه سئل عن رجل أوصی إلی رجلٍ بولده و بمال لهم و أذن له عند الوصیّة أن یعمل بالمال، و أن یکون الربح بینه و بینهم؟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من أجل أنّ أباه</w:t>
      </w:r>
      <w:r>
        <w:rPr>
          <w:rStyle w:val="FootnoteAnchor"/>
          <w:rtl w:val="true"/>
        </w:rPr>
        <w:footnoteReference w:id="1087"/>
      </w:r>
      <w:r>
        <w:rPr>
          <w:rFonts w:ascii="Amiri" w:hAnsi="Amiri" w:eastAsia="Amiri" w:cs="Amiri"/>
          <w:color w:val="111111"/>
          <w:sz w:val="28"/>
          <w:sz w:val="28"/>
          <w:szCs w:val="28"/>
          <w:rtl w:val="true"/>
          <w:lang w:bidi="ar-SA"/>
        </w:rPr>
        <w:t>قد أذِنَ فی ذلک و هو حیّ</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المیثمی</w:t>
      </w:r>
      <w:r>
        <w:rPr>
          <w:rStyle w:val="FootnoteAnchor"/>
          <w:rtl w:val="true"/>
        </w:rPr>
        <w:footnoteReference w:id="1089"/>
      </w:r>
      <w:r>
        <w:rPr>
          <w:rFonts w:ascii="IRNazanin" w:hAnsi="IRNazanin" w:eastAsia="IRNazanin"/>
          <w:color w:val="111111"/>
          <w:sz w:val="28"/>
          <w:sz w:val="28"/>
          <w:szCs w:val="28"/>
          <w:rtl w:val="true"/>
          <w:lang w:bidi="fa-IR"/>
        </w:rPr>
        <w:t>بدلاً من علی بن الحسن علی ما فی الکافی</w:t>
      </w:r>
      <w:r>
        <w:rPr>
          <w:rStyle w:val="FootnoteAnchor"/>
          <w:rtl w:val="true"/>
        </w:rPr>
        <w:footnoteReference w:id="1090"/>
      </w:r>
      <w:r>
        <w:rPr>
          <w:rFonts w:ascii="IRNazanin" w:hAnsi="IRNazanin" w:eastAsia="IRNazanin"/>
          <w:color w:val="111111"/>
          <w:sz w:val="28"/>
          <w:sz w:val="28"/>
          <w:szCs w:val="28"/>
          <w:rtl w:val="true"/>
          <w:lang w:bidi="fa-IR"/>
        </w:rPr>
        <w:t>و التهذیب</w:t>
      </w:r>
      <w:r>
        <w:rPr>
          <w:rStyle w:val="FootnoteAnchor"/>
          <w:rtl w:val="true"/>
        </w:rPr>
        <w:footnoteReference w:id="1091"/>
      </w:r>
      <w:r>
        <w:rPr>
          <w:rFonts w:ascii="IRNazanin" w:hAnsi="IRNazanin" w:eastAsia="IRNazanin"/>
          <w:color w:val="111111"/>
          <w:sz w:val="28"/>
          <w:sz w:val="28"/>
          <w:szCs w:val="28"/>
          <w:rtl w:val="true"/>
          <w:lang w:bidi="fa-IR"/>
        </w:rPr>
        <w:t>و الوسائل، و هو ابن فضّال الذی یروی عنه أحمد بن محمّد،</w:t>
      </w:r>
    </w:p>
    <w:p>
      <w:pPr>
        <w:pStyle w:val="BookText"/>
        <w:rPr/>
      </w:pPr>
      <w:r>
        <w:rPr>
          <w:rFonts w:ascii="IRNazanin" w:hAnsi="IRNazanin" w:eastAsia="IRNazanin"/>
          <w:color w:val="111111"/>
          <w:sz w:val="28"/>
          <w:sz w:val="28"/>
          <w:szCs w:val="28"/>
          <w:rtl w:val="true"/>
          <w:lang w:bidi="fa-IR"/>
        </w:rPr>
        <w:t>و هو من سهو نسخة الخرسان جزماً؛ إذ لا وجود لعلیّ بن الحسین المیثمی لا فی الروایات و لا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قدس سره فی بعض الموارد عن علیّ بن الحسن المیثمی</w:t>
      </w:r>
      <w:r>
        <w:rPr>
          <w:rStyle w:val="FootnoteAnchor"/>
          <w:rtl w:val="true"/>
        </w:rPr>
        <w:footnoteReference w:id="1092"/>
      </w:r>
      <w:r>
        <w:rPr>
          <w:rFonts w:ascii="IRNazanin" w:hAnsi="IRNazanin" w:eastAsia="IRNazanin"/>
          <w:color w:val="111111"/>
          <w:sz w:val="28"/>
          <w:sz w:val="28"/>
          <w:szCs w:val="28"/>
          <w:rtl w:val="true"/>
          <w:lang w:bidi="fa-IR"/>
        </w:rPr>
        <w:t>إلاّ أنّه غلط، و الصحیح علیّ بن الحسن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الوسائل قد جعل المرویّ عنه لعلیّ بن الحسن هو الحسن بن علیّ بن یونس، و 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بدل لیونس، و هو من الغلط جزماً، فإنّ الحسن بن علیّ بن یونس لا وجود له فی الروایات و کتب الرجال أیضاً، فالصحیح هو الحسن بن علیّ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الکافی و الفقیه و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بقاح الثقة</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فالروایة معتبرة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الدلالة، فهی واضحة الدلالة؛ لأنّه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بأس بأن یعمل الوصیّ بمال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بتعلیلها علی أنّ إذن الأب موجب لصحّة المعاملات الواقعة علی مال الصغیر؛ سواء کان فی حال حیاته؛ بأن یوکّل من یعمل ذلک؛ أو کان بعد مماته بالإیصاء و الإجازة</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العیص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الیتیمة متی یدفع إلیها مالها؟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أنّها لا تُفسِدُ و لا تضیّع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إن کانت قد تزوّجت؟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تزوّجت فقد</w:t>
      </w:r>
      <w:bookmarkStart w:id="417" w:name="pg11753_114869"/>
    </w:p>
    <w:p>
      <w:pPr>
        <w:pStyle w:val="BookText"/>
        <w:rPr/>
      </w:pPr>
      <w:bookmarkEnd w:id="417"/>
      <w:r>
        <w:rPr>
          <w:rFonts w:ascii="IRNazanin" w:hAnsi="IRNazanin" w:eastAsia="IRNazanin"/>
          <w:color w:val="111111"/>
          <w:sz w:val="28"/>
          <w:sz w:val="28"/>
          <w:szCs w:val="28"/>
          <w:rtl w:val="true"/>
          <w:lang w:bidi="fa-IR"/>
        </w:rPr>
        <w:t>انقطع ملک الوصی عنها</w:t>
      </w:r>
      <w:r>
        <w:rPr>
          <w:rStyle w:val="FootnoteAnchor"/>
          <w:rtl w:val="true"/>
        </w:rPr>
        <w:footnoteReference w:id="1095"/>
      </w:r>
      <w:r>
        <w:rPr>
          <w:rFonts w:ascii="IRNazanin" w:hAnsi="IRNazanin" w:eastAsia="IRNazanin"/>
          <w:color w:val="111111"/>
          <w:sz w:val="28"/>
          <w:sz w:val="28"/>
          <w:szCs w:val="28"/>
          <w:rtl w:val="true"/>
          <w:lang w:bidi="fa-IR"/>
        </w:rPr>
        <w:t>فإنّ ذیل الروایة صریح فی ولایة الوصی</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 xml:space="preserve">عبد اللّه بن سنان، عن أبی عبد اللّه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هو القوت، و إنّما عنی الوصیّ أو القیّم فی أموالهم و ما یصلحهم</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خبر أسباط بن سالم</w:t>
      </w:r>
      <w:r>
        <w:rPr>
          <w:rStyle w:val="FootnoteAnchor"/>
          <w:rtl w:val="true"/>
        </w:rPr>
        <w:footnoteReference w:id="1098"/>
      </w:r>
      <w:r>
        <w:rPr>
          <w:rFonts w:ascii="IRNazanin" w:hAnsi="IRNazanin" w:eastAsia="IRNazanin"/>
          <w:color w:val="111111"/>
          <w:sz w:val="28"/>
          <w:sz w:val="28"/>
          <w:szCs w:val="28"/>
          <w:rtl w:val="true"/>
          <w:lang w:bidi="fa-IR"/>
        </w:rPr>
        <w:t>و خالد بن بکر</w:t>
      </w:r>
      <w:r>
        <w:rPr>
          <w:rStyle w:val="FootnoteAnchor"/>
          <w:rtl w:val="true"/>
        </w:rPr>
        <w:footnoteReference w:id="1099"/>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الرجل یکون فی یدیه مال لأخٍ له یتیم و هو وصیّه، أ یصلح له أن یعمل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یعمل بمال غیره و الربح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ناظراً له</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ذکرنا أنّ ولایة الوصیّ ثابتةٌ إجماعاً و نصّاً و فتوی</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9482780_73709187"/>
      <w:bookmarkStart w:id="419" w:name="_Toc159"/>
      <w:bookmarkEnd w:id="418"/>
      <w:r>
        <w:rPr>
          <w:rtl w:val="true"/>
        </w:rPr>
        <w:t>آراء فقهاء أهل السنّة فی ولایة الوصیّ علی أموال الصغار</w:t>
      </w:r>
      <w:bookmarkEnd w:id="419"/>
    </w:p>
    <w:p>
      <w:pPr>
        <w:pStyle w:val="BookText"/>
        <w:rPr/>
      </w:pPr>
      <w:r>
        <w:rPr>
          <w:rFonts w:ascii="IRNazanin" w:hAnsi="IRNazanin" w:eastAsia="IRNazanin"/>
          <w:color w:val="111111"/>
          <w:sz w:val="28"/>
          <w:sz w:val="28"/>
          <w:szCs w:val="28"/>
          <w:rtl w:val="true"/>
          <w:lang w:bidi="fa-IR"/>
        </w:rPr>
        <w:t>تثبت الولایة علی أموال الصغار للوصی عند جمهور الفقهاء</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 أن یتّجر الوصیّ بأموال من یلی و لا ضمان علیه، و قد اتّجر عمر بمال یتیم، و ابضَعَت عائشة بأموال بنی محمّد بن أبی بکر فی</w:t>
      </w:r>
    </w:p>
    <w:p>
      <w:pPr>
        <w:pStyle w:val="BookText"/>
        <w:rPr/>
      </w:pPr>
      <w:r>
        <w:rPr>
          <w:rFonts w:ascii="IRNazanin" w:hAnsi="IRNazanin" w:eastAsia="IRNazanin"/>
          <w:color w:val="111111"/>
          <w:sz w:val="28"/>
          <w:sz w:val="28"/>
          <w:szCs w:val="28"/>
          <w:rtl w:val="true"/>
          <w:lang w:bidi="fa-IR"/>
        </w:rPr>
        <w:t>البحر و هم أیتام</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الماوردی، بأنّ هذا کان إجماعاً، و لأنّ الولیّ یقوم فی مال الیتیم مقام البالغ الرشید فی مال نفسه، فلمّا کان من أفعال الرشید أن یتّجر بماله، کان الولیّ فی مال الیتیم مندوباً إلی أن یتّجر بماله، و لأنّ الولیّ مندوب إلی أن یثمر ماله من یلی علیه، و التجارة من أقوی الأسباب فی تثمیر المال،</w:t>
      </w:r>
    </w:p>
    <w:p>
      <w:pPr>
        <w:pStyle w:val="BookText"/>
        <w:rPr/>
      </w:pPr>
      <w:r>
        <w:rPr>
          <w:rFonts w:ascii="IRNazanin" w:hAnsi="IRNazanin" w:eastAsia="IRNazanin"/>
          <w:color w:val="111111"/>
          <w:sz w:val="28"/>
          <w:sz w:val="28"/>
          <w:szCs w:val="28"/>
          <w:rtl w:val="true"/>
          <w:lang w:bidi="fa-IR"/>
        </w:rPr>
        <w:t>و لما روی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ابتغوا فی أموال الیتامی لا تأکلها الزکاة</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مغنی المحتاج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الصبیّ أبوه ثمّ جدّه ثمّ وصیّهما ثمّ القاضی</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 فی فقه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أب و لا جدّ نظر فیه الوصیّ؛ لأنّه نائب عن الأب و الجدّ، فقدّم علی غیره</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روضة الطالبین</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 المجموع</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قال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یتولّی الأب مال الصبیّ و المجنون؛ لأنّها ولایةٌ علی الصغیر فقدّم فیها الأب کولایة النکاح، ثمّ وصیّه بعده؛ لأنّه نائبه</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لولیّ الیتیم أن یضارب بماله و أن یدفعه إلی من یضارب له به، و یجعل له نصیباً من الربح أباً کان أو وصیّاً، أو حاکماً أو أمین حاکمٍ، و هو أولی</w:t>
      </w:r>
    </w:p>
    <w:p>
      <w:pPr>
        <w:pStyle w:val="BookText"/>
        <w:rPr/>
      </w:pPr>
      <w:r>
        <w:rPr>
          <w:rFonts w:ascii="IRNazanin" w:hAnsi="IRNazanin" w:eastAsia="IRNazanin"/>
          <w:color w:val="111111"/>
          <w:sz w:val="28"/>
          <w:sz w:val="28"/>
          <w:szCs w:val="28"/>
          <w:rtl w:val="true"/>
          <w:lang w:bidi="fa-IR"/>
        </w:rPr>
        <w:t xml:space="preserve">من ترکه، و ممّن رأی ذلک ابن عمرو النخعی و الحسن بن صالح و مالک و الشافعی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نقل الخلاف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علیه الجمهور أولی؛ لما روی عبد اللّه بن عمرو بن العاص أنّ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ولی یتیماً له مال فلیتّجر له، و لا یترکه حتّی تأکله الصدقة</w:t>
      </w:r>
      <w:r>
        <w:rPr>
          <w:rFonts w:eastAsia="IRNazanin" w:cs="IRNazanin"/>
          <w:color w:val="111111"/>
          <w:sz w:val="28"/>
          <w:szCs w:val="28"/>
          <w:rtl w:val="true"/>
          <w:lang w:bidi="fa-IR"/>
        </w:rPr>
        <w:t>»</w:t>
      </w:r>
      <w:r>
        <w:rPr>
          <w:rStyle w:val="FootnoteAnchor"/>
          <w:rtl w:val="true"/>
        </w:rPr>
        <w:footnoteReference w:id="1109"/>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w:t>
      </w:r>
    </w:p>
    <w:p>
      <w:pPr>
        <w:pStyle w:val="BookText"/>
        <w:rPr/>
      </w:pPr>
      <w:r>
        <w:rPr>
          <w:rFonts w:ascii="IRNazanin" w:hAnsi="IRNazanin" w:eastAsia="IRNazanin"/>
          <w:color w:val="111111"/>
          <w:sz w:val="28"/>
          <w:sz w:val="28"/>
          <w:szCs w:val="28"/>
          <w:rtl w:val="true"/>
          <w:lang w:bidi="fa-IR"/>
        </w:rPr>
        <w:t>قال فی البدائع فی سبب تحقّق ولایة الوصیّ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 الأب قائم مقامه؛ لأنّه رضیه و اختاره، فالظاهر أنّه ما اختاره من بین سائر الناس إلاّ لعلمه بأنّ شفقته علی ورثته مثل شفقته علیهم، و لو لا ذلک لما ارتضاه من بین سائر الناس، فکان الوصیّ خلفاً عن الأب، و خلف الشیء قائم مقامه کأنّه هو، و الجدّ له کمال الرأی و وفور الشفقة، إلاّ أنّ شفقته دون شفقة الأب، فلا جرم تأخّرت ولایته عن ولایة الأب، و ولایة وصیّه و وصیّ وصیّه أیضاً؛ لأنّ تلک ولایة الأب من حیث المعنی علی ما ذکرنا، و وصیّ الجدّ قائم مقامه؛ لأنّه استفاد الولایة من جهته، و کذا وصیّ وصیّه</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لوصیّ الیتیم أن یوکّل فی کلّ ما یجوز له أن یعمله بنفسه من امور الیتیم</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باب الوصایا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للوصیّ أن یتّجر بنفسه بمال الیتیم و یدفعه مضاربةً و یشارک 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الموصی جعله قائماً مقامه فی التصرّف فی المال</w:t>
      </w:r>
      <w:r>
        <w:rPr>
          <w:rFonts w:eastAsia="IRNazanin" w:cs="IRNazanin"/>
          <w:color w:val="111111"/>
          <w:sz w:val="28"/>
          <w:szCs w:val="28"/>
          <w:rtl w:val="true"/>
          <w:lang w:bidi="fa-IR"/>
        </w:rPr>
        <w:t>...»</w:t>
      </w:r>
      <w:r>
        <w:rPr>
          <w:rStyle w:val="FootnoteAnchor"/>
          <w:rtl w:val="true"/>
        </w:rPr>
        <w:footnoteReference w:id="1113"/>
      </w:r>
      <w:bookmarkStart w:id="420" w:name="pg11753_114872"/>
    </w:p>
    <w:p>
      <w:pPr>
        <w:pStyle w:val="BookText"/>
        <w:rPr/>
      </w:pPr>
      <w:bookmarkEnd w:id="420"/>
      <w:r>
        <w:rPr>
          <w:rFonts w:ascii="IRNazanin" w:hAnsi="IRNazanin" w:eastAsia="IRNazanin"/>
          <w:color w:val="111111"/>
          <w:sz w:val="28"/>
          <w:sz w:val="28"/>
          <w:szCs w:val="28"/>
          <w:rtl w:val="true"/>
          <w:lang w:bidi="fa-IR"/>
        </w:rPr>
        <w:t>و قال فی باب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عفو الأب و الوصیّ عن قصاصٍ واجبٍ للصغیر باطل؛ لأنّه فوّض إلیهما استیفاء حقّه شرعاً لا إسقاطه</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ولیّ الصبیّ أبوه و عند عدمه الوصیّ أو وصیّه، فإن لم یکن فالحاکم</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الزرقانی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یلی أبا المحجور وصیّه؛ أی الذی أوصاه الأب قبل موته علی ولده؛ لأنّه نائبه، فإن مات فوصیّه الذی أوصاه ذلک الوصیّ قبل موته</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و کذا فی بدایة المجتهد</w:t>
      </w:r>
      <w:r>
        <w:rPr>
          <w:rStyle w:val="FootnoteAnchor"/>
          <w:rtl w:val="true"/>
        </w:rPr>
        <w:footnoteReference w:id="1117"/>
      </w:r>
      <w:r>
        <w:rPr>
          <w:rFonts w:ascii="IRNazanin" w:hAnsi="IRNazanin" w:eastAsia="IRNazanin"/>
          <w:color w:val="111111"/>
          <w:sz w:val="28"/>
          <w:sz w:val="28"/>
          <w:szCs w:val="28"/>
          <w:rtl w:val="true"/>
          <w:lang w:bidi="fa-IR"/>
        </w:rPr>
        <w:t>و الذخیرة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الخرشی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یوجد الأب فوصیّه یقوم مقامه و ینظر فی مصالح الیتیم من بیعٍ و غیره</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فی فقه أهل المدینة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بالتجارة فی مال الیتیم، و لا ضمان علی الوصیّ</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9482782_73709187"/>
      <w:bookmarkStart w:id="422" w:name="_Toc160"/>
      <w:bookmarkEnd w:id="421"/>
      <w:r>
        <w:rPr>
          <w:rtl w:val="true"/>
        </w:rPr>
        <w:t>المطلب الثانی</w:t>
      </w:r>
      <w:r>
        <w:rPr>
          <w:rtl w:val="true"/>
        </w:rPr>
        <w:t xml:space="preserve">: </w:t>
      </w:r>
      <w:r>
        <w:rPr>
          <w:rtl w:val="true"/>
        </w:rPr>
        <w:t>فی بیان شرائطها</w:t>
      </w:r>
      <w:r>
        <w:rPr>
          <w:rtl w:val="true"/>
        </w:rPr>
        <w:t>:</w:t>
      </w:r>
      <w:bookmarkEnd w:id="422"/>
    </w:p>
    <w:p>
      <w:pPr>
        <w:pStyle w:val="Heading6"/>
        <w:numPr>
          <w:ilvl w:val="5"/>
          <w:numId w:val="1"/>
        </w:numPr>
        <w:rPr/>
      </w:pPr>
      <w:bookmarkStart w:id="423" w:name="__RefHeading___Toc9482784_73709187"/>
      <w:bookmarkStart w:id="424" w:name="_Toc161"/>
      <w:bookmarkEnd w:id="423"/>
      <w:r>
        <w:rPr>
          <w:rtl w:val="true"/>
        </w:rPr>
        <w:t>اشارة</w:t>
      </w:r>
      <w:bookmarkEnd w:id="42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تصرّفات الوصیّ فی أموال الصغار مراعاة المصلحة و النظر و الغبطة؛ للأدلّة التی ذکرنا فی ولایة الأب و الجدّ، و لا یجوز له التصرّف</w:t>
      </w:r>
      <w:bookmarkStart w:id="425" w:name="pg11753_114873"/>
    </w:p>
    <w:p>
      <w:pPr>
        <w:pStyle w:val="BookText"/>
        <w:rPr/>
      </w:pPr>
      <w:bookmarkEnd w:id="425"/>
      <w:r>
        <w:rPr>
          <w:rFonts w:ascii="IRNazanin" w:hAnsi="IRNazanin" w:eastAsia="IRNazanin"/>
          <w:color w:val="111111"/>
          <w:sz w:val="28"/>
          <w:sz w:val="28"/>
          <w:szCs w:val="28"/>
          <w:rtl w:val="true"/>
          <w:lang w:bidi="fa-IR"/>
        </w:rPr>
        <w:t>فی مال الصغیر بما لا حظّ فیه، کالعتق و الهبة و التبرّعات و غیرها، و البیع و الشراء بغبنٍ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یشترط فی ثبوت ولایة الوصیّ لأحد الأبوین و جعله وصیّاً علی الصغیر، أو لا؟ بل یکفی مجرّد صدق کونه وصیّاً و لو کان وصیّاً علی الثلث فقط؟ یظهر من إطلاق عبارات الأصحاب الثانی، و لکن قد یدّعی انصراف الإطلاقات المذکورة إلی صورة جعله وصیّاً علی الصغیر، فیلزم الرجوع فی غیرها إلی حکم الأصل و هو عدم ثبوت الولایة، فالاحتمال الثانی هو الأقرب</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9482786_73709187"/>
      <w:bookmarkStart w:id="427" w:name="_Toc162"/>
      <w:bookmarkEnd w:id="426"/>
      <w:r>
        <w:rPr>
          <w:rtl w:val="true"/>
        </w:rPr>
        <w:t>اشتراط تصرّفات الوصیّ للمصلحة عند أهل السنّة</w:t>
      </w:r>
      <w:bookmarkEnd w:id="427"/>
    </w:p>
    <w:p>
      <w:pPr>
        <w:pStyle w:val="BookText"/>
        <w:rPr/>
      </w:pPr>
      <w:r>
        <w:rPr>
          <w:rFonts w:ascii="IRNazanin" w:hAnsi="IRNazanin" w:eastAsia="IRNazanin"/>
          <w:color w:val="111111"/>
          <w:sz w:val="28"/>
          <w:sz w:val="28"/>
          <w:szCs w:val="28"/>
          <w:rtl w:val="true"/>
          <w:lang w:bidi="fa-IR"/>
        </w:rPr>
        <w:t>یظهر من کلمات فقهاء أهل السنّة التی ذکرناها فی نقل آرائهم فی ولایة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قائلون بولایة وصیّ الوصیّ أیضاً کالوصیّ،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أیضاً قائلون بأنّه یشترط فی تصرّفات الوصیّ أن تکون موافقة للمصلحة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قدامة</w:t>
      </w:r>
      <w:r>
        <w:rPr>
          <w:rStyle w:val="FootnoteAnchor"/>
          <w:rtl w:val="true"/>
        </w:rPr>
        <w:footnoteReference w:id="1122"/>
      </w:r>
      <w:r>
        <w:rPr>
          <w:rFonts w:ascii="Amiri" w:hAnsi="Amiri" w:eastAsia="Amiri" w:cs="Amiri"/>
          <w:color w:val="111111"/>
          <w:sz w:val="28"/>
          <w:sz w:val="28"/>
          <w:szCs w:val="28"/>
          <w:rtl w:val="true"/>
          <w:lang w:bidi="ar-SA"/>
        </w:rPr>
        <w:t>من فقهاء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لولیّه التصرّف فی ماله بما لا حظّ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و بمثل ذلک قال ابن شاس من فقهاء المالکیّة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 یعطی مال الیتیم مضاربةً، و إن شاء أبضعه، و إن شاء</w:t>
      </w:r>
    </w:p>
    <w:p>
      <w:pPr>
        <w:pStyle w:val="BookText"/>
        <w:rPr/>
      </w:pPr>
      <w:r>
        <w:rPr>
          <w:rFonts w:ascii="Amiri" w:hAnsi="Amiri" w:eastAsia="Amiri" w:cs="Amiri"/>
          <w:color w:val="111111"/>
          <w:sz w:val="28"/>
          <w:sz w:val="28"/>
          <w:szCs w:val="28"/>
          <w:rtl w:val="true"/>
          <w:lang w:bidi="ar-SA"/>
        </w:rPr>
        <w:t>اتّجر إلی غیر ذلک و کان خیراً للیتیم فَعل،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إِصْلاحٌ لَهُمْ 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ابتغوا فی أموال الیتامی خیراً کیلا تأکلها الصدقة</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یعنی النفقة</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یتصرّف له الولیّ بالمصلحة وجوباً؛ لقوله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 کلامه کأصله أنّ التصرّف الذی لا خیر فیه و لا شرّ ممنوع منه؛ إذ لا مصلحة فیه</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اشترط بعض فقهاء أهل السنّة فی ولایة الوصیّ أن یکون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شرط ثبوت الولایة العدالة بلا خلافٍ؛ لأنّ فی تفویضها إلی الفاسق تضییعاً لماله، فلم یجز، کتفویضها إلی السفیه</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الوصیّ أی المنصوب من جهة الأب أو الجدّ، أو وصیّ من تأخّر موته منهما؛ لأنّه یقوم مقامه و شرطه العدالة</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و کذا فی مغنی المحتاج</w:t>
      </w:r>
      <w:r>
        <w:rPr>
          <w:rStyle w:val="FootnoteAnchor"/>
          <w:rtl w:val="true"/>
        </w:rPr>
        <w:footnoteReference w:id="1130"/>
      </w:r>
      <w:bookmarkStart w:id="428" w:name="pg11753_114875"/>
    </w:p>
    <w:p>
      <w:pPr>
        <w:pStyle w:val="Heading4"/>
        <w:numPr>
          <w:ilvl w:val="3"/>
          <w:numId w:val="1"/>
        </w:numPr>
        <w:rPr/>
      </w:pPr>
      <w:bookmarkStart w:id="429" w:name="__RefHeading___Toc9482788_73709187"/>
      <w:bookmarkStart w:id="430" w:name="_Toc163"/>
      <w:bookmarkEnd w:id="428"/>
      <w:bookmarkEnd w:id="429"/>
      <w:r>
        <w:rPr>
          <w:rtl w:val="true"/>
        </w:rPr>
        <w:t>المبحث الخامس</w:t>
      </w:r>
      <w:r>
        <w:rPr>
          <w:rtl w:val="true"/>
        </w:rPr>
        <w:t xml:space="preserve">: </w:t>
      </w:r>
      <w:r>
        <w:rPr>
          <w:rtl w:val="true"/>
        </w:rPr>
        <w:t>نفوذ تصرفات الوکیل علی أموال الصغار</w:t>
      </w:r>
      <w:bookmarkEnd w:id="430"/>
    </w:p>
    <w:p>
      <w:pPr>
        <w:pStyle w:val="BookText"/>
        <w:rPr/>
      </w:pPr>
      <w:r>
        <w:rPr>
          <w:rFonts w:ascii="IRNazanin" w:hAnsi="IRNazanin" w:eastAsia="IRNazanin"/>
          <w:color w:val="111111"/>
          <w:sz w:val="28"/>
          <w:sz w:val="28"/>
          <w:szCs w:val="28"/>
          <w:rtl w:val="true"/>
          <w:lang w:bidi="fa-IR"/>
        </w:rPr>
        <w:t>لا خلاف فی ولایة الوکیل من قبل الأب أو الجدّ علی أموال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للأب و الجدّ أن یوکّلا عن الولد الصغیر</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صحّ تصرّفه فی شیء تدخله النیابة صحّ أن یوکّل فیه</w:t>
      </w:r>
      <w:r>
        <w:rPr>
          <w:rFonts w:eastAsia="IRNazanin" w:cs="IRNazanin"/>
          <w:color w:val="111111"/>
          <w:sz w:val="28"/>
          <w:szCs w:val="28"/>
          <w:rtl w:val="true"/>
          <w:lang w:bidi="fa-IR"/>
        </w:rPr>
        <w:t>»</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1133"/>
      </w:r>
      <w:r>
        <w:rPr>
          <w:rFonts w:ascii="IRNazanin" w:hAnsi="IRNazanin" w:eastAsia="IRNazanin"/>
          <w:color w:val="111111"/>
          <w:sz w:val="28"/>
          <w:sz w:val="28"/>
          <w:szCs w:val="28"/>
          <w:rtl w:val="true"/>
          <w:lang w:bidi="fa-IR"/>
        </w:rPr>
        <w:t>و القواعد</w:t>
      </w:r>
      <w:r>
        <w:rPr>
          <w:rStyle w:val="FootnoteAnchor"/>
          <w:rtl w:val="true"/>
        </w:rPr>
        <w:footnoteReference w:id="1134"/>
      </w:r>
      <w:r>
        <w:rPr>
          <w:rFonts w:ascii="IRNazanin" w:hAnsi="IRNazanin" w:eastAsia="IRNazanin"/>
          <w:color w:val="111111"/>
          <w:sz w:val="28"/>
          <w:sz w:val="28"/>
          <w:szCs w:val="28"/>
          <w:rtl w:val="true"/>
          <w:lang w:bidi="fa-IR"/>
        </w:rPr>
        <w:t>و الإرشاد</w:t>
      </w:r>
      <w:r>
        <w:rPr>
          <w:rStyle w:val="FootnoteAnchor"/>
          <w:rtl w:val="true"/>
        </w:rPr>
        <w:footnoteReference w:id="1135"/>
      </w:r>
      <w:r>
        <w:rPr>
          <w:rFonts w:ascii="IRNazanin" w:hAnsi="IRNazanin" w:eastAsia="IRNazanin"/>
          <w:color w:val="111111"/>
          <w:sz w:val="28"/>
          <w:sz w:val="28"/>
          <w:szCs w:val="28"/>
          <w:rtl w:val="true"/>
          <w:lang w:bidi="fa-IR"/>
        </w:rPr>
        <w:t>و جامع المقاصد</w:t>
      </w:r>
      <w:r>
        <w:rPr>
          <w:rStyle w:val="FootnoteAnchor"/>
          <w:rtl w:val="true"/>
        </w:rPr>
        <w:footnoteReference w:id="1136"/>
      </w:r>
      <w:r>
        <w:rPr>
          <w:rFonts w:ascii="Amiri" w:hAnsi="Amiri" w:eastAsia="Amiri" w:cs="Amiri"/>
          <w:color w:val="111111"/>
          <w:sz w:val="28"/>
          <w:sz w:val="28"/>
          <w:szCs w:val="28"/>
          <w:rtl w:val="true"/>
          <w:lang w:bidi="ar-SA"/>
        </w:rPr>
        <w:t>و مجمع الفائدة و البرهان</w:t>
      </w:r>
      <w:r>
        <w:rPr>
          <w:rStyle w:val="FootnoteAnchor"/>
          <w:rtl w:val="true"/>
        </w:rPr>
        <w:footnoteReference w:id="1137"/>
      </w:r>
      <w:r>
        <w:rPr>
          <w:rFonts w:ascii="IRNazanin" w:hAnsi="IRNazanin" w:eastAsia="IRNazanin"/>
          <w:color w:val="111111"/>
          <w:sz w:val="28"/>
          <w:sz w:val="28"/>
          <w:szCs w:val="28"/>
          <w:rtl w:val="true"/>
          <w:lang w:bidi="fa-IR"/>
        </w:rPr>
        <w:t>و مفتاح الکرامة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الوکیل من المالک أو ممّن له الولایة</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وکیلاً عن المالک أو من له الولایة حیث یجوز له التوکیل</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للولیّ کالأب و الجدّ للصغیر أن یوکّل غیره فیما یتعلّق بالمولّی علیه ممّا له الولایة علیه</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 بالجملة یستفاد من کلمات الفقهاء أنّه کُلّ ما تعلّق غرض الشارع بإیقاعه مباشرةً لا یصحّ التوکیل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کذلک فإنّه یصحّ فیه التوکیل، فعلی هذا یجوز للأولیاء کالأب و الجدّ و الوصیّ لهما و الحاکم أنْ یوکّلوا غیرهم فیما یتعلّق بالمولّی علیهم ممّا لهم الولایة علیه؛ لأنّ الغرض من جعل الولایة لهم حفظ أنفسهم و أموالهم من التلف و الضرر، و إعانتهم فیما یحتاجون إلیه فی امورهم، و هذا یمکن أن یصدر من الأولیاء و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إثبات ولایة الوکیل علی أموال الصغار ما ذکرناه لإثبات ولایته علی النکاح</w:t>
      </w:r>
      <w:r>
        <w:rPr>
          <w:rStyle w:val="FootnoteAnchor"/>
          <w:rtl w:val="true"/>
        </w:rPr>
        <w:footnoteReference w:id="1142"/>
      </w:r>
      <w:r>
        <w:rPr>
          <w:rFonts w:ascii="IRNazanin" w:hAnsi="IRNazanin" w:eastAsia="IRNazanin"/>
          <w:color w:val="111111"/>
          <w:sz w:val="28"/>
          <w:sz w:val="28"/>
          <w:szCs w:val="28"/>
          <w:rtl w:val="true"/>
          <w:lang w:bidi="fa-IR"/>
        </w:rPr>
        <w:t>؛ کعموم بعض النصوص،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معاویة بن وهب و جابر بن یزید جمیعاً،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وکّل رجلاً علی إمضاء أمر من الاُمور فالوکالة ثابتة أبداً حتی یعلمه بالخروج منها، کما أعلمه بالدخول فیها</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جواز التصرّف فی مال الصبیّ هو أمر من الاُمور، فالوکالة فیه ثابتة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تفاوت بین البابین، فلا نتعرّض لبیان الأدلّة مراعاة للاختصار، و الحمد للّه ربّ العالمین</w:t>
      </w:r>
      <w:r>
        <w:rPr>
          <w:rFonts w:eastAsia="IRNazanin" w:cs="IRNazanin"/>
          <w:color w:val="111111"/>
          <w:sz w:val="28"/>
          <w:szCs w:val="28"/>
          <w:rtl w:val="true"/>
          <w:lang w:bidi="fa-IR"/>
        </w:rPr>
        <w:t>.</w:t>
      </w:r>
      <w:bookmarkStart w:id="431" w:name="pg11753_114877"/>
    </w:p>
    <w:p>
      <w:pPr>
        <w:pStyle w:val="Heading3"/>
        <w:numPr>
          <w:ilvl w:val="2"/>
          <w:numId w:val="1"/>
        </w:numPr>
        <w:rPr/>
      </w:pPr>
      <w:bookmarkStart w:id="432" w:name="__RefHeading___Toc9482790_73709187"/>
      <w:bookmarkStart w:id="433" w:name="_Toc164"/>
      <w:bookmarkEnd w:id="431"/>
      <w:bookmarkEnd w:id="432"/>
      <w:r>
        <w:rPr>
          <w:rtl w:val="true"/>
        </w:rPr>
        <w:t>الفصل العاشر فی ولایة الحاکم، و القاضی و عدول المؤمنین علی أموال الصغار</w:t>
      </w:r>
      <w:bookmarkEnd w:id="433"/>
    </w:p>
    <w:p>
      <w:pPr>
        <w:pStyle w:val="Heading4"/>
        <w:numPr>
          <w:ilvl w:val="3"/>
          <w:numId w:val="1"/>
        </w:numPr>
        <w:rPr/>
      </w:pPr>
      <w:bookmarkStart w:id="434" w:name="__RefHeading___Toc9482792_73709187"/>
      <w:bookmarkStart w:id="435" w:name="_Toc165"/>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436" w:name="__RefHeading___Toc9482794_73709187"/>
      <w:bookmarkStart w:id="437" w:name="_Toc166"/>
      <w:bookmarkEnd w:id="436"/>
      <w:r>
        <w:rPr>
          <w:rtl w:val="true"/>
        </w:rPr>
        <w:t>المبحث الأوّل</w:t>
      </w:r>
      <w:r>
        <w:rPr>
          <w:rtl w:val="true"/>
        </w:rPr>
        <w:t xml:space="preserve">: </w:t>
      </w:r>
      <w:r>
        <w:rPr>
          <w:rtl w:val="true"/>
        </w:rPr>
        <w:t>ولایة الحاکم</w:t>
      </w:r>
      <w:bookmarkEnd w:id="437"/>
    </w:p>
    <w:p>
      <w:pPr>
        <w:pStyle w:val="Heading5"/>
        <w:numPr>
          <w:ilvl w:val="4"/>
          <w:numId w:val="1"/>
        </w:numPr>
        <w:rPr/>
      </w:pPr>
      <w:bookmarkStart w:id="438" w:name="__RefHeading___Toc9482796_73709187"/>
      <w:bookmarkStart w:id="439" w:name="_Toc167"/>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لا شبهة فی أنّ للحاکم الذی هو الفقیه الجامع للشرائط جواز التصرّف فی أموال الغیّب و القصّر، و الظاهر أنّه لا خلاف فی أصل ولایته علی أموالهم، بل الإجماع علیه، فیجوز بیع مال الصغیر و نحوه بشرط المصلحة من الحاکم أو أمینه عند عدم الأب و الجدّ و وصیّهما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جواز تصرّفه هذا، هل یکون من جهة النیابة العامّة الثابتة للفقیه عن الإمام علیه السلام کما هو المشهور، أو لکون هذا التصرّف من شئون القضاء الثابتة له بلا خلافٍ، أو من باب امور الحسبة؟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رحمه الله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مال الیتیم جاز له أنْ یتّجر فیه للصبی</w:t>
      </w:r>
    </w:p>
    <w:p>
      <w:pPr>
        <w:pStyle w:val="BookText"/>
        <w:rPr/>
      </w:pPr>
      <w:r>
        <w:rPr>
          <w:rFonts w:ascii="Amiri" w:hAnsi="Amiri" w:eastAsia="Amiri" w:cs="Amiri"/>
          <w:color w:val="111111"/>
          <w:sz w:val="28"/>
          <w:sz w:val="28"/>
          <w:szCs w:val="28"/>
          <w:rtl w:val="true"/>
          <w:lang w:bidi="ar-SA"/>
        </w:rPr>
        <w:t>نظراً له؛ سواءٌ کان أباً أو جدّاً أو وصیّاً أو حاکماً أو أمیناً لحاکم</w:t>
      </w:r>
      <w:r>
        <w:rPr>
          <w:rFonts w:eastAsia="Amiri" w:cs="Amiri" w:ascii="Amiri" w:hAnsi="Amiri"/>
          <w:color w:val="111111"/>
          <w:sz w:val="28"/>
          <w:szCs w:val="28"/>
          <w:rtl w:val="true"/>
          <w:lang w:bidi="ar-SA"/>
        </w:rPr>
        <w:t>»</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النهایة</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فی السرائر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فی مال الطفل و المجنون، للأب و الجدّ للأب، فإن لم یکونا فللوصیّ، فإن لم یکن فللحاکم</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بنو حمزة</w:t>
      </w:r>
      <w:r>
        <w:rPr>
          <w:rStyle w:val="FootnoteAnchor"/>
          <w:rtl w:val="true"/>
        </w:rPr>
        <w:footnoteReference w:id="1149"/>
      </w:r>
      <w:r>
        <w:rPr>
          <w:rFonts w:ascii="Amiri" w:hAnsi="Amiri" w:eastAsia="Amiri" w:cs="Amiri"/>
          <w:color w:val="111111"/>
          <w:sz w:val="28"/>
          <w:sz w:val="28"/>
          <w:szCs w:val="28"/>
          <w:rtl w:val="true"/>
          <w:lang w:bidi="ar-SA"/>
        </w:rPr>
        <w:t>و زهرة</w:t>
      </w:r>
      <w:r>
        <w:rPr>
          <w:rStyle w:val="FootnoteAnchor"/>
          <w:rtl w:val="true"/>
        </w:rPr>
        <w:footnoteReference w:id="1150"/>
      </w:r>
      <w:r>
        <w:rPr>
          <w:rFonts w:ascii="IRNazanin" w:hAnsi="IRNazanin" w:eastAsia="IRNazanin"/>
          <w:color w:val="111111"/>
          <w:sz w:val="28"/>
          <w:sz w:val="28"/>
          <w:szCs w:val="28"/>
          <w:rtl w:val="true"/>
          <w:lang w:bidi="fa-IR"/>
        </w:rPr>
        <w:t>و إدریس</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 سعید</w:t>
      </w:r>
      <w:r>
        <w:rPr>
          <w:rStyle w:val="FootnoteAnchor"/>
          <w:rtl w:val="true"/>
        </w:rPr>
        <w:footnoteReference w:id="1152"/>
      </w:r>
      <w:r>
        <w:rPr>
          <w:rFonts w:ascii="IRNazanin" w:hAnsi="IRNazanin" w:eastAsia="IRNazanin"/>
          <w:color w:val="111111"/>
          <w:sz w:val="28"/>
          <w:sz w:val="28"/>
          <w:szCs w:val="28"/>
          <w:rtl w:val="true"/>
          <w:lang w:bidi="fa-IR"/>
        </w:rPr>
        <w:t>، و الفاضل الآبی</w:t>
      </w:r>
      <w:r>
        <w:rPr>
          <w:rStyle w:val="FootnoteAnchor"/>
          <w:rtl w:val="true"/>
        </w:rPr>
        <w:footnoteReference w:id="1153"/>
      </w:r>
      <w:r>
        <w:rPr>
          <w:rFonts w:ascii="IRNazanin" w:hAnsi="IRNazanin" w:eastAsia="IRNazanin"/>
          <w:color w:val="111111"/>
          <w:sz w:val="28"/>
          <w:sz w:val="28"/>
          <w:szCs w:val="28"/>
          <w:rtl w:val="true"/>
          <w:lang w:bidi="fa-IR"/>
        </w:rPr>
        <w:t>، و العلاّمة فی أکثر کتبه</w:t>
      </w:r>
      <w:r>
        <w:rPr>
          <w:rStyle w:val="FootnoteAnchor"/>
          <w:rtl w:val="true"/>
        </w:rPr>
        <w:footnoteReference w:id="1154"/>
      </w:r>
      <w:r>
        <w:rPr>
          <w:rFonts w:ascii="IRNazanin" w:hAnsi="IRNazanin" w:eastAsia="IRNazanin"/>
          <w:color w:val="111111"/>
          <w:sz w:val="28"/>
          <w:sz w:val="28"/>
          <w:szCs w:val="28"/>
          <w:rtl w:val="true"/>
          <w:lang w:bidi="fa-IR"/>
        </w:rPr>
        <w:t>، و الشهید الأوّل</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الاُمور المفتقرة إلی الولایة إمّا أن تکون أطفالاً، أو وصایا و حقوقاً و دیوناً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 فالولایة فیهم لأبیه، ثمّ لجدّه لأبیه، ثمّ لمن یلیه من الأجداد علی ترتیب الولایة، الأقرب منهم إلی المیّت فالأقرب، فإن عدم الجمیع فوصیّ الأب، ثمّ وصیّ الجدّ و هکذا، فإن عُدِم الجمیع فالحاکم، و الولایة فی الباقی غیر الأطفال للوصی ثمّ الحاکم، و المراد به السلطان العادل، أو نائبه الخاص أو العامّ مع تعذّر الأوّلین؛ و هو الفقیه الجامع لشرائط الفتوی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w:t>
      </w:r>
    </w:p>
    <w:p>
      <w:pPr>
        <w:pStyle w:val="BookText"/>
        <w:rPr/>
      </w:pPr>
      <w:r>
        <w:rPr>
          <w:rFonts w:ascii="IRNazanin" w:hAnsi="IRNazanin" w:eastAsia="IRNazanin"/>
          <w:color w:val="111111"/>
          <w:sz w:val="28"/>
          <w:sz w:val="28"/>
          <w:szCs w:val="28"/>
          <w:rtl w:val="true"/>
          <w:lang w:bidi="fa-IR"/>
        </w:rPr>
        <w:t>کان حاکماً عامّاً لأنّه منصوب من قبل الإمام لا بخصوص ذلک الشخص، بل بعموم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من کان منکم قد روی حدیثنا</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الکرکی فی رسالة صلاة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أصحابنا رضوان اللّه علیهم علی أنّ الفقیه العدل الإمامی الجامع لشرائط الفتوی المعبّر عنه بالمجتهد فی الأحکام الشرعیّة نائب من قبل أئمّة الهدی صلوات اللّه و سلامه علیهم فی حال الغیبة فی جمیع ما للنیابة فیه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یبیع مال الممتنع من أداء الحقّ إن احتیج إلیه، و یلی أموال الغیّاب و الأطفال و السفهاء و المفلّسین، و یتصرّف علی المحجور علیهم، إلی آخر ما یثبت للحاکم المنصوب من قبل الإمام علیه السلام</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هذه العبارات جاء فی کلمات بعض آخر من المتأخِّرین</w:t>
      </w:r>
      <w:r>
        <w:rPr>
          <w:rStyle w:val="FootnoteAnchor"/>
          <w:rtl w:val="true"/>
        </w:rPr>
        <w:footnoteReference w:id="1159"/>
      </w:r>
      <w:r>
        <w:rPr>
          <w:rFonts w:ascii="Amiri" w:hAnsi="Amiri" w:eastAsia="Amiri" w:cs="Amiri"/>
          <w:color w:val="111111"/>
          <w:sz w:val="28"/>
          <w:sz w:val="28"/>
          <w:szCs w:val="28"/>
          <w:rtl w:val="true"/>
          <w:lang w:bidi="ar-SA"/>
        </w:rPr>
        <w:t>، و متأخِّری المتأخِّرین</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بعض فقهاء العصر</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یدّعی أنّ ولایة الفقهاء الجامعین للشرائط علی أموال الیتامی من ضروریّات فقه الإمامیّة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من الواضحات التی لا تحتاج إلی أدلّة</w:t>
      </w:r>
      <w:r>
        <w:rPr>
          <w:rFonts w:eastAsia="IRNazanin" w:cs="IRNazanin"/>
          <w:color w:val="111111"/>
          <w:sz w:val="28"/>
          <w:szCs w:val="28"/>
          <w:rtl w:val="true"/>
          <w:lang w:bidi="fa-IR"/>
        </w:rPr>
        <w:t>»</w:t>
      </w:r>
      <w:r>
        <w:rPr>
          <w:rStyle w:val="FootnoteAnchor"/>
          <w:rtl w:val="true"/>
        </w:rPr>
        <w:footnoteReference w:id="1162"/>
      </w:r>
      <w:bookmarkStart w:id="440" w:name="pg11753_114880"/>
    </w:p>
    <w:p>
      <w:pPr>
        <w:pStyle w:val="BookText"/>
        <w:rPr/>
      </w:pPr>
      <w:bookmarkEnd w:id="440"/>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تصوّر أطراف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أمراً نظریّاً یحتاج إلی برهانٍ</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9482798_73709187"/>
      <w:bookmarkStart w:id="442" w:name="_Toc168"/>
      <w:bookmarkEnd w:id="441"/>
      <w:r>
        <w:rPr>
          <w:rtl w:val="true"/>
        </w:rPr>
        <w:t>أدلّة ولایة الحاکم علی أموال الصغار</w:t>
      </w:r>
      <w:bookmarkEnd w:id="442"/>
    </w:p>
    <w:p>
      <w:pPr>
        <w:pStyle w:val="BookText"/>
        <w:rPr/>
      </w:pPr>
      <w:r>
        <w:rPr>
          <w:rFonts w:ascii="IRNazanin" w:hAnsi="IRNazanin" w:eastAsia="IRNazanin"/>
          <w:color w:val="111111"/>
          <w:sz w:val="28"/>
          <w:sz w:val="28"/>
          <w:szCs w:val="28"/>
          <w:rtl w:val="true"/>
          <w:lang w:bidi="fa-IR"/>
        </w:rPr>
        <w:t>یدلّ علی ولایة الحاکم علی أموال الصغار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القطعی کما تقدّم فی کلام المحقّق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من لهم الولایة علی أموال الصغار من الأب و الجدّ و الحاکم الشرعی و أمینه المنصوب من قبله، و بیان مراتبهم فی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ثبوت الولایة لهؤلاء، بل الظاهر الإجماع علیه، و هو الحُجّة</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 و نقله أیضاً المحقّق الأردبیلی</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ادّعاه فی الجواهر</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لولایة الحاکم الإجماع المنقول و عموم النیابة التی تستفاد من مثل المقبولة و غیرها</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حکایة الإجماع و عدم الخلاف فیه مستفیضة</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العناوین للسیّد المراغی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الإجماع فی کلامهم علی هذا المعنی لعلّه مستفیضٌ فی کلامهم</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إمّا خطاب إلی الأولیاء،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فالخطاب فیها متوجّه إلی الوصیّ و الحاکم و أمینه و لعلّ إلی الجدّ لو لا انصرافها عنه؛ لأنّها فی مورد الیتیم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خطاب لجمیع المکلّفین، کما یشهد له سیاق الآیات المتقدّمة علیها و المتأخّرة عنها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کلا التقدیرین تکون الآیة بلحاظ الاستثناء دلیلاً علی جواز التصرّف المقرون بمصلحة الصغیر، فتدلّ علی جواز قرب ماله بالتی هی أحسن لکلّ أحدٍ من الناس، و القدر المتیقّن منه الفقهاء فیجوز لهم قطعاً، و کذلک یجوز قرب غیرهم مع إذن الفقیه، و أمّا بدون إذنه فجواز قرب مال الیتیم لا یستفاد من الآیة</w:t>
      </w:r>
      <w:r>
        <w:rPr>
          <w:rStyle w:val="FootnoteAnchor"/>
          <w:rtl w:val="true"/>
        </w:rPr>
        <w:footnoteReference w:id="1170"/>
      </w:r>
      <w:r>
        <w:rPr>
          <w:rFonts w:ascii="IRNazanin" w:hAnsi="IRNazanin" w:eastAsia="IRNazanin"/>
          <w:color w:val="111111"/>
          <w:sz w:val="28"/>
          <w:sz w:val="28"/>
          <w:szCs w:val="28"/>
          <w:rtl w:val="true"/>
          <w:lang w:bidi="fa-IR"/>
        </w:rPr>
        <w:t>؛ لجواز أن یکون الأحسن کونه مع إذن الفقیه الذی بیده مجاری الاُمور، و هو المرجع فی الحوادث و الحجّة و الحاکم و القاضی من جانب الإمام، و أمین الرسول، و کافل الأیتام، و أعلم بوجوه التصرّف، بل یظهر منه عدم جواز قرب الغیر بدون إذنه، کما صرّح بذلک الفاضل النراقی رحمه الله</w:t>
      </w:r>
      <w:r>
        <w:rPr>
          <w:rStyle w:val="FootnoteAnchor"/>
          <w:rtl w:val="true"/>
        </w:rPr>
        <w:footnoteReference w:id="1171"/>
      </w:r>
      <w:bookmarkStart w:id="443" w:name="pg11753_114882"/>
    </w:p>
    <w:p>
      <w:pPr>
        <w:pStyle w:val="Heading5"/>
        <w:numPr>
          <w:ilvl w:val="4"/>
          <w:numId w:val="1"/>
        </w:numPr>
        <w:rPr/>
      </w:pPr>
      <w:bookmarkStart w:id="444" w:name="__RefHeading___Toc9482800_73709187"/>
      <w:bookmarkStart w:id="445" w:name="_Toc169"/>
      <w:bookmarkEnd w:id="443"/>
      <w:bookmarkEnd w:id="444"/>
      <w:r>
        <w:rPr>
          <w:rtl w:val="true"/>
        </w:rPr>
        <w:t>إیراد المحقّق الخوئی علی الاستدلال بالآیة و الجواب عنه</w:t>
      </w:r>
      <w:bookmarkEnd w:id="445"/>
    </w:p>
    <w:p>
      <w:pPr>
        <w:pStyle w:val="BookText"/>
        <w:rPr/>
      </w:pPr>
      <w:r>
        <w:rPr>
          <w:rFonts w:ascii="IRNazanin" w:hAnsi="IRNazanin" w:eastAsia="IRNazanin"/>
          <w:color w:val="111111"/>
          <w:sz w:val="28"/>
          <w:sz w:val="28"/>
          <w:szCs w:val="28"/>
          <w:rtl w:val="true"/>
          <w:lang w:bidi="fa-IR"/>
        </w:rPr>
        <w:t>أورد علیه السیّد الخوئی بأنّ دلالة الآیة علی ثبوت الولایة ممنوعٌ، و قال فی توضیحه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الآیة هو النهی تکلیفاً فی التسلّط علی مال الیتیم و تملّکه و أکله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بالّتی لیس هو التقرّب و إلاّ لما کان وجه للتأنیث، بل هی إشارة إلی الطریقة الوسطی الإسلامیّة، أو إلی الشریعة الواضحة المحمّدیة، کما عبّر عن ذلک فی آیة اخری بالمعروف، و نهی عن أکل مال الیتیم إلاّ بالمعروف،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الآیة نظیر آیة التجارة نهیاً عن أکل المال بالباطل إلاّ بالطریقة الوسطی و بالأسباب الشرعیّة، فلا تکون مربوطاً بالبیع و الشراء و بجهة الولایة</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کلامه قدس سره نظر؛ لأنّه لو کان مفادّ آیة النهی عن قرب مال الیتیم مثل آیة النهی عن التجارة بالباطل کما قال رحمه الله، یصیر معناها</w:t>
      </w:r>
      <w:r>
        <w:rPr>
          <w:rStyle w:val="FootnoteAnchor"/>
          <w:rtl w:val="true"/>
        </w:rPr>
        <w:footnoteReference w:id="1173"/>
      </w:r>
      <w:r>
        <w:rPr>
          <w:rFonts w:ascii="IRNazanin" w:hAnsi="IRNazanin" w:eastAsia="IRNazanin"/>
          <w:color w:val="111111"/>
          <w:sz w:val="28"/>
          <w:sz w:val="28"/>
          <w:szCs w:val="28"/>
          <w:rtl w:val="true"/>
          <w:lang w:bidi="fa-IR"/>
        </w:rPr>
        <w:t xml:space="preserve">بلحاظ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إذا بلغ الیتیم أشدّه فیجوز قرب ماله بغیر التی هی أحسن و غیر الطریقة الإسلامیّة، و بلوغ الیتیم أشدّه یبیح قرب ماله و یجوز أکله و تملّکه بغیر الأحسن، و فساده ظاهر، و معنی 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فیه و حفظه و تثمیره و الاتّجار به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الآیة نهی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المکلّفین أن یقربوا مال الیتیم إلاّ بالتی هی أحسن، و هو أن یحفظوا علیه و یثمروه، أو ینفقوا علیه بالمعروف علی ما لا یشکّ أنّه أصلح له، فأمّا لغیر ذلک فلا یجوز لأحدٍ التصرّف فیه</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و کذا فی مجمع البیان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الیتیم إلاّ بالتی هی أحسن، إلاّ بالخصلة التی هی أحسن ما یفعل بمال الیتیم، و هی حفظه و تثمیره، و المعنی احفظوا علیه حتّی یبلغ أشدّه فادفعوا إلیه بالقسط</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 هذا کلام القرطبی فی الجامع لأحکام القرآن</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أبو حاتم عن عطیّة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التجارة فیه و الربح فیه</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لا وجه لما ذکره قدس سره فی دلالة الآیة من أنّ مدلولها هو النهی تکلیفاً فی القرب بمال الیتیم، و تملّکه و أکله بالباطل و علی غیر وجه الشرعیّة، و کونها نظیر آیة التجارة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ممّا ذکرنا أیضاً ما فی کلام المحقّق الایروانی قدس سره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بصدد بیان ما یجوز من التصرّف و ما لا یجوز، لا ضابط من له التصرّف ممّن لیس له، فهی مهملة من هذه الحیثیّة</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 لأنّه لا إهمال فی الآیة الکریمة، بل هی ظاهرة بلحاظ الاستثناء فی جواز التصرّف المقرون بمصلحة الغیر، و حیث إنّ مورد الآیة هو الیتیم الذی لا ولیّ له، فللحاکم و أمینه أو المأذون من قبله أو الوصیّ للجدّ أو الأب جواز التصرّف، و حیث إنّ الضرورة و الإجماع قائم بأنّه لا یجوز التصرّف فی مال الیتیم إلاّ من هؤلاء الخمسة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الآیة بضمیمة الإجماع و الضرورة ولایة الحاکم،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المتشرّعة و ارتکازهم</w:t>
      </w:r>
    </w:p>
    <w:p>
      <w:pPr>
        <w:pStyle w:val="BookText"/>
        <w:rPr/>
      </w:pPr>
      <w:r>
        <w:rPr>
          <w:rFonts w:ascii="IRNazanin" w:hAnsi="IRNazanin" w:eastAsia="IRNazanin"/>
          <w:color w:val="111111"/>
          <w:sz w:val="28"/>
          <w:sz w:val="28"/>
          <w:szCs w:val="28"/>
          <w:rtl w:val="true"/>
          <w:lang w:bidi="fa-IR"/>
        </w:rPr>
        <w:t>قال السیّد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سیرة المتشرّعة بالرجوع إلی المجتهدین فیها؛ أی فی امور الأیتام و المجانین و الأوقاف التی لا متولّی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الفقیه الجامع للشرائط فی مثل هذه الاُمور الدینیّة من مرتکزات المتشرّعة، بل من فطریات أهل کلّ مذهب و ملّة الرجوع فیها إلی علماء مذهبهم، و أنّ للعلماء نحو ولایةٍ فی مثل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هذا الأمر الارتکازی للمتشرّعة لا یحتاج إلی ورود التعبّد من الشارع، بل یکفی مجرّد عدم الردع فی هذه الاُمور العامّة الابتلاء فی جمیع الأعصار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بعد ذلک للتمسّک بأصالة عدم الولایة؛ لأنّها ثابتةٌ بنظر العرف، و ما ورد من الترغیب فی الرجوع إلی الفقهاء ورد فی مورد هذا النظر العرفی، فیؤکّده و یثبّته، فأصل ولایة الفقیه فی الجملة ممّا لا ینبغی أن یبحث عنه</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الثابتة من بعض الأخبار و من مذاق الشریعة؛ و هی أنّه لا شکّ فی أنّ الصغیر ممنوع عن التصرّف فی ماله شرعاً، إجماعاً و نصّاً، کتاباً و سنّةً، فإمّا لم یُنصب من جانب اللّه سبحانه أحد لحفظ أمواله و إصلاحه و التصرّف فیه فیما یصلحه، أو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غیر جائز علی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المتقن عقلاً، کما صرّح به فی روایة العلل من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یجعل لهم إماماً قیّماً أمیناً حافظاً مستودعاً لدرست الملّة، و ذهب الدین، و غیّرت السنن و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ذلک فساد</w:t>
      </w:r>
    </w:p>
    <w:p>
      <w:pPr>
        <w:pStyle w:val="BookText"/>
        <w:rPr/>
      </w:pPr>
      <w:r>
        <w:rPr>
          <w:rFonts w:ascii="IRNazanin" w:hAnsi="IRNazanin" w:eastAsia="IRNazanin"/>
          <w:color w:val="111111"/>
          <w:sz w:val="28"/>
          <w:sz w:val="28"/>
          <w:szCs w:val="28"/>
          <w:rtl w:val="true"/>
          <w:lang w:bidi="fa-IR"/>
        </w:rPr>
        <w:t>الخلق أجمعین</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أیضاً استفاضة الأخبار بأنّ الشارع لم یدع شیئاً ممّا تحتاج إلیه الاُمّة إلاّ بیّنه لهم</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هذا أشدّ ما یحتاجون إلیه، بل یبطله فی الأکثر نفی الضرر و الضرار، فتعیّن الثانی، و هذا المنصوب إمّا أن یکون معیّناً أولا علی التعیین؛ أی کلّ من کان، و المردّد لا علی التعیین لا ماهیّة له و لا 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التعیین إمّا یکون هو الفقیه أو الثقة العدل، و علی کلا التقدیرین یکون الفقیه منصوباً، فهو المتیقّن و الباقی مشکوک، أشار إلی هذا الوجه الفاضل النراقی قدس سره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من أصحابنا و لم یوص فرفع أمره إلی قاضی الکوفة فصیّر عبد الحمید القیّم بماله، و کان الرجل خلّف ورثةً صغاراً و متاعاً و جواری، فباع عبد الحمید المتاع، فلمّا أراد بیع الجواری ضعف قلبه عن بیعهنّ؛ إذ لم یکن المیّت صیّر إلیه وصیّته، و کان قیامه فیها بأمر القاضی؛ لأنّهنّ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جعفر علیه السلام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أصحابنا و لا یوصی إلی أحدٍ و یخلّف جواری فیقیّم القاضی رجلاً منّا فیبیعهُنّ،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بذلک رجل منّا فیضعف قلبه لأنّهنّ فروج، فما تری فی ذلک؟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القیّم به مثلک و</w:t>
      </w:r>
      <w:r>
        <w:rPr>
          <w:rStyle w:val="FootnoteAnchor"/>
          <w:rtl w:val="true"/>
        </w:rPr>
        <w:footnoteReference w:id="1185"/>
      </w:r>
      <w:r>
        <w:rPr>
          <w:rFonts w:ascii="IRNazanin" w:hAnsi="IRNazanin" w:eastAsia="IRNazanin"/>
          <w:color w:val="111111"/>
          <w:sz w:val="28"/>
          <w:sz w:val="28"/>
          <w:szCs w:val="28"/>
          <w:rtl w:val="true"/>
          <w:lang w:bidi="fa-IR"/>
        </w:rPr>
        <w:t>مثل عبد الحمید فلا بأس</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صحیحة ابن بزیع خیر شاهد علی ثبوت هذه التولیة العامّة</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المهمّ فی فقه الحدیث هو بیان جهة المماثلة و أنّها فی أیّ شیء؟ فقد جعل الشیخ الأعظم قدس سره موارد الاحتمالات فی المماثلة أربعة،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المماثلة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المماثلة فی التشیّع، أو فی الوثاقة و ملاحظة مصلحة الیتیم و إن لم یکن شیعیّاً، أو فی الفقاهة؛ بأن یکون من نوّاب الإمام علیه السلام عموماً فی القضاء بین المسلمین، أو فی العدالة</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احتمال التماثل فی التشیّع فبعیدٌ جدّاً؛ إذ الظاهر من الروایة أنّ التشیّع مفروض الوجود و مفروغ عنه، و إنّما السؤال من جهة أنّ نصب القاضی یجوّز التصرّف للقیّم أم لا؟ مع عدم کون القاضی شیعیّاً و لا فقیهاً فی مذهبنا و لا عدلاً، بل و لا ثقةً علی الظاهر، و ذلک لأنّ فرض السائل کون الرجل من أصحابنا و جعل القاضی عبد الحمید 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المماثلة فی الفقاهة لکون محمّد بن إسماعیل بن بزیع من فقهاء الشیعة؛ لأنّه من مشایخ فضل بن شاذان، و کذلک عبد الحمید علی بعض الوجوه، فمعنی الروایة یکون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القیّم مثلک و مثل عبد الحمید فقیهاً فلا بأس، و تدلّ علی ولایة الفقیه علی أموال الیتامی، و سیأتی زیاد توضیح فی ذلک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الحمید هذا محتمل بین اثنین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ثقة لم تثبت فقاهته و هو ابن سالم، و الآخر فقیهٌ لم یثبت وثاقته و هو ابن سعید، فحینئذٍ تکون الروایة مجملة من حیث اعتبار الفقاهة، و لکنّ الظاهر أنّ</w:t>
      </w:r>
    </w:p>
    <w:p>
      <w:pPr>
        <w:pStyle w:val="BookText"/>
        <w:rPr/>
      </w:pPr>
      <w:r>
        <w:rPr>
          <w:rFonts w:ascii="IRNazanin" w:hAnsi="IRNazanin" w:eastAsia="IRNazanin"/>
          <w:color w:val="111111"/>
          <w:sz w:val="28"/>
          <w:sz w:val="28"/>
          <w:szCs w:val="28"/>
          <w:rtl w:val="true"/>
          <w:lang w:bidi="fa-IR"/>
        </w:rPr>
        <w:t>المراد منه هو عبد الحمید بن سالم کما صرّح به فی الروایة،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عبد الحمید بن سالم القیّم بماله کما فی التهذیب فی باب الزیادة من الوصیّة، و أنّ توثیقه لم ینحصر بهذه الروایة، بل ظاهر عبارة النجاشی فی ابنه محمّد بن عبد الحمید بن سالم هو ذلک مع إثبات کتاب له، فیکون فقیهاً</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مقصوده قدس سره ما قال النجاشی فی ترجمة ابنه محمّد بن عبد الحمید، و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الحمید، عن أبی الحسن موسی علیه السلام، و کان ثقةً من أصحابنا الکوفیّین، له کتاب النوادر</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هذا أنّ التوثیق للأب لا للابن؛ لأنّه إذا کان الراوی صاحب کتابٍ أو أصل یستظهر بل یستفاد أنّه فقیهٌ، کما أشار إلیه المحقّق الاصفهانی</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التستری بعد نقل ما قال النجاشی فی ترجمة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أنّه ظاهر فی الرجوع إلی هذا؛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بالوصل؛ فإنّه ظاهر فی العطف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قطع الکلام عن الأب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بالفصل، کما فی قوله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یمکن إثبات فقاهته من حیث إنّه جعل قریناً لمثل ابن بزیع، الذی هو من الفقهاء و من مشایخ الفضل بن شاذان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هو عبد الحمید ابن سعید؛ لأنّ فی نسخة الکافی و بعض نسخ التهذیب لم تکن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w:t>
      </w:r>
      <w:r>
        <w:rPr>
          <w:rStyle w:val="FootnoteAnchor"/>
          <w:rtl w:val="true"/>
        </w:rPr>
        <w:footnoteReference w:id="1193"/>
      </w:r>
      <w:r>
        <w:rPr>
          <w:rFonts w:ascii="IRNazanin" w:hAnsi="IRNazanin" w:eastAsia="IRNazanin"/>
          <w:color w:val="111111"/>
          <w:sz w:val="28"/>
          <w:sz w:val="28"/>
          <w:szCs w:val="28"/>
          <w:rtl w:val="true"/>
          <w:lang w:bidi="fa-IR"/>
        </w:rPr>
        <w:t>، کما قال الشیخ التستری أیضاً نقلاً عن الوحید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یجد</w:t>
      </w:r>
      <w:bookmarkStart w:id="446" w:name="pg11753_114888"/>
    </w:p>
    <w:p>
      <w:pPr>
        <w:pStyle w:val="BookText"/>
        <w:rPr/>
      </w:pPr>
      <w:bookmarkEnd w:id="446"/>
      <w:r>
        <w:rPr>
          <w:rFonts w:ascii="IRNazanin" w:hAnsi="IRNazanin" w:eastAsia="IRNazanin"/>
          <w:color w:val="111111"/>
          <w:sz w:val="28"/>
          <w:sz w:val="28"/>
          <w:szCs w:val="28"/>
          <w:rtl w:val="true"/>
          <w:lang w:bidi="fa-IR"/>
        </w:rPr>
        <w:t xml:space="preserve">فی نسخته من التهذیب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المراد بعبد الحمید فیه عبد الحمید ابن سعید الآتی؛ لأنّ هذا من أصحاب الصادق و الکاظم علیهما السلام، و المسئول عنه الجواد علیه السلام</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وثاقته فمن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هذه الروایة، کما قال التستری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فکونه من أصحاب الجواد علیه السلام فی غایة القرب، و حینئذٍ فیدلّ الخبر علی وثاقته</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جهة روایة صفوان عنه، و هو ممّن أجمعت العصابة علی تصحیح ما یصحّ عنه، قال الشیخ 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لأجل ذلک سوّت الطائفة بین ما یرویه محمّد بن أبی عمیر، و صفوان بن یحیی، و أحمد بن محمّد بن أبی نصر، و غیرهم من الثقات الذین عرفوا بأنّهم لا یروون و لا یرسلون إلاّ عمّن یوثق به</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واحد، و أنّه نسب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أبیه،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جدّه؛ لتوصیف کلیهما بأنّه مولی بجیلة کوفیّ و کلیهما بالعطّار، فهو فقیهٌ موثّق، و اللّه العالم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9482802_73709187"/>
      <w:bookmarkStart w:id="448" w:name="_Toc170"/>
      <w:bookmarkEnd w:id="447"/>
      <w:r>
        <w:rPr>
          <w:rtl w:val="true"/>
        </w:rPr>
        <w:t>الإیراد علی الاستدلال بالصحیحة و الجواب عنه</w:t>
      </w:r>
      <w:bookmarkEnd w:id="44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الأعظم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الصحیحة و بیان الاحتمالات فی المماثلة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 لإطلاق المفهوم الدالّ علی ثبوت البأس مع عدم الفقیه و لو مع تعذّره، و هذا بخلاف الاحتمالات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فیجب الأخذ فی مخالفة الأصل بالأخصّ منها؛ و هو العَدل</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النائینی فی توضیح هذا الإیراد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المماثلة فی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الصحیحة عن الدلالة علی ولایة غیر الفقیه، لکنّه بعید فی نفسه؛ لاقتضائه بمفهومه ثبوت البأس مع عدم کون المتصدّی فقیهاً، مع أنّ مفروض مورد السؤال هو الأمر الذی یجب القیام به من غیر الفقیه عند عدم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فالمتعیّن هو أحد الاحتمالین من الثانی أو الثالث، و حیث لا ترجیح لأحدهما علی الآخر فلا جرم یجب الأخذ بالمتیقّن منهما و هو العدالة</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المتحصّل من هذا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مفهوم الشرط، و یستفاد منه أنّه لو لم یکن القیّم فقیهاً ففیه البأس، و هذا ینافی کون التصرّف فی مال الیتیم و القیام بأمره من الاُمور التی لا تسقط بتعذّر إذن الفقیه، و نعلم قطعاً بولایة عدول المؤمنین عند تعذّر الوصول إلی الفقیه، مع أنّ إطلاق ذلک المفهوم یمنع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نفسه قدس سره بأنّه یمکن أن یکون المفروض فی مورد الروایة صورة التمکّن من الرجوع إلی الفقیه، و أنّ البأس کان فی تصدّی غیره لأجل التمکّن من تصدّیه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منه ما أجاب عنه السیّد الخوئی رحمه الله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بإرادة المماثلة فی العدالة؛ إذ المحذور المذکور وارد علی هذا أیضاً، للعلم بوصول النوبة إلی المؤمنین الفاسقین مع تعذّر العدل منهم العیاذ باللّه، مع أنّ المفهوم ینفی جواز تولیتهم علی ذلک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فی محلّه أنّ أصالة عدم التقیید و ظهور الإطلاق إنّما یتّبع</w:t>
      </w:r>
    </w:p>
    <w:p>
      <w:pPr>
        <w:pStyle w:val="BookText"/>
        <w:rPr/>
      </w:pPr>
      <w:r>
        <w:rPr>
          <w:rFonts w:ascii="IRNazanin" w:hAnsi="IRNazanin" w:eastAsia="IRNazanin"/>
          <w:color w:val="111111"/>
          <w:sz w:val="28"/>
          <w:sz w:val="28"/>
          <w:szCs w:val="28"/>
          <w:rtl w:val="true"/>
          <w:lang w:bidi="fa-IR"/>
        </w:rPr>
        <w:t>فیما إذا کان الشکّ فی أصل المراد، فبمقتضی ظهور الکلام و إطلاقه نستکشف مراد المتکلّم و یحتجّ به 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إذا علم المراد من الخارج و کان الشکّ فی کیفیّة ذلک المراد من المفهوم، فلا یجوز حینئذٍ التمسّک بأصالة عدم التقیید فی بیان کیفیّة المراد حتّی یتوهّم أنّ إطلاق المفهوم ینفی وصول النوبة إلی المؤمنین العادلین، فلیس المورد مورداً للتمسّک بأصالة عدم التقیید أصلاً، کما هو واضح</w:t>
      </w:r>
      <w:r>
        <w:rPr>
          <w:rStyle w:val="FootnoteAnchor"/>
          <w:rtl w:val="true"/>
        </w:rPr>
        <w:footnoteReference w:id="1200"/>
      </w:r>
      <w:r>
        <w:rPr>
          <w:rFonts w:ascii="IRNazanin" w:hAnsi="IRNazanin" w:eastAsia="IRNazanin"/>
          <w:color w:val="111111"/>
          <w:sz w:val="28"/>
          <w:sz w:val="28"/>
          <w:szCs w:val="28"/>
          <w:rtl w:val="true"/>
          <w:lang w:bidi="fa-IR"/>
        </w:rPr>
        <w:t>، إذن فلا مجال لإشکال المصنّف؛ إذ هو مفروض التمسّک بأصالة عدم التقیید، و قد عرفت عدم وصول النوبة إلیها</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أنّ الظاهر إرادة المماثلة من الروایة من</w:t>
      </w:r>
      <w:r>
        <w:rPr>
          <w:rStyle w:val="FootnoteAnchor"/>
          <w:rtl w:val="true"/>
        </w:rPr>
        <w:footnoteReference w:id="1202"/>
      </w:r>
      <w:r>
        <w:rPr>
          <w:rFonts w:ascii="IRNazanin" w:hAnsi="IRNazanin" w:eastAsia="IRNazanin"/>
          <w:color w:val="111111"/>
          <w:sz w:val="28"/>
          <w:sz w:val="28"/>
          <w:szCs w:val="28"/>
          <w:rtl w:val="true"/>
          <w:lang w:bidi="fa-IR"/>
        </w:rPr>
        <w:t>جمیع الجهات حتّی فی العربیّة و الکوفیّة، و لکن نرفع الید عن ذلک فی الاُمور التی نقطع بعدم مدخلیّتها فی الحکم بنحو، کالعربیّة و الکوفیّة و نحوهما، و یبقی الباقی تحت الإطلاق، بل کلّما نشکّ فی خروجه و دخوله من جهة مدخلیّته و عدمه، و إنّما الخارج ما نعلم بعدم دخالته فی الحکم، إذن فلا وجه لاعتبار العدالة فقط من جهة أخذ القدر المتیقّن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اعتبار الفقاهة و الوثاقة و العدالة و جمیع الخصوصیّات المحسّنة التی تحتمل دخالتها فی الحکم فی الولایة المجعولة فی الروایة، فافهم</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 xml:space="preserve">ابن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رجل بینی و بینه قرابة مات و ترک أولاداً صغاراً، و ترک ممالیک له غلماناً و جواری و لم یوص، فما تری فیمن یشتری منهم الجاریة فیتّخذها أُمّ ولد؟ و ما تری فی بیعهم؟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لهم ولیّ یقوم بأمرهم باع علیهم و نظر لهم کان مأجوراً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فیمن یشتری منهم الجاریة فیتّخذها أُمّ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باع علیهم القیّم لهم الناظر فیما یصلحهم، و لیس لهم أن یرجعوا عمّا صنع القیّم لهم الناظر فیما یصلحهم</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 الروایة هو الیتیم الذی لا أب له و لا وصیّ، و کذا الجدّ علی الظاهر، و فی هذا المورد 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لهم ولیّ یقوم بأمرهم و باع علیهم و نظر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الصحیحة ظاهرةٌ فی أنّ الحاکم ینصب فرداً قیّماً و ناظراً لهؤلاء الصغار؛ لأنّ جعل القیمومة منحصر بالحاکم، فهی تدلّ علی ثبوت الولایة لغیر الأب و الوصیّ و الجدّ، حیث انتفت هذه الثلاثة فی 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الأب و الوصیّ، فصریح الروایة انتفاؤهما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الجدّ؛ فلأنّه لو کان، لکان هو المتولّی لأمرهم و یذکره الإمام علیه السلام، فتدلّ الصحیحة علی إثبات الولایة لغیر هؤلاء الثلاثة، و الحاکم منهم، و هو المطلوب، و سیأتی أنّها تدلّ علی ولایة عدول المؤمنین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أرسله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خلفائی،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فی عیون الأخبار بطرقٍ ثلاثة، رجال کلّ طریقٍ یغایر طریق الآخر</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خلفائی ثلاث مرّات</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معانی الأخبار بسند رابع</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فی الأمالی و زاد فی آخرها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یعلّمونها امّتی</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ذکرها فی مستدرک الوسائل نقلاً عن صحیفة الرضا علیه السلام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عوالی اللئالی و زاد فی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رفقائی فی الجنّة</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فی البحار نقلاً عن منیة المرید مع تفاوتٍ یسیر</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نقل عن الراوندی</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روایةٌ معتمدةٌ لکثرة طرقها، بل لو کانت مرسلةً لکانت من مراسیل الصدوق التی لا تقصر عن مراسیل مثل ابن أبی عمیر؛ فإنّ مرسلات الصدوق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ارسل و نسب إلی المعصوم علیه السلام بنحو الجزم،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علیه السلام مثلاً، و القسم الأوّل من المراسیل المعتمدة المقبولة</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الخلافة عن رسول اللّه صلی الله علیه و آله و سلم أمر معهود من أوّل الإسلام لیس فیه إبهام، و الخلافة لو لم تکن ظاهرةً فی الولایة و الحکومة فلا أقلّ من أنّها القدر المتیقّن منها</w:t>
      </w:r>
      <w:r>
        <w:rPr>
          <w:rStyle w:val="FootnoteAnchor"/>
          <w:rtl w:val="true"/>
        </w:rPr>
        <w:footnoteReference w:id="1214"/>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أموال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بقول مطلق کما ورد فی الروایات تفید استخلاف الخلیفة فی کلّ ما کان للمستخلف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المقام یستفاد منها أنّ للفقیه ما کان للنبیّ صلی الله علیه و آله من الشئون فی امور المسلمین، و منها الولایة علی أموال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له ما استثنی من هذا الإطلاق، کالجهاد ابتداءً و تزویج الصغار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السیّد الخوئی قدس سره علی الاستدلال بالروایة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ذلک خلیفتهم فی نقل الروایة و الحدیث</w:t>
      </w:r>
      <w:r>
        <w:rPr>
          <w:rStyle w:val="FootnoteAnchor"/>
          <w:rtl w:val="true"/>
        </w:rPr>
        <w:footnoteReference w:id="1215"/>
      </w:r>
      <w:r>
        <w:rPr>
          <w:rFonts w:ascii="IRNazanin" w:hAnsi="IRNazanin" w:eastAsia="IRNazanin"/>
          <w:color w:val="111111"/>
          <w:sz w:val="28"/>
          <w:sz w:val="28"/>
          <w:szCs w:val="28"/>
          <w:rtl w:val="true"/>
          <w:lang w:bidi="fa-IR"/>
        </w:rPr>
        <w:t>، کما 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یروون حدیثی و سنّتی، لا أنّ المراد من الخلافة الخلافة فی التصرّف فی أموال الناس و أنفسهم</w:t>
      </w:r>
      <w:r>
        <w:rPr>
          <w:rFonts w:eastAsia="IRNazanin" w:cs="IRNazanin"/>
          <w:color w:val="111111"/>
          <w:sz w:val="28"/>
          <w:szCs w:val="28"/>
          <w:rtl w:val="true"/>
          <w:lang w:bidi="fa-IR"/>
        </w:rPr>
        <w:t>»</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ذلک أیضاً من کلام المحقّق الاصفهانی</w:t>
      </w:r>
      <w:r>
        <w:rPr>
          <w:rStyle w:val="FootnoteAnchor"/>
          <w:rtl w:val="true"/>
        </w:rPr>
        <w:footnoteReference w:id="1217"/>
      </w:r>
      <w:r>
        <w:rPr>
          <w:rFonts w:ascii="IRNazanin" w:hAnsi="IRNazanin" w:eastAsia="IRNazanin"/>
          <w:color w:val="111111"/>
          <w:sz w:val="28"/>
          <w:sz w:val="28"/>
          <w:szCs w:val="28"/>
          <w:rtl w:val="true"/>
          <w:lang w:bidi="fa-IR"/>
        </w:rPr>
        <w:t>و العراقی</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الایروانی بعد بیان أنّ الخلافة مقولةٌ بالتشکیک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الإضافة تفید العموم فی حقّ کلّ من هو خلیفة فی جهةٍ أو</w:t>
      </w:r>
      <w:r>
        <w:rPr>
          <w:rStyle w:val="FootnoteAnchor"/>
          <w:rtl w:val="true"/>
        </w:rPr>
        <w:footnoteReference w:id="1219"/>
      </w:r>
      <w:r>
        <w:rPr>
          <w:rFonts w:ascii="IRNazanin" w:hAnsi="IRNazanin" w:eastAsia="IRNazanin"/>
          <w:color w:val="111111"/>
          <w:sz w:val="28"/>
          <w:sz w:val="28"/>
          <w:szCs w:val="28"/>
          <w:rtl w:val="true"/>
          <w:lang w:bidi="fa-IR"/>
        </w:rPr>
        <w:t>فی جهاتٍ، و الذین یأتون بعده و یروون حدیثه یشمل الأئمّة الذین هم خلفاؤه فی کلّ الجهات و العلماء و الرواة الذین لا یعلم حدّ خلافتهم، فلعلّ خلافتهم مختصّةٌ بنشر الأحکام و إبلاغها کما یناسبه لفظ یروونَ حدیثی</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کلامهم نظر؛ لأنّ الخلافة لنقل الروایة و السنّة لا معنی لها؛ لأنّه صلی الله علیه و آله لم یکن</w:t>
      </w:r>
    </w:p>
    <w:p>
      <w:pPr>
        <w:pStyle w:val="BookText"/>
        <w:rPr/>
      </w:pPr>
      <w:r>
        <w:rPr>
          <w:rFonts w:ascii="IRNazanin" w:hAnsi="IRNazanin" w:eastAsia="IRNazanin"/>
          <w:color w:val="111111"/>
          <w:sz w:val="28"/>
          <w:sz w:val="28"/>
          <w:szCs w:val="28"/>
          <w:rtl w:val="true"/>
          <w:lang w:bidi="fa-IR"/>
        </w:rPr>
        <w:t>راویاً لروایاته حتّی یکون الخلیفة قائماً مقامه فی ذلک، 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معرّفاً للخلفاء، و لا یکون فی مقام تحدید معنی الخلافة حتّی تکون الخلافة فی روایة الحدیث و السنّة،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الروایة أضاف صلی الله علیه و آله و سلم الخلفاء إلی نفسه،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ارحم خلفائی، و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المحقّق الایروانی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العموم، فیستفاد منها أنّ کلّ ما کان له صلی الله علیه و آله و سلم من الولایة کان لخلفائه إلاّ ما استثنی، و هذا المعنی هو ما قلنا فی تقریب الاستدلال بأنّ الخلافة بقول مطلق تفید استخلاف الخلیفة فی کلّ ما کان للمستخلف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معنی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الحدیث خلیفتهم فی نقل الروایة و الحدیث،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یعلم حدّ خلافة الفقهاء، فخلافتهم مختصّةٌ بنشر الأحکام و إبلاغها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 اختصاص ولایته بالأحکام الشرعیّة، یدفعها معلومیّة تولّیه کثیراً من الاُمور التی لا ترجع للأحکام، کحفظه لمال الأطفال و المجانین و الغائبین، و غیر ذلک ممّا هو محرّر فی محلّه، و یمکن تحصیل الإجماع علیه من الفقهاء؛ فإنّهم لا یزالون یذکرون ولایته فی مقاماتٍ عدیدةٍ لا دلیل علیها سوی الإطلاقات</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 أنّ المراد من الخلفاء خصوص الأئمّة علیهم السلام فی غایة الوهن؛ فإنّ التعبیر عن الأئمّة علیهم السلام برواة الأحادیث غیر معهود، بل هم خزّان علمه تعالی، و لهم صفات جمیلة إلی ما شاء اللّه</w:t>
      </w:r>
      <w:r>
        <w:rPr>
          <w:rStyle w:val="FootnoteAnchor"/>
          <w:rtl w:val="true"/>
        </w:rPr>
        <w:footnoteReference w:id="1222"/>
      </w:r>
      <w:r>
        <w:rPr>
          <w:rFonts w:ascii="IRNazanin" w:hAnsi="IRNazanin" w:eastAsia="IRNazanin"/>
          <w:color w:val="111111"/>
          <w:sz w:val="28"/>
          <w:sz w:val="28"/>
          <w:szCs w:val="28"/>
          <w:rtl w:val="true"/>
          <w:lang w:bidi="fa-IR"/>
        </w:rPr>
        <w:t>لا یناسب للإیعاز</w:t>
      </w:r>
    </w:p>
    <w:p>
      <w:pPr>
        <w:pStyle w:val="BookText"/>
        <w:rPr/>
      </w:pPr>
      <w:r>
        <w:rPr>
          <w:rFonts w:ascii="IRNazanin" w:hAnsi="IRNazanin" w:eastAsia="IRNazanin"/>
          <w:color w:val="111111"/>
          <w:sz w:val="28"/>
          <w:sz w:val="28"/>
          <w:szCs w:val="28"/>
          <w:rtl w:val="true"/>
          <w:lang w:bidi="fa-IR"/>
        </w:rPr>
        <w:t xml:space="preserve">إلی مقامهم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رواة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المقصود من الخلفاء أشخاصهم المعلومین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أولاده المعصومون علیهم السلام لا العنوان العامّ الشامل لجمیع العلماء</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المتقدّمة التی ذکرها فی تحف العقول عن سیّد الشهداء، عن أمیر المؤمنین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 إن کانت مرسلة، لکن اعتمد علی الکتاب صاحب الوسائل قدس سره، و متنها موافق للاعتبار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طویلة نذکر بعض فقراتها الّتی دلّت علی ما کنّا بصدد إثباته فی المقام قال 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أیّتها العصابة، عصابة بالعلم مشهورة، و بالخیر مذکورة، و بالنصیحة معروفة، و باللّه فی أنفس الناس مهابة، یهابکم الشریف، و یکرمکم الضعیف، و یؤثرکم من لا فضل لکم علیه و لا یَد لکم عنده، تشفعون فی الحوائج اذا امتنعت من طلاّبها، و تمشون فی الطریق بهیئة الملوک، و کرامة الأکابر، أ لیس کلّ ذلک إنّما نلتموه بما یرجی عندکم من القیام بحقّ اللّه و إن کنتم عن أکثر حقّه تقصّرون، فاستخففتم بحقّ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حق الضعفاء فضیّعتم، و أمّا حقّکم بزعمکم فطلبتم، فلا مالاً بذلتموه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علیکم أیّها المتمنّون علی اللّه أن تحلّ بکم نقمة من نقماته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باللّه فی عباده تکرمون، و قد ترون عهود اللّه منقوضة فلا تفزعون، و أنتم لبعض ذمم آبائکم تفزعون، و ذمّة رسول اللّه صلی الله علیه و آله محقورة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ممّا أمرکم اللّه به من النهی و التناهی و أنتم عنه غافلون، و أنتم أعظم النّاس مصیبةً لما غلبتم علیه من منازل العلماء لو کنتم تشعرون، ذلک بأنّ مجاری الاُمور و الأحکام علی أیدی العلماء باللّه، الأمناء علی حلاله و حرامه، فأنتم المسلوبون تلک المنزلة، و ما سلبتم ذلک إلاّ بتفرّقکم عن</w:t>
      </w:r>
    </w:p>
    <w:p>
      <w:pPr>
        <w:pStyle w:val="BookText"/>
        <w:rPr/>
      </w:pPr>
      <w:r>
        <w:rPr>
          <w:rFonts w:ascii="IRNazanin" w:hAnsi="IRNazanin" w:eastAsia="IRNazanin"/>
          <w:color w:val="111111"/>
          <w:sz w:val="28"/>
          <w:sz w:val="28"/>
          <w:szCs w:val="28"/>
          <w:rtl w:val="true"/>
          <w:lang w:bidi="fa-IR"/>
        </w:rPr>
        <w:t>الحقّ، الحدیث</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مدلول الجملة الأخیرة هو ثبوت الولایة العامّة؛ لأنّ الاُمور جمع محلّی باللاّم، فیستفاد منها العموم، و أنّ الاُمور التی من شأنها الجریان عن نظر الإمام مفوّضةٌ إلی العلماء،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شئون القاصرین فی أموالهم و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المحقّق النائینی بأنّ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بید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بإطلاقه علی الولایة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المحتمل قریباً کون العلماء فیها 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فیه قرائن تدلّ علی أنّ المراد من العلماء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 فإنّهم هم الاُمناء علی حلال اللّه و حرامه</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هذا العنوان ربما کان مختصّاً بالأئمّة</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تبعهما السیّد الخوئی فی ذلک</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قال به أیضاً المحقّق الایروانی</w:t>
      </w:r>
      <w:r>
        <w:rPr>
          <w:rStyle w:val="FootnoteAnchor"/>
          <w:rtl w:val="true"/>
        </w:rPr>
        <w:footnoteReference w:id="1228"/>
      </w:r>
      <w:r>
        <w:rPr>
          <w:rFonts w:ascii="IRNazanin" w:hAnsi="IRNazanin" w:eastAsia="IRNazanin"/>
          <w:color w:val="111111"/>
          <w:sz w:val="28"/>
          <w:sz w:val="28"/>
          <w:szCs w:val="28"/>
          <w:rtl w:val="true"/>
          <w:lang w:bidi="fa-IR"/>
        </w:rPr>
        <w:t>، و المحقّق الاصفهانی</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المعصومین علیهم السلام؛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العلماء</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الإمام الخمینی قدس سره فی الجواب عنهم،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إذا تدبّرت فیها صدراً و ذیلاً تری أنّ وجهة الکلام لا تختصّ بعصر دون عصرٍ، و بمصرٍ دون مصر، بل کلام صادر لضرب دستور کلّی للعلماء قاطبةً فی کلّ عصرٍ، و مصر للحثّ علی القیام بالأمر بالمعروف و النهی عن المنکر فی مقابل</w:t>
      </w:r>
    </w:p>
    <w:p>
      <w:pPr>
        <w:pStyle w:val="BookText"/>
        <w:rPr/>
      </w:pPr>
      <w:r>
        <w:rPr>
          <w:rFonts w:ascii="IRNazanin" w:hAnsi="IRNazanin" w:eastAsia="IRNazanin"/>
          <w:color w:val="111111"/>
          <w:sz w:val="28"/>
          <w:sz w:val="28"/>
          <w:szCs w:val="28"/>
          <w:rtl w:val="true"/>
          <w:lang w:bidi="fa-IR"/>
        </w:rPr>
        <w:t xml:space="preserve">الظَّلَمة، و تعییرهم علی ترکهما طمعاً فی الظَّلَمة أو خوفاً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العدول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 الاُمناء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لتعمیم الحکم بالنسبة إلی جمیع العلماء العدول الذین هم امناء اللّه علی حلاله و حرامه، بل انطباق هذا العنوان علی غیر الأئمّة أظهر؛ إذ توصیفهم علیهم السلام بذلک یحتاج إلی القرینة</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قرائن قطعیّة دلّت علی أنّها صدرت خطاباً للعلماء، و فیها جمل لا تکون مناسبة لمقام أهل البیت و الأئمّة المعصومین علیهم السلام، مثل 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أیّتها العصابة عصابةٌ بالعلم مشهورة، و بالخیر 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فی أنفس الناس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تشفعون فی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الجملات لا تکون خطاباً للناس کلّهم؛ لأنّ کلّ الناس لا یکونون بالعلم مشهورین، و بالخیر مذکورین،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حقّ الضعفاء فضیّعتم، و أمّا حقّکم بزعمکم فطلبتم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علیکم أیّها المتمنّون علی اللّه أن تحلّ بکم نقمةٌ من نقماته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أعظم الناس مصیبةً لما غلبتم علیه من منازل العُلماء لو کنتم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هذه الجمل تکون خطاباً للعلماء خاصّة، الذین لا یقومون بوظیفتهم من الأمر بالمعروف و النهی عن المنکر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الإمام علیه السلام عقیب هذه الجملات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مجاری الاُمور و الأحکام علی أیدی العلماء باللّه، الاُمناء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أن یکون المقصود منها الأئمّة علیهم السلام، و هذا ظاهر لمن تدبّر فی هذه الروایة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قسّم العلماء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منهم لا یقومون بوظیفتهم فهم أعظم الناس مصیبةً، و قسم آخر قاموا علی طریق الحقّ و هم الذین تکون مجاری الاُمور و الأحکام بأیدیهم، و یکونون الاُمناء علی حلال اللّه و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یمکن استفادة مرجعیّة الفقیه فی الاُمور منها، کما أنّه یستکشف ذلک من منع الإمام علیه السلام من التحاکم إلی قضاة العامّة و إرجاع الشیعة إلی فقهائنا، کما فی مقبولة عمر بن حنظلة</w:t>
      </w:r>
      <w:r>
        <w:rPr>
          <w:rStyle w:val="FootnoteAnchor"/>
          <w:rtl w:val="true"/>
        </w:rPr>
        <w:footnoteReference w:id="1232"/>
      </w:r>
      <w:r>
        <w:rPr>
          <w:rFonts w:ascii="IRNazanin" w:hAnsi="IRNazanin" w:eastAsia="IRNazanin"/>
          <w:color w:val="111111"/>
          <w:sz w:val="28"/>
          <w:sz w:val="28"/>
          <w:szCs w:val="28"/>
          <w:rtl w:val="true"/>
          <w:lang w:bidi="fa-IR"/>
        </w:rPr>
        <w:t>و مشهورة أو صحیحة أبی خدیجة</w:t>
      </w:r>
      <w:r>
        <w:rPr>
          <w:rStyle w:val="FootnoteAnchor"/>
          <w:rtl w:val="true"/>
        </w:rPr>
        <w:footnoteReference w:id="1233"/>
      </w:r>
      <w:r>
        <w:rPr>
          <w:rFonts w:ascii="IRNazanin" w:hAnsi="IRNazanin" w:eastAsia="IRNazanin"/>
          <w:color w:val="111111"/>
          <w:sz w:val="28"/>
          <w:sz w:val="28"/>
          <w:szCs w:val="28"/>
          <w:rtl w:val="true"/>
          <w:lang w:bidi="fa-IR"/>
        </w:rPr>
        <w:t>؛ إذ من مثلهما ربما یستفاد کون الفقیه حاکماً فی قبال حکّامهم، و أنّ له من الشأن ما لهم من الولایة علی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تستفاد الولایة المطلقة للفقهاء فی عصر الغیبة من عموم التنزیل و إطلاقه، حیث إنّ الشارع قد جعل الفقیه الجامع للشرائط قاضیاً و حاکماً کما فی مقبولة عمر بن حنظلة و مشهورة أو صحیحة أبی خدیجة؛ فإنّ مقتضی الإطلاق فیهما أن یترتّب الآثار المرغوبة من القضاة و الحکّام بأجمعهما علی الرواة و الفقهاء، و من تلک الآثار تصدّیهم لنصب القیّم و الولیّ علی القصّر من الصغار و المجانین و غیرهما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لا شبهة فی أنّ القضاة المنصوبین من قبل العامّة و الخلفاء کانوا یتصدّون لتلک الوظائف، کما لا یخفی علی من لاحظ أحوالهم و عرف سیرهم و سلوکهم، و یشهد لذلک صحیحة ابن بزیع المتقدّمة؛ لأنّها صریحة فی أنّ القضاة کانوا یتصدّون لنصب القیّم، فإذن تدلّ الروایتان علی أنّ المجتهد الجامع للشرائط قد جعل قاضیاً فی الشریعة، فتدلاّن بإطلاقهما علی أنّ الآثار الثابتة للقضاة و الحکّام</w:t>
      </w:r>
    </w:p>
    <w:p>
      <w:pPr>
        <w:pStyle w:val="BookText"/>
        <w:rPr/>
      </w:pPr>
      <w:r>
        <w:rPr>
          <w:rFonts w:ascii="IRNazanin" w:hAnsi="IRNazanin" w:eastAsia="IRNazanin"/>
          <w:color w:val="111111"/>
          <w:sz w:val="28"/>
          <w:sz w:val="28"/>
          <w:szCs w:val="28"/>
          <w:rtl w:val="true"/>
          <w:lang w:bidi="fa-IR"/>
        </w:rPr>
        <w:t>بأجمعهما مترتّبةٌ علی الفقیه؛ فإنّ ذلک مقتضی جعل المجتهد قاضیاً فی مقابل قضاتهم و 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الأخبار المتقدّمة و کذلک من روایاتٍ کثیرةٍ أُخری أنّ الفقیه بیده مجاری الاُمور و هو المرجع فی الحوادث، و الحجّة و الحاکم و القاضی من جانب الإمام علیه السلام و أمین الرسول و خلیفته، و کافل الأیتام، و حصن الإسلام، و وارث الأنبیاء و بمنزلتهم، فثبوت ولایة الفقهاء الجامعین للشرائط فی أموال الیتامی قطعیٌّ لا شبهة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مسألة وجوب دفع الزکاة إلی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یجب دفعها إلی الفقیه الشرعی فی حال الغیبة لو طلبها بنفسه أو وکیله؛ لأنّه نائب للإمام کالساعی بل أقوی</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صاحب الجواهر دلیل أقوائیّته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لنیابته عنه فی جمیع ما کان للإمام، و الساعی إنّما هو وکیل للإمام علیه السلام فی عمل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إطلاق أدلّة حکومته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روایة النصب</w:t>
      </w:r>
      <w:r>
        <w:rPr>
          <w:rStyle w:val="FootnoteAnchor"/>
          <w:rtl w:val="true"/>
        </w:rPr>
        <w:footnoteReference w:id="1235"/>
      </w:r>
      <w:r>
        <w:rPr>
          <w:rFonts w:ascii="IRNazanin" w:hAnsi="IRNazanin" w:eastAsia="IRNazanin"/>
          <w:color w:val="111111"/>
          <w:sz w:val="28"/>
          <w:sz w:val="28"/>
          <w:szCs w:val="28"/>
          <w:rtl w:val="true"/>
          <w:lang w:bidi="fa-IR"/>
        </w:rPr>
        <w:t xml:space="preserve">التی وردت عن صاحب الأمر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أرواح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یصیّره من أُولی الأمر الذین أوجب اللّه علینا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المعلوم اختصاصه فی کلّ ما له فی الشرع مدخلیّةٌ حکماً أو موضوعاً</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سدّ الرجوع إلی أبواب حکّام الجور و قضاتهم و الأخذ منهم، و عدم المیل إلیهم بنحو شدید أکید، مع عموم الابتلاء للاحتیاج إلی ولایة الفقیه الجامع للشرائط، فهل یتصوّر أن یهمل الشارع هذه الجهة بالنسبة</w:t>
      </w:r>
    </w:p>
    <w:p>
      <w:pPr>
        <w:pStyle w:val="BookText"/>
        <w:rPr/>
      </w:pPr>
      <w:r>
        <w:rPr>
          <w:rFonts w:ascii="IRNazanin" w:hAnsi="IRNazanin" w:eastAsia="IRNazanin"/>
          <w:color w:val="111111"/>
          <w:sz w:val="28"/>
          <w:sz w:val="28"/>
          <w:szCs w:val="28"/>
          <w:rtl w:val="true"/>
          <w:lang w:bidi="fa-IR"/>
        </w:rPr>
        <w:t>إلی امّته و یذرهم حیاری؟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فالتشکیک فی ولایة الفقیه فیما تبسط یده بالنسبة إلیها ممّا لا ینبغی</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الشیخ الأعظم و إن استشکل فی ثبوت الولایة العامّة للفقیه فی کتاب المکاسب،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فإقامة الدلیل علی وجوب طاعة الفقیه کالإمام علیه السلام إلاّ ما خرج بالدلیل دونه خرط القتاد</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المسألة لا تخلو عن إشکال و إن کان الحکم به مشهوریّاً</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مال قدس سره فی کتاب الزکاة إلی ثبوت النیابة العامّة للفقیه؛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طلبها الفقیه فمقتضی أدلّة النیابة العامّة وجوب الدفع؛ لأنّ منعه ردّ علیه،</w:t>
      </w:r>
    </w:p>
    <w:p>
      <w:pPr>
        <w:pStyle w:val="BookText"/>
        <w:rPr/>
      </w:pPr>
      <w:r>
        <w:rPr>
          <w:rFonts w:ascii="IRNazanin" w:hAnsi="IRNazanin" w:eastAsia="IRNazanin"/>
          <w:color w:val="111111"/>
          <w:sz w:val="28"/>
          <w:sz w:val="28"/>
          <w:szCs w:val="28"/>
          <w:rtl w:val="true"/>
          <w:lang w:bidi="fa-IR"/>
        </w:rPr>
        <w:t>و الرادّ علیه رادٌّ علی اللّه تعالی، کما فی مقبولة عمر بن حنظلة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 فی التوقیع الشریف الوارد فی وجوب الرجوع فی الوقائع الحادثة إلی رواة الأحادیث،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حجّتی علیکم و أنا حجّة اللّه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کتاب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أمکن القول بوجوب الدفع إلی المجتهد؛ نظراً إلی عموم نیابته، و کونه حجّة الإمام علی الرعیّة و أمیناً عنه و خلیفةً له، کما استفید ذلک کلّه من الأخبار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تلک الأدلّة ولایة الفقیه عن الإمام علیه السلام علی الاُمور العامّة</w:t>
      </w:r>
      <w:r>
        <w:rPr>
          <w:rFonts w:eastAsia="IRNazanin" w:cs="IRNazanin"/>
          <w:color w:val="111111"/>
          <w:sz w:val="28"/>
          <w:szCs w:val="28"/>
          <w:rtl w:val="true"/>
          <w:lang w:bidi="fa-IR"/>
        </w:rPr>
        <w:t>»</w:t>
      </w:r>
      <w:r>
        <w:rPr>
          <w:rStyle w:val="FootnoteAnchor"/>
          <w:rtl w:val="true"/>
        </w:rPr>
        <w:footnoteReference w:id="1241"/>
      </w:r>
      <w:bookmarkStart w:id="449" w:name="pg11753_114901"/>
    </w:p>
    <w:p>
      <w:pPr>
        <w:pStyle w:val="Heading5"/>
        <w:numPr>
          <w:ilvl w:val="4"/>
          <w:numId w:val="1"/>
        </w:numPr>
        <w:rPr/>
      </w:pPr>
      <w:bookmarkStart w:id="450" w:name="__RefHeading___Toc9482804_73709187"/>
      <w:bookmarkStart w:id="451" w:name="_Toc171"/>
      <w:bookmarkEnd w:id="449"/>
      <w:bookmarkEnd w:id="450"/>
      <w:r>
        <w:rPr>
          <w:rtl w:val="true"/>
        </w:rPr>
        <w:t>جواز التصرّف فی أموال الصغار حسبةً‌</w:t>
      </w:r>
      <w:bookmarkEnd w:id="451"/>
    </w:p>
    <w:p>
      <w:pPr>
        <w:pStyle w:val="BookText"/>
        <w:rPr/>
      </w:pPr>
      <w:r>
        <w:rPr>
          <w:rFonts w:ascii="IRNazanin" w:hAnsi="IRNazanin" w:eastAsia="IRNazanin"/>
          <w:color w:val="111111"/>
          <w:sz w:val="28"/>
          <w:sz w:val="28"/>
          <w:szCs w:val="28"/>
          <w:rtl w:val="true"/>
          <w:lang w:bidi="fa-IR"/>
        </w:rPr>
        <w:t>ثمّ لو تنزّلنا عن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المستدلّ بها علی الولایة المطلقة للفقیه قاصرة السند أو الدلالة، کما قال به جماعة</w:t>
      </w:r>
      <w:r>
        <w:rPr>
          <w:rStyle w:val="FootnoteAnchor"/>
          <w:rtl w:val="true"/>
        </w:rPr>
        <w:footnoteReference w:id="1242"/>
      </w:r>
      <w:r>
        <w:rPr>
          <w:rFonts w:ascii="IRNazanin" w:hAnsi="IRNazanin" w:eastAsia="IRNazanin"/>
          <w:color w:val="111111"/>
          <w:sz w:val="28"/>
          <w:sz w:val="28"/>
          <w:szCs w:val="28"/>
          <w:rtl w:val="true"/>
          <w:lang w:bidi="fa-IR"/>
        </w:rPr>
        <w:t>، و لکن لأجل أنّ بعض الاُمور الراجعة إلی الولایة ممّا لا مناص أن تتحقّق فی الخارج، و هی المعبّر عنها بالاُمور الحسبیّة</w:t>
      </w:r>
      <w:r>
        <w:rPr>
          <w:rStyle w:val="FootnoteAnchor"/>
          <w:rtl w:val="true"/>
        </w:rPr>
        <w:footnoteReference w:id="1243"/>
      </w:r>
      <w:r>
        <w:rPr>
          <w:rFonts w:ascii="IRNazanin" w:hAnsi="IRNazanin" w:eastAsia="IRNazanin"/>
          <w:color w:val="111111"/>
          <w:sz w:val="28"/>
          <w:sz w:val="28"/>
          <w:szCs w:val="28"/>
          <w:rtl w:val="true"/>
          <w:lang w:bidi="fa-IR"/>
        </w:rPr>
        <w:t>، کبیع مال الیتیم عند اقتضاء الضرورة له، أو تزویج الصغیر أو الصغیرة مع اقتضاء المصلحة و غیرهما؛ لأنّه علم من الشارع مطلوبیّة وجودها، و الجزم بعدم رضا الشارع بترکها، فلا بدّ من أن یتصدّی شخص لإقامة تلک الاُمور،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منعوا الشیعة عن الرجوع إلی قضاة الجور مطلقاً، فیکون الفقیه الجامع للشرائط مرجعاً لهذه الاُمور؛ لأنّه القدر المتیقّن ممّن یحتمل له الولایة فی تلک الاُمور</w:t>
      </w:r>
      <w:r>
        <w:rPr>
          <w:rStyle w:val="FootnoteAnchor"/>
          <w:rtl w:val="true"/>
        </w:rPr>
        <w:footnoteReference w:id="1244"/>
      </w:r>
      <w:r>
        <w:rPr>
          <w:rFonts w:ascii="IRNazanin" w:hAnsi="IRNazanin" w:eastAsia="IRNazanin"/>
          <w:color w:val="111111"/>
          <w:sz w:val="28"/>
          <w:sz w:val="28"/>
          <w:szCs w:val="28"/>
          <w:rtl w:val="true"/>
          <w:lang w:bidi="fa-IR"/>
        </w:rPr>
        <w:t>؛ لعدم احتمال أن یرخّص الشارع فیها لغیر الفقیه، کما لا یحتمل أن یهملها، فمع التمکّن من الرجوع إلی الفقیه لا یجوز الرجوع فیها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تعطیل تلک الاُمور أو تأخیرها؛ لاستلزامه تفویت مال الصغار أو الغائب، أو انتهاک عرضهم، و یکون الفقیه هو المرجع فیها؛ لأنّه القدر المتیقّن ممّن یحتمل أن یکون له الولایة فی تلک الاُمور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یمکن الرجوع إلیه فی مورد یکون العدول من المؤمنین مرجعاً</w:t>
      </w:r>
    </w:p>
    <w:p>
      <w:pPr>
        <w:pStyle w:val="BookText"/>
        <w:rPr/>
      </w:pPr>
      <w:r>
        <w:rPr>
          <w:rFonts w:ascii="IRNazanin" w:hAnsi="IRNazanin" w:eastAsia="IRNazanin"/>
          <w:color w:val="111111"/>
          <w:sz w:val="28"/>
          <w:sz w:val="28"/>
          <w:szCs w:val="28"/>
          <w:rtl w:val="true"/>
          <w:lang w:bidi="fa-IR"/>
        </w:rPr>
        <w:t>و یجوز لهم التصرّف، و سنذکر مبحثاً لبیان مسائلها قریباً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الولایة للفقیه فی الجملة فی عصر الغیبة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إشکال فی ثبوت منصب القضاء و الإفتاء للفقیه فی عصر الغیبة، و هکذا ما یکون من توابع القضاء، کأخذ المدّعی به من المحکوم علیه، و حبس الغریم المماطل و التصرّف فی بعض الاُمور الحسبیّة، کحفظ مال الغائب و الصغیر و نحو ذلک</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التصرّف المزبور بشرط المصلحة من الحاکم و أمینه عند عدم الأب و الجدّ أو من هو بمنزلتهما؛ نظراً إلی کون مثل هذا الشأن من وظائف قُضاة الجور الثابتة لقضاتنا؛ لظهور المقبولة المعروفة علاوة عن تحقّق مقدّمات الحسبة فی بعض المقامات؛ للجزم بعدم رضا الشارع بتلف المال، و لابدّیة کون حفظه بنظر الرئیس، فیکون للفقیه قدر متیقّن فی هذا المقدار، بل و مع عدمه ربما تنتهی النوبة إلی عدول المؤمنین؛ للنصّ بعدم البأس مع قیام العدل فی مورده</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 و تبعهما فی ذلک السیّد المحقّق الخوئی</w:t>
      </w:r>
      <w:r>
        <w:rPr>
          <w:rStyle w:val="FootnoteAnchor"/>
          <w:rtl w:val="true"/>
        </w:rPr>
        <w:footnoteReference w:id="1247"/>
      </w:r>
      <w:r>
        <w:rPr>
          <w:rFonts w:ascii="IRNazanin" w:hAnsi="IRNazanin" w:eastAsia="IRNazanin"/>
          <w:color w:val="111111"/>
          <w:sz w:val="28"/>
          <w:sz w:val="28"/>
          <w:szCs w:val="28"/>
          <w:rtl w:val="true"/>
          <w:lang w:bidi="fa-IR"/>
        </w:rPr>
        <w:t>و الحکیم</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قلنا بثبوت تصدّی الحاکم من باب الحسبة، فلا بدّ من الاقتصار فیها علی القدر المتیقّن، و لا یستفاد منها أنّ للفقیه ولایةٌ مطلقةٌ فی عصر الغیبة، کالولایة الثابتة للنبیّ صلی الله علیه و آله و الأئمّة علیهم السلام حتّی یتمکّن من التصرّف فی غیر مورد الضرورة و عدم مساس الحاجة إلی وقوعها، و لو عبّرنا عنه بالولایة فهی ولایة جزئیّة تثبت فی موردٍ خاصّ؛ أعنی الاُمور الحسبیّة التی لا بدّ من تحقّقها فی الخارج، و لذا قال</w:t>
      </w:r>
      <w:bookmarkStart w:id="452" w:name="pg11753_114903"/>
    </w:p>
    <w:p>
      <w:pPr>
        <w:pStyle w:val="BookText"/>
        <w:rPr/>
      </w:pPr>
      <w:bookmarkEnd w:id="452"/>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المقدار الثابت فی ذلک هی التصرّفات المقتضیة لحفظ مال الیتیم عن التلف، و إلاّ ففی دلالتها علی جواز نقلها لمحض الأنفعیّة إشکال</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9482806_73709187"/>
      <w:bookmarkStart w:id="454" w:name="_Toc172"/>
      <w:bookmarkEnd w:id="453"/>
      <w:r>
        <w:rPr>
          <w:rtl w:val="true"/>
        </w:rPr>
        <w:t>ولایة الحاکم علی أموال الصبیّ عند فقهاء أهل السنّة</w:t>
      </w:r>
      <w:bookmarkEnd w:id="45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الصغیر فی باب الأموال أبوه، ثمّ من بعد موته یکون الولیّ من أوصی به الأب، ثمّ من بعد موت وصیّ الأب یکون الولیّ من أوصی به وصیّ الأب، ثمّ من بعد هؤلاء الثلاثة یکون الولیّ الجدّ لأب و إن علا، ثمّ وصیّ الجدّ، ثمّ وصیّ وصیّ الجدّ، ثمّ الوالی؛ و هو الذی یلیه تقلید القضاة، ثمّ القاضی أو وصیّه الذی یقیمه، فأیّهما یتصرّف تصحّ تصرّفاته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قال القفّال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الولایة فی مال الصغیر و المجنون للأب ثمّ الجدّ، فإن عدما فالسلطان</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 و فی المجموع شرح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للناظر فی مال الصبیّ أن یتّجر فی ماله؛ سواء کان الناظر أباً أو جدّاً أو وصیّاً أو سلطاناً أو أمیناً من قبل الحاکم</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المهذّب للشیرازی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ینظر فی ماله الأب ثمّ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وصیٌّ نظر السلطان؛ لأنّ الولایة من جهة القرابة قد سقطت، فَثَبَتَتْ للسلطان</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الصبیّ أبوه ثمّ الوصیّ و إن تسلسل، و عند فقدهما فالحاکم؛ أی یأتی بعد الأب وصیّه و إن تسلسل؛ بأن أوصی الوصیّ غیره، ثمّ أوصی ذلک آخر و هلم جرّاً، ثمّ بعد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أو من یقوم مقامه کالقاضی</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الحنابلة</w:t>
      </w:r>
    </w:p>
    <w:p>
      <w:pPr>
        <w:pStyle w:val="BookText"/>
        <w:rPr/>
      </w:pPr>
      <w:r>
        <w:rPr>
          <w:rFonts w:ascii="IRNazanin" w:hAnsi="IRNazanin" w:eastAsia="IRNazanin"/>
          <w:color w:val="111111"/>
          <w:sz w:val="28"/>
          <w:sz w:val="28"/>
          <w:szCs w:val="28"/>
          <w:rtl w:val="true"/>
          <w:lang w:bidi="fa-IR"/>
        </w:rPr>
        <w:t>فقد جاء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ینظر فی مال الصبیّ و المجنون ما داما فی الحجر إلاّ الأب أو وصیّه بعده، أو الحاکم عند عدمهما</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شرح الکبیر</w:t>
      </w:r>
      <w:r>
        <w:rPr>
          <w:rStyle w:val="FootnoteAnchor"/>
          <w:rtl w:val="true"/>
        </w:rPr>
        <w:footnoteReference w:id="1256"/>
      </w:r>
      <w:r>
        <w:rPr>
          <w:rFonts w:ascii="IRNazanin" w:hAnsi="IRNazanin" w:eastAsia="IRNazanin"/>
          <w:color w:val="111111"/>
          <w:sz w:val="28"/>
          <w:sz w:val="28"/>
          <w:szCs w:val="28"/>
          <w:rtl w:val="true"/>
          <w:lang w:bidi="fa-IR"/>
        </w:rPr>
        <w:t>و کشف القناع</w:t>
      </w:r>
      <w:r>
        <w:rPr>
          <w:rStyle w:val="FootnoteAnchor"/>
          <w:rtl w:val="true"/>
        </w:rPr>
        <w:footnoteReference w:id="1257"/>
      </w:r>
      <w:r>
        <w:rPr>
          <w:rFonts w:ascii="IRNazanin" w:hAnsi="IRNazanin" w:eastAsia="IRNazanin"/>
          <w:color w:val="111111"/>
          <w:sz w:val="28"/>
          <w:sz w:val="28"/>
          <w:szCs w:val="28"/>
          <w:rtl w:val="true"/>
          <w:lang w:bidi="fa-IR"/>
        </w:rPr>
        <w:t>و الإقناع</w:t>
      </w:r>
      <w:r>
        <w:rPr>
          <w:rStyle w:val="FootnoteAnchor"/>
          <w:rtl w:val="true"/>
        </w:rPr>
        <w:footnoteReference w:id="1258"/>
      </w:r>
      <w:r>
        <w:rPr>
          <w:rFonts w:ascii="IRNazanin" w:hAnsi="IRNazanin" w:eastAsia="IRNazanin"/>
          <w:color w:val="111111"/>
          <w:sz w:val="28"/>
          <w:sz w:val="28"/>
          <w:szCs w:val="28"/>
          <w:rtl w:val="true"/>
          <w:lang w:bidi="fa-IR"/>
        </w:rPr>
        <w:t>و الإنصاف</w:t>
      </w:r>
      <w:r>
        <w:rPr>
          <w:rStyle w:val="FootnoteAnchor"/>
          <w:rtl w:val="true"/>
        </w:rPr>
        <w:footnoteReference w:id="1259"/>
      </w:r>
      <w:r>
        <w:rPr>
          <w:rFonts w:ascii="IRNazanin" w:hAnsi="IRNazanin" w:eastAsia="IRNazanin"/>
          <w:color w:val="111111"/>
          <w:sz w:val="28"/>
          <w:sz w:val="28"/>
          <w:szCs w:val="28"/>
          <w:rtl w:val="true"/>
          <w:lang w:bidi="fa-IR"/>
        </w:rPr>
        <w:t>و الکافی فی فقه أحمد</w:t>
      </w:r>
      <w:r>
        <w:rPr>
          <w:rStyle w:val="FootnoteAnchor"/>
          <w:rtl w:val="true"/>
        </w:rPr>
        <w:footnoteReference w:id="1260"/>
      </w:r>
      <w:bookmarkStart w:id="455" w:name="pg11753_114905"/>
    </w:p>
    <w:p>
      <w:pPr>
        <w:pStyle w:val="Heading4"/>
        <w:numPr>
          <w:ilvl w:val="3"/>
          <w:numId w:val="1"/>
        </w:numPr>
        <w:rPr/>
      </w:pPr>
      <w:bookmarkStart w:id="456" w:name="__RefHeading___Toc9482808_73709187"/>
      <w:bookmarkStart w:id="457" w:name="_Toc173"/>
      <w:bookmarkEnd w:id="455"/>
      <w:bookmarkEnd w:id="456"/>
      <w:r>
        <w:rPr>
          <w:rtl w:val="true"/>
        </w:rPr>
        <w:t>المبحث الثانی</w:t>
      </w:r>
      <w:r>
        <w:rPr>
          <w:rtl w:val="true"/>
        </w:rPr>
        <w:t xml:space="preserve">: </w:t>
      </w:r>
      <w:r>
        <w:rPr>
          <w:rtl w:val="true"/>
        </w:rPr>
        <w:t>اعتبار المصلحة فی تصرّفات الحاکم و أمینه</w:t>
      </w:r>
      <w:bookmarkEnd w:id="457"/>
    </w:p>
    <w:p>
      <w:pPr>
        <w:pStyle w:val="Heading5"/>
        <w:numPr>
          <w:ilvl w:val="4"/>
          <w:numId w:val="1"/>
        </w:numPr>
        <w:rPr/>
      </w:pPr>
      <w:bookmarkStart w:id="458" w:name="__RefHeading___Toc9482810_73709187"/>
      <w:bookmarkStart w:id="459" w:name="_Toc174"/>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هل یشترط أن یکون تصرّف الحاکم فی مال الیتیم مقروناً بالمصلحة و الغبطة، أو بالأصلح، أو یکفی عدم المفسدة فقط، أو لا یشترط شیءٌ من ذلک؟</w:t>
      </w:r>
    </w:p>
    <w:p>
      <w:pPr>
        <w:pStyle w:val="Heading5"/>
        <w:numPr>
          <w:ilvl w:val="4"/>
          <w:numId w:val="1"/>
        </w:numPr>
        <w:rPr/>
      </w:pPr>
      <w:bookmarkStart w:id="460" w:name="__RefHeading___Toc9482812_73709187"/>
      <w:bookmarkStart w:id="461" w:name="_Toc175"/>
      <w:bookmarkEnd w:id="460"/>
      <w:r>
        <w:rPr>
          <w:rtl w:val="true"/>
        </w:rPr>
        <w:t>فیه أقوال</w:t>
      </w:r>
      <w:r>
        <w:rPr>
          <w:rtl w:val="true"/>
        </w:rPr>
        <w:t>:</w:t>
      </w:r>
      <w:bookmarkEnd w:id="461"/>
    </w:p>
    <w:p>
      <w:pPr>
        <w:pStyle w:val="Heading6"/>
        <w:numPr>
          <w:ilvl w:val="5"/>
          <w:numId w:val="1"/>
        </w:numPr>
        <w:rPr/>
      </w:pPr>
      <w:bookmarkStart w:id="462" w:name="__RefHeading___Toc9482814_73709187"/>
      <w:bookmarkStart w:id="463" w:name="_Toc176"/>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المصلحة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الأصلحیّة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المصلحة</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9482816_73709187"/>
      <w:bookmarkStart w:id="465" w:name="_Toc177"/>
      <w:bookmarkEnd w:id="464"/>
      <w:r>
        <w:rPr>
          <w:rtl w:val="true"/>
        </w:rPr>
        <w:t>اعتبار المصلحة فی تصرّفات الحاکم</w:t>
      </w:r>
      <w:bookmarkEnd w:id="465"/>
    </w:p>
    <w:p>
      <w:pPr>
        <w:pStyle w:val="BookText"/>
        <w:rPr/>
      </w:pPr>
      <w:r>
        <w:rPr>
          <w:rFonts w:ascii="IRNazanin" w:hAnsi="IRNazanin" w:eastAsia="IRNazanin"/>
          <w:color w:val="111111"/>
          <w:sz w:val="28"/>
          <w:sz w:val="28"/>
          <w:szCs w:val="28"/>
          <w:rtl w:val="true"/>
          <w:lang w:bidi="fa-IR"/>
        </w:rPr>
        <w:t>الظاهر من کلمات الفقهاء، بل الإجماع منهم علی أنّ تصرّفات الحاکم فی أموال الغیّب و القصّر و المجانین منوطة بالغبطة و المصلحة، و لا یجوز أن تکون علی غیر وجه النظر و المصلحة، فضلاً عمّا إذا کان فیه المفسدة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یلی أمر الصغیر و 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و وصیّ الأب أو الجدّ، و الإمام أو من یأمره الإمام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هؤلاء الخمسة لا یصحّ تصرّفهم إلاّ علی وجه الاحتیاط، و الحظّ للصغیر المولّی علیه؛ لأنّهم إنّما نصبوا لذلک، فإذا تصرّف علی وجه لا حظّ له فیه کان باطلاً؛ لأنّه خالف ما نصب له</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و کذا فی موضع آخر منه</w:t>
      </w:r>
      <w:r>
        <w:rPr>
          <w:rStyle w:val="FootnoteAnchor"/>
          <w:rtl w:val="true"/>
        </w:rPr>
        <w:footnoteReference w:id="1262"/>
      </w:r>
      <w:r>
        <w:rPr>
          <w:rFonts w:ascii="IRNazanin" w:hAnsi="IRNazanin" w:eastAsia="IRNazanin"/>
          <w:color w:val="111111"/>
          <w:sz w:val="28"/>
          <w:sz w:val="28"/>
          <w:szCs w:val="28"/>
          <w:rtl w:val="true"/>
          <w:lang w:bidi="fa-IR"/>
        </w:rPr>
        <w:t>، و بمثل ذلک فی النهایة</w:t>
      </w:r>
      <w:r>
        <w:rPr>
          <w:rStyle w:val="FootnoteAnchor"/>
          <w:rtl w:val="true"/>
        </w:rPr>
        <w:footnoteReference w:id="1263"/>
      </w:r>
      <w:r>
        <w:rPr>
          <w:rFonts w:ascii="Amiri" w:hAnsi="Amiri" w:eastAsia="Amiri" w:cs="Amiri"/>
          <w:color w:val="111111"/>
          <w:sz w:val="28"/>
          <w:sz w:val="28"/>
          <w:szCs w:val="28"/>
          <w:rtl w:val="true"/>
          <w:lang w:bidi="ar-SA"/>
        </w:rPr>
        <w:t>، و به قال ابن حمزة</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نصب لمصالح الیتیم و استیفاء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للولیّ مثل الأب و الجدّ و الوصیّ و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إلاّ فیما فیه مصلحة لهم</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الکیدری</w:t>
      </w:r>
      <w:r>
        <w:rPr>
          <w:rStyle w:val="FootnoteAnchor"/>
          <w:rtl w:val="true"/>
        </w:rPr>
        <w:footnoteReference w:id="1266"/>
      </w:r>
      <w:r>
        <w:rPr>
          <w:rFonts w:ascii="IRNazanin" w:hAnsi="IRNazanin" w:eastAsia="IRNazanin"/>
          <w:color w:val="111111"/>
          <w:sz w:val="28"/>
          <w:sz w:val="28"/>
          <w:szCs w:val="28"/>
          <w:rtl w:val="true"/>
          <w:lang w:bidi="fa-IR"/>
        </w:rPr>
        <w:t>و یحیی بن سعید الحلّی</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التذکرة للعلاّمة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 فی تصرّف المتولّی لأموال الیتامی و المجانین اعتبار الغبطة، و کون التصرّف علی وجه النظر و المصلحة، فللولیّ أن یتّجر بمال الیتیم و یضارب به، و یدفعه إلی من یضارب له به و یجعل له نصیباً من الربح، و یستحبّ له ذلک؛ سواء کان الولیّ أباً، أو جدّاً له، أو وصیّاً، أو حاکماً أو أمین حاکم</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استظهر فی مفتاح الکرامة من عبارة التذکرة نفی الخلاف فی ذلک بین المسلمین</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Style w:val="FootnoteAnchor"/>
          <w:rtl w:val="true"/>
        </w:rPr>
        <w:footnoteReference w:id="1270"/>
      </w:r>
      <w:r>
        <w:rPr>
          <w:rFonts w:ascii="IRNazanin" w:hAnsi="IRNazanin" w:eastAsia="IRNazanin"/>
          <w:color w:val="111111"/>
          <w:sz w:val="28"/>
          <w:sz w:val="28"/>
          <w:szCs w:val="28"/>
          <w:rtl w:val="true"/>
          <w:lang w:bidi="fa-IR"/>
        </w:rPr>
        <w:t>و الشرائع</w:t>
      </w:r>
      <w:r>
        <w:rPr>
          <w:rStyle w:val="FootnoteAnchor"/>
          <w:rtl w:val="true"/>
        </w:rPr>
        <w:footnoteReference w:id="1271"/>
      </w:r>
      <w:r>
        <w:rPr>
          <w:rFonts w:ascii="IRNazanin" w:hAnsi="IRNazanin" w:eastAsia="IRNazanin"/>
          <w:color w:val="111111"/>
          <w:sz w:val="28"/>
          <w:sz w:val="28"/>
          <w:szCs w:val="28"/>
          <w:rtl w:val="true"/>
          <w:lang w:bidi="fa-IR"/>
        </w:rPr>
        <w:t>و الإرشاد</w:t>
      </w:r>
      <w:r>
        <w:rPr>
          <w:rStyle w:val="FootnoteAnchor"/>
          <w:rtl w:val="true"/>
        </w:rPr>
        <w:footnoteReference w:id="1272"/>
      </w:r>
      <w:r>
        <w:rPr>
          <w:rFonts w:ascii="IRNazanin" w:hAnsi="IRNazanin" w:eastAsia="IRNazanin"/>
          <w:color w:val="111111"/>
          <w:sz w:val="28"/>
          <w:sz w:val="28"/>
          <w:szCs w:val="28"/>
          <w:rtl w:val="true"/>
          <w:lang w:bidi="fa-IR"/>
        </w:rPr>
        <w:t>و غیرها</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لولیّ الطفل أخذ الرهن له إذا باع ماله نسیئة، أو أقرض ماله إذا کان له فیه الحظّ</w:t>
      </w:r>
      <w:r>
        <w:rPr>
          <w:rFonts w:eastAsia="IRNazanin" w:cs="IRNazanin"/>
          <w:color w:val="111111"/>
          <w:sz w:val="28"/>
          <w:szCs w:val="28"/>
          <w:rtl w:val="true"/>
          <w:lang w:bidi="fa-IR"/>
        </w:rPr>
        <w:t>.</w:t>
      </w:r>
      <w:bookmarkStart w:id="466" w:name="pg11753_114907"/>
    </w:p>
    <w:p>
      <w:pPr>
        <w:pStyle w:val="BookText"/>
        <w:rPr/>
      </w:pPr>
      <w:bookmarkEnd w:id="466"/>
      <w:r>
        <w:rPr>
          <w:rFonts w:ascii="IRNazanin" w:hAnsi="IRNazanin" w:eastAsia="IRNazanin"/>
          <w:color w:val="111111"/>
          <w:sz w:val="28"/>
          <w:sz w:val="28"/>
          <w:szCs w:val="28"/>
          <w:rtl w:val="true"/>
          <w:lang w:bidi="fa-IR"/>
        </w:rPr>
        <w:t>و کذلک یجوز لولیّ الطفل رهن ماله إذا ألجأته الحاجة إلی الاستدانة له مع مراعاة المصلحة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فی الدروس</w:t>
      </w:r>
      <w:r>
        <w:rPr>
          <w:rStyle w:val="FootnoteAnchor"/>
          <w:rtl w:val="true"/>
        </w:rPr>
        <w:footnoteReference w:id="1274"/>
      </w:r>
      <w:r>
        <w:rPr>
          <w:rFonts w:ascii="Amiri" w:hAnsi="Amiri" w:eastAsia="Amiri" w:cs="Amiri"/>
          <w:color w:val="111111"/>
          <w:sz w:val="28"/>
          <w:sz w:val="28"/>
          <w:szCs w:val="28"/>
          <w:rtl w:val="true"/>
          <w:lang w:bidi="ar-SA"/>
        </w:rPr>
        <w:t>و اللمعة</w:t>
      </w:r>
      <w:r>
        <w:rPr>
          <w:rStyle w:val="FootnoteAnchor"/>
          <w:rtl w:val="true"/>
        </w:rPr>
        <w:footnoteReference w:id="1275"/>
      </w:r>
      <w:r>
        <w:rPr>
          <w:rFonts w:ascii="Amiri" w:hAnsi="Amiri" w:eastAsia="Amiri" w:cs="Amiri"/>
          <w:color w:val="111111"/>
          <w:sz w:val="28"/>
          <w:sz w:val="28"/>
          <w:szCs w:val="28"/>
          <w:rtl w:val="true"/>
          <w:lang w:bidi="ar-SA"/>
        </w:rPr>
        <w:t>و الروضة</w:t>
      </w:r>
      <w:r>
        <w:rPr>
          <w:rStyle w:val="FootnoteAnchor"/>
          <w:rtl w:val="true"/>
        </w:rPr>
        <w:footnoteReference w:id="1276"/>
      </w:r>
      <w:r>
        <w:rPr>
          <w:rFonts w:ascii="IRNazanin" w:hAnsi="IRNazanin" w:eastAsia="IRNazanin"/>
          <w:color w:val="111111"/>
          <w:sz w:val="28"/>
          <w:sz w:val="28"/>
          <w:szCs w:val="28"/>
          <w:rtl w:val="true"/>
          <w:lang w:bidi="fa-IR"/>
        </w:rPr>
        <w:t>و الکفایة</w:t>
      </w:r>
      <w:r>
        <w:rPr>
          <w:rStyle w:val="FootnoteAnchor"/>
          <w:rtl w:val="true"/>
        </w:rPr>
        <w:footnoteReference w:id="1277"/>
      </w:r>
      <w:r>
        <w:rPr>
          <w:rFonts w:ascii="IRNazanin" w:hAnsi="IRNazanin" w:eastAsia="IRNazanin"/>
          <w:color w:val="111111"/>
          <w:sz w:val="28"/>
          <w:sz w:val="28"/>
          <w:szCs w:val="28"/>
          <w:rtl w:val="true"/>
          <w:lang w:bidi="fa-IR"/>
        </w:rPr>
        <w:t>من أنّه یجوز للولی أخذ الرهن للیتیم إذا باع ماله نسیئةً، أو خاف علی المال من غرق أو حرق أو نهب، و کذلک رهن ماله إذا استقرض للیتیم بحسب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مجموع کلماتهم و ما یقتضیه اصول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لولیّ الطفل مطلق التصرّفات فی مال الیتیم مع کمال الاحتیاط بمراعاة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قال جمع من متأخِّری المتأخِّرین</w:t>
      </w:r>
      <w:r>
        <w:rPr>
          <w:rStyle w:val="FootnoteAnchor"/>
          <w:rtl w:val="true"/>
        </w:rPr>
        <w:footnoteReference w:id="1278"/>
      </w:r>
      <w:r>
        <w:rPr>
          <w:rFonts w:ascii="IRNazanin" w:hAnsi="IRNazanin" w:eastAsia="IRNazanin"/>
          <w:color w:val="111111"/>
          <w:sz w:val="28"/>
          <w:sz w:val="28"/>
          <w:szCs w:val="28"/>
          <w:rtl w:val="true"/>
          <w:lang w:bidi="fa-IR"/>
        </w:rPr>
        <w:t>و بعض أعلام المعاصرین</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9482818_73709187"/>
      <w:bookmarkStart w:id="468" w:name="_Toc178"/>
      <w:bookmarkEnd w:id="467"/>
      <w:r>
        <w:rPr>
          <w:rtl w:val="true"/>
        </w:rPr>
        <w:t>أدلّة هذا الحکم</w:t>
      </w:r>
      <w:bookmarkEnd w:id="468"/>
    </w:p>
    <w:p>
      <w:pPr>
        <w:pStyle w:val="BookText"/>
        <w:rPr/>
      </w:pPr>
      <w:r>
        <w:rPr>
          <w:rFonts w:ascii="IRNazanin" w:hAnsi="IRNazanin" w:eastAsia="IRNazanin"/>
          <w:color w:val="111111"/>
          <w:sz w:val="28"/>
          <w:sz w:val="28"/>
          <w:szCs w:val="28"/>
          <w:rtl w:val="true"/>
          <w:lang w:bidi="fa-IR"/>
        </w:rPr>
        <w:t>و یمکن الاستدلال لاعتبار المصلحة فی تصرّف الحاکم باُمور</w:t>
      </w:r>
      <w:r>
        <w:rPr>
          <w:rFonts w:eastAsia="IRNazanin" w:cs="IRNazanin"/>
          <w:color w:val="111111"/>
          <w:sz w:val="28"/>
          <w:szCs w:val="28"/>
          <w:rtl w:val="true"/>
          <w:lang w:bidi="fa-IR"/>
        </w:rPr>
        <w:t>:</w:t>
      </w:r>
    </w:p>
    <w:p>
      <w:pPr>
        <w:pStyle w:val="Heading6"/>
        <w:numPr>
          <w:ilvl w:val="5"/>
          <w:numId w:val="1"/>
        </w:numPr>
        <w:rPr/>
      </w:pPr>
      <w:bookmarkStart w:id="469" w:name="__RefHeading___Toc9482820_73709187"/>
      <w:bookmarkStart w:id="470" w:name="_Toc179"/>
      <w:bookmarkEnd w:id="469"/>
      <w:r>
        <w:rPr>
          <w:rtl w:val="true"/>
        </w:rPr>
        <w:t>الأوّل</w:t>
      </w:r>
      <w:r>
        <w:rPr>
          <w:rtl w:val="true"/>
        </w:rPr>
        <w:t xml:space="preserve">: </w:t>
      </w:r>
      <w:r>
        <w:rPr>
          <w:rtl w:val="true"/>
        </w:rPr>
        <w:t xml:space="preserve">الآیات </w:t>
      </w:r>
      <w:r>
        <w:rPr>
          <w:rtl w:val="true"/>
        </w:rPr>
        <w:t>-:</w:t>
      </w:r>
      <w:bookmarkEnd w:id="47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بالتقریب المتقدِّم فی أدلّة اعتبار المصلحة فی تصرّفات الأب و الجدّ</w:t>
      </w:r>
    </w:p>
    <w:p>
      <w:pPr>
        <w:pStyle w:val="BookText"/>
        <w:rPr/>
      </w:pPr>
      <w:r>
        <w:rPr>
          <w:rFonts w:ascii="IRNazanin" w:hAnsi="IRNazanin" w:eastAsia="IRNazanin"/>
          <w:color w:val="111111"/>
          <w:sz w:val="28"/>
          <w:sz w:val="28"/>
          <w:szCs w:val="28"/>
          <w:rtl w:val="true"/>
          <w:lang w:bidi="fa-IR"/>
        </w:rPr>
        <w:t>فلا نعیده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الْیَتامی قُلْ إِصْلاحٌ لَهُمْ خَیْرٌ وَ إِنْ تُخالِطُوهُمْ فَإِخْوانُکُمْ وَ اللّهُ یَعْلَمُ الْمُفْسِدَ مِنَ الْمُصْلِحِ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الشیخ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المخالطة مجامعة یتعذّر معها التمییز، کمخالطة الخلّ للماء، و الماء للماء و 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معنی الآیة الإذن لهم فیما کانوا متحرّجین منه من مخالطة الأیتام فی الأموال من المأکل و المشرب و المسکن و نحو ذلک، فأذن اللّه لهم فی ذلک إذا تحرّوا الإصلاح بالتوفیر علی الأیتام</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 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کلّ من کان عنده یتیم فعزل طعامه من طعامه، و شرابه من شرابه، و اشتدّ ذلک علیهم فسألوا عنه، فنزلت هذه الآیة، و لا بدّ من إضمار فی الکلام؛ لأنّ السؤال لم یقع عن أشخاص الیتامی و لا ورد الجواب عنها، فالمعنی یسألونک عن القیام علی الیتامی و التصرّف فی أموال الیتامی قل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لَهُمْ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إصلاح لأموالهم من غیر اجرة، و لا أخذ عوض منهم خیر و أعظم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تُخالِطُوهُمْ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تشارکوهم فی أموالهم و تخلطوها بأموالکم فتصیبوا من أموالهم عوضاً عن قیامکم باُمورهم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الْمُفْسِدَ مِنَ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اللّه یعلم من کان غرضه من مخالطة الیتامی إفساد مالهم أو إصلاح مالهم</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الجصّاص فی أحکام القرآن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إِصْلاحٌ لَهُمْ خَیْرٌ</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الدلالة علی جواز خلط ماله بماله، و جواز التصرّف فیه بالبیع و الشراء</w:t>
      </w:r>
      <w:bookmarkStart w:id="471" w:name="pg11753_114909"/>
    </w:p>
    <w:p>
      <w:pPr>
        <w:pStyle w:val="BookText"/>
        <w:rPr/>
      </w:pPr>
      <w:bookmarkEnd w:id="471"/>
      <w:r>
        <w:rPr>
          <w:rFonts w:ascii="Amiri" w:hAnsi="Amiri" w:eastAsia="Amiri" w:cs="Amiri"/>
          <w:color w:val="111111"/>
          <w:sz w:val="28"/>
          <w:sz w:val="28"/>
          <w:szCs w:val="28"/>
          <w:rtl w:val="true"/>
          <w:lang w:bidi="ar-SA"/>
        </w:rPr>
        <w:t xml:space="preserve">إذا کان ذلک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عنی بالمضمرین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القُوّام علی الأیتام الکافلین لهم</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هذه الآیة علی جواز التصرّف فی أموال الیتامی علی وجه الإصلاح</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تدلّ علی جواز التصرّف فی أموال الصغار و غیرها ممّا یتعلّق بهم إذا کان علی وجه المصلحة</w:t>
      </w:r>
      <w:r>
        <w:rPr>
          <w:rFonts w:eastAsia="IRNazanin" w:cs="IRNazanin"/>
          <w:color w:val="111111"/>
          <w:sz w:val="28"/>
          <w:szCs w:val="28"/>
          <w:rtl w:val="true"/>
          <w:lang w:bidi="fa-IR"/>
        </w:rPr>
        <w:t>.</w:t>
      </w:r>
    </w:p>
    <w:p>
      <w:pPr>
        <w:pStyle w:val="Heading6"/>
        <w:numPr>
          <w:ilvl w:val="5"/>
          <w:numId w:val="1"/>
        </w:numPr>
        <w:rPr/>
      </w:pPr>
      <w:bookmarkStart w:id="472" w:name="__RefHeading___Toc9482822_73709187"/>
      <w:bookmarkStart w:id="473" w:name="_Toc180"/>
      <w:bookmarkEnd w:id="472"/>
      <w:r>
        <w:rPr>
          <w:rtl w:val="true"/>
        </w:rPr>
        <w:t>الثانی</w:t>
      </w:r>
      <w:r>
        <w:rPr>
          <w:rtl w:val="true"/>
        </w:rPr>
        <w:t xml:space="preserve">: </w:t>
      </w:r>
      <w:r>
        <w:rPr>
          <w:rtl w:val="true"/>
        </w:rPr>
        <w:t xml:space="preserve">النصوص </w:t>
      </w:r>
      <w:r>
        <w:rPr>
          <w:rtl w:val="true"/>
        </w:rPr>
        <w:t>-:</w:t>
      </w:r>
      <w:bookmarkEnd w:id="47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رئاب المتقدّمة عن أبی الحسن موسی علیه السلام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لهم ولیٌّ یقوم بأمرهم و باع علیهم و نظر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معنی النظر لهم ملاحظة نفعهم و مصلحتهم، و کذلک مفهوم الشرط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باع علیهم القیّم لهم الناظر فیما 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ثبوت البأس الذی هو العذاب إذا لم یکن البیع فیما یصلحهم، و لا فرق بین أن 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یکون متعلّقاً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المفهوم یتبع المنطوق فی جمیع القیود المعتبرة فیه، و إنّما التفاوت بینهما بالسلب و الإیجاب، و یکفی فی انتفاء الحکم انتفاء أحد القیود المأخوذة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تابع للمنطوق موضوعاً و محمولاً و نسبةً، إلاّ أنّ المنطوق قضیّة موجبة أو سالبة و المفهوم عکس ذلک</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فلا وجه لما ذکره الفاضل النراقی رحمه الله من الإشکال علی الاستدلال بالروایة و الجواب عنه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الإمام الخمینی رحمه الله فی مقام الاستدلال بالروایة،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ظهور عنایة واضحة فی ذلک بتکراره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علیهم و نظر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فی مراعاة صلاحهم، و فی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القیّم لهم الناظر فیما 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 القیمومة لا تکفی للصحّة و النفوذ، بل لا بدّ منها و من مراعاة المصلحة، و یظهر منه أنّ القیّم موظّف بالنظر فیما یصلحهم</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هذه الصحیحة تشمل من عدا الأب و وصیّه من سائر الأولیاء، کالفقیه و القیّم من قبله أو عدول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p>
    <w:p>
      <w:pPr>
        <w:pStyle w:val="BookText"/>
        <w:rPr/>
      </w:pPr>
      <w:r>
        <w:rPr>
          <w:rFonts w:ascii="IRNazanin" w:hAnsi="IRNazanin" w:eastAsia="IRNazanin"/>
          <w:color w:val="111111"/>
          <w:sz w:val="28"/>
          <w:sz w:val="28"/>
          <w:szCs w:val="28"/>
          <w:rtl w:val="true"/>
          <w:lang w:bidi="fa-IR"/>
        </w:rPr>
        <w:t>عبد 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ندخل علی أخ لنا فی بیت أیتام و معه خادم لهم؛ فنقعد علی بساطهم و نشرب من مائهم و یخدمنا خادمهم، و ربما طعمنا فیه الطعام من عند صاحبنا و فیه من طعامهم، فما تری فی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دخولکم علیهم منفعة لهم فلا بأس، و إن کان فیه ضرر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لا یخفی علیکم، 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الْمُفْسِدَ مِنَ الْمُصْلِحِ</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السؤال عن جواز الدخول فی بیت الیتیم و التصرّف فی ماله، فأجاب علیه السلام بأنّ المجوّز للدخول و التصرّف فی أموالهم هو کونه منفعة لهم، کما لو کان</w:t>
      </w:r>
    </w:p>
    <w:p>
      <w:pPr>
        <w:pStyle w:val="BookText"/>
        <w:rPr/>
      </w:pPr>
      <w:r>
        <w:rPr>
          <w:rFonts w:ascii="IRNazanin" w:hAnsi="IRNazanin" w:eastAsia="IRNazanin"/>
          <w:color w:val="111111"/>
          <w:sz w:val="28"/>
          <w:sz w:val="28"/>
          <w:szCs w:val="28"/>
          <w:rtl w:val="true"/>
          <w:lang w:bidi="fa-IR"/>
        </w:rPr>
        <w:t>فی دخوله جلب أنظار المحسنین إلی الأیتام، أو کان معه شخص من أهل الإحسان یرید جلب نظره إلیهم، أو یدخل علیهم الشخص المتشخّص بحیث یوجب ذلک عدم جرأة الناس علیهم، أو دخل داره و أراد إهداء هدیّة نافعة لهم عرفاً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أراد الدخول فی بیت الیتیم و التصرّف فی ماله إن کان فی دخوله منفعة للیتیم جاز،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الروایة سؤالاً و جواباً ناظرة إلی عوض التصرّفات فضلاً عن عوض المثل، و لا ناظرة إلی الضمان فیما أتلف أو تصرّف فیه، بل هی ناظرة إلی المنافع الغالبة المترتّبة علی الدخول فی بیت الیتیم، و لعلّ ذلک لمراعاة حال الأیتام و الکفیل لهم و الواردین علی الکفیل؛ فإنّ فی المنع مطلقاً ضیقاً علی الکفیل و الواردین علیه، و فی التجویز مطلقاً تصرّفاً فی مال الأیتام بلا وجه و ضرراً علیهم، فأجاز الشارع الأقدس الدخول فی بیتهم بشرط کونه منفعة لهم، بحیث یقال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دخول فلان کان بنفع الیتیم</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ذکرنا یظهر أنّه لا وجه لما ذکره الشیخ الأعظم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منفعة الدخول ما یوازی عوض ما یتصرّفون من مال الیتیم عند دخولهم، فیکون المراد بالضرر فی الذیل أن لا یصل إلی الأیتام ما یوازی ذلک</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تبعه فی ذلک المحقّق الاصفهانی،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الغرض من الروایة أنّه إن کان لدخولکم و قعودکم و أکلکم ما یصل إلی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لا یتعقّبه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 إن لم یتعقّبه شیء کان ضرراً محضاً فلا یجوز، کما أنّه إذا لم یتعقّبه ما یوازیه بل أقلّ</w:t>
      </w:r>
      <w:bookmarkStart w:id="474" w:name="pg11753_114912"/>
    </w:p>
    <w:p>
      <w:pPr>
        <w:pStyle w:val="BookText"/>
        <w:rPr/>
      </w:pPr>
      <w:bookmarkEnd w:id="474"/>
      <w:r>
        <w:rPr>
          <w:rFonts w:ascii="IRNazanin" w:hAnsi="IRNazanin" w:eastAsia="IRNazanin"/>
          <w:color w:val="111111"/>
          <w:sz w:val="28"/>
          <w:sz w:val="28"/>
          <w:szCs w:val="28"/>
          <w:rtl w:val="true"/>
          <w:lang w:bidi="fa-IR"/>
        </w:rPr>
        <w:t>منه کان بالإضافة إلی ما بقی ضرراً</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لما ذکرهما؛ لأنّه کما تقدّم آنفاً لیست الروایة فی مقام بیان الضمان فیما أتلف أو تصرّف فیه، و أنّه لا تکون المنفعة عوض هذه التصرّفات فضلاً علی عوض المثل، بل الروایة ناظرة إلی المنفعة المترتّبة علی الدخول فی بیت الأیتام، و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دخولکم منفعة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لمراعاة حال الیتیم و حصول النفع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أنّ من أتلف من مال الیتیم عشرة دنانیر، ثمّ عقب ذلک بإهداء دینار له لا یقال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دخوله علی الیتیم منفعة له، و کذا لو عقّبه بمثل ذلک ففی أمثال المقام لا بدّ من الرجوع إلی العرف، لا التحلیلات العقلیّة الموجبة للخروج عن فهم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الروایة تشمل الفقیه و القیّم من قبله کما هو ظاهر</w:t>
      </w:r>
      <w:r>
        <w:rPr>
          <w:rFonts w:eastAsia="IRNazanin" w:cs="IRNazanin"/>
          <w:color w:val="111111"/>
          <w:sz w:val="28"/>
          <w:szCs w:val="28"/>
          <w:rtl w:val="true"/>
          <w:lang w:bidi="fa-IR"/>
        </w:rPr>
        <w:t>.</w:t>
      </w:r>
    </w:p>
    <w:p>
      <w:pPr>
        <w:pStyle w:val="Heading6"/>
        <w:numPr>
          <w:ilvl w:val="5"/>
          <w:numId w:val="1"/>
        </w:numPr>
        <w:rPr/>
      </w:pPr>
      <w:bookmarkStart w:id="475" w:name="__RefHeading___Toc9482824_73709187"/>
      <w:bookmarkStart w:id="476" w:name="_Toc181"/>
      <w:bookmarkEnd w:id="475"/>
      <w:r>
        <w:rPr>
          <w:rtl w:val="true"/>
        </w:rPr>
        <w:t>توهّم التعارض و الجواب عنه</w:t>
      </w:r>
      <w:bookmarkEnd w:id="476"/>
    </w:p>
    <w:p>
      <w:pPr>
        <w:pStyle w:val="BookText"/>
        <w:rPr/>
      </w:pPr>
      <w:r>
        <w:rPr>
          <w:rFonts w:ascii="IRNazanin" w:hAnsi="IRNazanin" w:eastAsia="IRNazanin"/>
          <w:color w:val="111111"/>
          <w:sz w:val="28"/>
          <w:sz w:val="28"/>
          <w:szCs w:val="28"/>
          <w:rtl w:val="true"/>
          <w:lang w:bidi="fa-IR"/>
        </w:rPr>
        <w:t xml:space="preserve">ثمّ إنّه ربما یتوهّم أنّ بین مفهومی صدر الروایة و ذیلها تعارضاً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الشیخ الأعظم عن بعض معاصریه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الصدر دالّ علی إناطة الجواز بالنفع، و الذیل دالّ علی إناطة الحرمة بالضرر، فیتعارضان فی مورد یکون التصرّف غیر نافع و لا مضرّ</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فمقتضی مفهوم الجملة الشرطیّة الاُولی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دخولکم علیهم منفعة لهم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مع عدم المنفعة و لو لم یکن ضرر، و مقتضی مفهوم الجملة</w:t>
      </w:r>
    </w:p>
    <w:p>
      <w:pPr>
        <w:pStyle w:val="BookText"/>
        <w:rPr/>
      </w:pPr>
      <w:r>
        <w:rPr>
          <w:rFonts w:ascii="IRNazanin" w:hAnsi="IRNazanin" w:eastAsia="IRNazanin"/>
          <w:color w:val="111111"/>
          <w:sz w:val="28"/>
          <w:sz w:val="28"/>
          <w:szCs w:val="28"/>
          <w:rtl w:val="true"/>
          <w:lang w:bidi="fa-IR"/>
        </w:rPr>
        <w:t>الشرطیّة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فیه ضرر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مع عدم الضرر و إن لم تکن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المنفعة ما یوازی عوض ما یتصرّفون من مال الیتیم عند دخولهم، فیکون المراد بالضرر 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یصل إلی الأیتام ما یوازی ذلک، فلا تنافی بین الصدر و الذیل</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حیث أراد قدس سره أن یُدخِل ما لا نفع فیه و لا ضرر فی قسم ما یوازی و مشمولاً للمنفعة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فسّر کلام الشیخ رحمه الله المحقّق الاصفهانی قدس سره، لکنّه قال بعد هذا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 بین صدر الروایة و ذیلها؛ لکون الشرطیّة فی کلّ منهما مسوقةٌ علی ما هو الغالب من حصول الضرر أو النفع من دخول بیت الیتیم، لندرة الموازاة و المساواة بین ما یتلف عن مال الیتیم بالأکل و ما یؤدّی بإزائه، فحینئذٍ لا معارضة بینهما</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المحقّق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مخالفٌ لما أراده الشیخ الأعظم قدس سره، و هو بصدد تفسیر کلامه و توضیح مراده؛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فسّره هو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تکون الروایة ساکتة عن الفرض المزبور، و مراد الشیخ علی ما صرّح به أنّه یشمل صدر الروایة لهذا الفرض</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الاصفهانی من کون ندرة فرض الموازاة موجباً لخروجه عن کلتا الشرطیتین، ففیه؛ أنّ ندرة الوجود إن صار بمثابة یوجب انصراف لفظ المنفعة إلی غیره، کان ما ذکره تامّاً، و لکن من المعلوم عدم کونه کذلک</w:t>
      </w:r>
      <w:r>
        <w:rPr>
          <w:rFonts w:eastAsia="IRNazanin" w:cs="IRNazanin"/>
          <w:color w:val="111111"/>
          <w:sz w:val="28"/>
          <w:szCs w:val="28"/>
          <w:rtl w:val="true"/>
          <w:lang w:bidi="fa-IR"/>
        </w:rPr>
        <w:t>..».</w:t>
      </w:r>
      <w:bookmarkStart w:id="477" w:name="pg11753_114914"/>
    </w:p>
    <w:p>
      <w:pPr>
        <w:pStyle w:val="BookText"/>
        <w:rPr/>
      </w:pPr>
      <w:bookmarkEnd w:id="477"/>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فی رفع هذا التعارض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المتفاهم عرفاً من أمثال هذه القضایا أنّ الأصل هو ما ابتدأ به المتکلِّم فی صدر الکلام، و ما عقّبه فی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ظ</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بمثابة التفریع علی الجملة الاُولی مقتصراً علی بعض الأفراد لنکتة، إمّا لکونه أخفی، أو الاهتمام بذکره، أو غیر ذلک</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فیما أفاد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الروایة أنّ وجود النفع ملاک الجواز، و ذکر الضرر فی طرف الحرمة لکونه أعلی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الإمام الخمینی بما یقرب 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ذکرناه من أنّ کلامه علیه السلام سیق لمراعاة حال الأیتام، یظهر عدم التنافی بین مفهومی الشرطیتین؛ فإنّ القرینة فی المقام قائمة علی أنّ المراد من النفع أمر زائد علی ما أتلف علی الیتیم زیادة یقال معها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دخوله منفعة، فعلی هذا یکون المیزان الشرطیّة الاُولی و مفهومها، فذکر الثانیة بیان مصداق من المفهوم، و لعلّ ما ذکر جارٍ فی غیر المقام أیضاً، فتحمل الشرطیّة الثانیة علی بیان مصداق من مفهوم الاُولی فی جمیع الموارد إلاّ فی ما دلّ الدلیل علی خلافه، و لو لم یسلم فی سائر المقامات ففی المقام لا بدّ من تسلیمه، لقیام القرینة علیه</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8" w:name="__RefHeading___Toc9482826_73709187"/>
      <w:bookmarkStart w:id="479" w:name="_Toc182"/>
      <w:bookmarkEnd w:id="478"/>
      <w:r>
        <w:rPr>
          <w:rtl w:val="true"/>
        </w:rPr>
        <w:t>فرعان</w:t>
      </w:r>
      <w:bookmarkEnd w:id="47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الإجازة للدخول فی بیت الأیتام مختصّة بمثل مورد الروایة من الدخول علی من تکفّل الأیتام و اختلط بهم، کما ورد فی الروایات</w:t>
      </w:r>
      <w:r>
        <w:rPr>
          <w:rStyle w:val="FootnoteAnchor"/>
          <w:rtl w:val="true"/>
        </w:rPr>
        <w:footnoteReference w:id="1300"/>
      </w:r>
      <w:r>
        <w:rPr>
          <w:rFonts w:ascii="Amiri" w:hAnsi="Amiri" w:eastAsia="Amiri" w:cs="Amiri"/>
          <w:color w:val="111111"/>
          <w:sz w:val="28"/>
          <w:sz w:val="28"/>
          <w:szCs w:val="28"/>
          <w:rtl w:val="true"/>
          <w:lang w:bidi="ar-SA"/>
        </w:rPr>
        <w:t>الواردة</w:t>
      </w:r>
    </w:p>
    <w:p>
      <w:pPr>
        <w:pStyle w:val="BookText"/>
        <w:rPr/>
      </w:pPr>
      <w:r>
        <w:rPr>
          <w:rFonts w:ascii="Amiri" w:hAnsi="Amiri" w:eastAsia="Amiri" w:cs="Amiri"/>
          <w:color w:val="111111"/>
          <w:sz w:val="28"/>
          <w:sz w:val="28"/>
          <w:szCs w:val="28"/>
          <w:rtl w:val="true"/>
          <w:lang w:bidi="ar-SA"/>
        </w:rPr>
        <w:t xml:space="preserve">فی تفسیر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تُخالِطُوهُمْ فَإِخْوانُکُمْ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فأجاز الشارع الأقدس للکفیل الاختلاط بالأیتام فی الأکل و الشرب و نحوهما، و أجاز للداخل علی الکفیل الاختلاط بهم مع حصول النفع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إجازة الدخول لغیر هذا المورد فمشکل</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إلحاق التصرّفات الاعتباریّة و المعاملیّة بالتصرّفات الخارجیّة الواردة فی صحیحة الکاهلی، بدعوی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التصرّف الذی هو لانتفاع المتصرّف دون الیتیم بمجرّد عدم الضرر و المفسدة، لجاز معه التصرّف الراجع إلی الیتیم بالأولویّة، حیث إنّه لیس فیه إلاّ تحمّل کلفة الیتیم کما ذهب إلیه المحقّق الاصفهانی</w:t>
      </w:r>
      <w:r>
        <w:rPr>
          <w:rStyle w:val="FootnoteAnchor"/>
          <w:rtl w:val="true"/>
        </w:rPr>
        <w:footnoteReference w:id="1302"/>
      </w:r>
      <w:r>
        <w:rPr>
          <w:rFonts w:ascii="IRNazanin" w:hAnsi="IRNazanin" w:eastAsia="IRNazanin"/>
          <w:color w:val="111111"/>
          <w:sz w:val="28"/>
          <w:sz w:val="28"/>
          <w:szCs w:val="28"/>
          <w:rtl w:val="true"/>
          <w:lang w:bidi="fa-IR"/>
        </w:rPr>
        <w:t>؛ فإنّه مضافاً إلی أنّ تلک الأولویّات الظنّیة علی فرضها لا یعتمد علیها فی الفقه، دعوی الأولویّة غیر تامّة، و إلحاق المشابه بالمشابه قیاس باطل، أشار إلی الفرعین الإمام الخمینی رحمه الله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ascii="IRNazanin" w:hAnsi="IRNazanin" w:eastAsia="IRNazanin"/>
          <w:color w:val="111111"/>
          <w:sz w:val="28"/>
          <w:sz w:val="28"/>
          <w:szCs w:val="28"/>
          <w:rtl w:val="true"/>
          <w:lang w:bidi="fa-IR"/>
        </w:rPr>
        <w:t>علیّ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ابنة أخ یتیمة فربما أُهدی لها الشیء فآکل منه ثمّ أطعمها بعد ذلک الشیء من مالی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بذا،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الغالب کون التصرّف فی الطعام المُهدی إلیها و إعطاء العوض بعد ذلک أصلح؛ إذ الظاهر من الطعام المهدی إلیها هو المطبوخ و شبهه ممّا لا یمکن حفظه</w:t>
      </w:r>
    </w:p>
    <w:p>
      <w:pPr>
        <w:pStyle w:val="BookText"/>
        <w:rPr/>
      </w:pPr>
      <w:r>
        <w:rPr>
          <w:rFonts w:ascii="IRNazanin" w:hAnsi="IRNazanin" w:eastAsia="IRNazanin"/>
          <w:color w:val="111111"/>
          <w:sz w:val="28"/>
          <w:sz w:val="28"/>
          <w:szCs w:val="28"/>
          <w:rtl w:val="true"/>
          <w:lang w:bidi="fa-IR"/>
        </w:rPr>
        <w:t>فی مدّة طویلة سیّما فی مثل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هذه الروایة أیضاً غیر المعاملات و التصرّفات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الفقه المنسوب للإمام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لأیسر القبیلة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فقیهها و 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یتصرّف للیتیم فی ماله فیما یراه حظّاً و صلاحاً، و لیس علیه خسران و لا ربح، و الربح و الخسران للیتیم و علیه، و باللّه التوفیق</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یشعر بذلک أیضاً ما نقل</w:t>
      </w:r>
    </w:p>
    <w:p>
      <w:pPr>
        <w:pStyle w:val="BookText"/>
        <w:rPr/>
      </w:pPr>
      <w:r>
        <w:rPr>
          <w:rFonts w:ascii="IRNazanin" w:hAnsi="IRNazanin" w:eastAsia="IRNazanin"/>
          <w:color w:val="111111"/>
          <w:sz w:val="28"/>
          <w:sz w:val="28"/>
          <w:szCs w:val="28"/>
          <w:rtl w:val="true"/>
          <w:lang w:bidi="fa-IR"/>
        </w:rPr>
        <w:t>علی بن إبراهیم فی تفسیره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أخرج کلّ من کان عنده یتیم، و سألوا رسول اللّه صلی الله علیه و آله و سلم فی إخراجهم،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الْیَتامی قُلْ إِصْلاحٌ لَهُمْ خَیْرٌ وَ إِنْ تُخالِطُوهُمْ فَإِخْوانُکُمْ وَ اللّهُ یَعْلَمُ الْمُفْسِدَ مِنَ الْمُصْلِحِ</w:t>
      </w:r>
      <w:r>
        <w:rPr>
          <w:rFonts w:eastAsia="Amiri" w:cs="Amiri" w:ascii="Amiri" w:hAnsi="Amiri"/>
          <w:color w:val="111111"/>
          <w:sz w:val="28"/>
          <w:szCs w:val="28"/>
          <w:rtl w:val="true"/>
          <w:lang w:bidi="ar-SA"/>
        </w:rPr>
        <w:t xml:space="preserve">) » </w:t>
      </w:r>
      <w:r>
        <w:rPr>
          <w:rStyle w:val="FootnoteAnchor"/>
          <w:rtl w:val="true"/>
        </w:rPr>
        <w:footnoteReference w:id="1307"/>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w:t>
      </w:r>
    </w:p>
    <w:p>
      <w:pPr>
        <w:pStyle w:val="BookText"/>
        <w:rPr/>
      </w:pPr>
      <w:r>
        <w:rPr>
          <w:rFonts w:ascii="IRNazanin" w:hAnsi="IRNazanin" w:eastAsia="IRNazanin"/>
          <w:color w:val="111111"/>
          <w:sz w:val="28"/>
          <w:sz w:val="28"/>
          <w:szCs w:val="28"/>
          <w:rtl w:val="true"/>
          <w:lang w:bidi="fa-IR"/>
        </w:rPr>
        <w:t>ما ذکره العیاشی فی تفسیره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فی الیتامی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تُخالِطُوهُمْ فَإِخْوانُکُمْ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لهم التمر و اللبن، و یکون لک مثله علی قدر ما یکفیک و یکفیهم، و لا یخفی علی اللّه المفسد من المصلح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فی جعل الولایة علی الیتیم لیس إلاّ جلب المنفعة للطفل و رعایة مصالحه و استیفاء حقوقه</w:t>
      </w:r>
      <w:r>
        <w:rPr>
          <w:rStyle w:val="FootnoteAnchor"/>
          <w:rtl w:val="true"/>
        </w:rPr>
        <w:footnoteReference w:id="1309"/>
      </w:r>
      <w:r>
        <w:rPr>
          <w:rFonts w:ascii="IRNazanin" w:hAnsi="IRNazanin" w:eastAsia="IRNazanin"/>
          <w:color w:val="111111"/>
          <w:sz w:val="28"/>
          <w:sz w:val="28"/>
          <w:szCs w:val="28"/>
          <w:rtl w:val="true"/>
          <w:lang w:bidi="fa-IR"/>
        </w:rPr>
        <w:t>و دفع الضرر عنه، و إلاّ</w:t>
      </w:r>
    </w:p>
    <w:p>
      <w:pPr>
        <w:pStyle w:val="BookText"/>
        <w:rPr/>
      </w:pPr>
      <w:r>
        <w:rPr>
          <w:rFonts w:ascii="Amiri" w:hAnsi="Amiri" w:eastAsia="Amiri" w:cs="Amiri"/>
          <w:color w:val="111111"/>
          <w:sz w:val="28"/>
          <w:sz w:val="28"/>
          <w:szCs w:val="28"/>
          <w:rtl w:val="true"/>
          <w:lang w:bidi="ar-SA"/>
        </w:rPr>
        <w:t>تکون 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الشهید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علی الولیّ مراعاة المصلحة فی مال المولّی علیه، أو یکتفی بنفی المفسدة؟ یحتمل الأوّل؛ لأنّه منصوب لها</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 المسألة، و لو سلّم ذلک فلا مجال للنزاع</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من غیر واحد،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الضابط فی تصرّف المتولّی لأموال الیتامی و المجانین اعتبار الغبطة، و کون التصرّف علی وجه النظر 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فللولیّ أن یتّجر بمال الیتیم و یضارب به، و یدفعه إلی من یضارب له به و یجعل له نصیباً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نعلم فیه خلافاً إلاّ ما روی عن الحسن البصری کراهة ذلک</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استظهر فی مفتاح الکرامة منه الإجماع تبعاً لشیخه فی الحاشیة علی القواعد</w:t>
      </w:r>
      <w:r>
        <w:rPr>
          <w:rStyle w:val="FootnoteAnchor"/>
          <w:rtl w:val="true"/>
        </w:rPr>
        <w:footnoteReference w:id="1313"/>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ظاهره أنّه ممّا لا خلاف فیه بین المسلمین، و أنّه لا فرق فی ذلک بین الأب و الجدّ، و الوصیّ، و الحاکم و أمینه</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الحکم إجماعیّ علی الظاهر</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الأعظم فی مقام قبول هذا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و حکاه أیضاً المحقّق الاصفهانی</w:t>
      </w:r>
      <w:r>
        <w:rPr>
          <w:rStyle w:val="FootnoteAnchor"/>
          <w:rtl w:val="true"/>
        </w:rPr>
        <w:footnoteReference w:id="1317"/>
      </w:r>
      <w:r>
        <w:rPr>
          <w:rFonts w:ascii="IRNazanin" w:hAnsi="IRNazanin" w:eastAsia="IRNazanin"/>
          <w:color w:val="111111"/>
          <w:sz w:val="28"/>
          <w:sz w:val="28"/>
          <w:szCs w:val="28"/>
          <w:rtl w:val="true"/>
          <w:lang w:bidi="fa-IR"/>
        </w:rPr>
        <w:t>و السیّد الخوئی</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قال الشهید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لأصالة بقاء الملک علی حاله</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نضد القواعد</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الولایة لأحدٍ علی أحدٍ</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نهج الفقاهة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المدّعی علیه الإجماع ظاهراً أو صریحاً فی کلام غیر واحد، اعتبار المصلحة فی التصرّف فی مال الیتیم و إن کان المتصرّف أباً أو جدّاً، فهل یعتبر ذلک فی تصرّف الحاکم أو العدل أو الثقة، أو یکفی عدم المفسدة؟ مقتضی الأصل الأوّل</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الحائری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قلنا بأنّ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الولایة، فالمرجع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الشکّ فی تحقّق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الأصل محکوم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نعلم بأنّ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قد قیّد بطیب نفس المالک أو من یقوم مقامه، و الشکّ فی ولایة هذا المتصدّی عند عدم مراعاة المصلحة، فاستصحاب عدم ولایته منقّح للموضوع، و هو مقدّم علی أصالة العموم أو الإطلاق</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الإمام الخمینی رحمه الله</w:t>
      </w:r>
      <w:r>
        <w:rPr>
          <w:rStyle w:val="FootnoteAnchor"/>
          <w:rtl w:val="true"/>
        </w:rPr>
        <w:footnoteReference w:id="1324"/>
      </w:r>
      <w:bookmarkStart w:id="480" w:name="pg11753_114919"/>
    </w:p>
    <w:p>
      <w:pPr>
        <w:pStyle w:val="BookText"/>
        <w:rPr/>
      </w:pPr>
      <w:bookmarkEnd w:id="48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جریان هذا الأصل، و لکنّه لیس دلیلاً لاعتبار المصلحة؛ لکونه مثبتاً إلاّ أن یقال بخفاء الواسطة</w:t>
      </w:r>
      <w:r>
        <w:rPr>
          <w:rFonts w:eastAsia="IRNazanin" w:cs="IRNazanin"/>
          <w:color w:val="111111"/>
          <w:sz w:val="28"/>
          <w:szCs w:val="28"/>
          <w:rtl w:val="true"/>
          <w:lang w:bidi="fa-IR"/>
        </w:rPr>
        <w:t>.</w:t>
      </w:r>
    </w:p>
    <w:p>
      <w:pPr>
        <w:pStyle w:val="Heading6"/>
        <w:numPr>
          <w:ilvl w:val="5"/>
          <w:numId w:val="1"/>
        </w:numPr>
        <w:rPr/>
      </w:pPr>
      <w:bookmarkStart w:id="481" w:name="__RefHeading___Toc9482828_73709187"/>
      <w:bookmarkStart w:id="482" w:name="_Toc183"/>
      <w:bookmarkEnd w:id="481"/>
      <w:r>
        <w:rPr>
          <w:rtl w:val="true"/>
        </w:rPr>
        <w:t>اعتبار الأصلحیّة فی تصرّفات الحاکم</w:t>
      </w:r>
      <w:bookmarkEnd w:id="482"/>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مراعاة الأصلحیّة و عدم الاکتفاء بالمصلحة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یتحرّی الأصلح، أو یکتفی بمطلق المصلحة؟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لمثل ما قلناه</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 أی یجب تحرّی الأصلح لمثل ما تقدّم فی وجوب مراعاة المصلحة من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فی تقریبه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الأصلح و اختیار ما فیه المصلحة، ترک رعایة المصلحة الزائدة العائدة إلی الیتیم بلا وجه، مع أنّه منصوب لرعایة حاله و إصلاح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مع الشکّ فی نفوذ ما فیه المصلحة مع إمکان لزوم البیع بما هو أصلح، فالأصل عدم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اختیار ما فیه المصلحة مع تساویه مع الأصلح فی أصل طبیعة المصلحة لیس إلاّ لأجل فقده للزیادة، و العدم لا یعقل أن یکون غایة للوجودی، بخلاف اختیار الأصلح؛ فإنّه معمول للمصلحة الزائدة التی هی أمر وجودیّ</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جمیع هذه الوجوه إشکال؛ لأنّ جعل الولایة للحاکم لرعایة المصلحة فی معاملاته الواردة علی مال الیتیم أوّل الکلام، فلعلّه منصوبٌ لحفظ ماله</w:t>
      </w:r>
      <w:r>
        <w:rPr>
          <w:rStyle w:val="FootnoteAnchor"/>
          <w:rtl w:val="true"/>
        </w:rPr>
        <w:footnoteReference w:id="1327"/>
      </w:r>
      <w:r>
        <w:rPr>
          <w:rFonts w:ascii="IRNazanin" w:hAnsi="IRNazanin" w:eastAsia="IRNazanin"/>
          <w:color w:val="111111"/>
          <w:sz w:val="28"/>
          <w:sz w:val="28"/>
          <w:szCs w:val="28"/>
          <w:rtl w:val="true"/>
          <w:lang w:bidi="fa-IR"/>
        </w:rPr>
        <w:t>لا لتحصیل المنفعة، کما أشار إلیه المحقّق القمّی</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 ذلک</w:t>
      </w:r>
    </w:p>
    <w:p>
      <w:pPr>
        <w:pStyle w:val="BookText"/>
        <w:rPr/>
      </w:pPr>
      <w:r>
        <w:rPr>
          <w:rFonts w:ascii="IRNazanin" w:hAnsi="IRNazanin" w:eastAsia="IRNazanin"/>
          <w:color w:val="111111"/>
          <w:sz w:val="28"/>
          <w:sz w:val="28"/>
          <w:szCs w:val="28"/>
          <w:rtl w:val="true"/>
          <w:lang w:bidi="fa-IR"/>
        </w:rPr>
        <w:t>المحقّق الاصفهانی</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أصالة عدم نفوذه؛ فإنّها مسلّمة، إلاّ أنّها لیست دلیلاً علی اعتبار الأصلحیّة کما هو ظاهرٌ؛ لأنّها بالنسبة إلیه 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وقوع العدمیّات غایة للوجودی؛ فإنّه و إن کان کذلک، إلاّ أنّه لا یجب أن تکون غایة الأمر الوجودی راجعةً إلی المولّی علیه دائماً، فلعلّها تکون راجعةً إلی الولیّ، کسهولة حفظ المال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الوجوه التی ذکرها الشهید رحمه الله لمراعاة الأصلح لا تخلو عن إشکال</w:t>
      </w:r>
      <w:r>
        <w:rPr>
          <w:rStyle w:val="FootnoteAnchor"/>
          <w:rtl w:val="true"/>
        </w:rPr>
        <w:footnoteReference w:id="1330"/>
      </w:r>
      <w:r>
        <w:rPr>
          <w:rFonts w:ascii="IRNazanin" w:hAnsi="IRNazanin" w:eastAsia="IRNazanin"/>
          <w:color w:val="111111"/>
          <w:sz w:val="28"/>
          <w:sz w:val="28"/>
          <w:szCs w:val="28"/>
          <w:rtl w:val="true"/>
          <w:lang w:bidi="fa-IR"/>
        </w:rPr>
        <w:t>بل منع، و القول بوجوب مراعاة الأصلحیّة فی تصرّف الولیّ لا دلیل علیه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لا یتناهی فی بعض الأوقات کما أشار إلیه الشهید رحمه الله</w:t>
      </w:r>
      <w:r>
        <w:rPr>
          <w:rStyle w:val="FootnoteAnchor"/>
          <w:rtl w:val="true"/>
        </w:rPr>
        <w:footnoteReference w:id="1331"/>
      </w:r>
      <w:r>
        <w:rPr>
          <w:rFonts w:ascii="Amiri" w:hAnsi="Amiri" w:eastAsia="Amiri" w:cs="Amiri"/>
          <w:color w:val="111111"/>
          <w:sz w:val="28"/>
          <w:sz w:val="28"/>
          <w:szCs w:val="28"/>
          <w:rtl w:val="true"/>
          <w:lang w:bidi="ar-SA"/>
        </w:rPr>
        <w:t>و المحقّق القمّی</w:t>
      </w:r>
      <w:r>
        <w:rPr>
          <w:rStyle w:val="FootnoteAnchor"/>
          <w:rtl w:val="true"/>
        </w:rPr>
        <w:footnoteReference w:id="1332"/>
      </w:r>
      <w:r>
        <w:rPr>
          <w:rFonts w:ascii="IRNazanin" w:hAnsi="IRNazanin" w:eastAsia="IRNazanin"/>
          <w:color w:val="111111"/>
          <w:sz w:val="28"/>
          <w:sz w:val="28"/>
          <w:szCs w:val="28"/>
          <w:rtl w:val="true"/>
          <w:lang w:bidi="fa-IR"/>
        </w:rPr>
        <w:t>؛ لأنّ الأصلح لا آخر له، و کلّ تصرّف یفرض کونه صلاحاً یمکن أن یکون تصرّف آخر أصلح و أحسن منه، أشار إلیه فی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قلنا بوجوب مراعاة الأصلحیّة التی لا أصلح منها یقتضی ذلک تعطیل مال الطفل؛ إذ ما من حسن إلاّ و هناک أحسن منه، و غایة ما یعتبر فی تصرّف الولیّ أن یکون مقروناً بالصلاح و الحسن بما یعدّه أهل العرف مصلحة للیتیم</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الأعظم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فعل الأصلح فی مقابل ترک التصرّف رأساً غیر لازم؛ لعدم الدلیل علیه</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مضافاً إلی أنّ حسنة الکاهلی و خبر ابن المغیرة المتقدّمین</w:t>
      </w:r>
      <w:r>
        <w:rPr>
          <w:rStyle w:val="FootnoteAnchor"/>
          <w:rtl w:val="true"/>
        </w:rPr>
        <w:footnoteReference w:id="1335"/>
      </w:r>
      <w:r>
        <w:rPr>
          <w:rFonts w:ascii="IRNazanin" w:hAnsi="IRNazanin" w:eastAsia="IRNazanin"/>
          <w:color w:val="111111"/>
          <w:sz w:val="28"/>
          <w:sz w:val="28"/>
          <w:szCs w:val="28"/>
          <w:rtl w:val="true"/>
          <w:lang w:bidi="fa-IR"/>
        </w:rPr>
        <w:t>تدلاّن علی عدم لزوم مراعاة الأصلح؛ لأنّ قوله علیه السلام فی حسنة الکاهلی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دخولکم علیهم منفعة لهم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بإطلاقه علی اعتبار المصلحة و المنفعة، لا علی اعتبار الأنفعیّة و الأصلحیّة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ابن المغیرة، فترک الاستفصال عن زیادة العوض یدلّ علی عدم اعتبارها، فمقتضی إطلاق الخبرین عدم لزوم مراعاة الأصلح، و کذا صحیحة منصور بن حازم</w:t>
      </w:r>
      <w:r>
        <w:rPr>
          <w:rStyle w:val="FootnoteAnchor"/>
          <w:rtl w:val="true"/>
        </w:rPr>
        <w:footnoteReference w:id="1336"/>
      </w:r>
      <w:r>
        <w:rPr>
          <w:rFonts w:ascii="IRNazanin" w:hAnsi="IRNazanin" w:eastAsia="IRNazanin"/>
          <w:color w:val="111111"/>
          <w:sz w:val="28"/>
          <w:sz w:val="28"/>
          <w:szCs w:val="28"/>
          <w:rtl w:val="true"/>
          <w:lang w:bidi="fa-IR"/>
        </w:rPr>
        <w:t>؛ فإنّ مقتضاها جواز استقراض الولیّ من مال الیتیم بلا اعتبار الأصلحیّة، و مثلها معتبرة البزنطی</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روایات جواز مخالطة الیتیم التی لم تشترط فیها الأصلحیّة</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 قال الشهید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 فی الحال الأصلح و المصلحة لم یجز العدول عن الأصلح</w:t>
      </w:r>
      <w:r>
        <w:rPr>
          <w:rFonts w:eastAsia="IRNazanin" w:cs="IRNazanin"/>
          <w:color w:val="111111"/>
          <w:sz w:val="28"/>
          <w:szCs w:val="28"/>
          <w:rtl w:val="true"/>
          <w:lang w:bidi="fa-IR"/>
        </w:rPr>
        <w:t>»</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أیضاً المحقّق الحائری</w:t>
      </w:r>
      <w:r>
        <w:rPr>
          <w:rStyle w:val="FootnoteAnchor"/>
          <w:rtl w:val="true"/>
        </w:rPr>
        <w:footnoteReference w:id="1340"/>
      </w:r>
      <w:r>
        <w:rPr>
          <w:rFonts w:ascii="IRNazanin" w:hAnsi="IRNazanin" w:eastAsia="IRNazanin"/>
          <w:color w:val="111111"/>
          <w:sz w:val="28"/>
          <w:sz w:val="28"/>
          <w:szCs w:val="28"/>
          <w:rtl w:val="true"/>
          <w:lang w:bidi="fa-IR"/>
        </w:rPr>
        <w:t>و السیّد الحکیم</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دار الأمر بین أفعالٍ بعضها أصلح من بعض فظاهر الآیة عدم جواز العدول عنه</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استشکله أیضاً فی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الاکتفاء بالفرد الأدنی مع تیسّر الفرد الأعلی مطلقاً إشکالاً، إن لم یکن منعاً</w:t>
      </w:r>
      <w:r>
        <w:rPr>
          <w:rFonts w:eastAsia="IRNazanin" w:cs="IRNazanin"/>
          <w:color w:val="111111"/>
          <w:sz w:val="28"/>
          <w:szCs w:val="28"/>
          <w:rtl w:val="true"/>
          <w:lang w:bidi="fa-IR"/>
        </w:rPr>
        <w:t>»</w:t>
      </w:r>
      <w:r>
        <w:rPr>
          <w:rStyle w:val="FootnoteAnchor"/>
          <w:rtl w:val="true"/>
        </w:rPr>
        <w:footnoteReference w:id="1343"/>
      </w:r>
      <w:bookmarkStart w:id="483" w:name="pg11753_114922"/>
    </w:p>
    <w:p>
      <w:pPr>
        <w:pStyle w:val="BookText"/>
        <w:rPr/>
      </w:pPr>
      <w:bookmarkEnd w:id="483"/>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قالوا وجیه؛ لأنّ الاحتیاط حسن فی کلّ حال، إلاّ أنّه لا دلیل علیه وجوباً کما أثبتناه</w:t>
      </w:r>
      <w:r>
        <w:rPr>
          <w:rFonts w:eastAsia="IRNazanin" w:cs="IRNazanin"/>
          <w:color w:val="111111"/>
          <w:sz w:val="28"/>
          <w:szCs w:val="28"/>
          <w:rtl w:val="true"/>
          <w:lang w:bidi="fa-IR"/>
        </w:rPr>
        <w:t>.</w:t>
      </w:r>
    </w:p>
    <w:p>
      <w:pPr>
        <w:pStyle w:val="Heading6"/>
        <w:numPr>
          <w:ilvl w:val="5"/>
          <w:numId w:val="1"/>
        </w:numPr>
        <w:rPr/>
      </w:pPr>
      <w:bookmarkStart w:id="484" w:name="__RefHeading___Toc9482830_73709187"/>
      <w:bookmarkStart w:id="485" w:name="_Toc184"/>
      <w:bookmarkEnd w:id="484"/>
      <w:r>
        <w:rPr>
          <w:rtl w:val="true"/>
        </w:rPr>
        <w:t>عدم اعتبار المصلحة فی تصرّفات الحاکم</w:t>
      </w:r>
      <w:bookmarkEnd w:id="485"/>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 الحاکم رعایة المصلحة فی تصرّفاته فی أموال الصغار، و هکذا رعایة الأصلحیّة، بل یکتفی بمجرّد عدم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مصباح الفقاهة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عدم الضرر فقط و إن لم یکن فیه نفعٌ</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ربما یظهر من بعض الروایات أنّ مناط حرمة التصرّف هو الضرر، لا أنّ مناط الجواز هو النفع</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تردّد فیه فی الجواهر فی باب التجارة،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یمکن استقصاء أفراد ولایة الحاکم و أمینه؛ لأنّ التحقیق عمومها فی کلّ ما احتیج فیه إلی ولایة فی مال أو غیره؛ إذ هو ولیّ من لا ولیّ له، و لهما تولیة طرفی العقد فی الاقتراض و غیره من التصرّفات التی فیها المصلحة أو لا مفسدة فیها</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قدس سره اختار فی غیره اعتبار المصلحة</w:t>
      </w:r>
      <w:r>
        <w:rPr>
          <w:rFonts w:eastAsia="IRNazanin" w:cs="IRNazanin"/>
          <w:color w:val="111111"/>
          <w:sz w:val="28"/>
          <w:szCs w:val="28"/>
          <w:rtl w:val="true"/>
          <w:lang w:bidi="fa-IR"/>
        </w:rPr>
        <w:t>.</w:t>
      </w:r>
    </w:p>
    <w:p>
      <w:pPr>
        <w:pStyle w:val="Heading6"/>
        <w:numPr>
          <w:ilvl w:val="5"/>
          <w:numId w:val="1"/>
        </w:numPr>
        <w:rPr/>
      </w:pPr>
      <w:bookmarkStart w:id="486" w:name="__RefHeading___Toc9482832_73709187"/>
      <w:bookmarkStart w:id="487" w:name="_Toc185"/>
      <w:bookmarkEnd w:id="486"/>
      <w:r>
        <w:rPr>
          <w:rtl w:val="true"/>
        </w:rPr>
        <w:t>أدلّة هذا القول</w:t>
      </w:r>
      <w:bookmarkEnd w:id="487"/>
    </w:p>
    <w:p>
      <w:pPr>
        <w:pStyle w:val="BookText"/>
        <w:rPr/>
      </w:pPr>
      <w:r>
        <w:rPr>
          <w:rFonts w:ascii="IRNazanin" w:hAnsi="IRNazanin" w:eastAsia="IRNazanin"/>
          <w:color w:val="111111"/>
          <w:sz w:val="28"/>
          <w:sz w:val="28"/>
          <w:szCs w:val="28"/>
          <w:rtl w:val="true"/>
          <w:lang w:bidi="fa-IR"/>
        </w:rPr>
        <w:t>و یمکن أن یستدلّ لهذا القول بروایاتٍ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الکاهلی المتقدّمة</w:t>
      </w:r>
      <w:r>
        <w:rPr>
          <w:rStyle w:val="FootnoteAnchor"/>
          <w:rtl w:val="true"/>
        </w:rPr>
        <w:footnoteReference w:id="1347"/>
      </w:r>
      <w:r>
        <w:rPr>
          <w:rFonts w:ascii="IRNazanin" w:hAnsi="IRNazanin" w:eastAsia="IRNazanin"/>
          <w:color w:val="111111"/>
          <w:sz w:val="28"/>
          <w:sz w:val="28"/>
          <w:szCs w:val="28"/>
          <w:rtl w:val="true"/>
          <w:lang w:bidi="fa-IR"/>
        </w:rPr>
        <w:t xml:space="preserve">؛ و استظهر منها الشیخ الأعظم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w:t>
      </w:r>
      <w:bookmarkStart w:id="488" w:name="pg11753_114923"/>
    </w:p>
    <w:p>
      <w:pPr>
        <w:pStyle w:val="BookText"/>
        <w:rPr/>
      </w:pPr>
      <w:bookmarkEnd w:id="488"/>
      <w:r>
        <w:rPr>
          <w:rFonts w:ascii="IRNazanin" w:hAnsi="IRNazanin" w:eastAsia="IRNazanin"/>
          <w:color w:val="111111"/>
          <w:sz w:val="28"/>
          <w:sz w:val="28"/>
          <w:szCs w:val="28"/>
          <w:rtl w:val="true"/>
          <w:lang w:bidi="fa-IR"/>
        </w:rPr>
        <w:t>من منفعة الدخول ما یوازی عوض ما یتصرّفون من مال الیتیم عند دخولهم، فیکون المراد بالضرر فی الذیل أن لا یصل إلی الأیتام ما یوازی ذلک</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ما فیه من الإشکال و 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المغیرة المتقدّمة</w:t>
      </w:r>
      <w:r>
        <w:rPr>
          <w:rStyle w:val="FootnoteAnchor"/>
          <w:rtl w:val="true"/>
        </w:rPr>
        <w:footnoteReference w:id="1349"/>
      </w:r>
      <w:r>
        <w:rPr>
          <w:rFonts w:ascii="Amiri" w:hAnsi="Amiri" w:eastAsia="Amiri" w:cs="Amiri"/>
          <w:color w:val="111111"/>
          <w:sz w:val="28"/>
          <w:sz w:val="28"/>
          <w:szCs w:val="28"/>
          <w:rtl w:val="true"/>
          <w:lang w:bidi="ar-SA"/>
        </w:rPr>
        <w:t>؛ فإنّ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بذا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جوابها أیضاً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الغالب کون التصرّف فی الطعام المُهدی إلی الیتیمة و إعطاء العوض بعد ذلک أصلح؛ إذ الظاهر من الطعام المُهدی إلیها هو المطبوخ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روایات باب جواز الاختلاط‌</w:t>
      </w:r>
      <w:r>
        <w:rPr>
          <w:rStyle w:val="FootnoteAnchor"/>
          <w:rtl w:val="true"/>
        </w:rPr>
        <w:footnoteReference w:id="1350"/>
      </w:r>
      <w:r>
        <w:rPr>
          <w:rFonts w:ascii="IRNazanin" w:hAnsi="IRNazanin" w:eastAsia="IRNazanin"/>
          <w:color w:val="111111"/>
          <w:sz w:val="28"/>
          <w:sz w:val="28"/>
          <w:szCs w:val="28"/>
          <w:rtl w:val="true"/>
          <w:lang w:bidi="fa-IR"/>
        </w:rPr>
        <w:t xml:space="preserve">بأموال الأیتام تدلّ علی عدم اعتبار المصلحة، بل یکتفی بمجرّد عدم المفسدة؛ لأنّ المراد بالمصلح عدم المفسد، لکنّه توهّم غیر وجیه؛ لأنّ نفس کون الأیتام فی بیوت من یکفلهم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مختلطین بهم غیر ممتازین فی المأکل و المشرب عنهم و عن أطفالهم بحیث لا یمسُّوا ألم الیُتم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بل مصالح کثیرة ربما تترجّح علی المصالح المادّیة، فإجازة الاختلاط و الأکل فی مأدبة واحدة کالإخوان و الآباء و الأولاد إجازة لأمرٍ ذی مصلحة و منفعة، فلا وجه لتوهّم أنّ هذه الأخبار تدلّ علی عدم اعتبار المصلحة و المنفعة، کما أشار إلیه الإمام الخمینی قدس سره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9482834_73709187"/>
      <w:bookmarkStart w:id="490" w:name="_Toc186"/>
      <w:bookmarkEnd w:id="489"/>
      <w:r>
        <w:rPr>
          <w:rtl w:val="true"/>
        </w:rPr>
        <w:t>اعتبار المصلحة فی ولایة الحاکم عند فقهاء أهل السنّة</w:t>
      </w:r>
      <w:bookmarkEnd w:id="49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الفقهاء من المذاهب الأربعة علی أنّه یشترط أن یکون تصرّف الحاکم</w:t>
      </w:r>
    </w:p>
    <w:p>
      <w:pPr>
        <w:pStyle w:val="BookText"/>
        <w:rPr/>
      </w:pPr>
      <w:r>
        <w:rPr>
          <w:rFonts w:ascii="IRNazanin" w:hAnsi="IRNazanin" w:eastAsia="IRNazanin"/>
          <w:color w:val="111111"/>
          <w:sz w:val="28"/>
          <w:sz w:val="28"/>
          <w:szCs w:val="28"/>
          <w:rtl w:val="true"/>
          <w:lang w:bidi="fa-IR"/>
        </w:rPr>
        <w:t>فی مال الیتیم مقروناً بالمصلحة و الاحتیاط، فنذکر شطراً من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Amiri" w:hAnsi="Amiri" w:eastAsia="Amiri" w:cs="Amiri"/>
          <w:color w:val="111111"/>
          <w:sz w:val="28"/>
          <w:sz w:val="28"/>
          <w:szCs w:val="28"/>
          <w:rtl w:val="true"/>
          <w:lang w:bidi="ar-SA"/>
        </w:rPr>
        <w:t>قال فی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یتصرّف الناظر فی ماله إلاّ علی النظر و الاحتیاط، و لا یتصرّف إلاّ فیما فیه حظّ و اغتباط، فأمّا ما لا حظّ فیه کالعتق و الهبة و المحاباة فلا یملکه؛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لقوله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ضرر و لا ضرار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التصرّفات إضرار بالصبیّ، فوجب أن لا یملکه، و یجوز أن یتّجر فی ماله؛</w:t>
      </w:r>
    </w:p>
    <w:p>
      <w:pPr>
        <w:pStyle w:val="BookText"/>
        <w:rPr/>
      </w:pP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یتیماً له مال فلیتّجر له بماله و لا یترکه حتّی تأکله الصدقة</w:t>
      </w:r>
      <w:r>
        <w:rPr>
          <w:rFonts w:eastAsia="IRNazanin" w:cs="IRNazanin"/>
          <w:color w:val="111111"/>
          <w:sz w:val="28"/>
          <w:szCs w:val="28"/>
          <w:rtl w:val="true"/>
          <w:lang w:bidi="fa-IR"/>
        </w:rPr>
        <w:t>»</w:t>
      </w:r>
      <w:r>
        <w:rPr>
          <w:rStyle w:val="FootnoteAnchor"/>
          <w:rtl w:val="true"/>
        </w:rPr>
        <w:footnoteReference w:id="1353"/>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فالناظر هو الحافظ، و النظر هو الحفظ، و هو مأخوذ من النظر الذی هو التأمّل و التفکّر فی أمر التدبیر، أو من الشفقة</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قال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یتصرّف الولیّ إلاّ علی ما یقتضیه حسن النظر</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المدوّنة الکبری</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فی الکافی فی فقه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لولیّه التصرّف فی ماله بما لا حظّ له</w:t>
      </w:r>
    </w:p>
    <w:p>
      <w:pPr>
        <w:pStyle w:val="BookText"/>
        <w:rPr/>
      </w:pPr>
      <w:r>
        <w:rPr>
          <w:rFonts w:ascii="IRNazanin" w:hAnsi="IRNazanin" w:eastAsia="IRNazanin"/>
          <w:color w:val="111111"/>
          <w:sz w:val="28"/>
          <w:sz w:val="28"/>
          <w:szCs w:val="28"/>
          <w:rtl w:val="true"/>
          <w:lang w:bidi="fa-IR"/>
        </w:rPr>
        <w:t>فیه، کالعتق و الهبة و التبرّعات</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بالآیة و الروایة المتقدِّمتان اللّتان استدلّ بهما فی المهذّب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یجوز لولیّهما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ولیّ الصبیّ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یتصرّف فی مالهما إلاّ علی وجه الحظّ لهما</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قالوا أیضاً باشتراط رعایة المصلحة فی تصرّفات الولی، سواء کان الولیّ أباً أو جدّاً أو وصیّاً أو حاکماً، کما جاء فی بعض کتبهم</w:t>
      </w:r>
      <w:r>
        <w:rPr>
          <w:rStyle w:val="FootnoteAnchor"/>
          <w:rtl w:val="true"/>
        </w:rPr>
        <w:footnoteReference w:id="1360"/>
      </w:r>
      <w:bookmarkStart w:id="491" w:name="pg11753_114926"/>
    </w:p>
    <w:p>
      <w:pPr>
        <w:pStyle w:val="Heading4"/>
        <w:numPr>
          <w:ilvl w:val="3"/>
          <w:numId w:val="1"/>
        </w:numPr>
        <w:rPr/>
      </w:pPr>
      <w:bookmarkStart w:id="492" w:name="__RefHeading___Toc9482836_73709187"/>
      <w:bookmarkStart w:id="493" w:name="_Toc187"/>
      <w:bookmarkEnd w:id="491"/>
      <w:bookmarkEnd w:id="492"/>
      <w:r>
        <w:rPr>
          <w:rtl w:val="true"/>
        </w:rPr>
        <w:t>المبحث الثالث</w:t>
      </w:r>
      <w:r>
        <w:rPr>
          <w:rtl w:val="true"/>
        </w:rPr>
        <w:t xml:space="preserve">: </w:t>
      </w:r>
      <w:r>
        <w:rPr>
          <w:rtl w:val="true"/>
        </w:rPr>
        <w:t>ولایة القضاة</w:t>
      </w:r>
      <w:bookmarkEnd w:id="493"/>
    </w:p>
    <w:p>
      <w:pPr>
        <w:pStyle w:val="Heading5"/>
        <w:numPr>
          <w:ilvl w:val="4"/>
          <w:numId w:val="1"/>
        </w:numPr>
        <w:rPr/>
      </w:pPr>
      <w:bookmarkStart w:id="494" w:name="__RefHeading___Toc9482838_73709187"/>
      <w:bookmarkStart w:id="495" w:name="_Toc188"/>
      <w:bookmarkEnd w:id="494"/>
      <w:r>
        <w:rPr>
          <w:rtl w:val="true"/>
        </w:rPr>
        <w:t>تمهید</w:t>
      </w:r>
      <w:bookmarkEnd w:id="495"/>
    </w:p>
    <w:p>
      <w:pPr>
        <w:pStyle w:val="BookText"/>
        <w:rPr/>
      </w:pPr>
      <w:r>
        <w:rPr>
          <w:rFonts w:ascii="IRNazanin" w:hAnsi="IRNazanin" w:eastAsia="IRNazanin"/>
          <w:color w:val="111111"/>
          <w:sz w:val="28"/>
          <w:sz w:val="28"/>
          <w:szCs w:val="28"/>
          <w:rtl w:val="true"/>
          <w:lang w:bidi="fa-IR"/>
        </w:rPr>
        <w:t>بحثنا فی ما سبق عن ولایة الحاکم من حیث إنّه فقیهٌ جامع للشرائط الذی له شئون مختلفة، و من جملتها الولایة علی أموال الغیّب و القصّر و المجانین، و الآن نبحث عن ولایة القضاة من جهة أنّهم منصوبون من قبل الحاکم، و یمکن فرضهم فقهاء أیضاً مع کونهم واجدین لبعض الشرائط لا الکلّ، مثل أن یکونوا مجتهدین فی باب القضاء فقط، أو لا یکونوا أعلم علی نحو الإطلاق الذی هو شرط للمرجعیّة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تتفاوت الولایة فیهما و إن کان دلیل إثباتهما واحداً، و کذا شرائطهما، و لأجل هذا عنون الفقهاء مبحث الولایة هذا فی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ولایة الفقیه، و باب القضاء معاً، و نحن نتّبع آثارهم،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لا خلاف بین الفقهاء فی أنّ للقاضی أیضاً ولایة علی أموال الغیّب و القصّر و السفهاء و المجانین، و قد صرّح بعضهم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مبدؤه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الرئاسة العامّة فی امور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ولایةٌ علی کلّ مولّی علیه مع فقد ولیّه، و مع وجوده فی مواضع یأتی بعضها إن شاء اللّه</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ذلک قال فی الریاض</w:t>
      </w:r>
      <w:r>
        <w:rPr>
          <w:rStyle w:val="FootnoteAnchor"/>
          <w:rtl w:val="true"/>
        </w:rPr>
        <w:footnoteReference w:id="1362"/>
      </w:r>
      <w:r>
        <w:rPr>
          <w:rFonts w:ascii="IRNazanin" w:hAnsi="IRNazanin" w:eastAsia="IRNazanin"/>
          <w:color w:val="111111"/>
          <w:sz w:val="28"/>
          <w:sz w:val="28"/>
          <w:szCs w:val="28"/>
          <w:rtl w:val="true"/>
          <w:lang w:bidi="fa-IR"/>
        </w:rPr>
        <w:t>و الجواهر</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و یستفاد ذلک أیضاً من کلماتهم فی تعریف القضاء، فقد عرّفه الشهید رحمه الله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ولایةٌ شرعیّةٌ علی الحکم فی المصالح العامّة من قبل الإمام</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و قال به أیضاً المحقّق الآشتیانی رحمه الله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أیضاً من کلماتهم فی بیان وظائف القاضی،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بیّنوا للقاضی شئوناً مختلفةً، و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لا خلاف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أموال الغیّب و القصّر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مبحث نظارة القاضی فی أمر الأطفال و الأوصیاء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النظر فی أمر الأطفال و المجانین؛ لأنّ هؤلاء لا یعبّرون عن نفوسهم و لا یمکنهم المطالبة بحقوقهم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النظر فی أمر من لا یمکنه المطالبة بحقّه أولی</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الأوصیاء علی الأیتام، و یعتمد معهم ما یجب من تضمینٍ أو إنفاذٍ أو إسقاط ولایةٍ، إمّا لبلوغ الیتیم، أو لظهور خیانةٍ، أو ضمّ مشارکٍ إن ظهر من الوصیّ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فی امناء الحاکم الحافظین لأموال الأیتام الذین یلیهم الحاکم</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بعد ذلک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الأوصیاء و أموال الأطفال و المجانین، و یعتمد معهم ما یجب من تضمینٍ أو إنفاذٍ أو إسقاط ولایةٍ، إمّا لبلوغٍ و رشدٍ، أو ظهور خیانةٍ، أو ضمّ مشارکٍ إن ظهر عجزٌ، ثمّ ینظر فی امناء الحکم الحافظین لأموال الأیتام و المجانین</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و هکذا قال أیضاً فی إرشاد الأذهان</w:t>
      </w:r>
      <w:r>
        <w:rPr>
          <w:rStyle w:val="FootnoteAnchor"/>
          <w:rtl w:val="true"/>
        </w:rPr>
        <w:footnoteReference w:id="1369"/>
      </w:r>
      <w:r>
        <w:rPr>
          <w:rFonts w:ascii="IRNazanin" w:hAnsi="IRNazanin" w:eastAsia="IRNazanin"/>
          <w:color w:val="111111"/>
          <w:sz w:val="28"/>
          <w:sz w:val="28"/>
          <w:szCs w:val="28"/>
          <w:rtl w:val="true"/>
          <w:lang w:bidi="fa-IR"/>
        </w:rPr>
        <w:t>و الدروس</w:t>
      </w:r>
      <w:r>
        <w:rPr>
          <w:rStyle w:val="FootnoteAnchor"/>
          <w:rtl w:val="true"/>
        </w:rPr>
        <w:footnoteReference w:id="1370"/>
      </w:r>
      <w:r>
        <w:rPr>
          <w:rFonts w:ascii="IRNazanin" w:hAnsi="IRNazanin" w:eastAsia="IRNazanin"/>
          <w:color w:val="111111"/>
          <w:sz w:val="28"/>
          <w:sz w:val="28"/>
          <w:szCs w:val="28"/>
          <w:rtl w:val="true"/>
          <w:lang w:bidi="fa-IR"/>
        </w:rPr>
        <w:t>و المسالک</w:t>
      </w:r>
      <w:r>
        <w:rPr>
          <w:rStyle w:val="FootnoteAnchor"/>
          <w:rtl w:val="true"/>
        </w:rPr>
        <w:footnoteReference w:id="1371"/>
      </w:r>
      <w:r>
        <w:rPr>
          <w:rFonts w:ascii="Amiri" w:hAnsi="Amiri" w:eastAsia="Amiri" w:cs="Amiri"/>
          <w:color w:val="111111"/>
          <w:sz w:val="28"/>
          <w:sz w:val="28"/>
          <w:szCs w:val="28"/>
          <w:rtl w:val="true"/>
          <w:lang w:bidi="ar-SA"/>
        </w:rPr>
        <w:t>و مجمع الفائدة</w:t>
      </w:r>
      <w:r>
        <w:rPr>
          <w:rStyle w:val="FootnoteAnchor"/>
          <w:rtl w:val="true"/>
        </w:rPr>
        <w:footnoteReference w:id="1372"/>
      </w:r>
      <w:r>
        <w:rPr>
          <w:rFonts w:ascii="IRNazanin" w:hAnsi="IRNazanin" w:eastAsia="IRNazanin"/>
          <w:color w:val="111111"/>
          <w:sz w:val="28"/>
          <w:sz w:val="28"/>
          <w:szCs w:val="28"/>
          <w:rtl w:val="true"/>
          <w:lang w:bidi="fa-IR"/>
        </w:rPr>
        <w:t>و الجواهر</w:t>
      </w:r>
      <w:r>
        <w:rPr>
          <w:rStyle w:val="FootnoteAnchor"/>
          <w:rtl w:val="true"/>
        </w:rPr>
        <w:footnoteReference w:id="1373"/>
      </w:r>
      <w:r>
        <w:rPr>
          <w:rFonts w:ascii="IRNazanin" w:hAnsi="IRNazanin" w:eastAsia="IRNazanin"/>
          <w:color w:val="111111"/>
          <w:sz w:val="28"/>
          <w:sz w:val="28"/>
          <w:szCs w:val="28"/>
          <w:rtl w:val="true"/>
          <w:lang w:bidi="fa-IR"/>
        </w:rPr>
        <w:t>و الریاض</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کتاب القضاء للشیخ ضیاء الدین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الفقهاء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مسئولیّة مقام القضاء، القیام بالحکم بین الناس و فصل خصوماتهم، و تعقیب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النظر فی القسمة و نصب القیّم علی الأوقاف العامّة و الأیتام و القصّر</w:t>
      </w:r>
      <w:r>
        <w:rPr>
          <w:rFonts w:eastAsia="IRNazanin" w:cs="IRNazanin"/>
          <w:color w:val="111111"/>
          <w:sz w:val="28"/>
          <w:szCs w:val="28"/>
          <w:rtl w:val="true"/>
          <w:lang w:bidi="fa-IR"/>
        </w:rPr>
        <w:t>...»</w:t>
      </w:r>
      <w:r>
        <w:rPr>
          <w:rStyle w:val="FootnoteAnchor"/>
          <w:rtl w:val="true"/>
        </w:rPr>
        <w:footnoteReference w:id="1375"/>
      </w:r>
      <w:r>
        <w:rPr>
          <w:rFonts w:ascii="IRNazanin" w:hAnsi="IRNazanin" w:eastAsia="IRNazanin"/>
          <w:color w:val="111111"/>
          <w:sz w:val="28"/>
          <w:sz w:val="28"/>
          <w:szCs w:val="28"/>
          <w:rtl w:val="true"/>
          <w:lang w:bidi="fa-IR"/>
        </w:rPr>
        <w:t>و شبه هذا فی موضعٍ آخر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الأعظم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یظهر کون الفقیه مرجعاً فی الاُمور العامّة، مثل الموقوفات و أموال الیتامی و المجانین و الغیّب؛ لأنّ هذا کلّه من وظیفة القاضی عرفاً</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صرّح أیضاً فقهاء العصر</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رَفَعَ الطفل الممیّز ظلامته إلی القاضی، فإن کان له ولیّ أحضره لطرح الدعوی، و إلاّ فأحضر المدّعی علیه ولایة أو نصب قیّماً له، أو وکّل وکیلاً فی الدعوی أو تکفّل بنفسه</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و به قال فی تفصیل الشریعة</w:t>
      </w:r>
      <w:r>
        <w:rPr>
          <w:rStyle w:val="FootnoteAnchor"/>
          <w:rtl w:val="true"/>
        </w:rPr>
        <w:footnoteReference w:id="1379"/>
      </w:r>
      <w:bookmarkStart w:id="496" w:name="pg11753_114929"/>
    </w:p>
    <w:p>
      <w:pPr>
        <w:pStyle w:val="BookText"/>
        <w:rPr/>
      </w:pPr>
      <w:bookmarkEnd w:id="496"/>
      <w:r>
        <w:rPr>
          <w:rFonts w:ascii="IRNazanin" w:hAnsi="IRNazanin" w:eastAsia="IRNazanin"/>
          <w:color w:val="111111"/>
          <w:sz w:val="28"/>
          <w:sz w:val="28"/>
          <w:szCs w:val="28"/>
          <w:rtl w:val="true"/>
          <w:lang w:bidi="fa-IR"/>
        </w:rPr>
        <w:t>فالمتحصّل ممّا ذکرنا من کلماتهم بطوله أنّه لا خلاف بینهم علی أنّ من شئون القضاء للقاضی الولایة علی أموال القصّر و الأیتام الذین لم یجعل الأب أو الجدّ لهم وصیّاً، أو جعلا و مات، أو ثبت عدم توثیقه و ائتمانه فی حفظ الأموال، فإذا کان کذلک جاز للقاضی التصرّف فی أموال الأیتام بالحفظ و البیع و الشراء و الإجارة و الرهن، و غیر ذلک ممّا فیه حظٌّ للأیتام و مصلحةٌ لهم و لأموالهم، بالمباشرة أو بالتوکیل</w:t>
      </w:r>
      <w:r>
        <w:rPr>
          <w:rFonts w:eastAsia="IRNazanin" w:cs="IRNazanin"/>
          <w:color w:val="111111"/>
          <w:sz w:val="28"/>
          <w:szCs w:val="28"/>
          <w:rtl w:val="true"/>
          <w:lang w:bidi="fa-IR"/>
        </w:rPr>
        <w:t>.</w:t>
      </w:r>
    </w:p>
    <w:p>
      <w:pPr>
        <w:pStyle w:val="Heading5"/>
        <w:numPr>
          <w:ilvl w:val="4"/>
          <w:numId w:val="1"/>
        </w:numPr>
        <w:rPr/>
      </w:pPr>
      <w:bookmarkStart w:id="497" w:name="__RefHeading___Toc9482840_73709187"/>
      <w:bookmarkStart w:id="498" w:name="_Toc189"/>
      <w:bookmarkEnd w:id="497"/>
      <w:r>
        <w:rPr>
          <w:rtl w:val="true"/>
        </w:rPr>
        <w:t>أدلّة ولایة القضاة علی أموال الصغار</w:t>
      </w:r>
      <w:bookmarkEnd w:id="498"/>
    </w:p>
    <w:p>
      <w:pPr>
        <w:pStyle w:val="BookText"/>
        <w:rPr/>
      </w:pPr>
      <w:r>
        <w:rPr>
          <w:rFonts w:ascii="IRNazanin" w:hAnsi="IRNazanin" w:eastAsia="IRNazanin"/>
          <w:color w:val="111111"/>
          <w:sz w:val="28"/>
          <w:sz w:val="28"/>
          <w:szCs w:val="28"/>
          <w:rtl w:val="true"/>
          <w:lang w:bidi="fa-IR"/>
        </w:rPr>
        <w:t>تدلّ علی هذه الولایة امورٌ، و قبل بیانها نذکر مقدّمة،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 القضاء من مناصب النبیّ و أوصیائه علیهم السلام</w:t>
      </w:r>
      <w:r>
        <w:rPr>
          <w:rStyle w:val="FootnoteAnchor"/>
          <w:rtl w:val="true"/>
        </w:rPr>
        <w:footnoteReference w:id="1380"/>
      </w:r>
      <w:r>
        <w:rPr>
          <w:rFonts w:ascii="IRNazanin" w:hAnsi="IRNazanin" w:eastAsia="IRNazanin"/>
          <w:color w:val="111111"/>
          <w:sz w:val="28"/>
          <w:sz w:val="28"/>
          <w:szCs w:val="28"/>
          <w:rtl w:val="true"/>
          <w:lang w:bidi="fa-IR"/>
        </w:rPr>
        <w:t>، و یشترط فی جوازه عن غیرهم إذنهم فی ذلک صریحاً أو بالعموم، و هذا حکمٌ مسلّمٌ إجماعیّ، بل هو من ضروریّات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الحکم بین الناس و القضاء بین المختلفین، فلا یجوز أیضاً إلاّ لمن أذِن له سلطان الحقّ فی ذلک، و قد فوّضوا ذلک إلی فقهاء شیعتهم فی حالٍ لا یتمکّنون فیه من تولّیه بنفوسهم</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ثبوت الولایة إذن الإمام علیه السلام أو من فوّض إلیه الإمام</w:t>
      </w:r>
      <w:r>
        <w:rPr>
          <w:rFonts w:eastAsia="IRNazanin" w:cs="IRNazanin"/>
          <w:color w:val="111111"/>
          <w:sz w:val="28"/>
          <w:szCs w:val="28"/>
          <w:rtl w:val="true"/>
          <w:lang w:bidi="fa-IR"/>
        </w:rPr>
        <w:t>»</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1383"/>
      </w:r>
      <w:r>
        <w:rPr>
          <w:rFonts w:ascii="IRNazanin" w:hAnsi="IRNazanin" w:eastAsia="IRNazanin"/>
          <w:color w:val="111111"/>
          <w:sz w:val="28"/>
          <w:sz w:val="28"/>
          <w:szCs w:val="28"/>
          <w:rtl w:val="true"/>
          <w:lang w:bidi="fa-IR"/>
        </w:rPr>
        <w:t xml:space="preserve">، و صرّح فی الریاض بأنّه لا یجوز لأحدٍ التصرّف فیه إلاّ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و قال المحقّق الأردبیلی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اشتراط إذن الإمام، أو إذن من نصبه مع إمکانه، فکأنّه إجماعیّ</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مستنده مثل روایة</w:t>
      </w:r>
    </w:p>
    <w:p>
      <w:pPr>
        <w:pStyle w:val="BookText"/>
        <w:rPr/>
      </w:pPr>
      <w:r>
        <w:rPr>
          <w:rFonts w:ascii="IRNazanin" w:hAnsi="IRNazanin" w:eastAsia="IRNazanin"/>
          <w:color w:val="111111"/>
          <w:sz w:val="28"/>
          <w:sz w:val="28"/>
          <w:szCs w:val="28"/>
          <w:rtl w:val="true"/>
          <w:lang w:bidi="fa-IR"/>
        </w:rPr>
        <w:t>سلیمان بن خالد،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الحکومة؛ فإنّ الحکومة إنّما هی للإمام العالم بالقضاء، العادل فی المسلمین، 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کنبیٍّ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وصیّ نبیٍّ</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الجواهر، و أضاف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عندنا، بل الإجماع بقسمیه علیه</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الشیخ الأعظم الأنصاری فی کتاب القضاء</w:t>
      </w:r>
      <w:r>
        <w:rPr>
          <w:rStyle w:val="FootnoteAnchor"/>
          <w:rtl w:val="true"/>
        </w:rPr>
        <w:footnoteReference w:id="1388"/>
      </w:r>
      <w:r>
        <w:rPr>
          <w:rFonts w:ascii="IRNazanin" w:hAnsi="IRNazanin" w:eastAsia="IRNazanin"/>
          <w:color w:val="111111"/>
          <w:sz w:val="28"/>
          <w:sz w:val="28"/>
          <w:szCs w:val="28"/>
          <w:rtl w:val="true"/>
          <w:lang w:bidi="fa-IR"/>
        </w:rPr>
        <w:t>و الشیخ ضیاء الدِّین العراقی</w:t>
      </w:r>
      <w:r>
        <w:rPr>
          <w:rStyle w:val="FootnoteAnchor"/>
          <w:rtl w:val="true"/>
        </w:rPr>
        <w:footnoteReference w:id="1389"/>
      </w:r>
      <w:r>
        <w:rPr>
          <w:rFonts w:ascii="IRNazanin" w:hAnsi="IRNazanin" w:eastAsia="IRNazanin"/>
          <w:color w:val="111111"/>
          <w:sz w:val="28"/>
          <w:sz w:val="28"/>
          <w:szCs w:val="28"/>
          <w:rtl w:val="true"/>
          <w:lang w:bidi="fa-IR"/>
        </w:rPr>
        <w:t>و السیّد الگلبایگانی</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1391"/>
      </w:r>
      <w:r>
        <w:rPr>
          <w:rFonts w:ascii="IRNazanin" w:hAnsi="IRNazanin" w:eastAsia="IRNazanin"/>
          <w:color w:val="111111"/>
          <w:sz w:val="28"/>
          <w:sz w:val="28"/>
          <w:szCs w:val="28"/>
          <w:rtl w:val="true"/>
          <w:lang w:bidi="fa-IR"/>
        </w:rPr>
        <w:t>و شرحها</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ولایة الحاکم و القاضی علی القضاء مشروطة بإذن الإمام علیه السلام أو من نصبه، ففی زمان الحضور مؤدّی الولایة و توسعتها أو تضییقها تابعةٌ لإذنهم علیهم السلام صریحاً و بنحو خاصّ؛ یعنی إن کان الإذن دلّ علی جواز تصرّفهم فی أموال الأیتام و الغیّب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کما أجاز أمیر المؤمنین علیه السلام ذلک فی عهده إلی مالک الأشتر علیه الرحمة، و إلاّ فلا، و هذا لا کلام فیه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زمان الغیبة، فلأجل أنّ الفقهاء الجامعین للشرائط کانوا مأذونین من قِبل الأئمّة علیهم السلام للقضاوة بطریق العامّ، فدائرة ولایتهم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الولایة</w:t>
      </w:r>
    </w:p>
    <w:p>
      <w:pPr>
        <w:pStyle w:val="BookText"/>
        <w:rPr/>
      </w:pPr>
      <w:r>
        <w:rPr>
          <w:rFonts w:ascii="IRNazanin" w:hAnsi="IRNazanin" w:eastAsia="IRNazanin"/>
          <w:color w:val="111111"/>
          <w:sz w:val="28"/>
          <w:sz w:val="28"/>
          <w:szCs w:val="28"/>
          <w:rtl w:val="true"/>
          <w:lang w:bidi="fa-IR"/>
        </w:rPr>
        <w:t xml:space="preserve">علی أموال الصغار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لما استفدنا من الإذن العامّ الذی دلّت علیه الروایات الواردة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فالمتّبع ما یظهر من دلیل النصب، و کذا تدلّ علیها دلائل اخری أیضاً نذکرها علی 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المتقدّمة التی اشتهرت بمقبولة</w:t>
      </w:r>
    </w:p>
    <w:p>
      <w:pPr>
        <w:pStyle w:val="BookText"/>
        <w:rPr/>
      </w:pPr>
      <w:r>
        <w:rPr>
          <w:rFonts w:ascii="IRNazanin" w:hAnsi="IRNazanin" w:eastAsia="IRNazanin"/>
          <w:color w:val="111111"/>
          <w:sz w:val="28"/>
          <w:sz w:val="28"/>
          <w:szCs w:val="28"/>
          <w:rtl w:val="true"/>
          <w:lang w:bidi="fa-IR"/>
        </w:rPr>
        <w:t>ابن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 و إلی القضاة أ یحلّ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تحاکم إلیهم فی حقٍّ أو باطل فإنّما تحاکم إلی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 اللّه أن یُکفر به،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ینظران من کان منکم ممّن قد روی حدیثنا و نظر فی حلالنا و حرامنا و عرف أحکامنا، فلیرضوا به حکماً؛ فإنّی قد جعلته علیکم حاکماً، فإذا حکم بحکمنا فلم یقبل منه فإنّما استخفّ بحکم اللّه، و علینا ردّ، و الرادّ علینا الرادّ علی اللّه</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مشهورة أبی خدیجة المتقدِّمة أیضاً</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أن یحاکم بعضکم بعضاً إلی أهل الجور، و لکن انظروا إلی رجلٍ منکم یعلم شیئاً من قضایانا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دلالتهما علی ما کنّا فی طریق إثباته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ولایة القضاة علی أموال القصّر و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لا سترة علیها، حیث إنّ المتبادر عرفاً من لفظ الحاکم هو</w:t>
      </w:r>
    </w:p>
    <w:p>
      <w:pPr>
        <w:pStyle w:val="BookText"/>
        <w:rPr/>
      </w:pPr>
      <w:r>
        <w:rPr>
          <w:rFonts w:ascii="IRNazanin" w:hAnsi="IRNazanin" w:eastAsia="IRNazanin"/>
          <w:color w:val="111111"/>
          <w:sz w:val="28"/>
          <w:sz w:val="28"/>
          <w:szCs w:val="28"/>
          <w:rtl w:val="true"/>
          <w:lang w:bidi="fa-IR"/>
        </w:rPr>
        <w:t>المتسلّط علی الإطلاق، فهو نظیر قول السلطان لأهل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فلاناً حاکماً علیکم، حیث یفهم منه تسلّطه علی الرعیّة فی جمیع ما له دخل فی أوامر السلطان جزئیّاً أو کُلیّاً، و منها جواز التصرّف فی أموال الصغار، و یؤیّده العدول عن لفظ الحَکَم إلی الحاکم مع أنّ الأنسب بالسیاق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قد جعلته علیکم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المتبادر من لفظ القاضی عرفاً من یرجع إلیه و ینفذ حکمه و إلزامه فی جمیع الحوادث الشرعیّة، کما هو معلوم من حال القضاة، سیّما الموجودین فی أعصار الأئمّة علیهم السلام من قضاة الجور</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بتعبیرٍ آخر حیث إنّ عمل القاضی فی تلک الأعصار لم یکن منحصراً فی القضاء و فصل الخصومات فقط، بل کان هو المرجع أیضاً فی الاُمور الحسبیّة التی لا مناص عن إجرائها، التی منها حفظ أموال الیتامی و التصرّف فیها علی نحو المصلحة، و لا یجوز إهمالها و لیس لها مسئول خاصّ، و کذلک المتعارف فی أعصارنا أیضاً کما تراه، فیستکشف من إرجاع الإمام علیه السلام الشیعة إلی القضاة المنصوبین من قبلهم أو من قبل من نصبهم، ثبوت ولایتهم فیها، بل یجب علیهم القیام بتلک الاُمور؛ لأنّه بعد أن سدّ الإمام علیه السلام باب الرجوع إلی أبواب حکّام الجور و قضاتهم و الأخذ منهم بنحو شدید أکید مع عموم الابتلاء، فهل یتصوّر أن یُهمل هذه الجهة بالنسبة إلی الشیعة و یذرهم حیاری؟ هذا لا یتفوّه به عاقل، و هو أدلّ دلیلٍ علی إثبات ولایة القضاة فی تلک الاُمور،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کتاب القضاء للشیخ ضیاء الدِّین العراقی قدس سره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الفقهاء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مسئولیّة مقام القضاء القیام بالحکم بین</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نصب القیّم علی الأوقاف العامّة و الأیتام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 من الاُمور العامّة، کلّ ذلک بدلیل قیام القضاة بها أیّام حکومة الجور، قیاماً کان من شأنهم القیام بها حسب أنظار المتشرّعة من المسلمین، و حیث نهینا عن مراجعتهم فی هذه الشئون؛ لأنّه رجوع إلی الطاغوت، و امرنا بالرجوع فیها إلی فقهائنا الأبرار، کان اللاّزم بدلالة الالتزام هو الرجوع إلیهم فی کافّة الشئون المذکورة، و بالتالی فلقضاة العدل تولّی هذه الشئون جمیعاً</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بزیع</w:t>
      </w:r>
      <w:r>
        <w:rPr>
          <w:rStyle w:val="FootnoteAnchor"/>
          <w:rtl w:val="true"/>
        </w:rPr>
        <w:footnoteReference w:id="1397"/>
      </w:r>
      <w:r>
        <w:rPr>
          <w:rFonts w:ascii="IRNazanin" w:hAnsi="IRNazanin" w:eastAsia="IRNazanin"/>
          <w:color w:val="111111"/>
          <w:sz w:val="28"/>
          <w:sz w:val="28"/>
          <w:szCs w:val="28"/>
          <w:rtl w:val="true"/>
          <w:lang w:bidi="fa-IR"/>
        </w:rPr>
        <w:t>المتقدّمة أیضاً، بالتقریب الذی استفدنا من المقبولة و المشهورة،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مراجعة أولئک فی هذه الشئون یستدعی جواز الرجوع فیها جمیعاً إلی قضاة العدل، فهی وظیفتهم و یجب علیهم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یموت بغیر وصیّةٍ و له ولد صغار و کبار، أ یحلّ شراء شیء من خدمه و متاعه من غیر أن یتولّی القاضی بیع ذلک؟ فإن تولاّه قاضٍ قد تراضوا به و لم یستعمله الخلیفة، أ یطیب الشراء منه، أم 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الأکابر من ولده معه فی البیع فلا بأس إذا رضی الورثة بالبیع و قام عدل فی ذلک</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هذا الخبر أنّ التصدّی لاُمور الصغار فی تلک الأعصار کان من شئون القضاة، و یدلّ علی ولایتهم أیضاً إن کان المراد بقوله علیه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العدل من القضاة، و أمّا إن کان المقصود منه مطلق العدل، فیدلّ علیها أیضاً بالأولویّة</w:t>
      </w:r>
      <w:r>
        <w:rPr>
          <w:rFonts w:eastAsia="IRNazanin" w:cs="IRNazanin"/>
          <w:color w:val="111111"/>
          <w:sz w:val="28"/>
          <w:szCs w:val="28"/>
          <w:rtl w:val="true"/>
          <w:lang w:bidi="fa-IR"/>
        </w:rPr>
        <w:t>.</w:t>
      </w:r>
      <w:bookmarkStart w:id="499" w:name="pg11753_114934"/>
    </w:p>
    <w:p>
      <w:pPr>
        <w:pStyle w:val="BookText"/>
        <w:rPr/>
      </w:pPr>
      <w:bookmarkEnd w:id="499"/>
      <w:r>
        <w:rPr>
          <w:rFonts w:ascii="IRNazanin" w:hAnsi="IRNazanin" w:eastAsia="IRNazanin"/>
          <w:color w:val="111111"/>
          <w:sz w:val="28"/>
          <w:sz w:val="28"/>
          <w:szCs w:val="28"/>
          <w:rtl w:val="true"/>
          <w:lang w:bidi="fa-IR"/>
        </w:rPr>
        <w:t>و تدلّ علیها أیضاً أدلّة الحسبة التی ذکرناها دلیلاً علی ولایة الحاکم بالتقریب المتقدّم</w:t>
      </w:r>
      <w:r>
        <w:rPr>
          <w:rFonts w:eastAsia="IRNazanin" w:cs="IRNazanin"/>
          <w:color w:val="111111"/>
          <w:sz w:val="28"/>
          <w:szCs w:val="28"/>
          <w:rtl w:val="true"/>
          <w:lang w:bidi="fa-IR"/>
        </w:rPr>
        <w:t>.</w:t>
      </w:r>
    </w:p>
    <w:p>
      <w:pPr>
        <w:pStyle w:val="Heading5"/>
        <w:numPr>
          <w:ilvl w:val="4"/>
          <w:numId w:val="1"/>
        </w:numPr>
        <w:rPr/>
      </w:pPr>
      <w:bookmarkStart w:id="500" w:name="__RefHeading___Toc9482842_73709187"/>
      <w:bookmarkStart w:id="501" w:name="_Toc190"/>
      <w:bookmarkEnd w:id="500"/>
      <w:r>
        <w:rPr>
          <w:rtl w:val="true"/>
        </w:rPr>
        <w:t>ولایة القضاة علی أموال الأیتام عند فقهاء أهل السنّة</w:t>
      </w:r>
      <w:bookmarkEnd w:id="501"/>
    </w:p>
    <w:p>
      <w:pPr>
        <w:pStyle w:val="BookText"/>
        <w:rPr/>
      </w:pPr>
      <w:r>
        <w:rPr>
          <w:rFonts w:ascii="IRNazanin" w:hAnsi="IRNazanin" w:eastAsia="IRNazanin"/>
          <w:color w:val="111111"/>
          <w:sz w:val="28"/>
          <w:sz w:val="28"/>
          <w:szCs w:val="28"/>
          <w:rtl w:val="true"/>
          <w:lang w:bidi="fa-IR"/>
        </w:rPr>
        <w:t>اتّفق فقهاء أهل السنّة علی أنّه إذا لم یکن للصغیر ولیّ من الأب و الجدّ و الوصیّ لهما، کان للقضاة المنصوبین من قِبل الحاکم ولایةٌ علی أموال القصّر و الغیّب و المجانین و السفهاء، فنذکر شطراً من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قال الماوردی فی الأحکام السلطانیّة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تخلو ولایة القاضی من عموم أو خصوص، فإن کانت ولایته عامّة مطلقة التصرّف فی جمیع ما تضمّنته فنظره مشتمل علی عشرة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الولایة علی من کان ممنوع التصرّف بجنونٍ أو صِغرٍ، و الحجر علی من یری الحجر علیه لسفه أو فلس حفظاً للأموال علی مستحقّیها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القاضی أبو یعلی أیضاً</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فقد جاء 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بعد فقدهما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فقد الأب و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الحاکم أو من یقوم مقامه کالقاضی</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فی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الصبیّ أبوه ثمّ جدّه، ثمّ وصیّهما، ثمّ القاضی</w:t>
      </w:r>
      <w:r>
        <w:rPr>
          <w:rFonts w:eastAsia="Amiri" w:cs="Amiri" w:ascii="Amiri" w:hAnsi="Amiri"/>
          <w:color w:val="111111"/>
          <w:sz w:val="28"/>
          <w:szCs w:val="28"/>
          <w:rtl w:val="true"/>
          <w:lang w:bidi="ar-SA"/>
        </w:rPr>
        <w:t>»</w:t>
      </w:r>
      <w:r>
        <w:rPr>
          <w:rStyle w:val="FootnoteAnchor"/>
          <w:rtl w:val="true"/>
        </w:rPr>
        <w:footnoteReference w:id="1402"/>
      </w:r>
      <w:bookmarkStart w:id="502" w:name="pg11753_114935"/>
    </w:p>
    <w:p>
      <w:pPr>
        <w:pStyle w:val="BookText"/>
        <w:rPr/>
      </w:pPr>
      <w:bookmarkEnd w:id="502"/>
      <w:r>
        <w:rPr>
          <w:rFonts w:ascii="IRNazanin" w:hAnsi="IRNazanin" w:eastAsia="IRNazanin"/>
          <w:color w:val="111111"/>
          <w:sz w:val="28"/>
          <w:sz w:val="28"/>
          <w:szCs w:val="28"/>
          <w:rtl w:val="true"/>
          <w:lang w:bidi="fa-IR"/>
        </w:rPr>
        <w:t>و أضاف فی شرحه الخطیب الشربینی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أمینه</w:t>
      </w:r>
      <w:r>
        <w:rPr>
          <w:rStyle w:val="FootnoteAnchor"/>
          <w:rtl w:val="true"/>
        </w:rPr>
        <w:footnoteReference w:id="1403"/>
      </w:r>
      <w:r>
        <w:rPr>
          <w:rFonts w:ascii="IRNazanin" w:hAnsi="IRNazanin" w:eastAsia="IRNazanin"/>
          <w:color w:val="111111"/>
          <w:sz w:val="28"/>
          <w:sz w:val="28"/>
          <w:szCs w:val="28"/>
          <w:rtl w:val="true"/>
          <w:lang w:bidi="fa-IR"/>
        </w:rPr>
        <w:t>لخبر،</w:t>
      </w:r>
    </w:p>
    <w:p>
      <w:pPr>
        <w:pStyle w:val="BookText"/>
        <w:rPr/>
      </w:pPr>
      <w:r>
        <w:rPr>
          <w:rFonts w:ascii="Amiri" w:hAnsi="Amiri" w:eastAsia="Amiri" w:cs="Amiri"/>
          <w:color w:val="111111"/>
          <w:sz w:val="28"/>
          <w:sz w:val="28"/>
          <w:szCs w:val="28"/>
          <w:rtl w:val="true"/>
          <w:lang w:bidi="ar-SA"/>
        </w:rPr>
        <w:t>السلطان ولیّ مَن لا ولیّ له</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هذا فی نهایة المحتاج</w:t>
      </w:r>
      <w:r>
        <w:rPr>
          <w:rStyle w:val="FootnoteAnchor"/>
          <w:rtl w:val="true"/>
        </w:rPr>
        <w:footnoteReference w:id="1405"/>
      </w:r>
      <w:r>
        <w:rPr>
          <w:rFonts w:ascii="IRNazanin" w:hAnsi="IRNazanin" w:eastAsia="IRNazanin"/>
          <w:color w:val="111111"/>
          <w:sz w:val="28"/>
          <w:sz w:val="28"/>
          <w:szCs w:val="28"/>
          <w:rtl w:val="true"/>
          <w:lang w:bidi="fa-IR"/>
        </w:rPr>
        <w:t>و أسنی المطالب</w:t>
      </w:r>
      <w:r>
        <w:rPr>
          <w:rStyle w:val="FootnoteAnchor"/>
          <w:rtl w:val="true"/>
        </w:rPr>
        <w:footnoteReference w:id="1406"/>
      </w:r>
      <w:r>
        <w:rPr>
          <w:rFonts w:ascii="IRNazanin" w:hAnsi="IRNazanin" w:eastAsia="IRNazanin"/>
          <w:color w:val="111111"/>
          <w:sz w:val="28"/>
          <w:sz w:val="28"/>
          <w:szCs w:val="28"/>
          <w:rtl w:val="true"/>
          <w:lang w:bidi="fa-IR"/>
        </w:rPr>
        <w:t>و المجموع شرح المهذّب</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الأولیاء بالولایة المالیّة علی الصغار الأب، ثمّ وصیّه، ثمّ وصیّ وصیّه، ثمّ الجدّ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علا، ثمّ وصیّه، ثمّ وصیّ وصیّه، ثمّ القاضی، ثمّ من نصبه القاضی و هو وصیّ القاضی</w:t>
      </w:r>
      <w:r>
        <w:rPr>
          <w:rFonts w:eastAsia="Amiri" w:cs="Amiri" w:ascii="Amiri" w:hAnsi="Amiri"/>
          <w:color w:val="111111"/>
          <w:sz w:val="28"/>
          <w:szCs w:val="28"/>
          <w:rtl w:val="true"/>
          <w:lang w:bidi="ar-SA"/>
        </w:rPr>
        <w:t>»</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حاشیة ردّ المحتار</w:t>
      </w:r>
      <w:r>
        <w:rPr>
          <w:rStyle w:val="FootnoteAnchor"/>
          <w:rtl w:val="true"/>
        </w:rPr>
        <w:footnoteReference w:id="1410"/>
      </w:r>
      <w:r>
        <w:rPr>
          <w:rFonts w:ascii="IRNazanin" w:hAnsi="IRNazanin" w:eastAsia="IRNazanin"/>
          <w:color w:val="111111"/>
          <w:sz w:val="28"/>
          <w:sz w:val="28"/>
          <w:szCs w:val="28"/>
          <w:rtl w:val="true"/>
          <w:lang w:bidi="fa-IR"/>
        </w:rPr>
        <w:t>و أحکام الصغار</w:t>
      </w:r>
      <w:r>
        <w:rPr>
          <w:rStyle w:val="FootnoteAnchor"/>
          <w:rtl w:val="true"/>
        </w:rPr>
        <w:footnoteReference w:id="1411"/>
      </w:r>
      <w:r>
        <w:rPr>
          <w:rFonts w:ascii="IRNazanin" w:hAnsi="IRNazanin" w:eastAsia="IRNazanin"/>
          <w:color w:val="111111"/>
          <w:sz w:val="28"/>
          <w:sz w:val="28"/>
          <w:szCs w:val="28"/>
          <w:rtl w:val="true"/>
          <w:lang w:bidi="fa-IR"/>
        </w:rPr>
        <w:t>و البحر الرائق</w:t>
      </w:r>
      <w:r>
        <w:rPr>
          <w:rStyle w:val="FootnoteAnchor"/>
          <w:rtl w:val="true"/>
        </w:rPr>
        <w:footnoteReference w:id="1412"/>
      </w:r>
      <w:r>
        <w:rPr>
          <w:rFonts w:ascii="IRNazanin" w:hAnsi="IRNazanin" w:eastAsia="IRNazanin"/>
          <w:color w:val="111111"/>
          <w:sz w:val="28"/>
          <w:sz w:val="28"/>
          <w:szCs w:val="28"/>
          <w:rtl w:val="true"/>
          <w:lang w:bidi="fa-IR"/>
        </w:rPr>
        <w:t>و غیرها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9482844_73709187"/>
      <w:bookmarkStart w:id="504" w:name="_Toc191"/>
      <w:bookmarkEnd w:id="503"/>
      <w:r>
        <w:rPr>
          <w:rtl w:val="true"/>
        </w:rPr>
        <w:t>تذکرةٌ‌</w:t>
      </w:r>
      <w:bookmarkEnd w:id="50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نفوذ تصرّفات القاضی فی أموال الغیّب و القصّر رعایة الاحتیاط، و أن یکون التصرّف مصلحةً لهم، فلا یجوز لهم الإقدام علی أمرٍ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ضرراً علیهم أو مفسدةً لهم، أو لم یکن فیه لهم مصلحة، و یدلّ علی لزومها ما ذکرنا فی البحث عن اشتراط تصرّفات الحاکم بها أیضاً، فلا نعیده حفظاً للاختصار</w:t>
      </w:r>
      <w:r>
        <w:rPr>
          <w:rFonts w:eastAsia="IRNazanin" w:cs="IRNazanin"/>
          <w:color w:val="111111"/>
          <w:sz w:val="28"/>
          <w:szCs w:val="28"/>
          <w:rtl w:val="true"/>
          <w:lang w:bidi="fa-IR"/>
        </w:rPr>
        <w:t>.</w:t>
      </w:r>
      <w:bookmarkStart w:id="505" w:name="pg11753_114937"/>
    </w:p>
    <w:p>
      <w:pPr>
        <w:pStyle w:val="Heading4"/>
        <w:numPr>
          <w:ilvl w:val="3"/>
          <w:numId w:val="1"/>
        </w:numPr>
        <w:rPr/>
      </w:pPr>
      <w:bookmarkStart w:id="506" w:name="__RefHeading___Toc9482846_73709187"/>
      <w:bookmarkStart w:id="507" w:name="_Toc192"/>
      <w:bookmarkEnd w:id="505"/>
      <w:bookmarkEnd w:id="506"/>
      <w:r>
        <w:rPr>
          <w:rtl w:val="true"/>
        </w:rPr>
        <w:t>المبحث الرابع</w:t>
      </w:r>
      <w:r>
        <w:rPr>
          <w:rtl w:val="true"/>
        </w:rPr>
        <w:t xml:space="preserve">: </w:t>
      </w:r>
      <w:r>
        <w:rPr>
          <w:rtl w:val="true"/>
        </w:rPr>
        <w:t>ولایة عدول المؤمنین</w:t>
      </w:r>
      <w:bookmarkEnd w:id="507"/>
    </w:p>
    <w:p>
      <w:pPr>
        <w:pStyle w:val="Heading5"/>
        <w:numPr>
          <w:ilvl w:val="4"/>
          <w:numId w:val="1"/>
        </w:numPr>
        <w:rPr/>
      </w:pPr>
      <w:bookmarkStart w:id="508" w:name="__RefHeading___Toc9482848_73709187"/>
      <w:bookmarkStart w:id="509" w:name="_Toc193"/>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هل یکون لعدول المؤمنین ولایة علی أموال الصغار أم لا؟</w:t>
      </w:r>
    </w:p>
    <w:p>
      <w:pPr>
        <w:pStyle w:val="Heading5"/>
        <w:numPr>
          <w:ilvl w:val="4"/>
          <w:numId w:val="1"/>
        </w:numPr>
        <w:rPr/>
      </w:pPr>
      <w:bookmarkStart w:id="510" w:name="__RefHeading___Toc9482850_73709187"/>
      <w:bookmarkStart w:id="511" w:name="_Toc194"/>
      <w:bookmarkEnd w:id="510"/>
      <w:r>
        <w:rPr>
          <w:rtl w:val="true"/>
        </w:rPr>
        <w:t>فیه أقوال</w:t>
      </w:r>
      <w:r>
        <w:rPr>
          <w:rtl w:val="true"/>
        </w:rPr>
        <w:t>:</w:t>
      </w:r>
      <w:bookmarkEnd w:id="511"/>
    </w:p>
    <w:p>
      <w:pPr>
        <w:pStyle w:val="Heading6"/>
        <w:numPr>
          <w:ilvl w:val="5"/>
          <w:numId w:val="1"/>
        </w:numPr>
        <w:rPr/>
      </w:pPr>
      <w:bookmarkStart w:id="512" w:name="__RefHeading___Toc9482852_73709187"/>
      <w:bookmarkStart w:id="513" w:name="_Toc195"/>
      <w:bookmarkEnd w:id="512"/>
      <w:r>
        <w:rPr>
          <w:rtl w:val="true"/>
        </w:rPr>
        <w:t>الأوّل</w:t>
      </w:r>
      <w:r>
        <w:rPr>
          <w:rtl w:val="true"/>
        </w:rPr>
        <w:t xml:space="preserve">: </w:t>
      </w:r>
      <w:r>
        <w:rPr>
          <w:rtl w:val="true"/>
        </w:rPr>
        <w:t>ثبوت الولایة لهم</w:t>
      </w:r>
      <w:bookmarkEnd w:id="51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الفقهاء بل الظاهر أنّه لا خلاف بینهم فی ثبوت ولایة عدول المؤمنین علی أموال الأیتام عند فقد الأولیاء من الأب و الجدّ و الوصیّ لهما، و الحاکم و أمینه، و إن اختلفت تعبیراتهم فی من له هذه الولایة، فعبّر بعضهم بالمؤمنین علی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السلطان الذی یتولّی ذلک أو یأمر به، جاز لبعض المؤمنین أن ینظر فی ذلک من قبل نفسه، و یستعمل فیه الأمانة و یؤدّیها من غیر إضرارٍ بالورثة، و یکون ما یفعله صحیحاً ماضیاً</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 ذلک قال العلاّمة فی المختلف</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 ابن البرّاج فی المهذّب</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و الشیخ الأعظم فی المکاسب</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أیضاً من کلام الشهید فی القواعد</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آخر عبّر بالمؤمنین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مات إنسان</w:t>
      </w:r>
    </w:p>
    <w:p>
      <w:pPr>
        <w:pStyle w:val="BookText"/>
        <w:rPr/>
      </w:pPr>
      <w:r>
        <w:rPr>
          <w:rFonts w:ascii="IRNazanin" w:hAnsi="IRNazanin" w:eastAsia="IRNazanin"/>
          <w:color w:val="111111"/>
          <w:sz w:val="28"/>
          <w:sz w:val="28"/>
          <w:szCs w:val="28"/>
          <w:rtl w:val="true"/>
          <w:lang w:bidi="fa-IR"/>
        </w:rPr>
        <w:t>و لا وصیّ له، کان للحاکم النظر فی ترکته، و لو لم یکن هناک حاکم جاز أن یتولاّه من المؤمنین من یوثق به</w:t>
      </w:r>
      <w:r>
        <w:rPr>
          <w:rFonts w:eastAsia="IRNazanin" w:cs="IRNazanin"/>
          <w:color w:val="111111"/>
          <w:sz w:val="28"/>
          <w:szCs w:val="28"/>
          <w:rtl w:val="true"/>
          <w:lang w:bidi="fa-IR"/>
        </w:rPr>
        <w:t>»</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المسالک</w:t>
      </w:r>
      <w:r>
        <w:rPr>
          <w:rStyle w:val="FootnoteAnchor"/>
          <w:rtl w:val="true"/>
        </w:rPr>
        <w:footnoteReference w:id="1420"/>
      </w:r>
      <w:r>
        <w:rPr>
          <w:rFonts w:ascii="Amiri" w:hAnsi="Amiri" w:eastAsia="Amiri" w:cs="Amiri"/>
          <w:color w:val="111111"/>
          <w:sz w:val="28"/>
          <w:sz w:val="28"/>
          <w:szCs w:val="28"/>
          <w:rtl w:val="true"/>
          <w:lang w:bidi="ar-SA"/>
        </w:rPr>
        <w:t>و مجمع الفائدة</w:t>
      </w:r>
      <w:r>
        <w:rPr>
          <w:rStyle w:val="FootnoteAnchor"/>
          <w:rtl w:val="true"/>
        </w:rPr>
        <w:footnoteReference w:id="1421"/>
      </w:r>
      <w:r>
        <w:rPr>
          <w:rFonts w:ascii="IRNazanin" w:hAnsi="IRNazanin" w:eastAsia="IRNazanin"/>
          <w:color w:val="111111"/>
          <w:sz w:val="28"/>
          <w:sz w:val="28"/>
          <w:szCs w:val="28"/>
          <w:rtl w:val="true"/>
          <w:lang w:bidi="fa-IR"/>
        </w:rPr>
        <w:t>و الجواهر</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عبّر ثالث بصلحاء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ذو الأطفال و لم یوص تولاّهم الحاکم، فإن تعذّر فبعض صلحاء المؤمنین</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عبّر رابعٌ بالعدول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فقد الحاکم أو تعذّر مراجعته جاز لآحاد المؤمنین العدول التصرّف بما فیه صلاح؛ لأنّه من باب التعاون علی البرّ و التقوی، و لشمول ولایة الإیمان</w:t>
      </w:r>
      <w:r>
        <w:rPr>
          <w:rFonts w:eastAsia="IRNazanin" w:cs="IRNazanin"/>
          <w:color w:val="111111"/>
          <w:sz w:val="28"/>
          <w:szCs w:val="28"/>
          <w:rtl w:val="true"/>
          <w:lang w:bidi="fa-IR"/>
        </w:rPr>
        <w:t>»</w:t>
      </w:r>
      <w:r>
        <w:rPr>
          <w:rStyle w:val="FootnoteAnchor"/>
          <w:rtl w:val="true"/>
        </w:rPr>
        <w:footnoteReference w:id="1424"/>
      </w:r>
      <w:r>
        <w:rPr>
          <w:rFonts w:ascii="IRNazanin" w:hAnsi="IRNazanin" w:eastAsia="IRNazanin"/>
          <w:color w:val="111111"/>
          <w:sz w:val="28"/>
          <w:sz w:val="28"/>
          <w:szCs w:val="28"/>
          <w:rtl w:val="true"/>
          <w:lang w:bidi="fa-IR"/>
        </w:rPr>
        <w:t>و کذا فی جامع الشتات</w:t>
      </w:r>
      <w:r>
        <w:rPr>
          <w:rStyle w:val="FootnoteAnchor"/>
          <w:rtl w:val="true"/>
        </w:rPr>
        <w:footnoteReference w:id="1425"/>
      </w:r>
      <w:r>
        <w:rPr>
          <w:rFonts w:ascii="IRNazanin" w:hAnsi="IRNazanin" w:eastAsia="IRNazanin"/>
          <w:color w:val="111111"/>
          <w:sz w:val="28"/>
          <w:sz w:val="28"/>
          <w:szCs w:val="28"/>
          <w:rtl w:val="true"/>
          <w:lang w:bidi="fa-IR"/>
        </w:rPr>
        <w:t>و بلغة الفقیه</w:t>
      </w:r>
      <w:r>
        <w:rPr>
          <w:rStyle w:val="FootnoteAnchor"/>
          <w:rtl w:val="true"/>
        </w:rPr>
        <w:footnoteReference w:id="1426"/>
      </w:r>
      <w:r>
        <w:rPr>
          <w:rFonts w:ascii="IRNazanin" w:hAnsi="IRNazanin" w:eastAsia="IRNazanin"/>
          <w:color w:val="111111"/>
          <w:sz w:val="28"/>
          <w:sz w:val="28"/>
          <w:szCs w:val="28"/>
          <w:rtl w:val="true"/>
          <w:lang w:bidi="fa-IR"/>
        </w:rPr>
        <w:t>و الریاض</w:t>
      </w:r>
      <w:r>
        <w:rPr>
          <w:rStyle w:val="FootnoteAnchor"/>
          <w:rtl w:val="true"/>
        </w:rPr>
        <w:footnoteReference w:id="1427"/>
      </w:r>
      <w:r>
        <w:rPr>
          <w:rFonts w:ascii="IRNazanin" w:hAnsi="IRNazanin" w:eastAsia="IRNazanin"/>
          <w:color w:val="111111"/>
          <w:sz w:val="28"/>
          <w:sz w:val="28"/>
          <w:szCs w:val="28"/>
          <w:rtl w:val="true"/>
          <w:lang w:bidi="fa-IR"/>
        </w:rPr>
        <w:t>و جامع المقاصد</w:t>
      </w:r>
      <w:r>
        <w:rPr>
          <w:rStyle w:val="FootnoteAnchor"/>
          <w:rtl w:val="true"/>
        </w:rPr>
        <w:footnoteReference w:id="1428"/>
      </w:r>
      <w:r>
        <w:rPr>
          <w:rFonts w:ascii="IRNazanin" w:hAnsi="IRNazanin" w:eastAsia="IRNazanin"/>
          <w:color w:val="111111"/>
          <w:sz w:val="28"/>
          <w:sz w:val="28"/>
          <w:szCs w:val="28"/>
          <w:rtl w:val="true"/>
          <w:lang w:bidi="fa-IR"/>
        </w:rPr>
        <w:t>و البیع للإمام الخمینی</w:t>
      </w:r>
      <w:r>
        <w:rPr>
          <w:rStyle w:val="FootnoteAnchor"/>
          <w:rtl w:val="true"/>
        </w:rPr>
        <w:footnoteReference w:id="1429"/>
      </w:r>
      <w:r>
        <w:rPr>
          <w:rFonts w:ascii="Amiri" w:hAnsi="Amiri" w:eastAsia="Amiri" w:cs="Amiri"/>
          <w:color w:val="111111"/>
          <w:sz w:val="28"/>
          <w:sz w:val="28"/>
          <w:szCs w:val="28"/>
          <w:rtl w:val="true"/>
          <w:lang w:bidi="ar-SA"/>
        </w:rPr>
        <w:t>و مصباح الفقاهة</w:t>
      </w:r>
      <w:r>
        <w:rPr>
          <w:rStyle w:val="FootnoteAnchor"/>
          <w:rtl w:val="true"/>
        </w:rPr>
        <w:footnoteReference w:id="1430"/>
      </w:r>
      <w:r>
        <w:rPr>
          <w:rFonts w:ascii="IRNazanin" w:hAnsi="IRNazanin" w:eastAsia="IRNazanin"/>
          <w:color w:val="111111"/>
          <w:sz w:val="28"/>
          <w:sz w:val="28"/>
          <w:szCs w:val="28"/>
          <w:rtl w:val="true"/>
          <w:lang w:bidi="fa-IR"/>
        </w:rPr>
        <w:t>و تفصیل الشریعة</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عبّر خامس بالعدل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الحدائق؛ فإنّه عبّر فی أوّل کلامه فی بیان طرح المسألة بالعدول من المؤمنین، و لکن بعد ذکر أخبار الباب و الاستدلال بها علی مختاره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فإنّ الروایات المذکورة ظاهرةٌ فی جواز قیام العدل الثقة بذلک، و أنّه بهذه الأخبار مأذون فی الدخول؛ سواء وجد الإمام أم لا، و لا یبعد القول بجواز تولیة ذلک أیضاً مع وجود الفقیه الجامع للشرائط و إن کان ظاهر الأصحاب خلاف ذلک</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 عبّر بالموثّق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هو المستفاد من کلام المحقّق الاصفهانی فی حاشیته</w:t>
      </w:r>
      <w:r>
        <w:rPr>
          <w:rStyle w:val="FootnoteAnchor"/>
          <w:rtl w:val="true"/>
        </w:rPr>
        <w:footnoteReference w:id="1433"/>
      </w:r>
      <w:r>
        <w:rPr>
          <w:rFonts w:ascii="IRNazanin" w:hAnsi="IRNazanin" w:eastAsia="IRNazanin"/>
          <w:color w:val="111111"/>
          <w:sz w:val="28"/>
          <w:sz w:val="28"/>
          <w:szCs w:val="28"/>
          <w:rtl w:val="true"/>
          <w:lang w:bidi="fa-IR"/>
        </w:rPr>
        <w:t>علی مکاسب الشیخ الأعظم رحمه الله، و المحقّق الخوانساری فی جامع المدارک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إنّه لا تفاوت بین العادل الموثّق و المؤمن العادل؛ لأجل أنّ غیر المؤمن فاسق</w:t>
      </w:r>
      <w:r>
        <w:rPr>
          <w:rStyle w:val="FootnoteAnchor"/>
          <w:rtl w:val="true"/>
        </w:rPr>
        <w:footnoteReference w:id="1435"/>
      </w:r>
      <w:r>
        <w:rPr>
          <w:rFonts w:ascii="IRNazanin" w:hAnsi="IRNazanin" w:eastAsia="IRNazanin"/>
          <w:color w:val="111111"/>
          <w:sz w:val="28"/>
          <w:sz w:val="28"/>
          <w:szCs w:val="28"/>
          <w:rtl w:val="true"/>
          <w:lang w:bidi="fa-IR"/>
        </w:rPr>
        <w:t>قطعاً، فمن عبّر فی المقام بالعدل الثقة مقصوده هو المؤمن العادل، و کذا المقصود من صلحاء المؤمنین هم العدول من المؤمنین؛ لأنّ الفاسق لیس بعادلٍ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مقصود من عبّر بالمؤمنین صرف من کان علی اعتقاد حقٍّ و إن کان غیر موثّق فی عمله و قوله، و ظهر منه الفسق، بل المقصود من المؤمنین هم العدول و الثقات قطعاً و إن لم یذکر فی بعض الکلمات صفة العدالة أو الثقة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العدل کان أخصّ مفهوماً من الثقة کما یستفاد من کلام بعضهم</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فیمکن أن نلخّص کلماتهم فی المقام فی 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المؤمنین العدول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المؤمنین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بیان أدلّة إثبات ولایة المؤمن العادل فی المقام یلزم أن نذکر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یستثنی من موضع الخلاف ما کان ضروریّاً من امور الطفل من الأکل و الشرب و الألبسة و حفظه من التلف، و هکذا حفظ أمواله إن کانت فی معرض التلف؛ فإنّه یجب کفایة علی کلّ مسلمٍ فضلاً علی المؤمن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یستثنی من موضع الخلاف ما یضطرّ إلیه الأطفال و الدوابّ من المؤنة و صیانة المال المشرف علی التلف؛ فإنّ ذلک و نحوه واجب علی الکفایة علی جمیع المسلمین، فضلاً عن العدول منهم، حتّی لو فرض عدم ترک مورّثهم مالاً فمئونة الأطفال و نحوهم من العاجزین عن التکسّب واجب علی المسلمین من أموالهم کفایة، کإعانة کلّ محتاج و إطعام کلّ جائع یضطرّ إلیه، فمن مال المحتاج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یجوز لأحدٍ فعل ذلک فالمراد به معناه الأعمّ، و المراد منه الوجوب؛ لما ذکرناه من أنّه من فروض الکفایات</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فی جامع المقاصد</w:t>
      </w:r>
      <w:r>
        <w:rPr>
          <w:rStyle w:val="FootnoteAnchor"/>
          <w:rtl w:val="true"/>
        </w:rPr>
        <w:footnoteReference w:id="1438"/>
      </w:r>
      <w:r>
        <w:rPr>
          <w:rFonts w:ascii="IRNazanin" w:hAnsi="IRNazanin" w:eastAsia="IRNazanin"/>
          <w:color w:val="111111"/>
          <w:sz w:val="28"/>
          <w:sz w:val="28"/>
          <w:szCs w:val="28"/>
          <w:rtl w:val="true"/>
          <w:lang w:bidi="fa-IR"/>
        </w:rPr>
        <w:t>و الحدائق</w:t>
      </w:r>
      <w:r>
        <w:rPr>
          <w:rStyle w:val="FootnoteAnchor"/>
          <w:rtl w:val="true"/>
        </w:rPr>
        <w:footnoteReference w:id="1439"/>
      </w:r>
      <w:r>
        <w:rPr>
          <w:rFonts w:ascii="IRNazanin" w:hAnsi="IRNazanin" w:eastAsia="IRNazanin"/>
          <w:color w:val="111111"/>
          <w:sz w:val="28"/>
          <w:sz w:val="28"/>
          <w:szCs w:val="28"/>
          <w:rtl w:val="true"/>
          <w:lang w:bidi="fa-IR"/>
        </w:rPr>
        <w:t>و الجواهر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فی کلماتهم بثبوت الولایة للمؤمن العادل إن لم یکن هناک حاکم، عدم وجوده فی البلد الذی سکن فیه الصغیر و فی ناحیته و إن وجد فی غیره، إذا توقّفت مراجعته علی مشقّةٍ لا تتحمّل عادةً، و یجب مع وجوده بعیداً الاقتصار</w:t>
      </w:r>
      <w:bookmarkStart w:id="514" w:name="pg11753_114941"/>
    </w:p>
    <w:p>
      <w:pPr>
        <w:pStyle w:val="BookText"/>
        <w:rPr/>
      </w:pPr>
      <w:bookmarkEnd w:id="514"/>
      <w:r>
        <w:rPr>
          <w:rFonts w:ascii="IRNazanin" w:hAnsi="IRNazanin" w:eastAsia="IRNazanin"/>
          <w:color w:val="111111"/>
          <w:sz w:val="28"/>
          <w:sz w:val="28"/>
          <w:szCs w:val="28"/>
          <w:rtl w:val="true"/>
          <w:lang w:bidi="fa-IR"/>
        </w:rPr>
        <w:t>علی ما لا بدّ منه، و تأخیر ما یسع تأخیره إلی أن یمکن مراجعته، کما أشار إلیه فی المسالک</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5" w:name="__RefHeading___Toc9482854_73709187"/>
      <w:bookmarkStart w:id="516" w:name="_Toc196"/>
      <w:bookmarkEnd w:id="515"/>
      <w:r>
        <w:rPr>
          <w:rtl w:val="true"/>
        </w:rPr>
        <w:t>أدلّة هذا الحکم</w:t>
      </w:r>
      <w:bookmarkEnd w:id="516"/>
    </w:p>
    <w:p>
      <w:pPr>
        <w:pStyle w:val="BookText"/>
        <w:rPr/>
      </w:pPr>
      <w:r>
        <w:rPr>
          <w:rFonts w:ascii="IRNazanin" w:hAnsi="IRNazanin" w:eastAsia="IRNazanin"/>
          <w:color w:val="111111"/>
          <w:sz w:val="28"/>
          <w:sz w:val="28"/>
          <w:szCs w:val="28"/>
          <w:rtl w:val="true"/>
          <w:lang w:bidi="fa-IR"/>
        </w:rPr>
        <w:t>تدلّ علی ولایة عدول المؤمنین علی أموال الأیتام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عمومها یشمل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استدلّ بها الشهید فی الدروس</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و العلاّمة فی المختلف</w:t>
      </w:r>
      <w:r>
        <w:rPr>
          <w:rStyle w:val="FootnoteAnchor"/>
          <w:rtl w:val="true"/>
        </w:rPr>
        <w:footnoteReference w:id="1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1444"/>
      </w:r>
      <w:r>
        <w:rPr>
          <w:rFonts w:ascii="IRNazanin" w:hAnsi="IRNazanin" w:eastAsia="IRNazanin"/>
          <w:color w:val="111111"/>
          <w:sz w:val="28"/>
          <w:sz w:val="28"/>
          <w:szCs w:val="28"/>
          <w:rtl w:val="true"/>
          <w:lang w:bidi="fa-IR"/>
        </w:rPr>
        <w:t>و الریاض</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المحقّق الاصفهانی فی الإیراد علی الاستدلال بها، حیث قال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کذلک فلا موجب لاختصاصه بالفقیه مع تیسّر التصدّی منه؛ لأنّ المفروض أنّه معروف و إعانة علی البرّ و التقوی، و إحسان علی أیّ تقدیرٍ، و إذا احتمل اختصاصه بالفقیه فلا یقع معروفاً و لا إعانةً علی البرّ و التقوی، و لا إحساناً إلاّ إذا صدر من الفقیه، ففی صورة الشکّ تکون الشبهة مصداقیّة، و لا مجال للاستدلال بالعامّ معها</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تقتضی ذلک</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بذلک، کما فی حفظ مال الیتیم من التلف</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وجود العدل لا شبهة أنّ المتیقّن نفوذ خصوص ما یقوم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تعذّره یقوم الفسّاق من المؤمنین بعد عدم احتمال تعطیله؛ لکونه ضروریّاً، و ممّا یستقلّ العقل بلزوم وجوده</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الأخیرین یختصّان بحال الضرورة فقط، فلا تثبت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السیرة العقلائیّة بضمیمة عدم ردع الشارع عنها</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هذا دلیل لبیّ، و القدر المتیقّن منها ما کان فی مورد الضرورة، فلا تثبت فی 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الریاض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لعلّها إجماع فی الحقیقة</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هذا الإجماع مدرکیّ و لا یکون دلیلاً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الثابت من بعض الأخبار، بالتقریب الذی ذکرناه فی الاستدلال به علی ولایة الفقیه فراجع، إلاّ أنّه یلزم فی المقام فرض عدم وجود الفقیه؛ لأنّه فی حال کونه موجوداً فهو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حال عدم الفقیه، فیکون العادل أو الثقة هو المنصوب للقیام باُمور الأیتام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إسماعیل بن بزیع المتقدّمة؛ لأنّه قال علیه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القیّم به مثلک و مثل عبد الحمید فلا بأس</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بالتقریب الذی ذکره الشیخ الأعظم، أنّه بناءً علی أنّ المراد من المماثلة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المماثلة فی التشیّع، أو فی الوثاقة، أو فی الفقاهة، أو فی العدالة، و الاحتمال فی الفقاهة منافٍ لإطلاق المفهوم الدالّ علی ثبوت البأس مع عدم الفقیه و لو مع تعذّره، و هذا بخلاف الاحتمالات الاُخر؛ فإنّ البأس ثابت للفاسق أو الخائن أو المخالف و إنْ تعذّر غیرهم، فتعیّن أحدها الدائر بینها، فیجب الأخذ من مخالفة الأصل بالأخصّ منها؛ و هو العدل</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بلغة الفقیه</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قلنا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التقریب لیس بتامٍّ، و استدللنا بها علی ولایة الحاکم،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رئاب المتقدّمة؛ فإنّه قال علیه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لهم ولیّ یقوم بأمرهم</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بناءً علی أنّ المراد بالولیّ فیها إنّما هو أحد عدول المؤمنین؛ لأنّ انتفاء الوصیّ ظاهر من الخبر، و انتفاء الحاکم الشرعی الذی هو أحد الأولیاء أیضاً ظاهر؛ إذ لیس فی وقته علیه السلام حاکم شرعیّ أصالة سواه، و احتمال الجدّ بعید من سیاق الخبر، کما استدلّ به فی الحدائق</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عدل عن نظره الشریف فی کتاب الوصایا،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صحیحة علی بن رئاب فالولیّ فیها مجمل یجب حمله علی ما یدلّ علیه غیرها من الحاکم</w:t>
      </w:r>
    </w:p>
    <w:p>
      <w:pPr>
        <w:pStyle w:val="BookText"/>
        <w:rPr/>
      </w:pPr>
      <w:r>
        <w:rPr>
          <w:rFonts w:ascii="IRNazanin" w:hAnsi="IRNazanin" w:eastAsia="IRNazanin"/>
          <w:color w:val="111111"/>
          <w:sz w:val="28"/>
          <w:sz w:val="28"/>
          <w:szCs w:val="28"/>
          <w:rtl w:val="true"/>
          <w:lang w:bidi="fa-IR"/>
        </w:rPr>
        <w:t>الشرعی، أو عدول المؤمنین</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إنّها تشمل من عدا الأب خاصّة، أو من عدا الأب و وصیّه من سائر الأولیاء، جدّاً کان أو وصیّه القیّم علیهم، أو فقیهاً أو القیّم من قِبَله، أو عدول المؤمنین لو قلنا بولایتهم</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الإنصاف أنّها لا تدلّ علی ولایة عدول المؤمنین؛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فی الاستدلال بها علی ولایة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جواز جعل القیمومة و الناظر الذی یستفاد من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علیهم القیّم لهم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بالحاکم</w:t>
      </w:r>
      <w:r>
        <w:rPr>
          <w:rStyle w:val="FootnoteAnchor"/>
          <w:rtl w:val="true"/>
        </w:rPr>
        <w:footnoteReference w:id="1459"/>
      </w:r>
      <w:r>
        <w:rPr>
          <w:rFonts w:ascii="IRNazanin" w:hAnsi="IRNazanin" w:eastAsia="IRNazanin"/>
          <w:color w:val="111111"/>
          <w:sz w:val="28"/>
          <w:sz w:val="28"/>
          <w:szCs w:val="28"/>
          <w:rtl w:val="true"/>
          <w:lang w:bidi="fa-IR"/>
        </w:rPr>
        <w:t>، و لیس ذلک لعدول المؤمنین، و لا أقلّ نشکّ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له بنون و بنات صغار و کبار من غیر وصیّةٍ، و له خدم و ممالیک و عقد، کیف یصنع الورثة بقسمة ذلک المیراث؟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رجلٌ ثقةٌ قاسمهم ذلک کلّه فلا بأس</w:t>
      </w:r>
      <w:r>
        <w:rPr>
          <w:rFonts w:eastAsia="IRNazanin" w:cs="IRNazanin"/>
          <w:color w:val="111111"/>
          <w:sz w:val="28"/>
          <w:szCs w:val="28"/>
          <w:rtl w:val="true"/>
          <w:lang w:bidi="fa-IR"/>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ظاهرةٌ لا سترة علیها، حیث إنّ الإمام علیه السلام رتّب الحکم علی جواز تقسیم أموال الصغار الذی یستفاد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قیام الثقة بذلک، و المعلوم من السیاق عدم وجود الجدّ للصغار، و هکذا لم یکن المقصود من الثقة الحاکم الثقة، بل کان أحد المؤمنین، و هو المطلوب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أنّ المراد من یوثق به و یطمئنّ بفعله عرفاً و إن لم یکن فیه ملکة العدالة</w:t>
      </w:r>
      <w:r>
        <w:rPr>
          <w:rFonts w:eastAsia="IRNazanin" w:cs="IRNazanin"/>
          <w:color w:val="111111"/>
          <w:sz w:val="28"/>
          <w:szCs w:val="28"/>
          <w:rtl w:val="true"/>
          <w:lang w:bidi="fa-IR"/>
        </w:rPr>
        <w:t>»</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و لکنّ الظاهر أنّ المراد من الثقة غیر ما اصطلح علیه الرجالیون فی معنی الوثاقة، بل المقصود من الثقة فی الروایات هی التی تکون ملازمة للعدالة، بل أخصّ منها، إذ ربما یکون العادل غیر ثقة فی فعله؛ لعدم التفاته بفعله لبلهٍ و نحوه، کما قد ورد فی بعض الروایات الدالّة علی اعتبار العدالة فی إمام الجماعة، بأنّه إذا کان ثقة ترضون دینه، 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فلاناً ثقة فی دینه و دنیاه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إسماعیل بن سعد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مات بغیر وصیّةٍ و ترک أولاداً ذکراناً غلماناً صغاراً و ترک جواری و ممالیک، هل یستقیم أن تباع الجواری؟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الرجل یموت بغیر وصیّةٍ و له ولد صغار و کبار، أ یحلّ شراءُ شیء من خدمه و متاعه من غیر أن یتولّی القاضی بیع ذلک، فإن تولاّه قاض قد تراضوا به و لم یستعمله الخلیفة، أ یطیب الشراء منه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الأکابر من ولده معه فی البیع، فلا بأس إذا رضی الورثة بالبیع، و قام عدل فی ذلک</w:t>
      </w:r>
      <w:r>
        <w:rPr>
          <w:rFonts w:eastAsia="IRNazanin" w:cs="IRNazanin"/>
          <w:color w:val="111111"/>
          <w:sz w:val="28"/>
          <w:szCs w:val="28"/>
          <w:rtl w:val="true"/>
          <w:lang w:bidi="fa-IR"/>
        </w:rPr>
        <w:t>»</w:t>
      </w:r>
      <w:r>
        <w:rPr>
          <w:rStyle w:val="FootnoteAnchor"/>
          <w:rtl w:val="true"/>
        </w:rPr>
        <w:footnoteReference w:id="1463"/>
      </w:r>
      <w:r>
        <w:rPr>
          <w:rFonts w:ascii="IRNazanin" w:hAnsi="IRNazanin" w:eastAsia="IRNazanin"/>
          <w:color w:val="111111"/>
          <w:sz w:val="28"/>
          <w:sz w:val="28"/>
          <w:szCs w:val="28"/>
          <w:rtl w:val="true"/>
          <w:lang w:bidi="fa-IR"/>
        </w:rPr>
        <w:t>فإنّها دلّت علی جواز الشراء من أموال الصغار إذا قام عدل فی ذلک، و مفهومها عدم الجواز إذا لم یقم به عدل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یحتمل فی الصحیحة إجازة شخصیّة؛ لأنّ الظاهر من السؤال و الجواب هو التکلیف الکلّی، و أمّا احتمال النصب بالنسبة إلی نفس الصغیر فلا وجه له، لا فیها و لا فی غیرها من الروایات، کما أنّه لا ظهور لها و لا لغیرها إلاّ فی أصل الجواز، لا النصب بالنسبة إلی المال أیضاً لو کان للنصب وجه صحّة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فیها کغیرها أن یکون الجواز حکماً شرعیّاً، و أن یکون إجازة من الإمام علیه السلام، و قد مرّ أن لا ظهور لکلامه فی بیان الحکم الإلهی فی مثل المقام الذی کان له ولایة أمره، بل هو محتمل، کما أنّ الإجازة السلطانیة أیضاً محتملة</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الأکابر من ولده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القاضی الذی تراضوا به، و یکون المراد أنّ القاضی المذکور إذا باع بمحضر عدل لا بأس به، فتدلّ علی لزوم نظارة العدل فی البیع، أمّا جواز استقلاله لذلک فلا،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القاضی الجائر لا دخالة لفعله فی الصحّة، فهی ناشئة من نظر العدل محضاً، فتدلّ الروایة التزاماً علی الصحّة لو أوقعه بنفسه، و له وجه لو دلّت علی أنّ العدل رضی بذلک، و هو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الضمیر إلی المشتری، و یکون المراد إلغاء عمل القاضی، و توقّف الصحّة فی قسمة الأکابر علی رضاهم، و فی قسمة الصغیر علی قیام العدل فی البیع؛ أی یکون البیع برضا الکبیر و العدل، فتدلّ علی أنّ فعل العدل نافذ فی حصّة الصغیر، فتتمّ الدلالة، و هذا أوفق بمناسبة الحکم و الموضوع</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تدلّ علی اعتبار العدالة بالنسبة إلی المشتری، و الکلام إنّما هو فی وظیفة المتصدّی للبیع نفسه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عدل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العدالة فیمن تصدّی للبیع لا من اشتری، هذا أوّلاً،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اشتراطها فی المشتری، نقول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العدالة شرطاً للشراء مستلزم لجعلها شرطاً للبیع، و إلاّ فجعل جواز البیع</w:t>
      </w:r>
    </w:p>
    <w:p>
      <w:pPr>
        <w:pStyle w:val="BookText"/>
        <w:rPr/>
      </w:pPr>
      <w:r>
        <w:rPr>
          <w:rFonts w:ascii="IRNazanin" w:hAnsi="IRNazanin" w:eastAsia="IRNazanin"/>
          <w:color w:val="111111"/>
          <w:sz w:val="28"/>
          <w:sz w:val="28"/>
          <w:szCs w:val="28"/>
          <w:rtl w:val="true"/>
          <w:lang w:bidi="fa-IR"/>
        </w:rPr>
        <w:t>للفاسق من غیر أن یجوّز لأحدٍ الشراء منه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الروایات أنّه جعل الشارع الولایة علی أموال الصغار للمؤمنین العدول، کما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یخفی أنّ الظاهر من هذه الأخبار باعتبار ضمّ بعضها إلی بعضٍ، و حمل مطلقها علی مقیّدها و مجملها علی مفصّلها، هو ما صرّح به الأکثر؛ فإنّها هو الأقرب منها 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الروایات المذکورة ظاهرةٌ فی جواز قیام العدل الثقة بذلک، و أنّه بهذه الأخبار مأذون فی الدخول</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الفقیه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یستفاد من بعضها جواز التصدّی للعدل و للثقة من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فاللازم تحقّق أحد الوصفین من العدالة و الوثاقة، و الوثاقة إن کان المراد منها الوثاقة فی الدین تکون ملازمةً للعدالة</w:t>
      </w:r>
      <w:r>
        <w:rPr>
          <w:rFonts w:eastAsia="IRNazanin" w:cs="IRNazanin"/>
          <w:color w:val="111111"/>
          <w:sz w:val="28"/>
          <w:szCs w:val="28"/>
          <w:rtl w:val="true"/>
          <w:lang w:bidi="fa-IR"/>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النسبة بین الوثاقة و العدالة و إن کانت عموماً من وجهٍ مفهوماً فإمّا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الوثاقة فی الروایات الوثاقة فی الدین، فتکون ملازمة للعدل،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هی الأخصّ من الوثاقة و فی الدوران بین الخاصّ و العامّ، الخاصّ هو المتیقّن، فتثبت ولایة العادل علی کلا الصورتین،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الحسبة بالتقریب الذی تقدّم فی الاستدلال بها علی ولایة الفقیه، و لکن مع فرض عدم الفقیه أیضاً، کما ذکرنا فی الاستدلال بالأصل الثابت بالأخبار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الاُمور التی یعلم من الشرع مطلوبیّتها فی جمیع الأزمان، و لم یؤخذ فی دلیلها صدورها من شخص خاصّ، فمع وجود الفقیه هو</w:t>
      </w:r>
      <w:bookmarkStart w:id="517" w:name="pg11753_114948"/>
    </w:p>
    <w:p>
      <w:pPr>
        <w:pStyle w:val="BookText"/>
        <w:rPr/>
      </w:pPr>
      <w:bookmarkEnd w:id="517"/>
      <w:r>
        <w:rPr>
          <w:rFonts w:ascii="IRNazanin" w:hAnsi="IRNazanin" w:eastAsia="IRNazanin"/>
          <w:color w:val="111111"/>
          <w:sz w:val="28"/>
          <w:sz w:val="28"/>
          <w:szCs w:val="28"/>
          <w:rtl w:val="true"/>
          <w:lang w:bidi="fa-IR"/>
        </w:rPr>
        <w:t>المتعیّن للقیام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لثبوت ولایته علیها بالأدلّة العامّة، أو لکونه هو المتیقّن من بین المسلمین، أو لئلاّ یلزم الهرج و المرج، فیعتبر قیام الفقیه به مباشرة أو إذنه أو استنابته، و مع تعذّره فیقوم به سائر المسلمین، و لمّا کان العدل أولی بالحفظ و الإصلاح، فمع وجوده هو المتعیّن</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ما قال الإمام الخمینی رحمه الله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8" w:name="__RefHeading___Toc9482856_73709187"/>
      <w:bookmarkStart w:id="519" w:name="_Toc197"/>
      <w:bookmarkEnd w:id="518"/>
      <w:r>
        <w:rPr>
          <w:rtl w:val="true"/>
        </w:rPr>
        <w:t>القول الثانی عدم ولایة عدول المؤمنین علی أموال الأیتام</w:t>
      </w:r>
      <w:bookmarkEnd w:id="519"/>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ولایة عدول المؤمنین علی أموال الأیتام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الشیخ رحمه الله فی الخلاف و النهایة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یقتضیه المذهب أنّه إذا لم یکن سلطان یتولّی ذلک، فالأمر فیه إلی فقهاء شیعته علیه السلام من ذوی الرأی و الصلاح؛ فإنّهم علیهم السلام قد ولّوهم هذه الاُمور، فلا یجوز لمن لیس بفقیهٍ تولّی ذلک بحال، فإن تولاّه فإنّه لا یمضی شیء ممّا یفعله؛ لأنّه لیس له ذلک بحال</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الید علی مال الطفل و التصرّف فیه بالبیع و الشراء و غیرهما موقوف علی الإذن الشرعی و هو منتفٍ‌</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الجواب عنه ممّا ذکرنا فی الاستدلال علی القول الأوّل، مع احتمال حمله علی ما یوافق قول المشهور؛ بأن یکون المقصود منه المنع من ولایتهم إذا کان الحاکم الشرعی موجوداً</w:t>
      </w:r>
      <w:r>
        <w:rPr>
          <w:rFonts w:eastAsia="IRNazanin" w:cs="IRNazanin"/>
          <w:color w:val="111111"/>
          <w:sz w:val="28"/>
          <w:szCs w:val="28"/>
          <w:rtl w:val="true"/>
          <w:lang w:bidi="fa-IR"/>
        </w:rPr>
        <w:t>.</w:t>
      </w:r>
      <w:bookmarkStart w:id="520" w:name="pg11753_114949"/>
    </w:p>
    <w:p>
      <w:pPr>
        <w:pStyle w:val="BookText"/>
        <w:rPr/>
      </w:pPr>
      <w:bookmarkEnd w:id="520"/>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ظنّی أنّه لا یخالف فیه ابن إدریس و إن نفی الولایة عنهم، لکن مراده نفیها علی حسب ولایة الأب و الجدّ و الحاکم لا مطلقاً، و حینئذٍ یرتفع النزاع</w:t>
      </w:r>
      <w:r>
        <w:rPr>
          <w:rFonts w:eastAsia="IRNazanin" w:cs="IRNazanin"/>
          <w:color w:val="111111"/>
          <w:sz w:val="28"/>
          <w:szCs w:val="28"/>
          <w:rtl w:val="true"/>
          <w:lang w:bidi="fa-IR"/>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ظهر ممّا ذکرنا الجواب عن القول الثالث، أی التردید فی المسألة، و هو ما اختاره فی الشرائع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تردّد</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خلاف الحلّی کتردّد الماتن فی الشرائع شاذّ غیر ملتفتٍ إلیه، مع احتمال عبارة الأوّل ما یوافق الجماعة بإرادته المنع عن ولایتهم إذا کان هناک حاکم الشریعة</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1" w:name="__RefHeading___Toc9482858_73709187"/>
      <w:bookmarkStart w:id="522" w:name="_Toc198"/>
      <w:bookmarkEnd w:id="521"/>
      <w:r>
        <w:rPr>
          <w:rtl w:val="true"/>
        </w:rPr>
        <w:t>یجوز لعدول المؤمنین نصب القیّم للأیتام</w:t>
      </w:r>
      <w:bookmarkEnd w:id="522"/>
    </w:p>
    <w:p>
      <w:pPr>
        <w:pStyle w:val="BookText"/>
        <w:rPr/>
      </w:pPr>
      <w:r>
        <w:rPr>
          <w:rFonts w:ascii="IRNazanin" w:hAnsi="IRNazanin" w:eastAsia="IRNazanin"/>
          <w:color w:val="111111"/>
          <w:sz w:val="28"/>
          <w:sz w:val="28"/>
          <w:szCs w:val="28"/>
          <w:rtl w:val="true"/>
          <w:lang w:bidi="fa-IR"/>
        </w:rPr>
        <w:t xml:space="preserve">بعد ما ثبت أنّ لعدول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فقد الأولیاء من الأب و الجدّ و الوصیّ لهما و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أموال الصغار، وقع البحث فی أنّه هل یکون ولایتهم کولایة الآباء و الأجداد و الحاکم، فیجوز لهم نصب غیرهم و عزلهم أم لم یکن کذلک، بل المقصود من ولایتهم أنّه یجب علیهم حفظ أموال الصغار و بیعها أو الشراء لهم إذا اقتضت المصلحة ذلک، و التعبیر بالولایة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أو یستحبّ فعل ذلک و هو حکم تکلیفی، بخلاف ولایة الحاکم فإنّها مجعولة؟</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الثانی الإمام الخمینی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المراد</w:t>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محمّد 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بأمر البیع؛ أی جعله متصدّیاً للبیع، فقوله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لمثلهما فی البیع، لا نَصب وَ جَعْل ولایةٍ منه حتّی یکون مثلهما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له نَصْب غیره و عَزْله، و لا یکون التصدّی من قبیل الحسبیات حتّی لا یجوز التصدّی إلاّ مع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من ترک الاستفصال فی المورد یمکن استفادة جواز تصدّی البیع و لو لم یصل إلی حدّ الضرورة، لکن لا یلزم منه الولایة بالمعنی المذکور، فغایة الأمر استفادة جواز التصرّف لمثلهما، لا الولایة علی الصغیر أو علی اموره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علی الشقّ الثانی من السؤال؛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بذلک رجل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لا یستفاد منه أیضاً النصب و جعل الولایة، بل غایة الأمر دلالته علی جواز التصرّف بیعاً و شراءً و نحوهما لمثلهما و لو لم یبلغ حدّ الضرورة</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یکون ما ثبت لعدول المؤمنین بعد فقد الفقیه هو الولایة من سنخ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الثابت له هو الحکم الوضعی، أو مجرّد الحکم التکلیفی من الوجوب و الندب؟ الحقّ هو الأخیر؛ لأنّه المتیقّن من الأدلّة، و غیره یحتاج إلی عنایةٍ، و هی مفقودة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مثل بیع أموال القصّر و نحو ذلک یلزمها السلطة فعلاً فیصحّ تعبیر الولایة من هذه الجهة، فهی تابعة للحکم التکلیفی فی جملةٍ من الموارد، و لعلّ تعبیر الفقهاء بالولایة من هذه الجهة أیضاً</w:t>
      </w:r>
      <w:r>
        <w:rPr>
          <w:rFonts w:eastAsia="IRNazanin" w:cs="IRNazanin"/>
          <w:color w:val="111111"/>
          <w:sz w:val="28"/>
          <w:szCs w:val="28"/>
          <w:rtl w:val="true"/>
          <w:lang w:bidi="fa-IR"/>
        </w:rPr>
        <w:t>»</w:t>
      </w:r>
      <w:r>
        <w:rPr>
          <w:rStyle w:val="FootnoteAnchor"/>
          <w:rtl w:val="true"/>
        </w:rPr>
        <w:footnoteReference w:id="1477"/>
      </w:r>
      <w:bookmarkStart w:id="523" w:name="pg11753_114951"/>
    </w:p>
    <w:p>
      <w:pPr>
        <w:pStyle w:val="BookText"/>
        <w:rPr/>
      </w:pPr>
      <w:bookmarkEnd w:id="523"/>
      <w:r>
        <w:rPr>
          <w:rFonts w:ascii="Amiri" w:hAnsi="Amiri" w:eastAsia="Amiri" w:cs="Amiri"/>
          <w:color w:val="111111"/>
          <w:sz w:val="28"/>
          <w:sz w:val="28"/>
          <w:szCs w:val="28"/>
          <w:rtl w:val="true"/>
          <w:lang w:bidi="ar-SA"/>
        </w:rPr>
        <w:t>و لکنّ الحقّ هو</w:t>
      </w:r>
      <w:r>
        <w:rPr>
          <w:rStyle w:val="FootnoteAnchor"/>
          <w:rtl w:val="true"/>
        </w:rPr>
        <w:footnoteReference w:id="1478"/>
      </w:r>
      <w:r>
        <w:rPr>
          <w:rFonts w:ascii="IRNazanin" w:hAnsi="IRNazanin" w:eastAsia="IRNazanin"/>
          <w:color w:val="111111"/>
          <w:sz w:val="28"/>
          <w:sz w:val="28"/>
          <w:szCs w:val="28"/>
          <w:rtl w:val="true"/>
          <w:lang w:bidi="fa-IR"/>
        </w:rPr>
        <w:t>الأوّل، و هو الظاهر من کلام المشهور أیضاً؛ لأنّ المستفاد من الروایات أنّهم ولیّ کالآباء و الأجداد و الحاکم و یجوز لهم القیام باُمور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باع، علیهم القیّم لهم الناظر فیما یصلحهم</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فی صحیحة علی بن رئاب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القیّم به مثلک</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فی صحیحة ابن بزیع، أنّه یجوز له القیام باُمور الأیتام بنفسه أو بنصب غیره و هو الناظر فیه، و کذا له عزله إذا خالف عمّا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قال بأنّه لا یستفاد من الأدلّة ولایة عدول المؤمنین، بل یجب أو یندب لهم الدخول فی امور الأیتام من باب الحسبة و التعاون و الإحسان مباشرةً، فلا یجوز لهم نصب الغیر أو عزله</w:t>
      </w:r>
      <w:r>
        <w:rPr>
          <w:rFonts w:eastAsia="IRNazanin" w:cs="IRNazanin"/>
          <w:color w:val="111111"/>
          <w:sz w:val="28"/>
          <w:szCs w:val="28"/>
          <w:rtl w:val="true"/>
          <w:lang w:bidi="fa-IR"/>
        </w:rPr>
        <w:t>.</w:t>
      </w:r>
    </w:p>
    <w:p>
      <w:pPr>
        <w:pStyle w:val="Heading6"/>
        <w:numPr>
          <w:ilvl w:val="5"/>
          <w:numId w:val="1"/>
        </w:numPr>
        <w:rPr/>
      </w:pPr>
      <w:bookmarkStart w:id="524" w:name="__RefHeading___Toc9482860_73709187"/>
      <w:bookmarkStart w:id="525" w:name="_Toc199"/>
      <w:bookmarkEnd w:id="524"/>
      <w:r>
        <w:rPr>
          <w:rtl w:val="true"/>
        </w:rPr>
        <w:t>عدم ثبوت الولایة علی أموال الصغار للفسّاق</w:t>
      </w:r>
      <w:bookmarkEnd w:id="525"/>
    </w:p>
    <w:p>
      <w:pPr>
        <w:pStyle w:val="BookText"/>
        <w:rPr/>
      </w:pPr>
      <w:r>
        <w:rPr>
          <w:rFonts w:ascii="IRNazanin" w:hAnsi="IRNazanin" w:eastAsia="IRNazanin"/>
          <w:color w:val="111111"/>
          <w:sz w:val="28"/>
          <w:sz w:val="28"/>
          <w:szCs w:val="28"/>
          <w:rtl w:val="true"/>
          <w:lang w:bidi="fa-IR"/>
        </w:rPr>
        <w:t>إذا تعذّر العدول فهل تثبت الولایة لغیرهم من الفسّاق، فیکون واجباً کفائیّاً علی کلّ من یقدر علیه و إن کان فاسقاً؟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ثبوت ولایة الفاسق مع عدم العدل</w:t>
      </w:r>
      <w:r>
        <w:rPr>
          <w:rFonts w:eastAsia="IRNazanin" w:cs="IRNazanin"/>
          <w:color w:val="111111"/>
          <w:sz w:val="28"/>
          <w:szCs w:val="28"/>
          <w:rtl w:val="true"/>
          <w:lang w:bidi="fa-IR"/>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بلغة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جواز تولیته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المصلحة و مراعاة</w:t>
      </w:r>
    </w:p>
    <w:p>
      <w:pPr>
        <w:pStyle w:val="BookText"/>
        <w:rPr/>
      </w:pPr>
      <w:r>
        <w:rPr>
          <w:rFonts w:ascii="IRNazanin" w:hAnsi="IRNazanin" w:eastAsia="IRNazanin"/>
          <w:color w:val="111111"/>
          <w:sz w:val="28"/>
          <w:sz w:val="28"/>
          <w:szCs w:val="28"/>
          <w:rtl w:val="true"/>
          <w:lang w:bidi="fa-IR"/>
        </w:rPr>
        <w:t>الغبطة، توصّلاً إلی ما یرید الشارع إیجاده للمصلحة المترتّبة علی وجوده، کتجهیز المیّت الواجب کفایةً علی کلّ من یتمکّن منه مع عدم ولیّ له مطلقاً، حتّی الحاکم و عدول المؤمنین</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لا یمکن إثبات الولایة للفسّاق و إن تعذّر وجود العدول، و ذلک لأجل أنّه ثبت بالأدلّة القطعیّة عدم جواز التصرّف فی مال الغیر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 احتیاج ذلک المال إلی التصرّف و لم یکن الإذن من صاحبه، فدار الأمر بین أن یتصرّف کلّ شخص أعمّ من الفاسق و العادل، أو خصوص العادل، أو غیره بإذنه، فالمتیقّن هو الثانی، و مجرّد الشکّ فی ذلک یکفی فی عدم الجواز وضعاً و تکلیفاً، لإطباق الأدلّة علی عدم الجواز، و الخارج منها قطعاً هی صورة الإذن من العدول، أو تصدّیهم بنفسهم علی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شیء مفروض المطلوبیّة للشارع غیر مضاف إلی أحدٍ، فیجب علی الفسّاق کالمؤمنین تکلیفاً الإقدام بذلک من باب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فرض المعروف علی وجهٍ یستقلّ العقل بحسنه مطلقاً، کحفظ الیتیم من الهلاک الذی یعلم رجحانه علی مفسدة التصرّف فی مال الغیر بغیر إذنه، صحّ المباشرة بمقدار یندفع به الضرورة، أو فرض علی وجهٍ یفهم من دلیله جواز تصدّیه لکلّ أحدٍ</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من قال بالولایة للفسّاق فمقصوده فی هذا المورد الخاصّ</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ثبوت ولایة الفاسق مع عدم العدل، و إن کان الظاهر تقییدها بما إذا کان المقام مقام الحسبة لا مطلقاً</w:t>
      </w:r>
      <w:r>
        <w:rPr>
          <w:rFonts w:eastAsia="IRNazanin" w:cs="IRNazanin"/>
          <w:color w:val="111111"/>
          <w:sz w:val="28"/>
          <w:szCs w:val="28"/>
          <w:rtl w:val="true"/>
          <w:lang w:bidi="fa-IR"/>
        </w:rPr>
        <w:t>»</w:t>
      </w:r>
      <w:r>
        <w:rPr>
          <w:rStyle w:val="FootnoteAnchor"/>
          <w:rtl w:val="true"/>
        </w:rPr>
        <w:footnoteReference w:id="1484"/>
      </w:r>
      <w:bookmarkStart w:id="526" w:name="pg11753_114953"/>
    </w:p>
    <w:p>
      <w:pPr>
        <w:pStyle w:val="Heading6"/>
        <w:numPr>
          <w:ilvl w:val="5"/>
          <w:numId w:val="1"/>
        </w:numPr>
        <w:rPr/>
      </w:pPr>
      <w:bookmarkStart w:id="527" w:name="__RefHeading___Toc9482862_73709187"/>
      <w:bookmarkStart w:id="528" w:name="_Toc200"/>
      <w:bookmarkEnd w:id="526"/>
      <w:bookmarkEnd w:id="527"/>
      <w:r>
        <w:rPr>
          <w:rtl w:val="true"/>
        </w:rPr>
        <w:t>آراء مذاهب أهل السنّة فی المسألة</w:t>
      </w:r>
      <w:bookmarkEnd w:id="52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جاء فی نهایة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یوجد أحدٌ من الأولیاء المذکورین فعلی المسلمین النظر فی مال محجورهم و تولّی حفظه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یؤخذ من کلام الجرجانی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یوجد إلاّ قاضٍ فاسقٍ أو غیر أمینٍ کانت الولایة للمسلمین أی لصلحائهم، و هو متّجهٌ</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هذه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الولایة علی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ثمّ لوصیّه ثمّ للقاضی أو من یقیمه ثمّ لجماعة المسلمین إن لم یوجد قاضٍ‌</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قال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یوجد حاکم بالصفات المعتبرة فأمین یقوم به، أی بالیتیم</w:t>
      </w:r>
      <w:r>
        <w:rPr>
          <w:rFonts w:eastAsia="IRNazanin" w:cs="IRNazanin"/>
          <w:color w:val="111111"/>
          <w:sz w:val="28"/>
          <w:szCs w:val="28"/>
          <w:rtl w:val="true"/>
          <w:lang w:bidi="fa-IR"/>
        </w:rPr>
        <w:t>»</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الإنصاف</w:t>
      </w:r>
      <w:r>
        <w:rPr>
          <w:rStyle w:val="FootnoteAnchor"/>
          <w:rtl w:val="true"/>
        </w:rPr>
        <w:footnoteReference w:id="1488"/>
      </w:r>
      <w:r>
        <w:rPr>
          <w:rFonts w:ascii="IRNazanin" w:hAnsi="IRNazanin" w:eastAsia="IRNazanin"/>
          <w:color w:val="111111"/>
          <w:sz w:val="28"/>
          <w:sz w:val="28"/>
          <w:szCs w:val="28"/>
          <w:rtl w:val="true"/>
          <w:lang w:bidi="fa-IR"/>
        </w:rPr>
        <w:t>و الإقناع</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بحسب تتبّعنا لم نظفر فی کلماتهم من قال بهذه الولایة، بل الظاهر منهم عدم جعل الولایة فی المقام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البدائع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فأولی الأولیاء الأب، ثمّ وصیّه، ثمّ وصیّ وصیّه، ثمّ الجدّ ثمّ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وصیّه، ثمّ القاضی ثمّ من نصبه القاضی؛ و هو وصیّ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لمن سوی هؤلاء من الاُمّ و الأخ و العمّ و غیرهم ولایة التصرّف علی الصغیر فی ماله</w:t>
      </w:r>
      <w:r>
        <w:rPr>
          <w:rFonts w:eastAsia="IRNazanin" w:cs="IRNazanin"/>
          <w:color w:val="111111"/>
          <w:sz w:val="28"/>
          <w:szCs w:val="28"/>
          <w:rtl w:val="true"/>
          <w:lang w:bidi="fa-IR"/>
        </w:rPr>
        <w:t>»</w:t>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غیره</w:t>
      </w:r>
      <w:r>
        <w:rPr>
          <w:rStyle w:val="FootnoteAnchor"/>
          <w:rtl w:val="true"/>
        </w:rPr>
        <w:footnoteReference w:id="1491"/>
      </w:r>
      <w:bookmarkStart w:id="529" w:name="pg11753_114955"/>
    </w:p>
    <w:p>
      <w:pPr>
        <w:pStyle w:val="Heading4"/>
        <w:numPr>
          <w:ilvl w:val="3"/>
          <w:numId w:val="1"/>
        </w:numPr>
        <w:rPr/>
      </w:pPr>
      <w:bookmarkStart w:id="530" w:name="__RefHeading___Toc9482864_73709187"/>
      <w:bookmarkStart w:id="531" w:name="_Toc201"/>
      <w:bookmarkEnd w:id="529"/>
      <w:bookmarkEnd w:id="530"/>
      <w:r>
        <w:rPr>
          <w:rtl w:val="true"/>
        </w:rPr>
        <w:t>المبحث الخامس</w:t>
      </w:r>
      <w:r>
        <w:rPr>
          <w:rtl w:val="true"/>
        </w:rPr>
        <w:t xml:space="preserve">: </w:t>
      </w:r>
      <w:r>
        <w:rPr>
          <w:rtl w:val="true"/>
        </w:rPr>
        <w:t>شرائط ولایة عدول المؤمنین</w:t>
      </w:r>
      <w:bookmarkEnd w:id="531"/>
    </w:p>
    <w:p>
      <w:pPr>
        <w:pStyle w:val="Heading5"/>
        <w:numPr>
          <w:ilvl w:val="4"/>
          <w:numId w:val="1"/>
        </w:numPr>
        <w:rPr/>
      </w:pPr>
      <w:bookmarkStart w:id="532" w:name="__RefHeading___Toc9482866_73709187"/>
      <w:bookmarkStart w:id="533" w:name="_Toc202"/>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لمّا أثبتنا الولایة لعدول المؤمنین، ینبغی أن نذکر الاُمور التی کانت شروطاً لها، و 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أقوالهم عند البحث عن اشتراط المصلحة فی ولایة الحاکم فراجع؛ إذ لا فرق فی هذا بین الحاکم و غیره من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الضابط فی تصرّف المتولّی لأموال الیتامی و المجانین اعتبار الغبطة و کون التصرّف علی وجه النظر و المصلحة، فللولیّ أن یتّجر بمال الیتیم و یضارب به و یدفعه إلی من یضارب له به، و یجعل له نصیباً من الربح، و یستحبّ له ذلک، سواء کان الولیّ أباً أو جدّاً له أو وصیّاً، أو حاکماً أو أمین حاکمٍ</w:t>
      </w:r>
      <w:r>
        <w:rPr>
          <w:rFonts w:eastAsia="IRNazanin" w:cs="IRNazanin"/>
          <w:color w:val="111111"/>
          <w:sz w:val="28"/>
          <w:szCs w:val="28"/>
          <w:rtl w:val="true"/>
          <w:lang w:bidi="fa-IR"/>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استظهر فی مفتاح الکرامة من هذا نفی الخلاف فی ذلک بین المسلمین</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المحقّق الاصفهانی أیضاً فی ذلک دعوی الإجماع من غیر واحدٍ</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تدلّ علی اشتراط لزوم رعایة المصلحة من جانب عدول المؤمنین فی تصرّفاتهم فی المقام الأدلّة التی ذکرناها دلیلاً علی اشتراطها فی تصرّفات الحاکم، فراجع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النائینی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یستفاد من مجموع الأدلّة أنّ ولایة الفقیه و العدل و مطلق المؤمن لیس کولایة الأب و الجدّ حتّی یکون لهم التصرّف مطلقاً،</w:t>
      </w:r>
    </w:p>
    <w:p>
      <w:pPr>
        <w:pStyle w:val="BookText"/>
        <w:rPr/>
      </w:pPr>
      <w:r>
        <w:rPr>
          <w:rFonts w:ascii="IRNazanin" w:hAnsi="IRNazanin" w:eastAsia="IRNazanin"/>
          <w:color w:val="111111"/>
          <w:sz w:val="28"/>
          <w:sz w:val="28"/>
          <w:szCs w:val="28"/>
          <w:rtl w:val="true"/>
          <w:lang w:bidi="fa-IR"/>
        </w:rPr>
        <w:t>بل الظاهر منها إناطة جواز التصرّف بما کان صلاحاً للیتیم</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یشترط فی ولایة العدول من المؤمنین فقد الإمام أو الحاکم، أم أنّهم مأذونون و لو مع وجود الفقیه الجامع للشرائط؟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کلمات کثیرهم أنّه یشترط فی ولایتهم فقد الحاکم؛ لأنّهم قیّدوا ولایتهم بتعذّر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حکایات الإجماع علی اختصاص جواز التصرّف من العدول أو العدل بصورة فقد الفقیه</w:t>
      </w:r>
      <w:r>
        <w:rPr>
          <w:rFonts w:eastAsia="IRNazanin" w:cs="IRNazanin"/>
          <w:color w:val="111111"/>
          <w:sz w:val="28"/>
          <w:szCs w:val="28"/>
          <w:rtl w:val="true"/>
          <w:lang w:bidi="fa-IR"/>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بلغة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تقدّمهم علیهم إن وجدوا، نصّاً و فتوی بل ضرورة</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تقدیم ولایة الحاکم علی عدول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ضروریّات فقه الإمامیّة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لهذا القول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ضرورة فقهیّة کما ادّعاها فی البلغة و مهذّب الأحکام</w:t>
      </w:r>
      <w:r>
        <w:rPr>
          <w:rStyle w:val="FootnoteAnchor"/>
          <w:rtl w:val="true"/>
        </w:rPr>
        <w:footnoteReference w:id="1498"/>
      </w:r>
      <w:r>
        <w:rPr>
          <w:rFonts w:ascii="IRNazanin" w:hAnsi="IRNazanin" w:eastAsia="IRNazanin"/>
          <w:color w:val="111111"/>
          <w:sz w:val="28"/>
          <w:sz w:val="28"/>
          <w:szCs w:val="28"/>
          <w:rtl w:val="true"/>
          <w:lang w:bidi="fa-IR"/>
        </w:rPr>
        <w:t>، و الظاهر عدم ثبوتها، بل أقصی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المشهور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تصرّفهم أحسن فی صورة إمکان الوصول إلی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بما فی الفقه الرضوی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لأیسر القبیلة و هو فقیهها و عالمها أن یتصرّف للیتیم فی ماله فیما یراه حظّاً و صلاحاً، و لیس علیه خسران</w:t>
      </w:r>
    </w:p>
    <w:p>
      <w:pPr>
        <w:pStyle w:val="BookText"/>
        <w:rPr/>
      </w:pPr>
      <w:r>
        <w:rPr>
          <w:rFonts w:ascii="IRNazanin" w:hAnsi="IRNazanin" w:eastAsia="IRNazanin"/>
          <w:color w:val="111111"/>
          <w:sz w:val="28"/>
          <w:sz w:val="28"/>
          <w:szCs w:val="28"/>
          <w:rtl w:val="true"/>
          <w:lang w:bidi="fa-IR"/>
        </w:rPr>
        <w:t>و لا له ربح، و الربح و الخسران للیتیم و علیه</w:t>
      </w:r>
      <w:r>
        <w:rPr>
          <w:rFonts w:eastAsia="IRNazanin" w:cs="IRNazanin"/>
          <w:color w:val="111111"/>
          <w:sz w:val="28"/>
          <w:szCs w:val="28"/>
          <w:rtl w:val="true"/>
          <w:lang w:bidi="fa-IR"/>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ذکرهما المحقّق النراقی فی العوائد</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الروایات یحکم بأنّ التصرّف من غیر الفقیه أیضاً یکون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ضعف سندها بالإرسال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عدم جواز التصرّف من غیر الفقیه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موجبةً للهرج و 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موضوع ما یتصدّاه المؤمنون إنّما هو ما علم بتشریعه و ترغیب الشارع إلیه مطلقاً، لکنّه جعلها مربوطة بإذن الفقیه دفعاً للهرج و المرج</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تصرّفهم منوط برعایة المصلحة، و هذا یوجب المنع عن الهرج و المرج، و تحقّقهما فی بعض الأحوال خارج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أخصّ من المدّعی؛ لأنّ ولایتهم لا توجب الهرج و المرج مطلقاً، بل یمکن تحقّقهما فی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بعض بأنّ مقتضی إطلاق نصوص الباب و إن کان إثبات ولایتهم مطلقاً، إلاّ أنّه من جهة کونها من مناصب القضاة، و قد جعل الشارع الفقیه قاضیاً و حاکماً، فمع وجوده لا بدّ من تصدّیه لذلک</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الروایات دلیل علی إذن الشارع فی ذلک لغیر الفقیه</w:t>
      </w:r>
      <w:bookmarkStart w:id="534" w:name="pg11753_114958"/>
    </w:p>
    <w:p>
      <w:pPr>
        <w:pStyle w:val="BookText"/>
        <w:rPr/>
      </w:pPr>
      <w:bookmarkEnd w:id="534"/>
      <w:r>
        <w:rPr>
          <w:rFonts w:ascii="IRNazanin" w:hAnsi="IRNazanin" w:eastAsia="IRNazanin"/>
          <w:color w:val="111111"/>
          <w:sz w:val="28"/>
          <w:sz w:val="28"/>
          <w:szCs w:val="28"/>
          <w:rtl w:val="true"/>
          <w:lang w:bidi="fa-IR"/>
        </w:rPr>
        <w:t>أیضاً، و الفرض أنّه لا دلیل للمنع عن غیره، فالحکم بأنّ هذا کان من مناصب المختصّة للقضاة لا دلیل علیه، و هو ظاهر</w:t>
      </w:r>
      <w:r>
        <w:rPr>
          <w:rFonts w:eastAsia="IRNazanin" w:cs="IRNazanin"/>
          <w:color w:val="111111"/>
          <w:sz w:val="28"/>
          <w:szCs w:val="28"/>
          <w:rtl w:val="true"/>
          <w:lang w:bidi="fa-IR"/>
        </w:rPr>
        <w:t>.</w:t>
      </w:r>
    </w:p>
    <w:p>
      <w:pPr>
        <w:pStyle w:val="Heading5"/>
        <w:numPr>
          <w:ilvl w:val="4"/>
          <w:numId w:val="1"/>
        </w:numPr>
        <w:rPr/>
      </w:pPr>
      <w:bookmarkStart w:id="535" w:name="__RefHeading___Toc9482868_73709187"/>
      <w:bookmarkStart w:id="536" w:name="_Toc203"/>
      <w:bookmarkEnd w:id="535"/>
      <w:r>
        <w:rPr>
          <w:rtl w:val="true"/>
        </w:rPr>
        <w:t>عدم اشتراط ولایة عدول المؤمنین بتعذّر الإذن من الفقیه</w:t>
      </w:r>
      <w:bookmarkEnd w:id="536"/>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فی ولایة عدول المؤمنین تعذّر الإذن من الفقیه، بل لهم ولایة و لو مع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ثبوت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الولایة علی أموال الأیتام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یوثق بدینه و أمانته بعد تعذّر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غیر قید تعذّر الحاکم و لا شکّ أنّه أولی مع إمکانه، و إلاّ فالظاهر أنّ لغیره ذلک</w:t>
      </w:r>
      <w:r>
        <w:rPr>
          <w:rFonts w:eastAsia="IRNazanin" w:cs="IRNazanin"/>
          <w:color w:val="111111"/>
          <w:sz w:val="28"/>
          <w:szCs w:val="28"/>
          <w:rtl w:val="true"/>
          <w:lang w:bidi="fa-IR"/>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الحدائق</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 أیضاً المحقّق الاصفهانی</w:t>
      </w:r>
      <w:r>
        <w:rPr>
          <w:rStyle w:val="FootnoteAnchor"/>
          <w:rtl w:val="true"/>
        </w:rPr>
        <w:footnoteReference w:id="1505"/>
      </w:r>
      <w:r>
        <w:rPr>
          <w:rFonts w:ascii="IRNazanin" w:hAnsi="IRNazanin" w:eastAsia="IRNazanin"/>
          <w:color w:val="111111"/>
          <w:sz w:val="28"/>
          <w:sz w:val="28"/>
          <w:szCs w:val="28"/>
          <w:rtl w:val="true"/>
          <w:lang w:bidi="fa-IR"/>
        </w:rPr>
        <w:t>و السیّد الخوانساری</w:t>
      </w:r>
      <w:r>
        <w:rPr>
          <w:rStyle w:val="FootnoteAnchor"/>
          <w:rtl w:val="true"/>
        </w:rPr>
        <w:footnoteReference w:id="1506"/>
      </w:r>
      <w:r>
        <w:rPr>
          <w:rFonts w:ascii="IRNazanin" w:hAnsi="IRNazanin" w:eastAsia="IRNazanin"/>
          <w:color w:val="111111"/>
          <w:sz w:val="28"/>
          <w:sz w:val="28"/>
          <w:szCs w:val="28"/>
          <w:rtl w:val="true"/>
          <w:lang w:bidi="fa-IR"/>
        </w:rPr>
        <w:t>و السیّد الخوئی</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 الحکم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الاُمور التی یمکن قیام آحاد المؤمنین بها، کصلاة المیّت و بیع مال الیتیم و نحوهما، فهذه لم یثبت اختصاصها بالإمام علیه السلام بما هو رئیس المسلمین حتّی یقوم الفقیه مقامه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إن لم تکن من الاُمور التی لا یقوم بها إلاّ الإمام علیه السلام أو نائبه، إلاّ أنّ التصرّف فی مال الغیر یحتاج إلی مجوّز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حمل المطلق علی المقیّد فی روایات الباب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خلافة الفقهاء و وراثتهم حصر الولایة بهم و نفی ثبوتها لغیرهم، و لازم حصرها بهم حصر کلّ ما هو من شئون الولایة بهم،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و التصدّی لأمر الصغار، فیقع التعارض بینهما، و بین ما دلّ علی ثبوت ذلک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یسهّل الخطب أنّ بین الدلیلین عموماً مطلقاً؛ لأنّ الثابت للفقیه کلّ التصرّفات الثابتة للوالی،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مال الأیتام، و لازم الحصر نفی جمیع ذلک عن غیره، و ما دلّ علی ثبوت التصرّف الخاصّ للعدل یخصّص عموم الحصر أو یقیّد إطلاقه، کما أنّ عموم ولایة الفقیه مخصّص بأدلّة ولایة الأب و الجدّ، فکما أنّ عموم ولایته أو إطلاقها قابل للتخصیص و التقیید، کذلک إطلاق الحصر أو عمومه، ففی المقام ثبت الولایة للفقیه و جاز التصرّف للعادل، بناءً علی ثبوت الحکم للعدل فی زمان الغیبة</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الظاهر منها جواز قیام العدل لإدارة شئون الأیتام، و کفایة ما یحتاجون إلیها و لو مع وجود الفقیه و عدم تعذّر الإذن منه؛ لأنّ المفروض أنّها مطلوبة للشارع غیر مضافٍ إلی شخص، و یتّضح هذا بأدنی تأمّل؛ لأنّ المعصومین علیهم السلام کانوا موجودین فی زمن وقوع السؤال، و مع هذا لم یقیّدوا ولایة العدول بالإذن منهم علیهم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الروایات المذکورة ظاهرة فی جواز العدل الثقة بذلک، و أنّه بهذه الأخبار مأذون فی الدخول؛ سواء وجد الإمام أم لا؟</w:t>
      </w:r>
    </w:p>
    <w:p>
      <w:pPr>
        <w:pStyle w:val="BookText"/>
        <w:rPr/>
      </w:pPr>
      <w:r>
        <w:rPr>
          <w:rFonts w:ascii="IRNazanin" w:hAnsi="IRNazanin" w:eastAsia="IRNazanin"/>
          <w:color w:val="111111"/>
          <w:sz w:val="28"/>
          <w:sz w:val="28"/>
          <w:szCs w:val="28"/>
          <w:rtl w:val="true"/>
          <w:lang w:bidi="fa-IR"/>
        </w:rPr>
        <w:t>و لا یبعد القول بجواز تولیة ذلک أیضاً مع وجود الفقیه الجامع للشرائط</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الذی یستفاد من الروایات هو جواز ولایة عدول المؤمنین فی خصوص مال الیتیم توسعةً و لو مع التمکّن من الإذن من الإمام أو الفقیه؛ إذ العادة جاریة بعدم التمکّن فی جمیع النقاط حتّی القری</w:t>
      </w:r>
      <w:r>
        <w:rPr>
          <w:rFonts w:eastAsia="IRNazanin" w:cs="IRNazanin"/>
          <w:color w:val="111111"/>
          <w:sz w:val="28"/>
          <w:szCs w:val="28"/>
          <w:rtl w:val="true"/>
          <w:lang w:bidi="fa-IR"/>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فالأولی رعایة الاحتیاط و الإذن من الفقیه إذا لم یتعذّر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المزاحمة بین تصرّف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یشترط فی جواز تصرّف العدل فی أموال الصغار عدم المزاحمة من عدل آخر؟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ذلک، بل یجوز له التصرّف و لو مع مزاحمة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إنّه حیث ثبت جواز تصرّف المؤمنین، فالظاهر أنّه علی وجه التکلیف الوجوبی أو الندبی، لا علی وجه النیابة من حاکم الشرع فضلاً عن کونه علی وجه النصب من الإمام علیه السلام، فمجرّد وضع العدل یده علی مال یتیم لا یوجب منع الآخر و مزاحمته بالبیع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حکم عدول المؤمنین لا یزید عن حکم الأب و الجدّ، من حیث جواز التصرّف لکلّ منهما ما لم یتصرّف الآخر</w:t>
      </w:r>
      <w:r>
        <w:rPr>
          <w:rFonts w:eastAsia="IRNazanin" w:cs="IRNazanin"/>
          <w:color w:val="111111"/>
          <w:sz w:val="28"/>
          <w:szCs w:val="28"/>
          <w:rtl w:val="true"/>
          <w:lang w:bidi="fa-IR"/>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الثابتة لعدول المؤمنین لیست إلاّ علی وجه الجواز أو الوجوب أو الندب التکلیفی، لا علی وجه النیابة من حاکم الشرع، فضلاً عن کونه علی وجه النصب من الإمام علیه السلام، فمجرّد وضع أحدهم یده علی مال الیتیم لا یمنع الآخر عن تصرّفاته، نظیر الأب و الجدّ؛ حیث یجوز لکلّ منهما أن یتصرّف</w:t>
      </w:r>
    </w:p>
    <w:p>
      <w:pPr>
        <w:pStyle w:val="BookText"/>
        <w:rPr/>
      </w:pPr>
      <w:r>
        <w:rPr>
          <w:rFonts w:ascii="IRNazanin" w:hAnsi="IRNazanin" w:eastAsia="IRNazanin"/>
          <w:color w:val="111111"/>
          <w:sz w:val="28"/>
          <w:sz w:val="28"/>
          <w:szCs w:val="28"/>
          <w:rtl w:val="true"/>
          <w:lang w:bidi="fa-IR"/>
        </w:rPr>
        <w:t>فیما وضع الآخر یده علیه</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المحقّق النائینی رحمه الله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فی توجیه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یقتضی ذلک بعد عدم الدلیل علی الحرمة</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شبهة فی نفوذ تصرّفهم من البیع و الشراء و غیرهما من أقسام التصرّفات عند فقد الحکّام، و لیس معنی الولایة إلاّ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ثبت من قبل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فمجرّد الحکم التکلیفی فهو من الاُمور الحسبیة غیر المربوطة بباب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فولایة العدول کولایة الفقیه، فکما لا یجوز المزاحمة للفقیه إذا وضع یده علی مال الیتیم لا یجوز مزاحمة العدل المؤمن أیضاً، و إذا کان کذلک فالأصل لا یقتضی الجواز؛ لأنّه لا دلیل علیه فی الفرض، بل علی خلافه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الایروانی فی توجیه کلام الشیخ الأعظم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مقصوده لیس ما هو ظاهر العبارة، کما یشهد له تفریع جواز مزاحمة غیر المتصدّی للمتصدّی؛ فإنّ ذلک لیس متفرّعاً علی کون جواز تصرّفهم جوازاً تکلیفیّاً، بل متفرّع علی ثبوت الولایة للعنوان العامّ، أعنی عنوان المؤمن المنطبق علی کلّ فرد فرد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جواز المزاحمة و عدم تعیّن الولایة بالشروع فی التصرّف من مقتضیات کون الولایة بعنوان عام؛ أعنی عنوان المؤمن و عنوان الأب بالمعنی الشامل للجدّ و عنوان الفقیه</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ولایتهم کولایة الفقیه؛ فإنّهما یشترکان فی الحکم، فکما</w:t>
      </w:r>
      <w:bookmarkStart w:id="537" w:name="pg11753_114962"/>
    </w:p>
    <w:p>
      <w:pPr>
        <w:pStyle w:val="BookText"/>
        <w:rPr/>
      </w:pPr>
      <w:bookmarkEnd w:id="537"/>
      <w:r>
        <w:rPr>
          <w:rFonts w:ascii="IRNazanin" w:hAnsi="IRNazanin" w:eastAsia="IRNazanin"/>
          <w:color w:val="111111"/>
          <w:sz w:val="28"/>
          <w:sz w:val="28"/>
          <w:szCs w:val="28"/>
          <w:rtl w:val="true"/>
          <w:lang w:bidi="fa-IR"/>
        </w:rPr>
        <w:t>لا یجوز مزاحمة الفقیه فی التصرّف، کذلک لا یجوز للعدول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نفوذ تصرّف العدول عدم مزاحمة عدل آخر، فبمجرّد وضع أحدهم یده علی مال الیتیم لا یجوز للآخر التصرّف فیه؛ لأنّ الأصل الأوّلی عدم جواز التصرّف لأحدٍ فی مال غیره، و بعد القطع بجوازه فی مال الیتیم للحکّام و لعدول المؤمنین فی الجملة، فالمتیقّن منه هو عدم جواز تصرّف الثانی فیه بعد وضع الأوّل یده علیه أو تصرّفه فیه، کما قال السیّد الخوئی رحمه الله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9482870_73709187"/>
      <w:bookmarkStart w:id="539" w:name="_Toc204"/>
      <w:bookmarkEnd w:id="538"/>
      <w:r>
        <w:rPr>
          <w:rtl w:val="true"/>
        </w:rPr>
        <w:t>تذکرةٌ‌</w:t>
      </w:r>
      <w:bookmarkEnd w:id="539"/>
    </w:p>
    <w:p>
      <w:pPr>
        <w:pStyle w:val="BookText"/>
        <w:rPr/>
      </w:pPr>
      <w:r>
        <w:rPr>
          <w:rFonts w:ascii="IRNazanin" w:hAnsi="IRNazanin" w:eastAsia="IRNazanin"/>
          <w:color w:val="111111"/>
          <w:sz w:val="28"/>
          <w:sz w:val="28"/>
          <w:szCs w:val="28"/>
          <w:rtl w:val="true"/>
          <w:lang w:bidi="fa-IR"/>
        </w:rPr>
        <w:t xml:space="preserve">و اعلم أنّه علی ما تتبّعنا فی کلمات فقهاء أهل السنّة لم نجد مبحثاً مستقلاًّ منهم بحثوا فیه عن شرائط إعمال ولایة المؤمنین، أو الأمین، أو العدول من المؤمنین، أو جماعة من المسلمین علی اختلاف تعبیراتهم فی هذه المسألة، و لکن یستفاد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ذکروها فی بیان شرائط الأولیاء علی نحو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صحّة هذه الولایة رعایة الاحتیاط و المصلحة للمولّی علیه، مثل ما کان شرطاً عندهم فی إعمال ولایة الأب و الجدّ و الحاکم و غیرهم، فراجع کلماتهم التی نقلنا عنهم فی ذیل البحث عن اعتبار المصلحة فی ولایة الحاکم علی أموال الصغار، فلا نعیدها مراعاة للاختصار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یستفاد من کلماتهم فی ترتیب الأولیاء أنّ ولایة الحاکم و أمینه مقدّم علی المؤمنین، و شرطوا فی صحّة ولایة المؤمنین فقد الحاکم و أمینه؛ أی ما دام الحاکم و أمینه موجوداً لا یجوز لغیرهم التصرّف فی أموال الأیتام، فلا معنی للبحث فی أنّه هل یکون تصرّف المؤمنین منوطاً بالإذن من الحاکم أو لا؟ فراجع کلماتهم فی البحث عن ترتیب الأولیاء علی التزویج و المال، و الحمد للّه ربّ العالمین</w:t>
      </w:r>
      <w:r>
        <w:rPr>
          <w:rFonts w:eastAsia="IRNazanin" w:cs="IRNazanin"/>
          <w:color w:val="111111"/>
          <w:sz w:val="28"/>
          <w:szCs w:val="28"/>
          <w:rtl w:val="true"/>
          <w:lang w:bidi="fa-IR"/>
        </w:rPr>
        <w:t>.</w:t>
      </w:r>
      <w:bookmarkStart w:id="540" w:name="pg11753_114963"/>
    </w:p>
    <w:p>
      <w:pPr>
        <w:pStyle w:val="Heading2"/>
        <w:numPr>
          <w:ilvl w:val="1"/>
          <w:numId w:val="1"/>
        </w:numPr>
        <w:rPr/>
      </w:pPr>
      <w:bookmarkStart w:id="541" w:name="__RefHeading___Toc9482872_73709187"/>
      <w:bookmarkStart w:id="542" w:name="_Toc205"/>
      <w:bookmarkEnd w:id="540"/>
      <w:bookmarkEnd w:id="541"/>
      <w:r>
        <w:rPr>
          <w:rtl w:val="true"/>
        </w:rPr>
        <w:t>الباب الخامس فی بیان موارد تصرّف الأولیاء</w:t>
      </w:r>
      <w:bookmarkEnd w:id="542"/>
    </w:p>
    <w:p>
      <w:pPr>
        <w:pStyle w:val="Heading3"/>
        <w:numPr>
          <w:ilvl w:val="2"/>
          <w:numId w:val="1"/>
        </w:numPr>
        <w:rPr/>
      </w:pPr>
      <w:bookmarkStart w:id="543" w:name="__RefHeading___Toc9482874_73709187"/>
      <w:bookmarkStart w:id="544" w:name="_Toc206"/>
      <w:bookmarkEnd w:id="543"/>
      <w:r>
        <w:rPr>
          <w:rtl w:val="true"/>
        </w:rPr>
        <w:t>تمهید</w:t>
      </w:r>
      <w:bookmarkEnd w:id="544"/>
    </w:p>
    <w:p>
      <w:pPr>
        <w:pStyle w:val="BookText"/>
        <w:rPr/>
      </w:pPr>
      <w:r>
        <w:rPr>
          <w:rFonts w:ascii="IRNazanin" w:hAnsi="IRNazanin" w:eastAsia="IRNazanin"/>
          <w:color w:val="111111"/>
          <w:sz w:val="28"/>
          <w:sz w:val="28"/>
          <w:szCs w:val="28"/>
          <w:rtl w:val="true"/>
          <w:lang w:bidi="fa-IR"/>
        </w:rPr>
        <w:t>اتّضح فی الباب الرابع ثبوت ولایة الأولیاء فی النفوس و أموال الصغار، و یتفرّع علی ذلک صحّة تصرّفاتهم فی کثیر من الاُمور، و تنقسم هذه التصرّفات باختلاف مواردها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المعاوضیّة التملیکیّة؛ سواء تعلّقت بالأعیان، أو بالمنافع کالبیع و الإجارة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التملیکیّة غیر المعاوضیّة، کالهبة و الصدقة و الوقف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الإذنیّة، کالودیعة و العاریة و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الثلاثة کُلّها تصرّفات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التصرّفات التی تعلّقت بنفس مال الصغیر عیناً، کبناء عقاره، و حفظ ماله و تثمیره، و الزراعة له و رعی مواشیه، و الإنفاق علیه من ماله و غیرها، و کلّ هذه الأربعة تکون من شئون ولایة الأولیاء علی أموال الصغار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التصرّفات التی تترتّب لأجل ولایتهم علی النفوس، کاستیفاء حقوقهم، و أخذ الشفعة لهم، و قبول الهبة و الصدقة و الوقف و الوصیّة لهم و غیر ذلک، و لبیان أحکام هذه التصرّفات عقدنا هذا الباب،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و المصالحة بمال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التی هی من شئون الاتّجار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الولیّ الصبیّ أو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حقوق الطفل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بالولایة</w:t>
      </w:r>
      <w:r>
        <w:rPr>
          <w:rFonts w:eastAsia="IRNazanin" w:cs="IRNazanin"/>
          <w:color w:val="111111"/>
          <w:sz w:val="28"/>
          <w:szCs w:val="28"/>
          <w:rtl w:val="true"/>
          <w:lang w:bidi="fa-IR"/>
        </w:rPr>
        <w:t>.</w:t>
      </w:r>
      <w:bookmarkStart w:id="545" w:name="pg11753_114965"/>
    </w:p>
    <w:p>
      <w:pPr>
        <w:pStyle w:val="Heading3"/>
        <w:numPr>
          <w:ilvl w:val="2"/>
          <w:numId w:val="1"/>
        </w:numPr>
        <w:rPr/>
      </w:pPr>
      <w:bookmarkStart w:id="546" w:name="__RefHeading___Toc9482876_73709187"/>
      <w:bookmarkStart w:id="547" w:name="_Toc207"/>
      <w:bookmarkEnd w:id="545"/>
      <w:bookmarkEnd w:id="546"/>
      <w:r>
        <w:rPr>
          <w:rtl w:val="true"/>
        </w:rPr>
        <w:t>الفصل الأوّل فی البیع و الشراء و الاتّجار و المصالحة بمال الصبیّ</w:t>
      </w:r>
      <w:bookmarkEnd w:id="547"/>
    </w:p>
    <w:p>
      <w:pPr>
        <w:pStyle w:val="Heading4"/>
        <w:numPr>
          <w:ilvl w:val="3"/>
          <w:numId w:val="1"/>
        </w:numPr>
        <w:rPr/>
      </w:pPr>
      <w:bookmarkStart w:id="548" w:name="__RefHeading___Toc9482878_73709187"/>
      <w:bookmarkStart w:id="549" w:name="_Toc208"/>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550" w:name="__RefHeading___Toc9482880_73709187"/>
      <w:bookmarkStart w:id="551" w:name="_Toc209"/>
      <w:bookmarkEnd w:id="550"/>
      <w:r>
        <w:rPr>
          <w:rtl w:val="true"/>
        </w:rPr>
        <w:t>المبحث الأوّل</w:t>
      </w:r>
      <w:r>
        <w:rPr>
          <w:rtl w:val="true"/>
        </w:rPr>
        <w:t xml:space="preserve">: </w:t>
      </w:r>
      <w:r>
        <w:rPr>
          <w:rtl w:val="true"/>
        </w:rPr>
        <w:t>البیع و الشراء و الاتّجار بمال الصبیّ‌</w:t>
      </w:r>
      <w:bookmarkEnd w:id="551"/>
    </w:p>
    <w:p>
      <w:pPr>
        <w:pStyle w:val="Heading5"/>
        <w:numPr>
          <w:ilvl w:val="4"/>
          <w:numId w:val="1"/>
        </w:numPr>
        <w:rPr/>
      </w:pPr>
      <w:bookmarkStart w:id="552" w:name="__RefHeading___Toc9482882_73709187"/>
      <w:bookmarkStart w:id="553" w:name="_Toc210"/>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الظاهر أنّه لا خلاف بین الفقهاء فی أنّه یجوز للولیّ البیع و الشراء بمال الصبیّ إن کان فی ذلک مصلحة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ولّی مال الیتیم جاز له أن یتّجر فیه للصبیّ نظراً له؛ سواء کان أباً أو جدّاً أو وصیّاً، أو حاکماً أو أمیناً لحاکم</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زهرة السیّد أبو المکارم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شرائط صحّة البیع ثبوت الولایة فی المعقود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اشترطنا ثبوت الولایة احترازاً من بیع من لیس بمالکٍ للمبیع و لا فی حکم المالک له، و هم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و وصیّهما، و الحاکم و أمینه و الوکیل</w:t>
      </w:r>
      <w:r>
        <w:rPr>
          <w:rFonts w:eastAsia="IRNazanin" w:cs="IRNazanin"/>
          <w:color w:val="111111"/>
          <w:sz w:val="28"/>
          <w:szCs w:val="28"/>
          <w:rtl w:val="true"/>
          <w:lang w:bidi="fa-IR"/>
        </w:rPr>
        <w:t>»</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سلاّر</w:t>
      </w:r>
      <w:r>
        <w:rPr>
          <w:rStyle w:val="FootnoteAnchor"/>
          <w:rtl w:val="true"/>
        </w:rPr>
        <w:footnoteReference w:id="1521"/>
      </w:r>
      <w:r>
        <w:rPr>
          <w:rFonts w:ascii="Amiri" w:hAnsi="Amiri" w:eastAsia="Amiri" w:cs="Amiri"/>
          <w:color w:val="111111"/>
          <w:sz w:val="28"/>
          <w:sz w:val="28"/>
          <w:szCs w:val="28"/>
          <w:rtl w:val="true"/>
          <w:lang w:bidi="ar-SA"/>
        </w:rPr>
        <w:t>و ابن حمزة</w:t>
      </w:r>
      <w:r>
        <w:rPr>
          <w:rStyle w:val="FootnoteAnchor"/>
          <w:rtl w:val="true"/>
        </w:rPr>
        <w:footnoteReference w:id="1522"/>
      </w:r>
      <w:r>
        <w:rPr>
          <w:rFonts w:ascii="IRNazanin" w:hAnsi="IRNazanin" w:eastAsia="IRNazanin"/>
          <w:color w:val="111111"/>
          <w:sz w:val="28"/>
          <w:sz w:val="28"/>
          <w:szCs w:val="28"/>
          <w:rtl w:val="true"/>
          <w:lang w:bidi="fa-IR"/>
        </w:rPr>
        <w:t>و الکیدری</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و فی الشرائع فی شرائط المتعاقدین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یکون البائع مالکاً أو ممّن له أن یبیع عن المالک کالأب و الجدّ للأب، و الوکیل، و الوصیّ، و الحاکم و أمینه</w:t>
      </w:r>
      <w:r>
        <w:rPr>
          <w:rFonts w:eastAsia="IRNazanin" w:cs="IRNazanin"/>
          <w:color w:val="111111"/>
          <w:sz w:val="28"/>
          <w:szCs w:val="28"/>
          <w:rtl w:val="true"/>
          <w:lang w:bidi="fa-IR"/>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العلاّمة فی جملة من کتبه</w:t>
      </w:r>
      <w:r>
        <w:rPr>
          <w:rStyle w:val="FootnoteAnchor"/>
          <w:rtl w:val="true"/>
        </w:rPr>
        <w:footnoteReference w:id="1525"/>
      </w:r>
      <w:r>
        <w:rPr>
          <w:rFonts w:ascii="IRNazanin" w:hAnsi="IRNazanin" w:eastAsia="IRNazanin"/>
          <w:color w:val="111111"/>
          <w:sz w:val="28"/>
          <w:sz w:val="28"/>
          <w:szCs w:val="28"/>
          <w:rtl w:val="true"/>
          <w:lang w:bidi="fa-IR"/>
        </w:rPr>
        <w:t>و الشهید</w:t>
      </w:r>
      <w:r>
        <w:rPr>
          <w:rStyle w:val="FootnoteAnchor"/>
          <w:rtl w:val="true"/>
        </w:rPr>
        <w:footnoteReference w:id="1526"/>
      </w:r>
      <w:r>
        <w:rPr>
          <w:rFonts w:ascii="IRNazanin" w:hAnsi="IRNazanin" w:eastAsia="IRNazanin"/>
          <w:color w:val="111111"/>
          <w:sz w:val="28"/>
          <w:sz w:val="28"/>
          <w:szCs w:val="28"/>
          <w:rtl w:val="true"/>
          <w:lang w:bidi="fa-IR"/>
        </w:rPr>
        <w:t>و المحقّق الأردبیلی</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أیضاً جماعة من المتأخِّرین و متأخِّریهم</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 کون البائع أحد هذه السبعة ممّا طفحت</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به عبارات الأصحاب، کالشیخ الطوسی و أبی المکارم و الحلّی و من تأخّر عنهم إلاّ من شذّ</w:t>
      </w:r>
      <w:r>
        <w:rPr>
          <w:rFonts w:eastAsia="IRNazanin" w:cs="IRNazanin"/>
          <w:color w:val="111111"/>
          <w:sz w:val="28"/>
          <w:szCs w:val="28"/>
          <w:rtl w:val="true"/>
          <w:lang w:bidi="fa-IR"/>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شروط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مالکین أو مأذونین من المالک أو الشارع</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هذه الجملة أنّ المدّعی من الواضحات التی لا مجال للبحث فیها و الاستدلال لها</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خلاف و لا نزاع فی جواز البیع</w:t>
      </w:r>
      <w:bookmarkStart w:id="554" w:name="pg11753_114967"/>
    </w:p>
    <w:p>
      <w:pPr>
        <w:pStyle w:val="BookText"/>
        <w:rPr/>
      </w:pPr>
      <w:bookmarkEnd w:id="554"/>
      <w:r>
        <w:rPr>
          <w:rFonts w:ascii="IRNazanin" w:hAnsi="IRNazanin" w:eastAsia="IRNazanin"/>
          <w:color w:val="111111"/>
          <w:sz w:val="28"/>
          <w:sz w:val="28"/>
          <w:szCs w:val="28"/>
          <w:rtl w:val="true"/>
          <w:lang w:bidi="fa-IR"/>
        </w:rPr>
        <w:t>و الشراء و سائر التصرّفات للأطفال و المجانین و السفهاء المتّصل جنونهم و سفههم إلی البلوغ، من الأب و الجدّ للأب، لا للأُمّ، و من وصیّ أحدهما مع عدمهما، ثمّ من الحاکم أو الذی یعیّنه لهم</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للأب و الجدّ للأب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یتصرّفا فی مال الصغیر بالبیع و الشراء و الإجارة و غیرها</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الشیخ الفقیه الفاضل اللنکرانی</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9482884_73709187"/>
      <w:bookmarkStart w:id="556" w:name="_Toc211"/>
      <w:bookmarkEnd w:id="555"/>
      <w:r>
        <w:rPr>
          <w:rtl w:val="true"/>
        </w:rPr>
        <w:t>أدلّة جواز البیع و الشراء بمال الطفل</w:t>
      </w:r>
      <w:bookmarkEnd w:id="556"/>
    </w:p>
    <w:p>
      <w:pPr>
        <w:pStyle w:val="BookText"/>
        <w:rPr/>
      </w:pPr>
      <w:r>
        <w:rPr>
          <w:rFonts w:ascii="IRNazanin" w:hAnsi="IRNazanin" w:eastAsia="IRNazanin"/>
          <w:color w:val="111111"/>
          <w:sz w:val="28"/>
          <w:sz w:val="28"/>
          <w:szCs w:val="28"/>
          <w:rtl w:val="true"/>
          <w:lang w:bidi="fa-IR"/>
        </w:rPr>
        <w:t xml:space="preserve">و یمکن الاستدلال لهذا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الأدلّة التی تثبت بها ولایة الولیّ علی أموال الصغار بنحو العامّ، التی بحثنا عنها فی 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الریاض</w:t>
      </w:r>
      <w:r>
        <w:rPr>
          <w:rStyle w:val="FootnoteAnchor"/>
          <w:rtl w:val="true"/>
        </w:rPr>
        <w:footnoteReference w:id="1536"/>
      </w:r>
      <w:r>
        <w:rPr>
          <w:rFonts w:ascii="IRNazanin" w:hAnsi="IRNazanin" w:eastAsia="IRNazanin"/>
          <w:color w:val="111111"/>
          <w:sz w:val="28"/>
          <w:sz w:val="28"/>
          <w:szCs w:val="28"/>
          <w:rtl w:val="true"/>
          <w:lang w:bidi="fa-IR"/>
        </w:rPr>
        <w:t>و الجواهر</w:t>
      </w:r>
      <w:r>
        <w:rPr>
          <w:rStyle w:val="FootnoteAnchor"/>
          <w:rtl w:val="true"/>
        </w:rPr>
        <w:footnoteReference w:id="1537"/>
      </w:r>
      <w:r>
        <w:rPr>
          <w:rFonts w:ascii="IRNazanin" w:hAnsi="IRNazanin" w:eastAsia="IRNazanin"/>
          <w:color w:val="111111"/>
          <w:sz w:val="28"/>
          <w:sz w:val="28"/>
          <w:szCs w:val="28"/>
          <w:rtl w:val="true"/>
          <w:lang w:bidi="fa-IR"/>
        </w:rPr>
        <w:t>و المکاسب</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علیه قبل الإجماع الأخبار المستفیضة المصرّحة فی موارد کثیرة</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رجلٍ بینی و بینه قرابة مات و ترک أولاداً صغاراً، و ترک</w:t>
      </w:r>
    </w:p>
    <w:p>
      <w:pPr>
        <w:pStyle w:val="BookText"/>
        <w:rPr/>
      </w:pPr>
      <w:r>
        <w:rPr>
          <w:rFonts w:ascii="IRNazanin" w:hAnsi="IRNazanin" w:eastAsia="IRNazanin"/>
          <w:color w:val="111111"/>
          <w:sz w:val="28"/>
          <w:sz w:val="28"/>
          <w:szCs w:val="28"/>
          <w:rtl w:val="true"/>
          <w:lang w:bidi="fa-IR"/>
        </w:rPr>
        <w:t>ممالیک غلماناً و جواری و لم یوصِ، فما تری فیمن یشتری منهم الجاریة فیتّخذها أُمّ ولد؟ و ما تری فی بیعهم؟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لهم ولیّ یقوم بأمرهم باع علیهم و نظر لهم و کان مأجوراً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فیمن یشتری منهم الجاریة فیتّخذها أُمّ ولد؟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باع علیهم القیّم لهم الناظر فیما یصلحهم، فلیس لهم أن یرجعوا فیما صنع القیّم لهم الناظر فیما یصلحهم</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ترک الوصیّة إنّما هو بالنسبة إلی الجواری و الغلمان، و المراد من القیّم و الولیّ من نصبه الأب؛ فإنّ نَصْبَ قضاة الجور لا أثر له، و نَصْبُه علیه السلام و نَصْبُ فقیهٍ منّا مفروض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ربعی بن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عنده مال الیتیم،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محتاجاً و لیس له مال فلا یمسُّ ماله، و إن هو اتّجر به فالربح للیتیم و هو ضامن</w:t>
      </w:r>
      <w:r>
        <w:rPr>
          <w:rFonts w:eastAsia="IRNazanin" w:cs="IRNazanin"/>
          <w:color w:val="111111"/>
          <w:sz w:val="28"/>
          <w:szCs w:val="28"/>
          <w:rtl w:val="true"/>
          <w:lang w:bidi="fa-IR"/>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تدلّ علی أحکام؛ و هی جواز الاتّجار بمال الیتیم، و کون الربح للیتیم، و کون الولیّ ضامناً إن تلف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أو صحیحة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سئل عن رجل أوصی إلی رجل بولده و بمال لهم، و أذن له عند الوصیّة أن یعمل بالمال، و أن یکون الربح بینه و بینهم،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من أجل أنّ أباه قد أذن له فی ذلک و هو حیٌّ</w:t>
      </w:r>
      <w:r>
        <w:rPr>
          <w:rFonts w:eastAsia="IRNazanin" w:cs="IRNazanin"/>
          <w:color w:val="111111"/>
          <w:sz w:val="28"/>
          <w:szCs w:val="28"/>
          <w:rtl w:val="true"/>
          <w:lang w:bidi="fa-IR"/>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bookmarkStart w:id="557" w:name="pg11753_114969"/>
    </w:p>
    <w:p>
      <w:pPr>
        <w:pStyle w:val="BookText"/>
        <w:rPr/>
      </w:pPr>
      <w:bookmarkEnd w:id="557"/>
      <w:r>
        <w:rPr>
          <w:rFonts w:ascii="IRNazanin" w:hAnsi="IRNazanin" w:eastAsia="IRNazanin"/>
          <w:color w:val="111111"/>
          <w:sz w:val="28"/>
          <w:sz w:val="28"/>
          <w:szCs w:val="28"/>
          <w:rtl w:val="true"/>
          <w:lang w:bidi="fa-IR"/>
        </w:rPr>
        <w:t>و قال الإمام الخمینی قدس سره بعد نقل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دلّت بتعلیلها علی أنّ إذن الأب موجب لصحّة المعاملات الواقعة علی مال الصغیر؛ سواء کان فی حال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یُوکّل من یعمل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بعد مماته بالإیصاء و الإجازة، فیظهر منه أنّ له التصرّف بالبیع و الشراء و نحوهما، و أنّه ولیّ الطفل و أنّ تصرّفاته نافذة؛ سواء کانت فیما ملکه الطفل حال حیاته، أو فیما انتقل إلیه بعد مماته</w:t>
      </w:r>
      <w:r>
        <w:rPr>
          <w:rFonts w:eastAsia="IRNazanin" w:cs="IRNazanin"/>
          <w:color w:val="111111"/>
          <w:sz w:val="28"/>
          <w:szCs w:val="28"/>
          <w:rtl w:val="true"/>
          <w:lang w:bidi="fa-IR"/>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النصوص تدلّ علی جواز تصرّف الأب فی حال حیاته بالبیع و الشراء و الاتّجار فی مال الصبیّ و تفویضه إلی الوصی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غیرها من الأخبار المستفیضة فی موارد کثیرة</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9482886_73709187"/>
      <w:bookmarkStart w:id="559" w:name="_Toc212"/>
      <w:bookmarkEnd w:id="558"/>
      <w:r>
        <w:rPr>
          <w:rtl w:val="true"/>
        </w:rPr>
        <w:t>آراء فقهاء أهل السنّة فی هذه المسألة</w:t>
      </w:r>
      <w:bookmarkEnd w:id="55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فی بدائع الصنائع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ماله بأکثر من قیمته</w:t>
      </w:r>
    </w:p>
    <w:p>
      <w:pPr>
        <w:pStyle w:val="BookText"/>
        <w:rPr/>
      </w:pPr>
      <w:r>
        <w:rPr>
          <w:rFonts w:ascii="IRNazanin" w:hAnsi="IRNazanin" w:eastAsia="IRNazanin"/>
          <w:color w:val="111111"/>
          <w:sz w:val="28"/>
          <w:sz w:val="28"/>
          <w:szCs w:val="28"/>
          <w:rtl w:val="true"/>
          <w:lang w:bidi="fa-IR"/>
        </w:rPr>
        <w:t>و یشتری له شیئاً بأقلّ من قیمته؛ لما قلناه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أن یبیعه بمثل قیمته و بأقلّ من قیمته مقدار ما یتغابن الناس فیه عادةً، و له أن یشتری له شیئاً بمثل قیمته و بأکثر من قیمته قدر ما یتغابن الناس فیه عادةً</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 أو الجدّ إذا اشتری مال الصغیر لنفسه أو باع مال نفسه من الصغیر بمثل قیمته أو بأقلّ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فعل الوصیّ ذلک لا یجوز عند محمد أصلاً، و عند أبی حنیفة و أبی یوسف إن کان خیراً للیتیم جاز، و إلاّ فلا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الزیلعی الحنفی</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و جاء فی المهذّب للشیرازی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یتّجر فی ماله؛</w:t>
      </w:r>
    </w:p>
    <w:p>
      <w:pPr>
        <w:pStyle w:val="BookText"/>
        <w:rPr/>
      </w:pPr>
      <w:r>
        <w:rPr>
          <w:rFonts w:ascii="IRNazanin" w:hAnsi="IRNazanin" w:eastAsia="IRNazanin"/>
          <w:color w:val="111111"/>
          <w:sz w:val="28"/>
          <w:sz w:val="28"/>
          <w:szCs w:val="28"/>
          <w:rtl w:val="true"/>
          <w:lang w:bidi="fa-IR"/>
        </w:rPr>
        <w:t>لما روی عبد اللّه بن عمرو بن العاص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ولی یتیماً له مال فلیتّجر له بماله و لا یترکه حتّی تأکله الصدقة</w:t>
      </w:r>
      <w:r>
        <w:rPr>
          <w:rFonts w:eastAsia="IRNazanin" w:cs="IRNazanin"/>
          <w:color w:val="111111"/>
          <w:sz w:val="28"/>
          <w:szCs w:val="28"/>
          <w:rtl w:val="true"/>
          <w:lang w:bidi="fa-IR"/>
        </w:rPr>
        <w:t>»</w:t>
      </w:r>
      <w:r>
        <w:rPr>
          <w:rStyle w:val="FootnoteAnchor"/>
          <w:rtl w:val="true"/>
        </w:rPr>
        <w:footnoteReference w:id="1548"/>
      </w:r>
      <w:r>
        <w:rPr>
          <w:rFonts w:ascii="IRNazanin" w:hAnsi="IRNazanin" w:eastAsia="IRNazanin"/>
          <w:color w:val="111111"/>
          <w:sz w:val="28"/>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أن یبیع ماله بماله، فإن کان أباً أو جدّاً جاز ذلک؛ لأنّهما لا یتّهمان فی ذلک لکمال شفقتهما، و إن کان غیرهما لم یجز؛ لما روی أنّ النبیّ صلی الله علیه و آله و سلم قال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یشتری الوصیّ من مال الیتیم</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متّهم فی طلب الحظّ</w:t>
      </w:r>
    </w:p>
    <w:p>
      <w:pPr>
        <w:pStyle w:val="BookText"/>
        <w:rPr/>
      </w:pPr>
      <w:r>
        <w:rPr>
          <w:rFonts w:ascii="IRNazanin" w:hAnsi="IRNazanin" w:eastAsia="IRNazanin"/>
          <w:color w:val="111111"/>
          <w:sz w:val="28"/>
          <w:sz w:val="28"/>
          <w:szCs w:val="28"/>
          <w:rtl w:val="true"/>
          <w:lang w:bidi="fa-IR"/>
        </w:rPr>
        <w:t>له فی بیع ماله من نفسه، فلم یجعل ذلک إلیه</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للناظر فی مال الصبیّ أن یتّجر فی ماله؛ سواء کان الناظر أباً، أو جدّاً، أو وصیّاً، أو سلطاناً، أو أمیناً من قبل الحاکم</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ما جاء فی کلام الماوردی</w:t>
      </w:r>
      <w:r>
        <w:rPr>
          <w:rStyle w:val="FootnoteAnchor"/>
          <w:rtl w:val="true"/>
        </w:rPr>
        <w:footnoteReference w:id="1553"/>
      </w:r>
      <w:r>
        <w:rPr>
          <w:rFonts w:ascii="IRNazanin" w:hAnsi="IRNazanin" w:eastAsia="IRNazanin"/>
          <w:color w:val="111111"/>
          <w:sz w:val="28"/>
          <w:sz w:val="28"/>
          <w:szCs w:val="28"/>
          <w:rtl w:val="true"/>
          <w:lang w:bidi="fa-IR"/>
        </w:rPr>
        <w:t>و الخطیب الشربینی</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و غیرهما</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للأب بیع مال ولده المحجور علیه مطلقاً عقاراً کان أو منقولاً، و لا یتعقّب بحال و لا یطلب منه بیان سبب البیع؛ لأنّ تصرّفه محمول علی المصلحة</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الوصیّ، فلا یبیع عقار محجوره إلاّ لسببٍ یقتضی بیعه؛ کنفقةٍ و وفاء دینٍ لم یوجد لهما غیر العقار، أو کون بیعه غبطةً؛ بأن زید فی ثمنه الثلث فأکثر، أو کونه یؤخذ علیه توظیفٌ؛ أی تجبی علیه جبایة، أو کون غلّته قلیلة، فیباع و یشتری من ثمنه عقار أکثر غلّة، أو لخوفٍ علیه من ظالم أو غیرها</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یبیع الحاکم کالوصیّ مال المحجور عند الضرورة، کالنفقة و وفاء الدین 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یجوز عندهم أیضاً أن یتصرّف الولیّ فی أموال الصبیّ بالمصلحة، فله أن یتّجر بماله، و التجارة بماله أولی من ترکه، و استدلّوا بما روی عن النبیّ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یتیماً له مال فلیتّجر له فیه، و لا یترکه حتّی تأکله الصدقة</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متی اتّجر فی مال الصبیّ بنفسه فالربح کلّه للیتیم؛ لأنّ الربح نماء مال الیتیم، فلا یستحقّه غیره إلاّ بعقدٍ، و المضارب إنّما یستحقّ بعقد، و لا یجوز أن یعقد الولیّ المضاربة مع نفسه لنفسه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یشتری له العقار؛ لأنّ الحظّ فیه یحصل منه الفضل و یبقی الأصل، فهو أحظّ من التجارة و أقلّ غرراً</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للأب بیع ماله بماله؛ لأنّه غیر متّهم علیه لکمال شفقته، و لیس ذلک للوصیّ و لا للحاکم؛ لأنّهما متّهمان فی طلب الحظّ لأنفسهما، فلم یجز ذلک لهما</w:t>
      </w:r>
      <w:r>
        <w:rPr>
          <w:rStyle w:val="FootnoteAnchor"/>
          <w:rtl w:val="true"/>
        </w:rPr>
        <w:footnoteReference w:id="1561"/>
      </w:r>
      <w:bookmarkStart w:id="560" w:name="pg11753_114973"/>
    </w:p>
    <w:p>
      <w:pPr>
        <w:pStyle w:val="Heading4"/>
        <w:numPr>
          <w:ilvl w:val="3"/>
          <w:numId w:val="1"/>
        </w:numPr>
        <w:rPr/>
      </w:pPr>
      <w:bookmarkStart w:id="561" w:name="__RefHeading___Toc9482888_73709187"/>
      <w:bookmarkStart w:id="562" w:name="_Toc213"/>
      <w:bookmarkEnd w:id="560"/>
      <w:bookmarkEnd w:id="561"/>
      <w:r>
        <w:rPr>
          <w:rtl w:val="true"/>
        </w:rPr>
        <w:t>المبحث الثانی</w:t>
      </w:r>
      <w:r>
        <w:rPr>
          <w:rtl w:val="true"/>
        </w:rPr>
        <w:t xml:space="preserve">: </w:t>
      </w:r>
      <w:r>
        <w:rPr>
          <w:rtl w:val="true"/>
        </w:rPr>
        <w:t>الفروع التی تنشأ من ولایة الأولیاء علی أموال الصغار</w:t>
      </w:r>
      <w:bookmarkEnd w:id="562"/>
    </w:p>
    <w:p>
      <w:pPr>
        <w:pStyle w:val="Heading5"/>
        <w:numPr>
          <w:ilvl w:val="4"/>
          <w:numId w:val="1"/>
        </w:numPr>
        <w:rPr/>
      </w:pPr>
      <w:bookmarkStart w:id="563" w:name="__RefHeading___Toc9482890_73709187"/>
      <w:bookmarkStart w:id="564" w:name="_Toc214"/>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للوصیّ بیع مال الطفل و المجنون من نفسه، و بیع مال نفسه منه؟ منع منه جماعة من علمائنا، و الشافعی أیضاً لقوله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یشتری الوصیّ من مال الیتیم</w:t>
      </w:r>
      <w:r>
        <w:rPr>
          <w:rFonts w:eastAsia="IRNazanin" w:cs="IRNazanin"/>
          <w:color w:val="111111"/>
          <w:sz w:val="28"/>
          <w:szCs w:val="28"/>
          <w:rtl w:val="true"/>
          <w:lang w:bidi="fa-IR"/>
        </w:rPr>
        <w:t>»</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عندی الجواز، و التهمة منتفیةٌ مع الوثوق بالعدالة، و لأنّ التقدیر أنّه بالغ فی النصیحة، و لا استبعاد فی کونه موجباً و قابلاً کما فی الأب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فهل للأب و الجدّ للأب ذلک؟ الأولی ذلک، و به قال الشافعی؛ لأنّ شفقتهما</w:t>
      </w:r>
      <w:r>
        <w:rPr>
          <w:rStyle w:val="FootnoteAnchor"/>
          <w:rtl w:val="true"/>
        </w:rPr>
        <w:footnoteReference w:id="1563"/>
      </w:r>
      <w:r>
        <w:rPr>
          <w:rFonts w:ascii="IRNazanin" w:hAnsi="IRNazanin" w:eastAsia="IRNazanin"/>
          <w:color w:val="111111"/>
          <w:sz w:val="28"/>
          <w:sz w:val="28"/>
          <w:szCs w:val="28"/>
          <w:rtl w:val="true"/>
          <w:lang w:bidi="fa-IR"/>
        </w:rPr>
        <w:t>علیه یوجب المناصحة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یبیع الأب و الجدّ عن أحد الصغیرین و یشتری للآخر</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 و الجدّ للأب یُمضی تصرّفهما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یبیع عن ولده من غیره، و عن نفسه من ولده، و عن ولده من نفسه</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و به قال فی المسالک</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 فی شرح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محقّق فی المقام، أو معتدّ به أجده فیه، بل الإجماع بقسمیه علیه، مضافاً إلی السیرة و نصوص تقویم جاریته علیه</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ما دلّ علی ولایته الشامل لذلک البیع و عدم اختصاصها بالعقد مع الغیر</w:t>
      </w:r>
      <w:r>
        <w:rPr>
          <w:rFonts w:eastAsia="IRNazanin" w:cs="IRNazanin"/>
          <w:color w:val="111111"/>
          <w:sz w:val="28"/>
          <w:szCs w:val="28"/>
          <w:rtl w:val="true"/>
          <w:lang w:bidi="fa-IR"/>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البیان فی فقه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یجوز للأب و الجدّ أن یبیعا مالهما من الصبیّ و یشتریا ماله بأنفسهما إذا رأیا الحظّ له فی ذلک؛ لأنّهما لا یتّهمان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غیر الأب و الجدّ من الأولیاء کالوصیّ و أمین الحاکم، فلا یجوز أن یبیع ماله من الصبیّ و یتولّی طرفی العقد، و لا یجوز أن یشتری ماله بنفسه</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عند الحنفیّة</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یجوز أن 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مالهما شیئاً لنفسه و لا یبیعهما إلاّ الأب؛ لأنّه غیر متّهم علیه لکمال شفقته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 حنیفة و مالک و الأوزاعی و الشافعی و زادوا الجدّ</w:t>
      </w:r>
      <w:r>
        <w:rPr>
          <w:rFonts w:eastAsia="IRNazanin" w:cs="IRNazanin"/>
          <w:color w:val="111111"/>
          <w:sz w:val="28"/>
          <w:szCs w:val="28"/>
          <w:rtl w:val="true"/>
          <w:lang w:bidi="fa-IR"/>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حفظ مال الطفل و استنماؤه قدراً لا تأکله النفقة علی إشکال</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جزم فی نکاح التذکرة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الولیّ حفظ مال الطفل؛ لأنّ اللّه</w:t>
      </w:r>
    </w:p>
    <w:p>
      <w:pPr>
        <w:pStyle w:val="BookText"/>
        <w:rPr/>
      </w:pPr>
      <w:r>
        <w:rPr>
          <w:rFonts w:ascii="IRNazanin" w:hAnsi="IRNazanin" w:eastAsia="IRNazanin"/>
          <w:color w:val="111111"/>
          <w:sz w:val="28"/>
          <w:sz w:val="28"/>
          <w:szCs w:val="28"/>
          <w:rtl w:val="true"/>
          <w:lang w:bidi="fa-IR"/>
        </w:rPr>
        <w:t>تعالی جعله قیّماً علیه ناظراً فی مصالحه و تحصیل منافعه، و دفع المفاسد عنه، فیجب علیه مراعاة حاله فی حفظ ماله، و صونه عن أسباب التلف، و علیه استنماؤه بحیث لا تأکله النفقة و المؤن إن أمکن ذلک، و لا تجب علیه المبالغة فی الاستنماء و طلب النهایة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متاعه بأکثر من ثمنه وجب بیعه، إلاّ أن تقتضی المصلحة إبقاءه، و لو کان هناک متاع یُباع بأقلّ ثمنه و للطفل مال وجب أن یشتریه مع المصلحة و الغبطة، إلاّ أن یرغب الولیّ فی شرائه لنفسه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یحتاج الطفل إلی إبقائه و حفظ ثمنه لا یجوز بیعه و إن طلب بالزیادة، و العقار الذی یحصل منه قدر کفایته لا یباع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طرف الشراء، قد یکون الشیء رخیصاً لکن یکون فی معرض التلف، أو یتعذّر بیعه لقلّة الراغب فیه فلا یشتریه الولیّ؛ لأنّه یکون ثقله علی الطفل</w:t>
      </w:r>
      <w:r>
        <w:rPr>
          <w:rFonts w:eastAsia="IRNazanin" w:cs="IRNazanin"/>
          <w:color w:val="111111"/>
          <w:sz w:val="28"/>
          <w:szCs w:val="28"/>
          <w:rtl w:val="true"/>
          <w:lang w:bidi="fa-IR"/>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یرجّح ابن العلاّمة ذلک فی الإیضاح،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ینشأ الإشکال من أنّه اکتساب لا یجب، و من أنّه منصوب للمصلحة، و هذه من أتمّ المصالح، و لأنّه مفسدة و ضرر عظیم علی الطفل و نصب المولی لدفعها، و بهذا یبنی علی أنّ هذا هل هو مصلحة أو أصلح، و علی الثانی هل یجب أم لا؟ و قد حقّق ذلک فی علم الکلام</w:t>
      </w:r>
      <w:r>
        <w:rPr>
          <w:rFonts w:eastAsia="IRNazanin" w:cs="IRNazanin"/>
          <w:color w:val="111111"/>
          <w:sz w:val="28"/>
          <w:szCs w:val="28"/>
          <w:rtl w:val="true"/>
          <w:lang w:bidi="fa-IR"/>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لزوم التفصیل فی المسألة، و القول بأنّه یجب علی الولیّ حفظ مال الطفل عن التلف، بحیث لو لم یقدم علی هذا کان عاصیاً و معاقباً، و لکن لا یجب</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علیه استنماء مال الطفل و طلب الزیادة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هذا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الولیّ قیّماً علی الطفل ناظراً فی مصالحه، و هذا الجعل یوجب أن یکون مکلّفاً فی دفع الضرر و المفاسد عن نفس الطفل و ماله، فیجب علیه مراعاة حاله و حفظ ماله؛ لأنّه لا معنی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 قیّم و ناظر و لا یجب حفظه و حفظ ماله عن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لجعل الشارع القیمومة للطفل أثراً، و هو إلزام القیّم برعایة مصالحه،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ماله عن التلف، و إن لم نقل بذلک یکون جعل القیمومة بلا أثر و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أنّه إن تلف مال الطفل فی زمان قیمومة الولیّ فلیس علیه ضمان؛ لأنّه لم یکن موجباً لإتلافه بحیث یصدق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 أتلف مال الطفل و إن کان عاصیاً فی عدم حفظه مال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استنماء مال الطفل و طلب الزیادة فیه، فلا یجب علی الولیّ؛ لأنّه اکتساب و تکلیف زائد و لا دلیل علیه، فنحکم بعدم وجوبه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الظاهر من کلام المحقّق الثانی،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کلام العلاّمة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استنماؤه قدراً لا تأکله النفقة علی إشکال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ینشأ من أنّ ذلک اکتساب مال الطفل و لا یجب، و من أنّ ذهاب ماله فی النفقة ضرر عظیم، و فائدة نصب الولیّ دفع الضرر، و ربما بنی الحکم علی أنّ الواجب الأصلح، أم تکفی المصلحة، و الأصحّ عدم الوجوب</w:t>
      </w:r>
      <w:r>
        <w:rPr>
          <w:rFonts w:eastAsia="IRNazanin" w:cs="IRNazanin"/>
          <w:color w:val="111111"/>
          <w:sz w:val="28"/>
          <w:szCs w:val="28"/>
          <w:rtl w:val="true"/>
          <w:lang w:bidi="fa-IR"/>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أیضاً فی مفتاح الکرامة 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أصحّه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الوصیّ فعل ما فیه مصلحة؛ بمعنی دفع الضرر، و لا یجب</w:t>
      </w:r>
    </w:p>
    <w:p>
      <w:pPr>
        <w:pStyle w:val="BookText"/>
        <w:rPr/>
      </w:pPr>
      <w:r>
        <w:rPr>
          <w:rFonts w:ascii="IRNazanin" w:hAnsi="IRNazanin" w:eastAsia="IRNazanin"/>
          <w:color w:val="111111"/>
          <w:sz w:val="28"/>
          <w:sz w:val="28"/>
          <w:szCs w:val="28"/>
          <w:rtl w:val="true"/>
          <w:lang w:bidi="fa-IR"/>
        </w:rPr>
        <w:t>علیه الأصلح</w:t>
      </w:r>
      <w:r>
        <w:rPr>
          <w:rFonts w:eastAsia="IRNazanin" w:cs="IRNazanin"/>
          <w:color w:val="111111"/>
          <w:sz w:val="28"/>
          <w:szCs w:val="28"/>
          <w:rtl w:val="true"/>
          <w:lang w:bidi="fa-IR"/>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أیضاً علی عدم وجوبه ما ورد فی خبر</w:t>
      </w:r>
    </w:p>
    <w:p>
      <w:pPr>
        <w:pStyle w:val="BookText"/>
        <w:rPr/>
      </w:pPr>
      <w:r>
        <w:rPr>
          <w:rFonts w:ascii="IRNazanin" w:hAnsi="IRNazanin" w:eastAsia="IRNazanin"/>
          <w:color w:val="111111"/>
          <w:sz w:val="28"/>
          <w:sz w:val="28"/>
          <w:szCs w:val="28"/>
          <w:rtl w:val="true"/>
          <w:lang w:bidi="fa-IR"/>
        </w:rPr>
        <w:t>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أخ هلک فأوصی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أخ أکبر منّی و أدخلنی معه فی الوصیّة، و ترک ابناً له صغیراً و له مال، أ فیضرب به أخی؟ فما کان من فضل سلّمه للیتیم، و ضمّن له ماله،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لأخیک مال یحیط بمال الیتیم إن تلف فلا بأس به، و إن لم یکن له مال فلا یعرض لمال الیتیم</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فلیتّجر به، أو یضارب، أو یجب علیه، أو نحو ذلک ممّا یدلّ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خبر</w:t>
      </w:r>
    </w:p>
    <w:p>
      <w:pPr>
        <w:pStyle w:val="BookText"/>
        <w:rPr/>
      </w:pPr>
      <w:r>
        <w:rPr>
          <w:rFonts w:ascii="IRNazanin" w:hAnsi="IRNazanin" w:eastAsia="IRNazanin"/>
          <w:color w:val="111111"/>
          <w:sz w:val="28"/>
          <w:sz w:val="28"/>
          <w:szCs w:val="28"/>
          <w:rtl w:val="true"/>
          <w:lang w:bidi="fa-IR"/>
        </w:rPr>
        <w:t>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الرجل یکون فی یدیه مال لأخ له یتیم و هو وصیّه، أ یصلح له أن یعمل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کما یعمل بمال غیره و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ضمان؟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کان ناظراً له</w:t>
      </w:r>
      <w:r>
        <w:rPr>
          <w:rFonts w:eastAsia="IRNazanin" w:cs="IRNazanin"/>
          <w:color w:val="111111"/>
          <w:sz w:val="28"/>
          <w:szCs w:val="28"/>
          <w:rtl w:val="true"/>
          <w:lang w:bidi="fa-IR"/>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لما ذکرنا عدل العلاّمة عن نظره الشریف فقال فی حجر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للولیّ أن یتّجر بمال الیتیم و یضارب به، و یدفعه إلی من یضارب له به، و یجعل له نصیباً من الربح، و یستحبّ له ذلک؛ سواء کان الولیّ أباً أو جدّاً له، أو وصیّاً، أو حاکماً أو أمین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علیّ علیه السلام و عمر و عائشة و الضحّاک، و لا نعلم فیه خلافاً إلاّ ما روی عن الحسن البصری کراهة ذلک؛ لأنّ خَزْنَه</w:t>
      </w:r>
      <w:r>
        <w:rPr>
          <w:rStyle w:val="FootnoteAnchor"/>
          <w:rtl w:val="true"/>
        </w:rPr>
        <w:footnoteReference w:id="1580"/>
      </w:r>
      <w:r>
        <w:rPr>
          <w:rFonts w:ascii="IRNazanin" w:hAnsi="IRNazanin" w:eastAsia="IRNazanin"/>
          <w:color w:val="111111"/>
          <w:sz w:val="28"/>
          <w:sz w:val="28"/>
          <w:szCs w:val="28"/>
          <w:rtl w:val="true"/>
          <w:lang w:bidi="fa-IR"/>
        </w:rPr>
        <w:t>أحفظ و أبعد من التلف</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الولیّ الإنفاق علی من یلیه بالمعروف،</w:t>
      </w:r>
    </w:p>
    <w:p>
      <w:pPr>
        <w:pStyle w:val="BookText"/>
        <w:rPr/>
      </w:pPr>
      <w:r>
        <w:rPr>
          <w:rFonts w:ascii="IRNazanin" w:hAnsi="IRNazanin" w:eastAsia="IRNazanin"/>
          <w:color w:val="111111"/>
          <w:sz w:val="28"/>
          <w:sz w:val="28"/>
          <w:szCs w:val="28"/>
          <w:rtl w:val="true"/>
          <w:lang w:bidi="fa-IR"/>
        </w:rPr>
        <w:t>و لا یجوز له التقتیر علیه فی الغایة، و لا الإسراف فی النفقة، بل یکون فی ذلک مقتصد، أو یجری الطفل علی عادته و قواعد أمثاله من نظرائه، فإن کان من أهل الاحتشام أطعمه و کساه ما یلیق بأمثاله من المطعوم و الملبوس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کان من أهل الفاقة و الضرورة أنفق علیه نفقة أمثاله</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وسیلة النجاة</w:t>
      </w:r>
      <w:r>
        <w:rPr>
          <w:rStyle w:val="FootnoteAnchor"/>
          <w:rtl w:val="true"/>
        </w:rPr>
        <w:footnoteReference w:id="1583"/>
      </w:r>
      <w:r>
        <w:rPr>
          <w:rFonts w:ascii="IRNazanin" w:hAnsi="IRNazanin" w:eastAsia="IRNazanin"/>
          <w:color w:val="111111"/>
          <w:sz w:val="28"/>
          <w:sz w:val="28"/>
          <w:szCs w:val="28"/>
          <w:rtl w:val="true"/>
          <w:lang w:bidi="fa-IR"/>
        </w:rPr>
        <w:t>و تحریرها</w:t>
      </w:r>
      <w:r>
        <w:rPr>
          <w:rStyle w:val="FootnoteAnchor"/>
          <w:rtl w:val="true"/>
        </w:rPr>
        <w:footnoteReference w:id="1584"/>
      </w:r>
      <w:r>
        <w:rPr>
          <w:rFonts w:ascii="IRNazanin" w:hAnsi="IRNazanin" w:eastAsia="IRNazanin"/>
          <w:color w:val="111111"/>
          <w:sz w:val="28"/>
          <w:sz w:val="28"/>
          <w:szCs w:val="28"/>
          <w:rtl w:val="true"/>
          <w:lang w:bidi="fa-IR"/>
        </w:rPr>
        <w:t xml:space="preserve">و تفصیل الشریعة، و زاد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أسرف فی ذلک یکون ضامناً للزیادة، کما أنّه لو قتّر یکون معاقباً علیه، بل لو صار التقتیر سبباً للمرض و الکسالة المستلزمة صحّتها للمخارج لا یبعد أن یقال بضمان تلک المخارج حتّی تتحقّق الصحّة</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مقتضی موثّقة</w:t>
      </w:r>
    </w:p>
    <w:p>
      <w:pPr>
        <w:pStyle w:val="BookText"/>
        <w:rPr/>
      </w:pPr>
      <w:r>
        <w:rPr>
          <w:rFonts w:ascii="IRNazanin" w:hAnsi="IRNazanin" w:eastAsia="IRNazanin"/>
          <w:color w:val="111111"/>
          <w:sz w:val="28"/>
          <w:sz w:val="28"/>
          <w:szCs w:val="28"/>
          <w:rtl w:val="true"/>
          <w:lang w:bidi="fa-IR"/>
        </w:rPr>
        <w:t>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تُخالِطُوهُمْ فَإِخْوانُکُمْ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الیتامی إذا کان الرجل یلی لأیتام فی حجره فلیخرج من ماله علی قدر ما یحتاج إلیه، علی قدر ما یخرجه لکلّ إنسان منهم فیخالطهم و یأکلون جمیعاً، و لا یرزأنّ‌</w:t>
      </w:r>
      <w:r>
        <w:rPr>
          <w:rStyle w:val="FootnoteAnchor"/>
          <w:rtl w:val="true"/>
        </w:rPr>
        <w:footnoteReference w:id="1586"/>
      </w:r>
      <w:r>
        <w:rPr>
          <w:rFonts w:ascii="IRNazanin" w:hAnsi="IRNazanin" w:eastAsia="IRNazanin"/>
          <w:color w:val="111111"/>
          <w:sz w:val="28"/>
          <w:sz w:val="28"/>
          <w:szCs w:val="28"/>
          <w:rtl w:val="true"/>
          <w:lang w:bidi="fa-IR"/>
        </w:rPr>
        <w:t>من أموالهم شیئاً، إنّما هی النار</w:t>
      </w:r>
      <w:r>
        <w:rPr>
          <w:rFonts w:eastAsia="IRNazanin" w:cs="IRNazanin"/>
          <w:color w:val="111111"/>
          <w:sz w:val="28"/>
          <w:szCs w:val="28"/>
          <w:rtl w:val="true"/>
          <w:lang w:bidi="fa-IR"/>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مرسلة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الیتیم تکون غلّته</w:t>
      </w:r>
      <w:r>
        <w:rPr>
          <w:rStyle w:val="FootnoteAnchor"/>
          <w:rtl w:val="true"/>
        </w:rPr>
        <w:footnoteReference w:id="1588"/>
      </w:r>
      <w:r>
        <w:rPr>
          <w:rFonts w:ascii="IRNazanin" w:hAnsi="IRNazanin" w:eastAsia="IRNazanin"/>
          <w:color w:val="111111"/>
          <w:sz w:val="28"/>
          <w:sz w:val="28"/>
          <w:szCs w:val="28"/>
          <w:rtl w:val="true"/>
          <w:lang w:bidi="fa-IR"/>
        </w:rPr>
        <w:t>فی الشهر عشرین درهماً، کیف ینفق علیه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قوته من</w:t>
      </w:r>
    </w:p>
    <w:p>
      <w:pPr>
        <w:pStyle w:val="BookText"/>
        <w:rPr/>
      </w:pPr>
      <w:r>
        <w:rPr>
          <w:rFonts w:ascii="IRNazanin" w:hAnsi="IRNazanin" w:eastAsia="IRNazanin"/>
          <w:color w:val="111111"/>
          <w:sz w:val="28"/>
          <w:sz w:val="28"/>
          <w:szCs w:val="28"/>
          <w:rtl w:val="true"/>
          <w:lang w:bidi="fa-IR"/>
        </w:rPr>
        <w:t>الطعام و التمر</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یلی مال الیتیم من ولیّ أو وصیّ یجب أن یخرج عن الطفل من ماله جمیع ما یتعلّق به من الدیون التی لزمته باقتراض الولیّ عنه، أو لزمته بأرش أو جنایة، أو بسبب دیون مورّثه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زکاة الفطرة، فلا تجب علیه عندنا خلافاً لبعض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زکاة المال، ففیها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جنی الطفل علی مال کانت فی ماله، یخرجها الوصیّ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علی النفس فهی خطأ مطلقاً؛ لأنّ عمد الطفل عندنا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فالدیة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الکفّارة فی مال الطفل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ینفق علی من علیه نفقته، فلو کان له أبوان فقیران أنفق علیهما</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سنذکر حکم الزکاة و الخمس فی مال الصبیّ و کذا الکفّارة فی الباب الذی عقدناه للبحث عن عبادات الطفل إن شاء اللّه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یفرد الیتیم بالمأکول و الملبوس و السکنی، و أن یخلطه بعائلته یحسبه کأحدهم، فیأخذ من ماله بإزاء ما یقابل مئونته و لا یفضله علی نفسه، بل یستحبّ أن یفضل نفسه علیه، و لو کان إفراده أرفق به أفرده، و کذا لو کان الرفق فی مزجه أمزجه استحباباً</w:t>
      </w:r>
      <w:r>
        <w:rPr>
          <w:rFonts w:eastAsia="IRNazanin" w:cs="IRNazanin"/>
          <w:color w:val="111111"/>
          <w:sz w:val="28"/>
          <w:szCs w:val="28"/>
          <w:rtl w:val="true"/>
          <w:lang w:bidi="fa-IR"/>
        </w:rPr>
        <w:t>»</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593"/>
      </w:r>
      <w:r>
        <w:rPr>
          <w:rFonts w:ascii="IRNazanin" w:hAnsi="IRNazanin" w:eastAsia="IRNazanin"/>
          <w:color w:val="111111"/>
          <w:sz w:val="28"/>
          <w:sz w:val="28"/>
          <w:szCs w:val="28"/>
          <w:rtl w:val="true"/>
          <w:lang w:bidi="fa-IR"/>
        </w:rPr>
        <w:t>و السرائر</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و الوسیلة</w:t>
      </w:r>
      <w:r>
        <w:rPr>
          <w:rStyle w:val="FootnoteAnchor"/>
          <w:rtl w:val="true"/>
        </w:rPr>
        <w:footnoteReference w:id="1595"/>
      </w:r>
      <w:r>
        <w:rPr>
          <w:rFonts w:ascii="IRNazanin" w:hAnsi="IRNazanin" w:eastAsia="IRNazanin"/>
          <w:color w:val="111111"/>
          <w:sz w:val="28"/>
          <w:sz w:val="28"/>
          <w:szCs w:val="28"/>
          <w:rtl w:val="true"/>
          <w:lang w:bidi="fa-IR"/>
        </w:rPr>
        <w:t>و تحریرها</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فینبغی أن یتغابن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الأیتام فیحسب لکلّ واحد من عیاله و أتباعه أکثر من أکل الیتیم و إن ساوی الواحد منهم، تحفّظاً لمال الیتیم و تحرّزاً من تلف بعضه، و لو تعدّد الیتامی و اختلفوا کبراً و صغراً حسب علی الکبیر بقسطه و علی الصغیر بقسطه لئلاّ یضیع مال الصغیر بقسطه علی نفقة الکبیر</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جامع المقاصد</w:t>
      </w:r>
      <w:r>
        <w:rPr>
          <w:rStyle w:val="FootnoteAnchor"/>
          <w:rtl w:val="true"/>
        </w:rPr>
        <w:footnoteReference w:id="1598"/>
      </w:r>
      <w:r>
        <w:rPr>
          <w:rFonts w:ascii="IRNazanin" w:hAnsi="IRNazanin" w:eastAsia="IRNazanin"/>
          <w:color w:val="111111"/>
          <w:sz w:val="28"/>
          <w:sz w:val="28"/>
          <w:szCs w:val="28"/>
          <w:rtl w:val="true"/>
          <w:lang w:bidi="fa-IR"/>
        </w:rPr>
        <w:t>و مفتاح الکرامة</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فی تفصیل الشریعة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یخلطه بعائلته و اسرته و یحسبه کأحدهم، فیوزّع المصارف علیهم بنسبة الرءوس و یأخذ سهم الیتیم من ماله، بل لعلّ هذا یکون أنفع بحاله من الإفراد و الاستقلال؛ لأنّ التوزیع موجب لقلّة مصارف الیتیم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المأکول و المشروب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الملبوس فحیث إنّه لا معنی للتوزیع فیه غالباً، فالحساب علی کلّ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المسکن لو لم یکن الیتیم واجداً له بالإرث و نحوه، فاللازم فیه أیضاً رعایة ما هو صلاح له من الاشتراء و الاستئجار و الإفراد و المخالطة</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موثّقة سماعة المتقدّمة؛ لأنّ الإمام علیه السلام قال فیها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یلی لأیتام فی حجره فلیخرج من ماله علی قدر ما یحتاج إلیه، علی قدر ما</w:t>
      </w:r>
    </w:p>
    <w:p>
      <w:pPr>
        <w:pStyle w:val="BookText"/>
        <w:rPr/>
      </w:pPr>
      <w:r>
        <w:rPr>
          <w:rFonts w:ascii="IRNazanin" w:hAnsi="IRNazanin" w:eastAsia="IRNazanin"/>
          <w:color w:val="111111"/>
          <w:sz w:val="28"/>
          <w:sz w:val="28"/>
          <w:szCs w:val="28"/>
          <w:rtl w:val="true"/>
          <w:lang w:bidi="fa-IR"/>
        </w:rPr>
        <w:t>یخرجه لکلّ إنسان منهم فیخالطهم و یأکلون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أبی الصباح الکنانی،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تُخالِطُوهُمْ فَإِخْوانُکُمْ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من أموالهم قدر ما یکفیهم، و تخرج من مالک قدر ما یکفیک، ثمّ تنفقه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کانوا یتامی صغاراً و کباراً، و بعضهم أعلی کسوة من بعض، و بعضهم آکل من بعض و مالهم جمیعاً،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الکسوة فعلی کلّ إنسان منهم ثمن کسوته، و أمّا الطعام فاجعلوه جمیعاً؛ فإنّ الصغیر یوشک أن یأکل مثل الکبیر</w:t>
      </w:r>
      <w:r>
        <w:rPr>
          <w:rFonts w:eastAsia="IRNazanin" w:cs="IRNazanin"/>
          <w:color w:val="111111"/>
          <w:sz w:val="28"/>
          <w:szCs w:val="28"/>
          <w:rtl w:val="true"/>
          <w:lang w:bidi="fa-IR"/>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یدلّ علیه روایة تفسیر القمّی</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یستحبّ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العقار</w:t>
      </w:r>
      <w:r>
        <w:rPr>
          <w:rStyle w:val="FootnoteAnchor"/>
          <w:rtl w:val="true"/>
        </w:rPr>
        <w:footnoteReference w:id="1604"/>
      </w:r>
      <w:r>
        <w:rPr>
          <w:rFonts w:ascii="IRNazanin" w:hAnsi="IRNazanin" w:eastAsia="IRNazanin"/>
          <w:color w:val="111111"/>
          <w:sz w:val="28"/>
          <w:sz w:val="28"/>
          <w:szCs w:val="28"/>
          <w:rtl w:val="true"/>
          <w:lang w:bidi="fa-IR"/>
        </w:rPr>
        <w:t>؛ لأنّه یحصل فیه الفضل و یبقی الأصل، و لا یشتریه إلاّ من ثقة أمین یؤمن جحوده أو حیلته فی إفساد البیع؛ بأن یکون قد أقرّ لغیره قبل البیع و ما أشبه ذلک، و یکون فی موضع لا یخاف هلاکه؛ بأن لا یکون بقرب الماء فیخاف غرقه أو فی معترک بین طائفتین من أهل بلد فیخاف علیه الحریق و الهدم</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التحریر</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یحصل منه الفضل و لا یفتقر إلی کثیر مئونةٍ و سلامته</w:t>
      </w:r>
    </w:p>
    <w:p>
      <w:pPr>
        <w:pStyle w:val="BookText"/>
        <w:rPr/>
      </w:pPr>
      <w:r>
        <w:rPr>
          <w:rFonts w:ascii="IRNazanin" w:hAnsi="IRNazanin" w:eastAsia="IRNazanin"/>
          <w:color w:val="111111"/>
          <w:sz w:val="28"/>
          <w:sz w:val="28"/>
          <w:szCs w:val="28"/>
          <w:rtl w:val="true"/>
          <w:lang w:bidi="fa-IR"/>
        </w:rPr>
        <w:t>متیقّنة، و الأصل باق مع الاستنماء، و الغرر فیه أقلّ من التجارة، بل هو أولی منها؛ لما فی التجارة من الأخطار و انحطاط الأسعار، فإن لم یکن فی شرائه مصلحة إمّا لفضل الخراج و جور السلطان، أو إشراف الموضع علی البوار لم یجز</w:t>
      </w:r>
      <w:r>
        <w:rPr>
          <w:rFonts w:eastAsia="IRNazanin" w:cs="IRNazanin"/>
          <w:color w:val="111111"/>
          <w:sz w:val="28"/>
          <w:szCs w:val="28"/>
          <w:rtl w:val="true"/>
          <w:lang w:bidi="fa-IR"/>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یبنی عقارَهُ، و یستجدّه إذا استهدم من الدور و المساکن؛ لأنّه فی معنی الشراء، إلاّ أن یکون الشراء أنفع فیصرف المال إلیه، و یقدّمه علی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البناء بنی بما فیه الحظّ للیتیم، و یبنیه بالآجر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اقتضت المصلحة البناء باللبن</w:t>
      </w:r>
      <w:r>
        <w:rPr>
          <w:rStyle w:val="FootnoteAnchor"/>
          <w:rtl w:val="true"/>
        </w:rPr>
        <w:footnoteReference w:id="1608"/>
      </w:r>
      <w:r>
        <w:rPr>
          <w:rFonts w:ascii="IRNazanin" w:hAnsi="IRNazanin" w:eastAsia="IRNazanin"/>
          <w:color w:val="111111"/>
          <w:sz w:val="28"/>
          <w:sz w:val="28"/>
          <w:szCs w:val="28"/>
          <w:rtl w:val="true"/>
          <w:lang w:bidi="fa-IR"/>
        </w:rPr>
        <w:t>فعل،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البناء فی کلّ بلد علی عادته</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عقار لم یجز لولیّه أن یبیعه إلاّ عند الحاجة بالصغیر إلی ثمنه لنفقته و کسوته، و لا یکون له وجه غیره من غلّةٍ و أُجرة عقارٍ فیباع بقدر الحاجة، أو یکون فی بیعه غبطة</w:t>
      </w:r>
      <w:r>
        <w:rPr>
          <w:rFonts w:eastAsia="IRNazanin" w:cs="IRNazanin"/>
          <w:color w:val="111111"/>
          <w:sz w:val="28"/>
          <w:szCs w:val="28"/>
          <w:rtl w:val="true"/>
          <w:lang w:bidi="fa-IR"/>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القواعد</w:t>
      </w:r>
      <w:r>
        <w:rPr>
          <w:rStyle w:val="FootnoteAnchor"/>
          <w:rtl w:val="true"/>
        </w:rPr>
        <w:footnoteReference w:id="1611"/>
      </w:r>
      <w:r>
        <w:rPr>
          <w:rFonts w:ascii="IRNazanin" w:hAnsi="IRNazanin" w:eastAsia="IRNazanin"/>
          <w:color w:val="111111"/>
          <w:sz w:val="28"/>
          <w:sz w:val="28"/>
          <w:szCs w:val="28"/>
          <w:rtl w:val="true"/>
          <w:lang w:bidi="fa-IR"/>
        </w:rPr>
        <w:t>، و علّله فی التذکرة بأنّ الولیّ مأمور بفعل ما فیه الحظّ و المصلحة للیتیم، و بیع عقاره یکون تفویتاً للحظّ و المصلحة علیه، فلا یجوز إلاّ أن احتیج إلی بیعه فجاز</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کلام الماتن فی 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یکون به ضرورة إلی کسوة أو نفقة، أو قضاء دین أو ما لا بدّ منه، و لا تندفع حاجته إلاّ بالبیع</w:t>
      </w:r>
    </w:p>
    <w:p>
      <w:pPr>
        <w:pStyle w:val="BookText"/>
        <w:rPr/>
      </w:pPr>
      <w:r>
        <w:rPr>
          <w:rFonts w:ascii="IRNazanin" w:hAnsi="IRNazanin" w:eastAsia="IRNazanin"/>
          <w:color w:val="111111"/>
          <w:sz w:val="28"/>
          <w:sz w:val="28"/>
          <w:szCs w:val="28"/>
          <w:rtl w:val="true"/>
          <w:lang w:bidi="fa-IR"/>
        </w:rPr>
        <w:t>و الجزئیات لا تنضبط، فالمدار علی الحاجة مع المصلحة</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تصرّف الأولیاء فی أملاک الأیتام بالبیع و الشراء مقیّد بوجود المصلحة أو عدم المفسدة علی ما بیّناه سابقاً، و بیع عقار الیتیم من دون حاجة یکون علی خلاف مصلحته، بل یوجب ضرراً و مفسدة علیه، فلا یجوز تکلیفاً؛ بمعنی أنّه إن باع الولیّ العقار أو غیره من دون حاجة إلی البیع و علی خلاف مصلحة الیتیم کان عاصیاً؛ لأنّ فعله یوجب ضرراً علیه و هو محرّم، و کذا لا ینعقد البیع وضعاً؛ بمعنی أنّه إن عصی و أوجب البیع لم یصحّ و لم یخرج المبیع عن ملک الیتیم، و لا تترتّب علیه آثار الملک للمشتری؛ لأنّ فی فرض المسألة لم یکن الولیّ مجازاً للتصرّف لا شرعاً، فإنّ تصرّفه شرعاً مقیّد بالمصلحة، و لا من ناحیة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لم یکن أهلاً للإجازة، فلا وجه للقول بصحّة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أنّه لا وجه للقول بکراهة بیع العقار من دون حاجة و مصلحة للیتیم، کما اختاره العلاّمة فی التحریر</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لما ذکرنا عدل عن رأیه فی التذکرة و القواعد کما ذکرنا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باع الأب أو الجدّ عقار الصبیّ أو المجنون و ذکر أنّه للحاجة، و رفع الأمر إلی الحاکم، جاز له أن یسجّل علی البیع و لم یکلّفهما إثبات الحاجة و الغبطة؛ لأنّهما غیر</w:t>
      </w:r>
      <w:r>
        <w:rPr>
          <w:rStyle w:val="FootnoteAnchor"/>
          <w:rtl w:val="true"/>
        </w:rPr>
        <w:footnoteReference w:id="1615"/>
      </w:r>
      <w:r>
        <w:rPr>
          <w:rFonts w:ascii="IRNazanin" w:hAnsi="IRNazanin" w:eastAsia="IRNazanin"/>
          <w:color w:val="111111"/>
          <w:sz w:val="28"/>
          <w:sz w:val="28"/>
          <w:szCs w:val="28"/>
          <w:rtl w:val="true"/>
          <w:lang w:bidi="fa-IR"/>
        </w:rPr>
        <w:t>متّهمین فی حقّ ولدهما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 الوصیّ أو أمین الحاکم لم یسجّل الحاکم إلاّ إذا قامت البیِّنة علی الحاجة أو الغبطة</w:t>
      </w:r>
      <w:r>
        <w:rPr>
          <w:rFonts w:eastAsia="IRNazanin" w:cs="IRNazanin"/>
          <w:color w:val="111111"/>
          <w:sz w:val="28"/>
          <w:szCs w:val="28"/>
          <w:rtl w:val="true"/>
          <w:lang w:bidi="fa-IR"/>
        </w:rPr>
        <w:t>»</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فی تحریر الأحکام</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الشیخ الطوسی فی المبسوط‌</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ما اختاره بعض الفقهاء من التفصیل بین ما إذا کان الوصیّ موثّقاً عند الحاکم، فیقبل قوله و یسجّله عملاً لظاهر الحال، و بین ما إذا لم یکن کذلک فلا یقبل إلاّ بعد إقامة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غیرهما کالوصیّ فلا یسجّله إلاّ بعد ثبوتها عنده علی الأحوط، و إن کان الأقرب جواز تسجیله مع وثاقته عنده</w:t>
      </w:r>
      <w:r>
        <w:rPr>
          <w:rFonts w:eastAsia="IRNazanin" w:cs="IRNazanin"/>
          <w:color w:val="111111"/>
          <w:sz w:val="28"/>
          <w:szCs w:val="28"/>
          <w:rtl w:val="true"/>
          <w:lang w:bidi="fa-IR"/>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بلغ الصبیّ و قد باع الأب أو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أنّه باعه من غیر حاجةٍ و لا غبطةٍ کان القول قول الأب أو الجدّ، و إن کان وصیّاً أو أمیناً کان القول قول الصبیّ، و وجب علی الوصیّ أو الأمین البیِّنة</w:t>
      </w:r>
      <w:r>
        <w:rPr>
          <w:rFonts w:eastAsia="IRNazanin" w:cs="IRNazanin"/>
          <w:color w:val="111111"/>
          <w:sz w:val="28"/>
          <w:szCs w:val="28"/>
          <w:rtl w:val="true"/>
          <w:lang w:bidi="fa-IR"/>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التحریر</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فی التذکرة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قول الأب و الجدّ مع الیمین، 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لأنّه یدّعی علیهما خلاف الظاهر؛ إذ الظاهر من حالهما الشفقة و عدم البیع إلاّ للحاجة، و لو ادّعاه علی الوصیّ أو الأمین فالقول قوله فی العقار و علیهما البیِّنة؛ لأنّهما مدّعیان فکان علیهما البیِّنة، و فی غیر العقار الأولی ذلک أیضاً لهذا الدلیل</w:t>
      </w:r>
      <w:r>
        <w:rPr>
          <w:rFonts w:eastAsia="IRNazanin" w:cs="IRNazanin"/>
          <w:color w:val="111111"/>
          <w:sz w:val="28"/>
          <w:szCs w:val="28"/>
          <w:rtl w:val="true"/>
          <w:lang w:bidi="fa-IR"/>
        </w:rPr>
        <w:t>»</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و أفتی فی القواعد بقبول قول الوصی أیضاً فی البیع لکنّه علی إشکال</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الوصیّ أو أمین الحاکم موثّقاً، فالقول قوله، و الأقوی عدم الفرق بین الأب و الجدّ و غیرهما فی هذا الحکم، و الدلیل علیه ما سنذکره دلیلاً للحکم فی الفرع الحادی عشر، فانتظره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أیضاً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أنفق علیه أو علی العقار قُبِلَ من الأب أو الجدّ بلا بیِّنة، و لا یقبل من الوصیّ و لا الأمین إلاّ ببیّنة،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یقبل منهما أیضاً بلا بیِّنة؛ لأنّهما مأمونان و هو الأولی؛ لأنّه یشقّ علیهما إقامة البیِّنة علی الإنفاق، و لا یشقّ علی البیع، فلأجل ذلک قبل قولهما فی هذا و لم یقبل فی الأوّل</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أی فی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التذکرة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القول قول الأب و الجدّ للأب مع یمینه إلاّ أن یکون مع الابن بیِّنة، و إن کان وصیّاً أو أمیناً قُبِلَ قوله فیه مع الیمین و لا یکلّفان البیِّنة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لتعذّر إقامة البیِّنة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الظاهر من حال العدل الصدق و هو أمین علیه، فکان القول قوله مع الیمین، و لو ادّعی خلاف ما تقتضیه العادة فهو زیادة علی المعروف و یکون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ادّعی تلف شیء من ماله فی یده بغیر تفریطٍ، أو أنّ ظالماً قهره علیه و أخذه منه، قدّم قوله مع الیمین؛ لأنّه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ادّعی الإنفاق علیه منذ ثلاث سنین، فقال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أبی إلاّ منذ سنتین قدّم قول الصبیّ مع الیمین؛ لأنّ الأصل حیاة أبیه، و اختلافهما فی أمرٍ لیس الوصی أمیناً فیه، فکان القول قول من یوافق قوله الأصل مع الیمین</w:t>
      </w:r>
      <w:r>
        <w:rPr>
          <w:rFonts w:eastAsia="IRNazanin" w:cs="IRNazanin"/>
          <w:color w:val="111111"/>
          <w:sz w:val="28"/>
          <w:szCs w:val="28"/>
          <w:rtl w:val="true"/>
          <w:lang w:bidi="fa-IR"/>
        </w:rPr>
        <w:t>»</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و اختاره فی التحریر</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1628"/>
      </w:r>
      <w:r>
        <w:rPr>
          <w:rFonts w:ascii="IRNazanin" w:hAnsi="IRNazanin" w:eastAsia="IRNazanin"/>
          <w:color w:val="111111"/>
          <w:sz w:val="28"/>
          <w:sz w:val="28"/>
          <w:szCs w:val="28"/>
          <w:rtl w:val="true"/>
          <w:lang w:bidi="fa-IR"/>
        </w:rPr>
        <w:t>، و لم یحکم بلزوم الیمین من الأب و الجدّ لإثبات مدّعییهما، إلاّ أنّه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قول غیر الأب و الجدّ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باب 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الوصیّ، فالقول قوله فی الإنفاق؛ لتعذّر البیِّنة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القول فی الأب و الجدّ و الحاکم و أمینه مع الیتیم إذا أنکر القبض عند بلوغه و رشده</w:t>
      </w:r>
      <w:r>
        <w:rPr>
          <w:rFonts w:eastAsia="IRNazanin" w:cs="IRNazanin"/>
          <w:color w:val="111111"/>
          <w:sz w:val="28"/>
          <w:szCs w:val="28"/>
          <w:rtl w:val="true"/>
          <w:lang w:bidi="fa-IR"/>
        </w:rPr>
        <w:t>»</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المسالک</w:t>
      </w:r>
      <w:r>
        <w:rPr>
          <w:rStyle w:val="FootnoteAnchor"/>
          <w:rtl w:val="true"/>
        </w:rPr>
        <w:footnoteReference w:id="1630"/>
      </w:r>
      <w:r>
        <w:rPr>
          <w:rFonts w:ascii="IRNazanin" w:hAnsi="IRNazanin" w:eastAsia="IRNazanin"/>
          <w:color w:val="111111"/>
          <w:sz w:val="28"/>
          <w:sz w:val="28"/>
          <w:szCs w:val="28"/>
          <w:rtl w:val="true"/>
          <w:lang w:bidi="fa-IR"/>
        </w:rPr>
        <w:t>و جامع المقاصد</w:t>
      </w:r>
      <w:r>
        <w:rPr>
          <w:rStyle w:val="FootnoteAnchor"/>
          <w:rtl w:val="true"/>
        </w:rPr>
        <w:footnoteReference w:id="1631"/>
      </w:r>
      <w:r>
        <w:rPr>
          <w:rFonts w:ascii="IRNazanin" w:hAnsi="IRNazanin" w:eastAsia="IRNazanin"/>
          <w:color w:val="111111"/>
          <w:sz w:val="28"/>
          <w:sz w:val="28"/>
          <w:szCs w:val="28"/>
          <w:rtl w:val="true"/>
          <w:lang w:bidi="fa-IR"/>
        </w:rPr>
        <w:t>و مفتاح الکرامة</w:t>
      </w:r>
      <w:r>
        <w:rPr>
          <w:rStyle w:val="FootnoteAnchor"/>
          <w:rtl w:val="true"/>
        </w:rPr>
        <w:footnoteReference w:id="1632"/>
      </w:r>
      <w:r>
        <w:rPr>
          <w:rFonts w:ascii="IRNazanin" w:hAnsi="IRNazanin" w:eastAsia="IRNazanin"/>
          <w:color w:val="111111"/>
          <w:sz w:val="28"/>
          <w:sz w:val="28"/>
          <w:szCs w:val="28"/>
          <w:rtl w:val="true"/>
          <w:lang w:bidi="fa-IR"/>
        </w:rPr>
        <w:t>و الجواهر</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الولیّ الإنفاق علی الصبیّ أو علی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بعد البلوغ أصل الإنفاق أو کیفیّته، فالقول قول الولیّ مع الیمین، و علی الصبیّ البیّنة</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خلاف بینهم فی أنّه یقبل قول الأب و الجدّ و الوصیّ و أمین الحاکم بشرط کونهما موثّقین فی الإنفاق علی الأیتام بالمعروف، و تلف شیء من أموال الصغار بغیر تفریط و إن اختلفوا فی قبوله مع الیمین أو بلا یمین، و عند بعضهم یقبل قولهم فی بیع مال الیتیم لمصلحته، و هکذا فی کلّ أمرٍ یساعده ظاهر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الأولیاء أُمناء بالنسبة إلی ذلک فیقبل قولهم، أشار إلیه فی الجواهر و ادّعی بأنّه لا خلاف فیه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لعسر إقامة البیِّنة علی الإنفاق فی کلّ وقت یحتاج إلیه، فیستلزم العسر و الحرج</w:t>
      </w:r>
      <w:r>
        <w:rPr>
          <w:rStyle w:val="FootnoteAnchor"/>
          <w:rtl w:val="true"/>
        </w:rPr>
        <w:footnoteReference w:id="1637"/>
      </w:r>
      <w:r>
        <w:rPr>
          <w:rFonts w:ascii="IRNazanin" w:hAnsi="IRNazanin" w:eastAsia="IRNazanin"/>
          <w:color w:val="111111"/>
          <w:sz w:val="28"/>
          <w:sz w:val="28"/>
          <w:szCs w:val="28"/>
          <w:rtl w:val="true"/>
          <w:lang w:bidi="fa-IR"/>
        </w:rPr>
        <w:t>، کما صرّح به فی المسالک</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صحّة تصرّفات المسلم المالک لذلک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الإیضاح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أنّ القول قوله فی الإنفاق بالمعروف؛ لعسر إقامة البیّنة فی کلّ وقت علی الإنفاق و عسر ضبطه، و لا فی أنّ القول قوله فی التلف من غیر تفریط، للأصل؛ و لأنّه أقوی من الودعی، و لا فی أنّ القول قول الأب فی أنّ القرض أو البیع للمصلحة؛ لأنّه غیر متّهم فی حقّ ابنه و علیه الإنفاق، و الإشکال فی غیره، و منشؤه أصالة صحّة تصرّفات المسلم المالک لذلک التصرّف، و لأنّه موضوع لفعل ما یعتقد أنّه مصلحة، فلا یمکن إقامة البیِّنة علیه، و لأنّ دعواه بصلاح التصرّف دعوی عدم التعدّی، و هو الأصل و القول قوله فیه</w:t>
      </w:r>
      <w:r>
        <w:rPr>
          <w:rFonts w:eastAsia="IRNazanin" w:cs="IRNazanin"/>
          <w:color w:val="111111"/>
          <w:sz w:val="28"/>
          <w:szCs w:val="28"/>
          <w:rtl w:val="true"/>
          <w:lang w:bidi="fa-IR"/>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أیضاً استئناس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قبول قول الولیّ فی البیع و 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النصوص المتقدّمة، حیث حکم فیها بجواز بیع الولیّ، کقوله علیه السلام فی صحیحة علی بن رئاب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باع علیهم القیّم لهم الناظر فیما یصلحهم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معتبرة أو صحیحة محمد بن مسلم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من أجل أنّ أباه</w:t>
      </w:r>
    </w:p>
    <w:p>
      <w:pPr>
        <w:pStyle w:val="BookText"/>
        <w:rPr/>
      </w:pPr>
      <w:r>
        <w:rPr>
          <w:rFonts w:ascii="IRNazanin" w:hAnsi="IRNazanin" w:eastAsia="IRNazanin"/>
          <w:color w:val="111111"/>
          <w:sz w:val="28"/>
          <w:sz w:val="28"/>
          <w:szCs w:val="28"/>
          <w:rtl w:val="true"/>
          <w:lang w:bidi="fa-IR"/>
        </w:rPr>
        <w:t>قد أذن له فی ذلک و هو حیّ</w:t>
      </w:r>
      <w:r>
        <w:rPr>
          <w:rFonts w:eastAsia="IRNazanin" w:cs="IRNazanin"/>
          <w:color w:val="111111"/>
          <w:sz w:val="28"/>
          <w:szCs w:val="28"/>
          <w:rtl w:val="true"/>
          <w:lang w:bidi="fa-IR"/>
        </w:rPr>
        <w:t>»</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بجواز الإنفاق علی الأیتام من مالهم، کما هو مقتضی موثّقة سماعة؛ لأنّه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یلی لأیتام فی حجره فلیخرج من ماله علی قدر ما یحتاج إلیه، علی قدر ما یخرجه لکلّ إنسان منهم فیخالطهم و یأکلون جمیعاً</w:t>
      </w:r>
      <w:r>
        <w:rPr>
          <w:rFonts w:eastAsia="IRNazanin" w:cs="IRNazanin"/>
          <w:color w:val="111111"/>
          <w:sz w:val="28"/>
          <w:szCs w:val="28"/>
          <w:rtl w:val="true"/>
          <w:lang w:bidi="fa-IR"/>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أبی الصباح الکنانی؛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 أموالهم قدر ما یکفیهم، و تخرج من مالک قدر ما یکفیک، ثمّ تنفقه</w:t>
      </w:r>
      <w:r>
        <w:rPr>
          <w:rFonts w:eastAsia="IRNazanin" w:cs="IRNazanin"/>
          <w:color w:val="111111"/>
          <w:sz w:val="28"/>
          <w:szCs w:val="28"/>
          <w:rtl w:val="true"/>
          <w:lang w:bidi="fa-IR"/>
        </w:rPr>
        <w:t>»</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یستأنس من الحکم بجواز بیع أموال الأیتام و الإنفاق علیهم من الجدّ و الوصیّ صحّتهما و إن خالفهم الأیتام بعد بلوغهم بعدم المصلحة فی البیع، أو عدم الإنفاق علی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بجواز البیع من الوصیّ قبل بلوغ الیتیم، و إثبات صحّته و کونه عن مصلحة، مع إقامة البیِّنة بعد بلوغه مع مخالفة الیتیم لا یجتمعان، و کذا لا یجتمع جواز الإنفاق علیهم، مع الحکم بلزوم إثبات کونه عن معروف إلی إقامة البیِّنة إن ادّعی الیتیم عدم کونه کذلک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تصرّفات الوصیّ مشروطة برعایة المصلحة للیتیم، بمعنی أنّ الشارع جعل الولایة له کذلک، فإذا لم یکن البیع لمصلحة الیتیم، لم یصحّ شرعاً و لم یکن الوصیّ مجازاً لأن یوقعه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النصوص المتقدّمة التی تدلّ علی جواز البیع و الإنفاق، تدلّ</w:t>
      </w:r>
    </w:p>
    <w:p>
      <w:pPr>
        <w:pStyle w:val="BookText"/>
        <w:rPr/>
      </w:pPr>
      <w:r>
        <w:rPr>
          <w:rFonts w:ascii="IRNazanin" w:hAnsi="IRNazanin" w:eastAsia="IRNazanin"/>
          <w:color w:val="111111"/>
          <w:sz w:val="28"/>
          <w:sz w:val="28"/>
          <w:szCs w:val="28"/>
          <w:rtl w:val="true"/>
          <w:lang w:bidi="fa-IR"/>
        </w:rPr>
        <w:t xml:space="preserve">علی الجواز مع رعایة المصلحة مطلقاً؛ أی سواء خالف الیتیم بعد بلوغه أم لا، فإلزام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أو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البیِّنة أو الیمین لإثبات کون البیع للمصلحة و الإنفاق علی وجه المعروف لا یساعد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یقبل قول الولیّ؛ سواء کان أباً أو جدّاً أو وصیّاً فی البیع للمصلحة و الإنفاق بالمعروف و القرض لهم، و کذا فی تلف شیء عندهم من دون أن یحتاجوا إلی إقامة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یقبل قولهم مع الیمین، خصوصاً فیما صدر من الوصیّ، فنحکم بقبول قوله مع الیمین وجوباً کما قال به کثیر من الفقهاء</w:t>
      </w:r>
      <w:r>
        <w:rPr>
          <w:rStyle w:val="FootnoteAnchor"/>
          <w:rtl w:val="true"/>
        </w:rPr>
        <w:footnoteReference w:id="1646"/>
      </w:r>
      <w:r>
        <w:rPr>
          <w:rFonts w:ascii="IRNazanin" w:hAnsi="IRNazanin" w:eastAsia="IRNazanin"/>
          <w:color w:val="111111"/>
          <w:sz w:val="28"/>
          <w:sz w:val="28"/>
          <w:szCs w:val="28"/>
          <w:rtl w:val="true"/>
          <w:lang w:bidi="fa-IR"/>
        </w:rPr>
        <w:t>عند اختلاف الوصیّ مع الصغیر بعد بلوغه فی أصل النفقة أو مقدارها، أو بأنّ الإنفاق کان زائداً علی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خالفهم الأیتام بعد بلوغهم و أقاموا البیِّنة طبقاً لدعواهم فیقدّم قولهم، من باب تقدیم البیِّنة علی الأصل، و نذکر تفصیل ذلک فی الباب الذی عقدناه للبحث عن دعاوی الأطفال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أنّه لا فرق فیما ذکر بین الوصیّ و غیره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الإنفاق و البیع للمصلحة و القرض لها و التلف من غیر تفریط، کما أنّه لا فرق فی ذلک بین الوصیّ و غیره من الأولیاء</w:t>
      </w:r>
      <w:r>
        <w:rPr>
          <w:rFonts w:eastAsia="IRNazanin" w:cs="IRNazanin"/>
          <w:color w:val="111111"/>
          <w:sz w:val="28"/>
          <w:szCs w:val="28"/>
          <w:rtl w:val="true"/>
          <w:lang w:bidi="fa-IR"/>
        </w:rPr>
        <w:t>»</w:t>
      </w:r>
      <w:r>
        <w:rPr>
          <w:rStyle w:val="FootnoteAnchor"/>
          <w:rtl w:val="true"/>
        </w:rPr>
        <w:footnoteReference w:id="1647"/>
      </w:r>
      <w:bookmarkStart w:id="565" w:name="pg11753_114990"/>
    </w:p>
    <w:p>
      <w:pPr>
        <w:pStyle w:val="Heading5"/>
        <w:numPr>
          <w:ilvl w:val="4"/>
          <w:numId w:val="1"/>
        </w:numPr>
        <w:rPr/>
      </w:pPr>
      <w:bookmarkStart w:id="566" w:name="__RefHeading___Toc9482892_73709187"/>
      <w:bookmarkStart w:id="567" w:name="_Toc215"/>
      <w:bookmarkEnd w:id="565"/>
      <w:bookmarkEnd w:id="566"/>
      <w:r>
        <w:rPr>
          <w:rtl w:val="true"/>
        </w:rPr>
        <w:t>آراء فقهاء أهل السنّة فی اختلاف الوصیّ مع الصغیر</w:t>
      </w:r>
      <w:bookmarkEnd w:id="567"/>
    </w:p>
    <w:p>
      <w:pPr>
        <w:pStyle w:val="BookText"/>
        <w:rPr/>
      </w:pPr>
      <w:r>
        <w:rPr>
          <w:rFonts w:ascii="IRNazanin" w:hAnsi="IRNazanin" w:eastAsia="IRNazanin"/>
          <w:color w:val="111111"/>
          <w:sz w:val="28"/>
          <w:sz w:val="28"/>
          <w:szCs w:val="28"/>
          <w:rtl w:val="true"/>
          <w:lang w:bidi="fa-IR"/>
        </w:rPr>
        <w:t>اتّفق الفقهاء من أهل السنّة علی أنّه إذا اختلف الوصیّ مع الصغیر بعد بلوغه، فقال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أنفقت علیک، و 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تنفق علیَّ، فالقول قول الوصیّ؛ لأنّه أمین، و تتعذّر علیه إقامة البیِّنة علی النفقة</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اختلفا فی قدر النفقة، فقال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أنفقت علیک فی کلّ سنةٍ مائة دینار، و 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أنفقت علیَّ خمسین دیناراً، فذهب جمهور الفقهاء إلی أنّه إن کان ما یدّعیه الوصیّ هو النفقة بالمعروف فالقول قوله؛ لأنّه أمین، و إن کان أکثر من النفقة بالمعروف فعلیه الضمان</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لو ادّعی الطفل بعد البلوغ و الرشد أنّ الوصیّ خان فی بیع ماله؛ بأنّه باعه من غیر حاجةٍ و لا غبطةٍ فیصدّق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فالقول قول الوصیّ فإنّه أمین، و الأصل عدم الخیانة</w:t>
      </w:r>
      <w:r>
        <w:rPr>
          <w:rFonts w:eastAsia="IRNazanin" w:cs="IRNazanin"/>
          <w:color w:val="111111"/>
          <w:sz w:val="28"/>
          <w:szCs w:val="28"/>
          <w:rtl w:val="true"/>
          <w:lang w:bidi="fa-IR"/>
        </w:rPr>
        <w:t>»</w:t>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حاشیة ردّ المحتار</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اختلفا فی قدر مدّة الإنفاق؛ بأن قال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أبوک من عشر سنین و أنفقت علیک فیها، و 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أبی من ثمانی سنین و أنفقت علیَّ ثمان سنین، یقدَّم قول الصبیّ؛ لأنّ الأصل عدم موت الأب فی الوقت الذی یدّعیه الوصیّ، و أیضاً یمکن للوصیّ إقامة البیِّنة علی ذلک بخلاف قدر النفقة</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w:t>
      </w:r>
    </w:p>
    <w:p>
      <w:pPr>
        <w:pStyle w:val="BookText"/>
        <w:rPr/>
      </w:pPr>
      <w:r>
        <w:rPr>
          <w:rFonts w:ascii="IRNazanin" w:hAnsi="IRNazanin" w:eastAsia="IRNazanin"/>
          <w:color w:val="111111"/>
          <w:sz w:val="28"/>
          <w:sz w:val="28"/>
          <w:szCs w:val="28"/>
          <w:rtl w:val="true"/>
          <w:lang w:bidi="fa-IR"/>
        </w:rPr>
        <w:t>اختلفا فی دفع المال إلی الصبیّ بعد البلوغ و الرشد، فادّعی الوصیّ أنّه دفع إلیه، و أنکر الصبیّ، فذهب الشافعیّة و المالکیّة إلی أنّه صدّق الصبی بیمینه علی الصحیح</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الحنابلة، فإنّهم فصّلوا بین ما کان الوصیّ متبرّعاً، فیقبل قوله فی دفع المال إلی الصبیّ بعد بلوغه و رشده؛ لأنّه أمین أشبه المودّع، و بین ما إذا لم یکن متبرّعاً بل بأُجرةٍ، فلا یقبل قوله فی دفعه المال إلیه، بل یقدّم قول الیتیم</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 الوصیّ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إلی الصبیّ ماله بعد البلوغ و الرشد</w:t>
      </w:r>
      <w:r>
        <w:rPr>
          <w:rStyle w:val="FootnoteAnchor"/>
          <w:rtl w:val="true"/>
        </w:rPr>
        <w:footnoteReference w:id="1655"/>
      </w:r>
      <w:bookmarkStart w:id="568" w:name="pg11753_114992"/>
    </w:p>
    <w:p>
      <w:pPr>
        <w:pStyle w:val="Heading4"/>
        <w:numPr>
          <w:ilvl w:val="3"/>
          <w:numId w:val="1"/>
        </w:numPr>
        <w:rPr/>
      </w:pPr>
      <w:bookmarkStart w:id="569" w:name="__RefHeading___Toc9482894_73709187"/>
      <w:bookmarkStart w:id="570" w:name="_Toc216"/>
      <w:bookmarkEnd w:id="568"/>
      <w:bookmarkEnd w:id="569"/>
      <w:r>
        <w:rPr>
          <w:rtl w:val="true"/>
        </w:rPr>
        <w:t>المبحث الثالث</w:t>
      </w:r>
      <w:r>
        <w:rPr>
          <w:rtl w:val="true"/>
        </w:rPr>
        <w:t xml:space="preserve">: </w:t>
      </w:r>
      <w:r>
        <w:rPr>
          <w:rtl w:val="true"/>
        </w:rPr>
        <w:t>المصالحة بمال الطفل</w:t>
      </w:r>
      <w:bookmarkEnd w:id="570"/>
    </w:p>
    <w:p>
      <w:pPr>
        <w:pStyle w:val="Heading5"/>
        <w:numPr>
          <w:ilvl w:val="4"/>
          <w:numId w:val="1"/>
        </w:numPr>
        <w:rPr/>
      </w:pPr>
      <w:bookmarkStart w:id="571" w:name="__RefHeading___Toc9482896_73709187"/>
      <w:bookmarkStart w:id="572" w:name="_Toc217"/>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الظاهر أنّه لا خلاف بینهم فی أنّه یجوز للولیّ المصالحة</w:t>
      </w:r>
      <w:r>
        <w:rPr>
          <w:rStyle w:val="FootnoteAnchor"/>
          <w:rtl w:val="true"/>
        </w:rPr>
        <w:footnoteReference w:id="1656"/>
      </w:r>
      <w:r>
        <w:rPr>
          <w:rFonts w:ascii="IRNazanin" w:hAnsi="IRNazanin" w:eastAsia="IRNazanin"/>
          <w:color w:val="111111"/>
          <w:sz w:val="28"/>
          <w:sz w:val="28"/>
          <w:szCs w:val="28"/>
          <w:rtl w:val="true"/>
          <w:lang w:bidi="fa-IR"/>
        </w:rPr>
        <w:t>بمال الصبیّ إن یراها مصلحةً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کان للیتامی علی إنسانٍ مالٌ جاز لولیّهم أن یصالحه علی شیء یراه صلاحاً فی الحال و یأخذ الباقی، و تبرأ بذلک ذمّة من کان علیه المال</w:t>
      </w:r>
      <w:r>
        <w:rPr>
          <w:rFonts w:eastAsia="IRNazanin" w:cs="IRNazanin"/>
          <w:color w:val="111111"/>
          <w:sz w:val="28"/>
          <w:szCs w:val="28"/>
          <w:rtl w:val="true"/>
          <w:lang w:bidi="fa-IR"/>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للیتیم مالٌ علی الغیر و رأی له الغبطة فی المصالحة علیه، جاز له أن یصالح و کان الصلح ماضیاً</w:t>
      </w:r>
      <w:r>
        <w:rPr>
          <w:rFonts w:eastAsia="IRNazanin" w:cs="IRNazanin"/>
          <w:color w:val="111111"/>
          <w:sz w:val="28"/>
          <w:szCs w:val="28"/>
          <w:rtl w:val="true"/>
          <w:lang w:bidi="fa-IR"/>
        </w:rPr>
        <w:t>»</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التذکرة</w:t>
      </w:r>
      <w:r>
        <w:rPr>
          <w:rStyle w:val="FootnoteAnchor"/>
          <w:rtl w:val="true"/>
        </w:rPr>
        <w:footnoteReference w:id="1659"/>
      </w:r>
      <w:bookmarkStart w:id="573" w:name="pg11753_114993"/>
    </w:p>
    <w:p>
      <w:pPr>
        <w:pStyle w:val="BookText"/>
        <w:rPr/>
      </w:pPr>
      <w:bookmarkEnd w:id="573"/>
      <w:r>
        <w:rPr>
          <w:rFonts w:ascii="IRNazanin" w:hAnsi="IRNazanin" w:eastAsia="IRNazanin"/>
          <w:color w:val="111111"/>
          <w:sz w:val="28"/>
          <w:sz w:val="28"/>
          <w:szCs w:val="28"/>
          <w:rtl w:val="true"/>
          <w:lang w:bidi="fa-IR"/>
        </w:rPr>
        <w:t>و جاء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الولیّ، فجائز له مصالحة ذلک الغریم إذا رأی ذلک صلاحاً للأیتام؛ لأنّه ناظرٌ فی مصلحتهم، و هذا من ذاک إذا کان لهم فیه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علیه المال؛ فإنّ ذمّته لا تبرأ إن کان جاحداً مانعاً، و بذل دون الحقّ و أنکر الحقّ، ثمّ صالحه الولیّ علی ما أقرّ له به، أو أقرّ بالجمیع و صالحه علی بعض، فلا تبرأ ذمّته من ذلک، و لا یجوز للولیّ إسقاط شیء منه بحال؛ لأنّ الولیّ لا یجوز له إسقاط شیء من مال الیتیم؛ لأنّه نصب لمصالحه و استیفاء حقوقه، لا لإسقاطها، فیحمل ما ورد من الأخبار، و ما ذکره بعض أصحابنا، و أودعه کتابه علی ما قلناه و حرّرناه أوّلاً؛ من أنّه إذا رأی الصلاح الولیّ فی مصالحة الغریم فیما فیه للیتیم الحظ، فجائز له ذلک، و لا یجوز فیما عداه ممّا لیس له الحظّ فیه و الصلاح</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 جیّد، لکن کلام الشیخ لا ینافی ذلک؛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للولی أن یصالح علی شیء یراه صلاحاً، و هو عین ما قاله ابن إدریس</w:t>
      </w:r>
      <w:r>
        <w:rPr>
          <w:rFonts w:eastAsia="IRNazanin" w:cs="IRNazanin"/>
          <w:color w:val="111111"/>
          <w:sz w:val="28"/>
          <w:szCs w:val="28"/>
          <w:rtl w:val="true"/>
          <w:lang w:bidi="fa-IR"/>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9482898_73709187"/>
      <w:bookmarkStart w:id="575" w:name="_Toc218"/>
      <w:bookmarkEnd w:id="574"/>
      <w:r>
        <w:rPr>
          <w:rtl w:val="true"/>
        </w:rPr>
        <w:t>أدلّة جواز المصالحة بمال الطفل</w:t>
      </w:r>
      <w:bookmarkEnd w:id="575"/>
    </w:p>
    <w:p>
      <w:pPr>
        <w:pStyle w:val="BookText"/>
        <w:rPr/>
      </w:pPr>
      <w:r>
        <w:rPr>
          <w:rFonts w:ascii="IRNazanin" w:hAnsi="IRNazanin" w:eastAsia="IRNazanin"/>
          <w:color w:val="111111"/>
          <w:sz w:val="28"/>
          <w:sz w:val="28"/>
          <w:szCs w:val="28"/>
          <w:rtl w:val="true"/>
          <w:lang w:bidi="fa-IR"/>
        </w:rPr>
        <w:t>یدلّ علی هذا الحکم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صحیحة</w:t>
      </w:r>
    </w:p>
    <w:p>
      <w:pPr>
        <w:pStyle w:val="BookText"/>
        <w:rPr/>
      </w:pPr>
      <w:r>
        <w:rPr>
          <w:rFonts w:ascii="IRNazanin" w:hAnsi="IRNazanin" w:eastAsia="IRNazanin"/>
          <w:color w:val="111111"/>
          <w:sz w:val="28"/>
          <w:sz w:val="28"/>
          <w:szCs w:val="28"/>
          <w:rtl w:val="true"/>
          <w:lang w:bidi="fa-IR"/>
        </w:rPr>
        <w:t>حفص بن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الناس</w:t>
      </w:r>
      <w:r>
        <w:rPr>
          <w:rFonts w:eastAsia="IRNazanin" w:cs="IRNazanin"/>
          <w:color w:val="111111"/>
          <w:sz w:val="28"/>
          <w:szCs w:val="28"/>
          <w:rtl w:val="true"/>
          <w:lang w:bidi="fa-IR"/>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رحمه الله من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الحجّاج و داود بن فرقد جمیعاً، عن أبی عبد اللّه علیه السلام</w:t>
      </w:r>
      <w:bookmarkStart w:id="576" w:name="pg11753_114994"/>
    </w:p>
    <w:p>
      <w:pPr>
        <w:pStyle w:val="BookText"/>
        <w:rPr/>
      </w:pPr>
      <w:bookmarkEnd w:id="576"/>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الرجل یکون عنده المال لأیتام، فلا یعطیهم حتّی یهلکوا، فیأتیه وارثهم و وکیلهم فیصالحه علی أن یأخذ بعضاً و یدع بعضاً و یبرئه ممّا کان، أ یبرأ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سهل،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رجل أوصی بدین فلا یزال یجیء من یدّعی علیه الشیء فیقیم علیه البیّنة و یحلف، کیف تأمر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 یصالح علیه حتّی یؤدّی أمانته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الأخیرین علی جواز المصالحة بمال الیتیم ظاهرة لا سترة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 xml:space="preserve">عبد اللّه بن سنان، عن أبی عبد اللّه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هو القوت، و إنّما عنی الوصیّ أو القیّم فی أموالهم و ما یصلحهم</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علی أنّ الولیّ نصب لحفظ أموال الصبیّ و رعایة مصالحه، و الفرض أنّ المصالحة بماله فی بعض الأحوال تکون من جملة مصالحه، فکان جائزاً بمقتضی هذه الصحیحة، و هو المطلوب</w:t>
      </w:r>
      <w:r>
        <w:rPr>
          <w:rFonts w:eastAsia="IRNazanin" w:cs="IRNazanin"/>
          <w:color w:val="111111"/>
          <w:sz w:val="28"/>
          <w:szCs w:val="28"/>
          <w:rtl w:val="true"/>
          <w:lang w:bidi="fa-IR"/>
        </w:rPr>
        <w:t>.</w:t>
      </w:r>
    </w:p>
    <w:p>
      <w:pPr>
        <w:pStyle w:val="Heading5"/>
        <w:numPr>
          <w:ilvl w:val="4"/>
          <w:numId w:val="1"/>
        </w:numPr>
        <w:rPr/>
      </w:pPr>
      <w:bookmarkStart w:id="577" w:name="__RefHeading___Toc9482900_73709187"/>
      <w:bookmarkStart w:id="578" w:name="_Toc219"/>
      <w:bookmarkEnd w:id="577"/>
      <w:r>
        <w:rPr>
          <w:rtl w:val="true"/>
        </w:rPr>
        <w:t>عدم تبرئة ذمّة من علیه الحقّ‌</w:t>
      </w:r>
      <w:bookmarkEnd w:id="578"/>
    </w:p>
    <w:p>
      <w:pPr>
        <w:pStyle w:val="BookText"/>
        <w:rPr/>
      </w:pPr>
      <w:r>
        <w:rPr>
          <w:rFonts w:ascii="IRNazanin" w:hAnsi="IRNazanin" w:eastAsia="IRNazanin"/>
          <w:color w:val="111111"/>
          <w:sz w:val="28"/>
          <w:sz w:val="28"/>
          <w:szCs w:val="28"/>
          <w:rtl w:val="true"/>
          <w:lang w:bidi="fa-IR"/>
        </w:rPr>
        <w:t>النصوص المتقدّمة کانت دلیلاً لجواز المصالحة، أمّا براءة ذمّة من علیه الحقّ فلا دلیل علیها، و لقد أجاد العلاّمة فی بیان ذلک، حیث قال فی التحریر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ما قاله ابن إدریس من أنّ الصلح جائز للولیّ مع المصلحة، أمّا من علیه الحقّ، فلا یجوز له منعه من باقی المال إذا کان ثابتاً فی ذمّته، و لیس للولی</w:t>
      </w:r>
    </w:p>
    <w:p>
      <w:pPr>
        <w:pStyle w:val="BookText"/>
        <w:rPr/>
      </w:pPr>
      <w:r>
        <w:rPr>
          <w:rFonts w:ascii="IRNazanin" w:hAnsi="IRNazanin" w:eastAsia="IRNazanin"/>
          <w:color w:val="111111"/>
          <w:sz w:val="28"/>
          <w:sz w:val="28"/>
          <w:szCs w:val="28"/>
          <w:rtl w:val="true"/>
          <w:lang w:bidi="fa-IR"/>
        </w:rPr>
        <w:t>إسقاطه بحال</w:t>
      </w:r>
      <w:r>
        <w:rPr>
          <w:rFonts w:eastAsia="IRNazanin" w:cs="IRNazanin"/>
          <w:color w:val="111111"/>
          <w:sz w:val="28"/>
          <w:szCs w:val="28"/>
          <w:rtl w:val="true"/>
          <w:lang w:bidi="fa-IR"/>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فی ذمّة الغریم أکثر و علم بذلک لم تبرأ ذمّته؛ إذ لا مصلحة للیتیم فی إسقاط ماله، و لا تبرأ ذمّة الوصیّ أیضاً، أمّا إذا کان المدّعی علیه منکراً للمال و لا بیّنة علیه فصالح الوصی برأت ذمّته دون ذمّة من علیه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علیه المال لا یعلم قدره فصالح علی قدر لا یعلم ثبوته فی ذمّته أو ثبوت ما هو، أو أزید أو أقلّ، صحّ الصلح و برأت ذمّته، و ینبغی له الاحتیاط و تغلیب الأکثر فی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للوصیّ أن یصالح من یدّعی علی المیّت إن کان للمدّعی بیِّنة، أو علم القاضی بدعواه، و إلاّ لم یجز</w:t>
      </w:r>
      <w:r>
        <w:rPr>
          <w:rFonts w:eastAsia="IRNazanin" w:cs="IRNazanin"/>
          <w:color w:val="111111"/>
          <w:sz w:val="28"/>
          <w:szCs w:val="28"/>
          <w:rtl w:val="true"/>
          <w:lang w:bidi="fa-IR"/>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الوسیلة</w:t>
      </w:r>
      <w:r>
        <w:rPr>
          <w:rStyle w:val="FootnoteAnchor"/>
          <w:rtl w:val="true"/>
        </w:rPr>
        <w:footnoteReference w:id="1667"/>
      </w:r>
      <w:r>
        <w:rPr>
          <w:rFonts w:ascii="IRNazanin" w:hAnsi="IRNazanin" w:eastAsia="IRNazanin"/>
          <w:color w:val="111111"/>
          <w:sz w:val="28"/>
          <w:sz w:val="28"/>
          <w:szCs w:val="28"/>
          <w:rtl w:val="true"/>
          <w:lang w:bidi="fa-IR"/>
        </w:rPr>
        <w:t>للسیّد الاصفهانی و تحریرها</w:t>
      </w:r>
      <w:r>
        <w:rPr>
          <w:rStyle w:val="FootnoteAnchor"/>
          <w:rtl w:val="true"/>
        </w:rPr>
        <w:footnoteReference w:id="16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للصغیر مال علی غیره جاز للولیّ أن یصالحه عنه ببعضه مع المصلحة، لکن لا یحلّ علی المتصالح باقی المال، و لیس للولیّ إسقاط بحالٍ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الوصیّ المدّعی حقّاً للیتیم و له به بیّنة، لم یکن له أن یصالح منه علی بعض حقّ الیتیم، و لو لم یکن له بیِّنة و بذل الخصم الیمین، جاز الصلح، و متی وجد الوصیّ أو الیتیم بیّنة بحقّه، انتقض الصلح و رجع علی المدّعی علیه بحقّه، و کان مال الصلح مردوداً علی المدّعی علیه، أو مقاصّاً به من الحقّ علیه</w:t>
      </w:r>
      <w:r>
        <w:rPr>
          <w:rFonts w:eastAsia="IRNazanin" w:cs="IRNazanin"/>
          <w:color w:val="111111"/>
          <w:sz w:val="28"/>
          <w:szCs w:val="28"/>
          <w:rtl w:val="true"/>
          <w:lang w:bidi="fa-IR"/>
        </w:rPr>
        <w:t>».</w:t>
      </w:r>
      <w:bookmarkStart w:id="579" w:name="pg11753_114996"/>
    </w:p>
    <w:p>
      <w:pPr>
        <w:pStyle w:val="BookText"/>
        <w:rPr/>
      </w:pPr>
      <w:bookmarkEnd w:id="579"/>
      <w:r>
        <w:rPr>
          <w:rFonts w:ascii="IRNazanin" w:hAnsi="IRNazanin" w:eastAsia="IRNazanin"/>
          <w:color w:val="111111"/>
          <w:sz w:val="28"/>
          <w:sz w:val="28"/>
          <w:szCs w:val="28"/>
          <w:rtl w:val="true"/>
          <w:lang w:bidi="fa-IR"/>
        </w:rPr>
        <w:t>و عقّب علیه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ذلک نظرٌ؛ فإنّه لو جاز للصبیّ الرجوع لجاز للبالغ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صلح الولیّ ملزم کصلح الرجل، علی أنّه لا یخلو من قوّة</w:t>
      </w:r>
      <w:r>
        <w:rPr>
          <w:rFonts w:eastAsia="IRNazanin" w:cs="IRNazanin"/>
          <w:color w:val="111111"/>
          <w:sz w:val="28"/>
          <w:szCs w:val="28"/>
          <w:rtl w:val="true"/>
          <w:lang w:bidi="fa-IR"/>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لمراعاة المصلحة فی مال الیتیم</w:t>
      </w:r>
      <w:r>
        <w:rPr>
          <w:rFonts w:eastAsia="IRNazanin" w:cs="IRNazanin"/>
          <w:color w:val="111111"/>
          <w:sz w:val="28"/>
          <w:szCs w:val="28"/>
          <w:rtl w:val="true"/>
          <w:lang w:bidi="fa-IR"/>
        </w:rPr>
        <w:t>.</w:t>
      </w:r>
    </w:p>
    <w:p>
      <w:pPr>
        <w:pStyle w:val="Heading5"/>
        <w:numPr>
          <w:ilvl w:val="4"/>
          <w:numId w:val="1"/>
        </w:numPr>
        <w:rPr/>
      </w:pPr>
      <w:bookmarkStart w:id="580" w:name="__RefHeading___Toc9482902_73709187"/>
      <w:bookmarkStart w:id="581" w:name="_Toc220"/>
      <w:bookmarkEnd w:id="580"/>
      <w:r>
        <w:rPr>
          <w:rtl w:val="true"/>
        </w:rPr>
        <w:t>حکم المصالحة بمال الصبیّ عند فقهاء أهل السنّة</w:t>
      </w:r>
      <w:bookmarkEnd w:id="581"/>
    </w:p>
    <w:p>
      <w:pPr>
        <w:pStyle w:val="BookText"/>
        <w:rPr/>
      </w:pPr>
      <w:r>
        <w:rPr>
          <w:rFonts w:ascii="IRNazanin" w:hAnsi="IRNazanin" w:eastAsia="IRNazanin"/>
          <w:color w:val="111111"/>
          <w:sz w:val="28"/>
          <w:sz w:val="28"/>
          <w:szCs w:val="28"/>
          <w:rtl w:val="true"/>
          <w:lang w:bidi="fa-IR"/>
        </w:rPr>
        <w:t>تجوز المصالحة بمال الصبیّ عندهم فی الدعاوی، و صرّح بعضهم إن کان للمدّعی بیّنة یجوز ذلک، و بعض آخر لم یشترطه، فإلیک نصّ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للصغیر دار أو عبد، فادّعی رجلٌ فیه دعویً، فصالحه أبوه علی شیء من مال الصبیّ، ینظر فی ذلک، فإن کان للمدّعی بیِّنة، و کان ما أعطی الأب من مال الصبیّ مثل حقّ المدّعی أو أکثر ممّا یتغابن الناس فیه جاز؛ لأنّ سبب الاستحقاق للمدّعی ظاهر شرعاً، فالأب بهذا الصلح یصیر کالمشتری لتلک العین لولده بماله، و الأب غیر متّهم فی حقّ ولده، فعند ظهور الحقّ للمدّعی بالبیّنة إنّما یقصد النظر للصبیّ، و ربما یکون له فی العین منفعة لا یحصل ذلک بقیمته، و إن لم یکن له بیّنة لم یجز الصلح من الصبیّ؛ لأنّ المدّعی ما استحقّ شیئاً علی الصبیّ بمجرّد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 الأب فی هذا بعد موت الأب کالأب، و کذلک الجدّ و وصیّ الجدّ</w:t>
      </w:r>
      <w:r>
        <w:rPr>
          <w:rFonts w:eastAsia="IRNazanin" w:cs="IRNazanin"/>
          <w:color w:val="111111"/>
          <w:sz w:val="28"/>
          <w:szCs w:val="28"/>
          <w:rtl w:val="true"/>
          <w:lang w:bidi="fa-IR"/>
        </w:rPr>
        <w:t>»</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الأستروشنی</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الإنصاف فی الفقه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الصلح عمّا ادّعی علی مولاه، و به بیّنة</w:t>
      </w:r>
    </w:p>
    <w:p>
      <w:pPr>
        <w:pStyle w:val="BookText"/>
        <w:rPr/>
      </w:pPr>
      <w:r>
        <w:rPr>
          <w:rFonts w:ascii="IRNazanin" w:hAnsi="IRNazanin" w:eastAsia="IRNazanin"/>
          <w:color w:val="111111"/>
          <w:sz w:val="28"/>
          <w:sz w:val="28"/>
          <w:szCs w:val="28"/>
          <w:rtl w:val="true"/>
          <w:lang w:bidi="fa-IR"/>
        </w:rPr>
        <w:t>علی الصحیح من المذهب</w:t>
      </w:r>
      <w:r>
        <w:rPr>
          <w:rFonts w:eastAsia="IRNazanin" w:cs="IRNazanin"/>
          <w:color w:val="111111"/>
          <w:sz w:val="28"/>
          <w:szCs w:val="28"/>
          <w:rtl w:val="true"/>
          <w:lang w:bidi="fa-IR"/>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 منهم بعدم جوازها إلاّ فی حال الإنکار و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الصلح ممّن لا یملک التبرّع کالمکاتب، و المأذون له، و ولیّ الیتیم إلاّ فی حال الإنکار و عدم البیِّنة؛ لأنّه تبرّعٌ و لیس لهم التبرّع، فأمّا إذا لم یکن بالدین أو کان علی الإنکار صحّ؛ لأنّ استیفاءهم البعض عند العجز عن استیفاء الکلّ أولی من ترکه</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قال أیضاً الشافعیّة</w:t>
      </w:r>
      <w:r>
        <w:rPr>
          <w:rStyle w:val="FootnoteAnchor"/>
          <w:rtl w:val="true"/>
        </w:rPr>
        <w:footnoteReference w:id="1674"/>
      </w:r>
      <w:r>
        <w:rPr>
          <w:rFonts w:ascii="IRNazanin" w:hAnsi="IRNazanin" w:eastAsia="IRNazanin"/>
          <w:color w:val="111111"/>
          <w:sz w:val="28"/>
          <w:sz w:val="28"/>
          <w:szCs w:val="28"/>
          <w:rtl w:val="true"/>
          <w:lang w:bidi="fa-IR"/>
        </w:rPr>
        <w:t>و المالکیّة، فقد جاء فی تبیین المسالک</w:t>
      </w:r>
      <w:r>
        <w:rPr>
          <w:rStyle w:val="FootnoteAnchor"/>
          <w:rtl w:val="true"/>
        </w:rPr>
        <w:footnoteReference w:id="1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غیر العقار فللولی التصرّف فیه بتجارة و غیرها حسب ما تقتضیه المصلحة، و علیه أن یؤدّی الحقوق التی علی المحجور من نفقةٍ و زکاةٍ و نحوهما، و له أن یصالح عنه لمصلحته، أی 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فی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الْیَتامی قُلْ إِصْلاحٌ لَهُمْ 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فی مخالطة الأیتام مع قصد الإصلاح بالنظر لهم و فیهم، کان ذلک دلیلاً علی جواز التصرّف للأیتام کما یتصرّف للأبناء</w:t>
      </w:r>
      <w:r>
        <w:rPr>
          <w:rFonts w:eastAsia="IRNazanin" w:cs="IRNazanin"/>
          <w:color w:val="111111"/>
          <w:sz w:val="28"/>
          <w:szCs w:val="28"/>
          <w:rtl w:val="true"/>
          <w:lang w:bidi="fa-IR"/>
        </w:rPr>
        <w:t>»</w:t>
      </w:r>
      <w:r>
        <w:rPr>
          <w:rStyle w:val="FootnoteAnchor"/>
          <w:rtl w:val="true"/>
        </w:rPr>
        <w:footnoteReference w:id="1676"/>
      </w:r>
      <w:bookmarkStart w:id="582" w:name="pg11753_114999"/>
    </w:p>
    <w:p>
      <w:pPr>
        <w:pStyle w:val="Heading3"/>
        <w:numPr>
          <w:ilvl w:val="2"/>
          <w:numId w:val="1"/>
        </w:numPr>
        <w:rPr/>
      </w:pPr>
      <w:bookmarkStart w:id="583" w:name="__RefHeading___Toc9482904_73709187"/>
      <w:bookmarkStart w:id="584" w:name="_Toc221"/>
      <w:bookmarkEnd w:id="582"/>
      <w:bookmarkEnd w:id="583"/>
      <w:r>
        <w:rPr>
          <w:rtl w:val="true"/>
        </w:rPr>
        <w:t>الفصل الثانی فی الاُمور التی هی من شئون الاتّجار</w:t>
      </w:r>
      <w:bookmarkEnd w:id="584"/>
    </w:p>
    <w:p>
      <w:pPr>
        <w:pStyle w:val="Heading4"/>
        <w:numPr>
          <w:ilvl w:val="3"/>
          <w:numId w:val="1"/>
        </w:numPr>
        <w:rPr/>
      </w:pPr>
      <w:bookmarkStart w:id="585" w:name="__RefHeading___Toc9482906_73709187"/>
      <w:bookmarkStart w:id="586" w:name="_Toc222"/>
      <w:bookmarkEnd w:id="585"/>
      <w:r>
        <w:rPr>
          <w:rtl w:val="true"/>
        </w:rPr>
        <w:t>اشارة</w:t>
      </w:r>
      <w:bookmarkEnd w:id="586"/>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جاز للولیّ الاتّجار و البیع و الشراء و المصالحة بمال الیتیم، جاز له المضاربة و الإبضاع و الرهن و الارتهان و القرض و الاقتراض و الإیداع و العاریة و التوکیل و غیرها فی أموال الصبیّ؛ لأنّها من شئون الاتّجار؛ لبیان هذه الأحکام عقدنا هذا الفصل، و قسّمناه إلی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و الإبضاع بمال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 الارتهان و الإقراض و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الإیداع و العاریة فی مال الصبیّ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التوکیل و الاستنابة فی امور الصبیّ</w:t>
      </w:r>
      <w:r>
        <w:rPr>
          <w:rFonts w:eastAsia="IRNazanin" w:cs="IRNazanin"/>
          <w:color w:val="111111"/>
          <w:sz w:val="28"/>
          <w:szCs w:val="28"/>
          <w:rtl w:val="true"/>
          <w:lang w:bidi="fa-IR"/>
        </w:rPr>
        <w:t>.</w:t>
      </w:r>
      <w:bookmarkStart w:id="587" w:name="pg11753_115000"/>
    </w:p>
    <w:p>
      <w:pPr>
        <w:pStyle w:val="Heading4"/>
        <w:numPr>
          <w:ilvl w:val="3"/>
          <w:numId w:val="1"/>
        </w:numPr>
        <w:rPr/>
      </w:pPr>
      <w:bookmarkStart w:id="588" w:name="__RefHeading___Toc9482908_73709187"/>
      <w:bookmarkStart w:id="589" w:name="_Toc223"/>
      <w:bookmarkEnd w:id="587"/>
      <w:bookmarkEnd w:id="588"/>
      <w:r>
        <w:rPr>
          <w:rtl w:val="true"/>
        </w:rPr>
        <w:t>المبحث الأوّل</w:t>
      </w:r>
      <w:r>
        <w:rPr>
          <w:rtl w:val="true"/>
        </w:rPr>
        <w:t xml:space="preserve">: </w:t>
      </w:r>
      <w:r>
        <w:rPr>
          <w:rtl w:val="true"/>
        </w:rPr>
        <w:t>المضاربة و الإبضاع بمال الیتیم</w:t>
      </w:r>
      <w:bookmarkEnd w:id="589"/>
    </w:p>
    <w:p>
      <w:pPr>
        <w:pStyle w:val="Heading5"/>
        <w:numPr>
          <w:ilvl w:val="4"/>
          <w:numId w:val="1"/>
        </w:numPr>
        <w:rPr/>
      </w:pPr>
      <w:bookmarkStart w:id="590" w:name="__RefHeading___Toc9482910_73709187"/>
      <w:bookmarkStart w:id="591" w:name="_Toc224"/>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الظاهر أنّه لا خلاف بین الفقهاء فی أنّه یجوز للولیّ المضاربة</w:t>
      </w:r>
      <w:r>
        <w:rPr>
          <w:rStyle w:val="FootnoteAnchor"/>
          <w:rtl w:val="true"/>
        </w:rPr>
        <w:footnoteReference w:id="1677"/>
      </w:r>
      <w:r>
        <w:rPr>
          <w:rFonts w:ascii="Amiri" w:hAnsi="Amiri" w:eastAsia="Amiri" w:cs="Amiri"/>
          <w:color w:val="111111"/>
          <w:sz w:val="28"/>
          <w:sz w:val="28"/>
          <w:szCs w:val="28"/>
          <w:rtl w:val="true"/>
          <w:lang w:bidi="ar-SA"/>
        </w:rPr>
        <w:t>بمال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لولیّ الیتیم أن یدفع مال الیتیم قراضاً إلی ثقة، فإن دفعه إلی غیر الثقة فعلیه الضمان</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أعطی مال الیتیم إلی غیره مضاربة، فإن ربح کان بینهما علی ما یتّفقان علیه، و إن خسر کان ضمانه علی من أعطی المال</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هذا المعطی ناظراً فی مال الیتیم نظراً شرعیّاً</w:t>
      </w:r>
    </w:p>
    <w:p>
      <w:pPr>
        <w:pStyle w:val="BookText"/>
        <w:rPr/>
      </w:pPr>
      <w:r>
        <w:rPr>
          <w:rFonts w:ascii="IRNazanin" w:hAnsi="IRNazanin" w:eastAsia="IRNazanin"/>
          <w:color w:val="111111"/>
          <w:sz w:val="28"/>
          <w:sz w:val="28"/>
          <w:szCs w:val="28"/>
          <w:rtl w:val="true"/>
          <w:lang w:bidi="fa-IR"/>
        </w:rPr>
        <w:t>إمّا أن یکون وصیّاً فی ذلک أو ولیّاً، فله أن یفعل فیه ما للیتیم الحظّ فیه و الصلاح، فعلی هذا لا یلزم الولیّ المعطی الخسران إن خسر المال، و هذا هو الذی یقتضیه المذهب، ثمّ وجّهه ثانیاً بقوله، و ما أورده شیخنا فی نهایته خبر واحد</w:t>
      </w:r>
      <w:r>
        <w:rPr>
          <w:rStyle w:val="FootnoteAnchor"/>
          <w:rtl w:val="true"/>
        </w:rPr>
        <w:footnoteReference w:id="1680"/>
      </w:r>
      <w:r>
        <w:rPr>
          <w:rFonts w:ascii="IRNazanin" w:hAnsi="IRNazanin" w:eastAsia="IRNazanin"/>
          <w:color w:val="111111"/>
          <w:sz w:val="28"/>
          <w:sz w:val="28"/>
          <w:szCs w:val="28"/>
          <w:rtl w:val="true"/>
          <w:lang w:bidi="fa-IR"/>
        </w:rPr>
        <w:t>أورده إیراداً لا اعتقاداً، علی ما کرّرنا ذلک</w:t>
      </w:r>
      <w:r>
        <w:rPr>
          <w:rFonts w:eastAsia="IRNazanin" w:cs="IRNazanin"/>
          <w:color w:val="111111"/>
          <w:sz w:val="28"/>
          <w:szCs w:val="28"/>
          <w:rtl w:val="true"/>
          <w:lang w:bidi="fa-IR"/>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فی المختلف عن ابن إدریس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القول لیس بجیّدٍ، لأنّ إعطاء القراض تغریر، فربما لزمه الضمان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کلام الشیخ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أن یکون العامل قد فرّط فی سفره و تعذّر تضمینه فیلزم الدافع؛ لأنّه سبب</w:t>
      </w:r>
      <w:r>
        <w:rPr>
          <w:rFonts w:eastAsia="IRNazanin" w:cs="IRNazanin"/>
          <w:color w:val="111111"/>
          <w:sz w:val="28"/>
          <w:szCs w:val="28"/>
          <w:rtl w:val="true"/>
          <w:lang w:bidi="fa-IR"/>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اتّجر لهم ینبغی أن یتّجر فی المواضع الأمینة و لا یدفعه إلاّ لأمین و لا یغرر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یشترط فی التاجر بمال الیتیم أن یکون ولیّاً و أن یکون ملیّاً، فإن انتفی أحد الوصفین لم یجز له التجارة فی ماله، فإن اتّجر کان الضمان علیه و الربح للیتیم و هو ضامن</w:t>
      </w:r>
      <w:r>
        <w:rPr>
          <w:rFonts w:eastAsia="IRNazanin" w:cs="IRNazanin"/>
          <w:color w:val="111111"/>
          <w:sz w:val="28"/>
          <w:szCs w:val="28"/>
          <w:rtl w:val="true"/>
          <w:lang w:bidi="fa-IR"/>
        </w:rPr>
        <w:t>»</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فی التحریر</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وافقه فی ذلک المحقّق الثانی</w:t>
      </w:r>
      <w:r>
        <w:rPr>
          <w:rStyle w:val="FootnoteAnchor"/>
          <w:rtl w:val="true"/>
        </w:rPr>
        <w:footnoteReference w:id="1685"/>
      </w:r>
      <w:r>
        <w:rPr>
          <w:rFonts w:ascii="IRNazanin" w:hAnsi="IRNazanin" w:eastAsia="IRNazanin"/>
          <w:color w:val="111111"/>
          <w:sz w:val="28"/>
          <w:sz w:val="28"/>
          <w:szCs w:val="28"/>
          <w:rtl w:val="true"/>
          <w:lang w:bidi="fa-IR"/>
        </w:rPr>
        <w:t>و السیّد العاملی فی مفتاح الکرامة</w:t>
      </w:r>
      <w:r>
        <w:rPr>
          <w:rStyle w:val="FootnoteAnchor"/>
          <w:rtl w:val="true"/>
        </w:rPr>
        <w:footnoteReference w:id="1686"/>
      </w:r>
      <w:r>
        <w:rPr>
          <w:rFonts w:ascii="IRNazanin" w:hAnsi="IRNazanin" w:eastAsia="IRNazanin"/>
          <w:color w:val="111111"/>
          <w:sz w:val="28"/>
          <w:sz w:val="28"/>
          <w:szCs w:val="28"/>
          <w:rtl w:val="true"/>
          <w:lang w:bidi="fa-IR"/>
        </w:rPr>
        <w:t>و کذا فی العروة مع التعلیقات لعدّةٍ من الفقهاء العظام</w:t>
      </w:r>
      <w:r>
        <w:rPr>
          <w:rStyle w:val="FootnoteAnchor"/>
          <w:rtl w:val="true"/>
        </w:rPr>
        <w:footnoteReference w:id="1687"/>
      </w:r>
      <w:r>
        <w:rPr>
          <w:rFonts w:ascii="Amiri" w:hAnsi="Amiri" w:eastAsia="Amiri" w:cs="Amiri"/>
          <w:color w:val="111111"/>
          <w:sz w:val="28"/>
          <w:sz w:val="28"/>
          <w:szCs w:val="28"/>
          <w:rtl w:val="true"/>
          <w:lang w:bidi="ar-SA"/>
        </w:rPr>
        <w:t>، و به صرّح أیضاً</w:t>
      </w:r>
    </w:p>
    <w:p>
      <w:pPr>
        <w:pStyle w:val="BookText"/>
        <w:rPr/>
      </w:pPr>
      <w:r>
        <w:rPr>
          <w:rFonts w:ascii="IRNazanin" w:hAnsi="IRNazanin" w:eastAsia="IRNazanin"/>
          <w:color w:val="111111"/>
          <w:sz w:val="28"/>
          <w:sz w:val="28"/>
          <w:szCs w:val="28"/>
          <w:rtl w:val="true"/>
          <w:lang w:bidi="fa-IR"/>
        </w:rPr>
        <w:t>فی المستمسک</w:t>
      </w:r>
      <w:r>
        <w:rPr>
          <w:rStyle w:val="FootnoteAnchor"/>
          <w:rtl w:val="true"/>
        </w:rPr>
        <w:footnoteReference w:id="1688"/>
      </w:r>
      <w:r>
        <w:rPr>
          <w:rFonts w:ascii="IRNazanin" w:hAnsi="IRNazanin" w:eastAsia="IRNazanin"/>
          <w:color w:val="111111"/>
          <w:sz w:val="28"/>
          <w:sz w:val="28"/>
          <w:szCs w:val="28"/>
          <w:rtl w:val="true"/>
          <w:lang w:bidi="fa-IR"/>
        </w:rPr>
        <w:t>و المستند</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الفقیه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للأب و الجدّ الاتّجار بمال المولّی علیه بنحو المضاربة بإیقاع عقدها، بل مع عدمه أیضاً؛ أی عدم لزوم إیقاع العقد و کفایة النیّة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ذلک للوصیّ فی مال الصغیر مع ملاحظة الغبطة و المصلحة و الأمن من هلاک المال</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الوسیلة و تحریرها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للولیّ المضاربة بمال الطفل و إبضاعه بشرط وثاقة العامل و أمانته، فإن دفعه إلی غیره ضمن</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یجوز لولیّ الیتیم إبضاع</w:t>
      </w:r>
      <w:r>
        <w:rPr>
          <w:rStyle w:val="FootnoteAnchor"/>
          <w:rtl w:val="true"/>
        </w:rPr>
        <w:footnoteReference w:id="1692"/>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لولیّ الیتیم إبضاع ماله؛ و هو دفعه إلی من یتّجر به و الربح کلّه للیتیم؛ لأنّ ذلک أنفع من المضاربة؛ لأنّه إذا جاز دفعه بجزء من ربحه، فدفعه إلی من یدفعه جمیع ربحه إلی الیتیم أولی</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جواز ذلک منوط بالمصلحة، و لا فرق بین أن یکون المتّجر بمال الطفل متبرّعاً أو بالاُجرة مع المصلحة</w:t>
      </w:r>
      <w:r>
        <w:rPr>
          <w:rFonts w:eastAsia="IRNazanin" w:cs="IRNazanin"/>
          <w:color w:val="111111"/>
          <w:sz w:val="28"/>
          <w:szCs w:val="28"/>
          <w:rtl w:val="true"/>
          <w:lang w:bidi="fa-IR"/>
        </w:rPr>
        <w:t>»</w:t>
      </w:r>
      <w:r>
        <w:rPr>
          <w:rStyle w:val="FootnoteAnchor"/>
          <w:rtl w:val="true"/>
        </w:rPr>
        <w:footnoteReference w:id="1694"/>
      </w:r>
      <w:bookmarkStart w:id="592" w:name="pg11753_115003"/>
    </w:p>
    <w:p>
      <w:pPr>
        <w:pStyle w:val="BookText"/>
        <w:rPr/>
      </w:pPr>
      <w:bookmarkEnd w:id="592"/>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کلماتهم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المضاربة و الإبضاع بمال الصغیر، و ضمان الدافع إن دفعه إلی غیر أمین</w:t>
      </w:r>
      <w:r>
        <w:rPr>
          <w:rFonts w:eastAsia="IRNazanin" w:cs="IRNazanin"/>
          <w:color w:val="111111"/>
          <w:sz w:val="28"/>
          <w:szCs w:val="28"/>
          <w:rtl w:val="true"/>
          <w:lang w:bidi="fa-IR"/>
        </w:rPr>
        <w:t>.</w:t>
      </w:r>
    </w:p>
    <w:p>
      <w:pPr>
        <w:pStyle w:val="Heading5"/>
        <w:numPr>
          <w:ilvl w:val="4"/>
          <w:numId w:val="1"/>
        </w:numPr>
        <w:rPr/>
      </w:pPr>
      <w:bookmarkStart w:id="593" w:name="__RefHeading___Toc9482912_73709187"/>
      <w:bookmarkStart w:id="594" w:name="_Toc225"/>
      <w:bookmarkEnd w:id="593"/>
      <w:r>
        <w:rPr>
          <w:rtl w:val="true"/>
        </w:rPr>
        <w:t>أدلّة هذین الحکمین</w:t>
      </w:r>
      <w:bookmarkEnd w:id="594"/>
    </w:p>
    <w:p>
      <w:pPr>
        <w:pStyle w:val="BookText"/>
        <w:rPr/>
      </w:pPr>
      <w:r>
        <w:rPr>
          <w:rFonts w:ascii="IRNazanin" w:hAnsi="IRNazanin" w:eastAsia="IRNazanin"/>
          <w:color w:val="111111"/>
          <w:sz w:val="28"/>
          <w:sz w:val="28"/>
          <w:szCs w:val="28"/>
          <w:rtl w:val="true"/>
          <w:lang w:bidi="fa-IR"/>
        </w:rPr>
        <w:t>و أمّا دلیل جواز المضاربة و الإبضاع بمال الیتیم، فالعمدة ما یثبت به عموم ولایة الأولیاء، و لکن فیما إذا کان ذلک مصلحة للصبیّ‌</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یمکن إثبات الحکمین فی المقام مستنداً إلی بعض النصوص الواردة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کمعتبرة</w:t>
      </w:r>
    </w:p>
    <w:p>
      <w:pPr>
        <w:pStyle w:val="BookText"/>
        <w:rPr/>
      </w:pPr>
      <w:r>
        <w:rPr>
          <w:rFonts w:ascii="IRNazanin" w:hAnsi="IRNazanin" w:eastAsia="IRNazanin"/>
          <w:color w:val="111111"/>
          <w:sz w:val="28"/>
          <w:sz w:val="28"/>
          <w:szCs w:val="28"/>
          <w:rtl w:val="true"/>
          <w:lang w:bidi="fa-IR"/>
        </w:rPr>
        <w:t>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الرجل یکون فی یدیه مال لأخ له یتیم و هو وصیّه، أ یصلح له أن یعمل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کما یعمل بمال غیره و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ضمان؟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کان ناظراً له</w:t>
      </w:r>
      <w:r>
        <w:rPr>
          <w:rFonts w:eastAsia="IRNazanin" w:cs="IRNazanin"/>
          <w:color w:val="111111"/>
          <w:sz w:val="28"/>
          <w:szCs w:val="28"/>
          <w:rtl w:val="true"/>
          <w:lang w:bidi="fa-IR"/>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بکر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إلیه مال یتیم مضاربة،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ربح فللیتیم، و إن کان وضیعة فالذی أعطی ضامن</w:t>
      </w:r>
      <w:r>
        <w:rPr>
          <w:rFonts w:eastAsia="IRNazanin" w:cs="IRNazanin"/>
          <w:color w:val="111111"/>
          <w:sz w:val="28"/>
          <w:szCs w:val="28"/>
          <w:rtl w:val="true"/>
          <w:lang w:bidi="fa-IR"/>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عن أبی عبد اللّه علیه السلام أنّه سُئل عن رجل أوصی إلی رجل بوُلده و بمال لهم و أذن له عند الوصیّة أن یعمل بالمال و أن یکون الربح بینه و بینهم،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من أجل أنّ أباه قد أذِن له فی ذلک و هو حیّ</w:t>
      </w:r>
      <w:r>
        <w:rPr>
          <w:rFonts w:eastAsia="IRNazanin" w:cs="IRNazanin"/>
          <w:color w:val="111111"/>
          <w:sz w:val="28"/>
          <w:szCs w:val="28"/>
          <w:rtl w:val="true"/>
          <w:lang w:bidi="fa-IR"/>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خالد بن بکیر الطویل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أبی حین حضرته الوفاة،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اقبض مال إخوتک الصغار و اعمل به، و خذ نصف الربح و أعطهم النصف، و لیس علیک ضمان، فقدّمتنی أُمّ ولد أبی بعد وفاة أبی إلی ابن أبی لیلی، فقالت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یأکل أموال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فاقتصصت علیه ما أمرنی به أبی، فقال لی</w:t>
      </w:r>
    </w:p>
    <w:p>
      <w:pPr>
        <w:pStyle w:val="BookText"/>
        <w:rPr/>
      </w:pP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أبوک أمرک بالباطل لم أجزه، ثمّ أشهد علیّ ابن أبی لیلی إن أنا حرّکته فأنا له ضامن، فدخلت علی أبی عبد اللّه علیه السلام فقصصت علیه قصّتی،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 ابن أبی لیلی فلا أستطیع ردّه، و أمّا فیما بینک و بین اللّه عزّ و جلّ فلیس علیک ضمان</w:t>
      </w:r>
      <w:r>
        <w:rPr>
          <w:rFonts w:eastAsia="IRNazanin" w:cs="IRNazanin"/>
          <w:color w:val="111111"/>
          <w:sz w:val="28"/>
          <w:szCs w:val="28"/>
          <w:rtl w:val="true"/>
          <w:lang w:bidi="fa-IR"/>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علی جواز المضاربة بمال الیتیم صریحة، و یستفاد منها جواز الإبضاع بالأولویّة القطعیّة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w:t>
      </w:r>
    </w:p>
    <w:p>
      <w:pPr>
        <w:pStyle w:val="BookText"/>
        <w:rPr/>
      </w:pPr>
      <w:r>
        <w:rPr>
          <w:rFonts w:ascii="IRNazanin" w:hAnsi="IRNazanin" w:eastAsia="IRNazanin"/>
          <w:color w:val="111111"/>
          <w:sz w:val="28"/>
          <w:sz w:val="28"/>
          <w:szCs w:val="28"/>
          <w:rtl w:val="true"/>
          <w:lang w:bidi="fa-IR"/>
        </w:rPr>
        <w:t>ربعی بن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عنده مال الیتیم،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محتاجاً و لیس له مال فلا یمسّ ماله، و إن هو اتّجر به فالربح للیتیم و هو ضامن</w:t>
      </w:r>
      <w:r>
        <w:rPr>
          <w:rFonts w:eastAsia="IRNazanin" w:cs="IRNazanin"/>
          <w:color w:val="111111"/>
          <w:sz w:val="28"/>
          <w:szCs w:val="28"/>
          <w:rtl w:val="true"/>
          <w:lang w:bidi="fa-IR"/>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عن أبی عبد اللّه علیه السلام فی مال الیتیم،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به ضامن، و للیتیم الربح إذا لم یکن للعامل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عطب أدّاه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إسماعیل بن سعد الأشعری،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مال الیتیم هل للوصیّ أن یعیّنه أو یتّجر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 فهو ضامن</w:t>
      </w:r>
      <w:r>
        <w:rPr>
          <w:rFonts w:eastAsia="IRNazanin" w:cs="IRNazanin"/>
          <w:color w:val="111111"/>
          <w:sz w:val="28"/>
          <w:szCs w:val="28"/>
          <w:rtl w:val="true"/>
          <w:lang w:bidi="fa-IR"/>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اخری ل</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مال الیتیم 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یتّجر به أو تعمل به</w:t>
      </w:r>
      <w:r>
        <w:rPr>
          <w:rFonts w:eastAsia="IRNazanin" w:cs="IRNazanin"/>
          <w:color w:val="111111"/>
          <w:sz w:val="28"/>
          <w:szCs w:val="28"/>
          <w:rtl w:val="true"/>
          <w:lang w:bidi="fa-IR"/>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إلاّ أن یتّجر به، فإن اتّجر به فالربح للیتیم، و إن وضع فعلی الذی</w:t>
      </w:r>
      <w:bookmarkStart w:id="595" w:name="pg11753_115005"/>
    </w:p>
    <w:p>
      <w:pPr>
        <w:pStyle w:val="BookText"/>
        <w:rPr/>
      </w:pPr>
      <w:bookmarkEnd w:id="595"/>
      <w:r>
        <w:rPr>
          <w:rFonts w:ascii="Amiri" w:hAnsi="Amiri" w:eastAsia="Amiri" w:cs="Amiri"/>
          <w:color w:val="111111"/>
          <w:sz w:val="28"/>
          <w:sz w:val="28"/>
          <w:szCs w:val="28"/>
          <w:rtl w:val="true"/>
          <w:lang w:bidi="ar-SA"/>
        </w:rPr>
        <w:t>یتّجر به</w:t>
      </w:r>
      <w:r>
        <w:rPr>
          <w:rFonts w:eastAsia="Amiri" w:cs="Amiri" w:ascii="Amiri" w:hAnsi="Amiri"/>
          <w:color w:val="111111"/>
          <w:sz w:val="28"/>
          <w:szCs w:val="28"/>
          <w:rtl w:val="true"/>
          <w:lang w:bidi="ar-SA"/>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غیرها من النصوص المستفیضة</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علی جواز الإبضاع و کذا ضمان الولیّ إن دفع المال إلی غیر الأمین واضحة، و تدلّ علی جواز المضاربة بالإطلاق</w:t>
      </w:r>
      <w:r>
        <w:rPr>
          <w:rFonts w:eastAsia="IRNazanin" w:cs="IRNazanin"/>
          <w:color w:val="111111"/>
          <w:sz w:val="28"/>
          <w:szCs w:val="28"/>
          <w:rtl w:val="true"/>
          <w:lang w:bidi="fa-IR"/>
        </w:rPr>
        <w:t>.</w:t>
      </w:r>
    </w:p>
    <w:p>
      <w:pPr>
        <w:pStyle w:val="Heading5"/>
        <w:numPr>
          <w:ilvl w:val="4"/>
          <w:numId w:val="1"/>
        </w:numPr>
        <w:rPr/>
      </w:pPr>
      <w:bookmarkStart w:id="596" w:name="__RefHeading___Toc9482914_73709187"/>
      <w:bookmarkStart w:id="597" w:name="_Toc226"/>
      <w:bookmarkEnd w:id="596"/>
      <w:r>
        <w:rPr>
          <w:rtl w:val="true"/>
        </w:rPr>
        <w:t>المضاربة و الإبضاع بمال الصبیّ عند أهل السنّة</w:t>
      </w:r>
      <w:bookmarkEnd w:id="597"/>
    </w:p>
    <w:p>
      <w:pPr>
        <w:pStyle w:val="BookText"/>
        <w:rPr/>
      </w:pPr>
      <w:r>
        <w:rPr>
          <w:rFonts w:ascii="IRNazanin" w:hAnsi="IRNazanin" w:eastAsia="IRNazanin"/>
          <w:color w:val="111111"/>
          <w:sz w:val="28"/>
          <w:sz w:val="28"/>
          <w:szCs w:val="28"/>
          <w:rtl w:val="true"/>
          <w:lang w:bidi="fa-IR"/>
        </w:rPr>
        <w:t>الظاهر أنّه لا خلاف بینهم فی جواز المضاربة و الإبضاع بمال الصبیّ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المبسوط فی فقه الحنفی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الوصیّ یعطی مال الیتیم مضاربة و إن شاء أبضعه،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إِصْلاحٌ لَهُمْ 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الأصلح فی حقّه أن یتّجر بماله، و الأنفع للیتیم أن یدفعه إلیه بضاعةً</w:t>
      </w:r>
      <w:r>
        <w:rPr>
          <w:rFonts w:eastAsia="Amiri" w:cs="Amiri" w:ascii="Amiri" w:hAnsi="Amiri"/>
          <w:color w:val="111111"/>
          <w:sz w:val="28"/>
          <w:szCs w:val="28"/>
          <w:rtl w:val="true"/>
          <w:lang w:bidi="ar-SA"/>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للوصی أن یعمل فی مال الصبیّ مضاربة أو یدفعه إلی غیره مضاربة</w:t>
      </w:r>
      <w:r>
        <w:rPr>
          <w:rFonts w:eastAsia="IRNazanin" w:cs="IRNazanin"/>
          <w:color w:val="111111"/>
          <w:sz w:val="28"/>
          <w:szCs w:val="28"/>
          <w:rtl w:val="true"/>
          <w:lang w:bidi="fa-IR"/>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الأستروشنی</w:t>
      </w:r>
      <w:r>
        <w:rPr>
          <w:rStyle w:val="FootnoteAnchor"/>
          <w:rtl w:val="true"/>
        </w:rPr>
        <w:footnoteReference w:id="1707"/>
      </w:r>
      <w:r>
        <w:rPr>
          <w:rFonts w:ascii="IRNazanin" w:hAnsi="IRNazanin" w:eastAsia="IRNazanin"/>
          <w:color w:val="111111"/>
          <w:sz w:val="28"/>
          <w:sz w:val="28"/>
          <w:szCs w:val="28"/>
          <w:rtl w:val="true"/>
          <w:lang w:bidi="fa-IR"/>
        </w:rPr>
        <w:t>و قاضی‌خان</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المغنی لابن قدامة من فقهاء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لولیّ الیتیم أن یضارب بماله و أن یدفعه إلی من یضارب له به، و یجعل له نصیباً من الربح أباً کان أو وصیّاً</w:t>
      </w:r>
    </w:p>
    <w:p>
      <w:pPr>
        <w:pStyle w:val="BookText"/>
        <w:rPr/>
      </w:pPr>
      <w:r>
        <w:rPr>
          <w:rFonts w:ascii="IRNazanin" w:hAnsi="IRNazanin" w:eastAsia="IRNazanin"/>
          <w:color w:val="111111"/>
          <w:sz w:val="28"/>
          <w:sz w:val="28"/>
          <w:szCs w:val="28"/>
          <w:rtl w:val="true"/>
          <w:lang w:bidi="fa-IR"/>
        </w:rPr>
        <w:t>أو حاکماً أو أمین حاکم، و هو أولی من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فی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عبد اللّه بن عمرو بن العاص أنّ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ولی یتیماً له مال فلیتّجر له و لا یترکه حتّی تأکله الصدقة</w:t>
      </w:r>
      <w:r>
        <w:rPr>
          <w:rFonts w:eastAsia="IRNazanin" w:cs="IRNazanin"/>
          <w:color w:val="111111"/>
          <w:sz w:val="28"/>
          <w:szCs w:val="28"/>
          <w:rtl w:val="true"/>
          <w:lang w:bidi="fa-IR"/>
        </w:rPr>
        <w:t>»</w:t>
      </w:r>
      <w:r>
        <w:rPr>
          <w:rStyle w:val="FootnoteAnchor"/>
          <w:rtl w:val="true"/>
        </w:rPr>
        <w:footnoteReference w:id="1709"/>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الشرح الکبیر</w:t>
      </w:r>
      <w:r>
        <w:rPr>
          <w:rStyle w:val="FootnoteAnchor"/>
          <w:rtl w:val="true"/>
        </w:rPr>
        <w:footnoteReference w:id="1711"/>
      </w:r>
      <w:r>
        <w:rPr>
          <w:rFonts w:ascii="IRNazanin" w:hAnsi="IRNazanin" w:eastAsia="IRNazanin"/>
          <w:color w:val="111111"/>
          <w:sz w:val="28"/>
          <w:sz w:val="28"/>
          <w:szCs w:val="28"/>
          <w:rtl w:val="true"/>
          <w:lang w:bidi="fa-IR"/>
        </w:rPr>
        <w:t>و الکافی</w:t>
      </w:r>
      <w:r>
        <w:rPr>
          <w:rStyle w:val="FootnoteAnchor"/>
          <w:rtl w:val="true"/>
        </w:rPr>
        <w:footnoteReference w:id="1712"/>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لولیّ الیتیم إبضاع ماله، و معناه دفعه إلی من یتّجر به و الربح کلّه للیتیم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جاز دفعه بجزء من ربحه فدفعه إلی من یوفّر الربح أولی</w:t>
      </w:r>
      <w:r>
        <w:rPr>
          <w:rFonts w:eastAsia="IRNazanin" w:cs="IRNazanin"/>
          <w:color w:val="111111"/>
          <w:sz w:val="28"/>
          <w:szCs w:val="28"/>
          <w:rtl w:val="true"/>
          <w:lang w:bidi="fa-IR"/>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البهوتی</w:t>
      </w:r>
      <w:r>
        <w:rPr>
          <w:rStyle w:val="FootnoteAnchor"/>
          <w:rtl w:val="true"/>
        </w:rPr>
        <w:footnoteReference w:id="1714"/>
      </w:r>
      <w:r>
        <w:rPr>
          <w:rFonts w:ascii="IRNazanin" w:hAnsi="IRNazanin" w:eastAsia="IRNazanin"/>
          <w:color w:val="111111"/>
          <w:sz w:val="28"/>
          <w:sz w:val="28"/>
          <w:szCs w:val="28"/>
          <w:rtl w:val="true"/>
          <w:lang w:bidi="fa-IR"/>
        </w:rPr>
        <w:t>و بعض آخر</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القراض توکیل، فکما یجوز لولیّ الطفل التوکیل فی أُمور الطفل، کذلک یجوز لولیّ الطفل و المجنون أن یقارض علی مالهما یستوی فیه الأب و الجدّ و وصیّهما و الحاکم و أمینه</w:t>
      </w:r>
      <w:r>
        <w:rPr>
          <w:rFonts w:eastAsia="IRNazanin" w:cs="IRNazanin"/>
          <w:color w:val="111111"/>
          <w:sz w:val="28"/>
          <w:szCs w:val="28"/>
          <w:rtl w:val="true"/>
          <w:lang w:bidi="fa-IR"/>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النووی</w:t>
      </w:r>
      <w:r>
        <w:rPr>
          <w:rStyle w:val="FootnoteAnchor"/>
          <w:rtl w:val="true"/>
        </w:rPr>
        <w:footnoteReference w:id="1717"/>
      </w:r>
      <w:r>
        <w:rPr>
          <w:rFonts w:ascii="IRNazanin" w:hAnsi="IRNazanin" w:eastAsia="IRNazanin"/>
          <w:color w:val="111111"/>
          <w:sz w:val="28"/>
          <w:sz w:val="28"/>
          <w:szCs w:val="28"/>
          <w:rtl w:val="true"/>
          <w:lang w:bidi="fa-IR"/>
        </w:rPr>
        <w:t>و الخطیب الشروبینی</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لولیّ الیتیم أن یتّجر له بماله علی الشروط المعتبرة فیه؛ و هو قول عامّة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الولیّ یقوم فی مال الیتیم مقام البالغ الرشید فی مال نفسه، فلمّا کان من أفعال الرشید أن یتّجر بماله، کان الولیّ فی مال</w:t>
      </w:r>
    </w:p>
    <w:p>
      <w:pPr>
        <w:pStyle w:val="BookText"/>
        <w:rPr/>
      </w:pPr>
      <w:r>
        <w:rPr>
          <w:rFonts w:ascii="IRNazanin" w:hAnsi="IRNazanin" w:eastAsia="IRNazanin"/>
          <w:color w:val="111111"/>
          <w:sz w:val="28"/>
          <w:sz w:val="28"/>
          <w:szCs w:val="28"/>
          <w:rtl w:val="true"/>
          <w:lang w:bidi="fa-IR"/>
        </w:rPr>
        <w:t>الیتیم مندوباً إلی أن یتّجر بماله، و لأنّ الولیّ مندوب إلی أن یثمر ماله من یلی علیه، و التجارة من أقوی الأسباب فی تثمیر المال، فکان الولیّ بها أولی</w:t>
      </w:r>
      <w:r>
        <w:rPr>
          <w:rFonts w:eastAsia="IRNazanin" w:cs="IRNazanin"/>
          <w:color w:val="111111"/>
          <w:sz w:val="28"/>
          <w:szCs w:val="28"/>
          <w:rtl w:val="true"/>
          <w:lang w:bidi="fa-IR"/>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به أیضاً فقهاء المالکی، کما صرّح بذلک فی التاج و الإکلیل فی حاشیة مواهب الجلیل</w:t>
      </w:r>
      <w:r>
        <w:rPr>
          <w:rStyle w:val="FootnoteAnchor"/>
          <w:rtl w:val="true"/>
        </w:rPr>
        <w:footnoteReference w:id="1720"/>
      </w:r>
      <w:r>
        <w:rPr>
          <w:rFonts w:ascii="IRNazanin" w:hAnsi="IRNazanin" w:eastAsia="IRNazanin"/>
          <w:color w:val="111111"/>
          <w:sz w:val="28"/>
          <w:sz w:val="28"/>
          <w:szCs w:val="28"/>
          <w:rtl w:val="true"/>
          <w:lang w:bidi="fa-IR"/>
        </w:rPr>
        <w:t>و الشرح الصغیر للدردیر</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للوصیّ أن یتّجر لنفسه مضاربةً؟ فیه إشکال ینشأ من أنّ له الدفع إلی غیره فجاز لنفسه، و من أنّ الربح نماء مال الیتیم فلا یستحقّ علیه إلاّ بعقدٍ، و لا یجوز أن یعقد الولیّ المضاربة مع نفسه</w:t>
      </w:r>
      <w:r>
        <w:rPr>
          <w:rFonts w:eastAsia="IRNazanin" w:cs="IRNazanin"/>
          <w:color w:val="111111"/>
          <w:sz w:val="28"/>
          <w:szCs w:val="28"/>
          <w:rtl w:val="true"/>
          <w:lang w:bidi="fa-IR"/>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فالأقرب أنّه لا تصحّ المضاربة و تکون له اجرة المثل</w:t>
      </w:r>
      <w:r>
        <w:rPr>
          <w:rFonts w:eastAsia="IRNazanin" w:cs="IRNazanin"/>
          <w:color w:val="111111"/>
          <w:sz w:val="28"/>
          <w:szCs w:val="28"/>
          <w:rtl w:val="true"/>
          <w:lang w:bidi="fa-IR"/>
        </w:rPr>
        <w:t>»</w:t>
      </w:r>
      <w:r>
        <w:rPr>
          <w:rStyle w:val="FootnoteAnchor"/>
          <w:rtl w:val="true"/>
        </w:rPr>
        <w:footnoteReference w:id="1723"/>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بعض أهل السنّة أیضاً</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المحقّق الثانی فی بیانه و الجواب عنه فی شرحه علی القواعد،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جواز الدفع إلی غیره جائز مع المصلحة، و إنّما جاز لکونه منوطاً بنظره، فإذا کان بیده کان أدخل فی الحفظ و أقرب إلی مقتضی الوصیّة، فیکون جوازه</w:t>
      </w:r>
    </w:p>
    <w:p>
      <w:pPr>
        <w:pStyle w:val="BookText"/>
        <w:rPr/>
      </w:pPr>
      <w:r>
        <w:rPr>
          <w:rFonts w:ascii="Amiri" w:hAnsi="Amiri" w:eastAsia="Amiri" w:cs="Amiri"/>
          <w:color w:val="111111"/>
          <w:sz w:val="28"/>
          <w:sz w:val="28"/>
          <w:szCs w:val="28"/>
          <w:rtl w:val="true"/>
          <w:lang w:bidi="ar-SA"/>
        </w:rPr>
        <w:t>بطریقٍ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الجواز من تناول الإذن له، و المتبادر من الإذن فی عقد المضاربة الدفع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الوصیّة إلیه إسناد التصرّف إلی رأیه، و هو یعمّ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نماء المال أن یکون لمالکه</w:t>
      </w:r>
      <w:r>
        <w:rPr>
          <w:rStyle w:val="FootnoteAnchor"/>
          <w:rtl w:val="true"/>
        </w:rPr>
        <w:footnoteReference w:id="1726"/>
      </w:r>
      <w:r>
        <w:rPr>
          <w:rFonts w:ascii="IRNazanin" w:hAnsi="IRNazanin" w:eastAsia="IRNazanin"/>
          <w:color w:val="111111"/>
          <w:sz w:val="28"/>
          <w:sz w:val="28"/>
          <w:szCs w:val="28"/>
          <w:rtl w:val="true"/>
          <w:lang w:bidi="fa-IR"/>
        </w:rPr>
        <w:t>، فلا یخرج عنه و لا یستحقّ علیه الآخر إلاّ بعقدٍ یقتضیه، و لا یعقد الولیّ لنفسه، إمّا لأنّ العقد یقتضی متعاقدین، أو لأنّه لا بدّ من الإذن فی ذلک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المتعاقدین یکفی حصولهما بالقوّة و تغایرهما بالاعتبار، 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قدّمناه من أنّ إسناد التصرّف بالوصیّة یتناول کلّ تصرّف بالمصلحة</w:t>
      </w:r>
      <w:r>
        <w:rPr>
          <w:rStyle w:val="FootnoteAnchor"/>
          <w:rtl w:val="true"/>
        </w:rPr>
        <w:footnoteReference w:id="1727"/>
      </w:r>
      <w:bookmarkStart w:id="598" w:name="pg11753_115009"/>
    </w:p>
    <w:p>
      <w:pPr>
        <w:pStyle w:val="Heading4"/>
        <w:numPr>
          <w:ilvl w:val="3"/>
          <w:numId w:val="1"/>
        </w:numPr>
        <w:rPr/>
      </w:pPr>
      <w:bookmarkStart w:id="599" w:name="__RefHeading___Toc9482916_73709187"/>
      <w:bookmarkStart w:id="600" w:name="_Toc227"/>
      <w:bookmarkEnd w:id="598"/>
      <w:bookmarkEnd w:id="599"/>
      <w:r>
        <w:rPr>
          <w:rtl w:val="true"/>
        </w:rPr>
        <w:t>المبحث الثانی</w:t>
      </w:r>
      <w:r>
        <w:rPr>
          <w:rtl w:val="true"/>
        </w:rPr>
        <w:t xml:space="preserve">: </w:t>
      </w:r>
      <w:r>
        <w:rPr>
          <w:rtl w:val="true"/>
        </w:rPr>
        <w:t>الرهن و الارتهان و الإقراض و الاقتراض</w:t>
      </w:r>
      <w:bookmarkEnd w:id="600"/>
    </w:p>
    <w:p>
      <w:pPr>
        <w:pStyle w:val="Heading5"/>
        <w:numPr>
          <w:ilvl w:val="4"/>
          <w:numId w:val="1"/>
        </w:numPr>
        <w:rPr/>
      </w:pPr>
      <w:bookmarkStart w:id="601" w:name="__RefHeading___Toc9482918_73709187"/>
      <w:bookmarkStart w:id="602" w:name="_Toc228"/>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المشهور بین الفقهاء أنّه یجوز للولیّ رهن</w:t>
      </w:r>
      <w:r>
        <w:rPr>
          <w:rStyle w:val="FootnoteAnchor"/>
          <w:rtl w:val="true"/>
        </w:rPr>
        <w:footnoteReference w:id="1728"/>
      </w:r>
      <w:r>
        <w:rPr>
          <w:rFonts w:ascii="IRNazanin" w:hAnsi="IRNazanin" w:eastAsia="IRNazanin"/>
          <w:color w:val="111111"/>
          <w:sz w:val="28"/>
          <w:sz w:val="28"/>
          <w:szCs w:val="28"/>
          <w:rtl w:val="true"/>
          <w:lang w:bidi="fa-IR"/>
        </w:rPr>
        <w:t>مال الصبیّ و أخذ الرهن، و هکذا الإقراض و الاقتراض له إذا افتقر إلی ذلک مع مراعاة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رهن ماله؛ فإنّه لا یجوز إلاّ أن یکون به حاجة إلی مال ینفقه علیه فی کسوته و طعامه، أو یرمّ ما استهدم من عقاره، و یخاف إن ترکه هلاکه و عظیم الخسران و له مال غائب یرجو قدومه، أو غلّة تدرک إذا بیعت بطل کثیر منها، فإذا ترکت حتّی یدرک توفّر ثمنها؛ فإنّ الولیّ یستقرض له هاهنا و یرهن من ماله و یقضیه من غلّته أو ما تقدّم علیه، و إن لم یکن له حاجة إلی شیء من ذلک و کان بیع العقار أصلح باعه و لم یرهن</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لولیّ الطفل رهن ماله إذا افتقر إلی الاستدانة مع مراعاة المصلحة، کأن یُسْتَهْدَم عقاره فیروم رمّه، أو یکون له أموال یحتاج إلی الإنفاق</w:t>
      </w:r>
    </w:p>
    <w:p>
      <w:pPr>
        <w:pStyle w:val="BookText"/>
        <w:rPr/>
      </w:pPr>
      <w:r>
        <w:rPr>
          <w:rFonts w:ascii="IRNazanin" w:hAnsi="IRNazanin" w:eastAsia="IRNazanin"/>
          <w:color w:val="111111"/>
          <w:sz w:val="28"/>
          <w:sz w:val="28"/>
          <w:szCs w:val="28"/>
          <w:rtl w:val="true"/>
          <w:lang w:bidi="fa-IR"/>
        </w:rPr>
        <w:t>لحفظها من التلف أو الانتقاص، فیرهن بذلک ما یراه من أمواله إذا کان استبقاؤها أعود</w:t>
      </w:r>
      <w:r>
        <w:rPr>
          <w:rFonts w:eastAsia="IRNazanin" w:cs="IRNazanin"/>
          <w:color w:val="111111"/>
          <w:sz w:val="28"/>
          <w:szCs w:val="28"/>
          <w:rtl w:val="true"/>
          <w:lang w:bidi="fa-IR"/>
        </w:rPr>
        <w:t>»</w:t>
      </w:r>
      <w:r>
        <w:rPr>
          <w:rStyle w:val="FootnoteAnchor"/>
          <w:rtl w:val="true"/>
        </w:rPr>
        <w:footnoteReference w:id="1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الشهید فی الدروس،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یجوز لولیّ الطفل رهن ماله إذا افتقر إلی الاستدانة لإصلاح مال استبقاؤه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استیفاؤه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أو لنفقته</w:t>
      </w:r>
      <w:r>
        <w:rPr>
          <w:rFonts w:eastAsia="IRNazanin" w:cs="IRNazanin"/>
          <w:color w:val="111111"/>
          <w:sz w:val="28"/>
          <w:szCs w:val="28"/>
          <w:rtl w:val="true"/>
          <w:lang w:bidi="fa-IR"/>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اللمعة</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 ذلک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لولیّ الطفل أن یرهن ماله إذا افتقر إلی الاستدانة مع المصلحة، مثل أن یستهدم عقاره فیحتاج فی إصلاحه إلی الاستدانة أو یکون له ما یحتاج إلی الإنفاق علیه، أو تکون به حاجة إلی نفقةٍ و کسوةٍ، أو یخاف من تلف بعض ماله فیستدین الولیّ لحفظه و یرهن ما یراه مصلحة، و له أن یقبض الرهن مع المصلحة أیضاً</w:t>
      </w:r>
      <w:r>
        <w:rPr>
          <w:rFonts w:eastAsia="IRNazanin" w:cs="IRNazanin"/>
          <w:color w:val="111111"/>
          <w:sz w:val="28"/>
          <w:szCs w:val="28"/>
          <w:rtl w:val="true"/>
          <w:lang w:bidi="fa-IR"/>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الإرشاد</w:t>
      </w:r>
      <w:r>
        <w:rPr>
          <w:rStyle w:val="FootnoteAnchor"/>
          <w:rtl w:val="true"/>
        </w:rPr>
        <w:footnoteReference w:id="1735"/>
      </w:r>
      <w:r>
        <w:rPr>
          <w:rFonts w:ascii="IRNazanin" w:hAnsi="IRNazanin" w:eastAsia="IRNazanin"/>
          <w:color w:val="111111"/>
          <w:sz w:val="28"/>
          <w:sz w:val="28"/>
          <w:szCs w:val="28"/>
          <w:rtl w:val="true"/>
          <w:lang w:bidi="fa-IR"/>
        </w:rPr>
        <w:t>و التذکرة</w:t>
      </w: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المحقّق الأردبیلی</w:t>
      </w:r>
      <w:r>
        <w:rPr>
          <w:rStyle w:val="FootnoteAnchor"/>
          <w:rtl w:val="true"/>
        </w:rPr>
        <w:footnoteReference w:id="1737"/>
      </w:r>
      <w:r>
        <w:rPr>
          <w:rFonts w:ascii="IRNazanin" w:hAnsi="IRNazanin" w:eastAsia="IRNazanin"/>
          <w:color w:val="111111"/>
          <w:sz w:val="28"/>
          <w:sz w:val="28"/>
          <w:szCs w:val="28"/>
          <w:rtl w:val="true"/>
          <w:lang w:bidi="fa-IR"/>
        </w:rPr>
        <w:t>و الشهید فی المسالک</w:t>
      </w:r>
      <w:r>
        <w:rPr>
          <w:rStyle w:val="FootnoteAnchor"/>
          <w:rtl w:val="true"/>
        </w:rPr>
        <w:footnoteReference w:id="1738"/>
      </w:r>
      <w:r>
        <w:rPr>
          <w:rFonts w:ascii="Amiri" w:hAnsi="Amiri" w:eastAsia="Amiri" w:cs="Amiri"/>
          <w:color w:val="111111"/>
          <w:sz w:val="28"/>
          <w:sz w:val="28"/>
          <w:szCs w:val="28"/>
          <w:rtl w:val="true"/>
          <w:lang w:bidi="ar-SA"/>
        </w:rPr>
        <w:t>و الروضة</w:t>
      </w:r>
      <w:r>
        <w:rPr>
          <w:rStyle w:val="FootnoteAnchor"/>
          <w:rtl w:val="true"/>
        </w:rPr>
        <w:footnoteReference w:id="1739"/>
      </w:r>
      <w:r>
        <w:rPr>
          <w:rFonts w:ascii="IRNazanin" w:hAnsi="IRNazanin" w:eastAsia="IRNazanin"/>
          <w:color w:val="111111"/>
          <w:sz w:val="28"/>
          <w:sz w:val="28"/>
          <w:szCs w:val="28"/>
          <w:rtl w:val="true"/>
          <w:lang w:bidi="fa-IR"/>
        </w:rPr>
        <w:t>و المحقّق العاملی فی مفتاح الکرامة</w:t>
      </w:r>
      <w:r>
        <w:rPr>
          <w:rStyle w:val="FootnoteAnchor"/>
          <w:rtl w:val="true"/>
        </w:rPr>
        <w:footnoteReference w:id="1740"/>
      </w:r>
      <w:r>
        <w:rPr>
          <w:rFonts w:ascii="IRNazanin" w:hAnsi="IRNazanin" w:eastAsia="IRNazanin"/>
          <w:color w:val="111111"/>
          <w:sz w:val="28"/>
          <w:sz w:val="28"/>
          <w:szCs w:val="28"/>
          <w:rtl w:val="true"/>
          <w:lang w:bidi="fa-IR"/>
        </w:rPr>
        <w:t>و المحقّق السبزواری</w:t>
      </w:r>
      <w:bookmarkStart w:id="603" w:name="pg11753_115011"/>
    </w:p>
    <w:p>
      <w:pPr>
        <w:pStyle w:val="BookText"/>
        <w:rPr/>
      </w:pPr>
      <w:bookmarkEnd w:id="603"/>
      <w:r>
        <w:rPr>
          <w:rFonts w:ascii="IRNazanin" w:hAnsi="IRNazanin" w:eastAsia="IRNazanin"/>
          <w:color w:val="111111"/>
          <w:sz w:val="28"/>
          <w:sz w:val="28"/>
          <w:szCs w:val="28"/>
          <w:rtl w:val="true"/>
          <w:lang w:bidi="fa-IR"/>
        </w:rPr>
        <w:t>فی الکفایة</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الجواهر</w:t>
      </w:r>
      <w:r>
        <w:rPr>
          <w:rStyle w:val="FootnoteAnchor"/>
          <w:rtl w:val="true"/>
        </w:rPr>
        <w:footnoteReference w:id="1742"/>
      </w:r>
      <w:r>
        <w:rPr>
          <w:rFonts w:ascii="IRNazanin" w:hAnsi="IRNazanin" w:eastAsia="IRNazanin"/>
          <w:color w:val="111111"/>
          <w:sz w:val="28"/>
          <w:sz w:val="28"/>
          <w:szCs w:val="28"/>
          <w:rtl w:val="true"/>
          <w:lang w:bidi="fa-IR"/>
        </w:rPr>
        <w:t>و الریاض</w:t>
      </w:r>
      <w:r>
        <w:rPr>
          <w:rStyle w:val="FootnoteAnchor"/>
          <w:rtl w:val="true"/>
        </w:rPr>
        <w:footnoteReference w:id="1743"/>
      </w:r>
      <w:r>
        <w:rPr>
          <w:rFonts w:ascii="IRNazanin" w:hAnsi="IRNazanin" w:eastAsia="IRNazanin"/>
          <w:color w:val="111111"/>
          <w:sz w:val="28"/>
          <w:sz w:val="28"/>
          <w:szCs w:val="28"/>
          <w:rtl w:val="true"/>
          <w:lang w:bidi="fa-IR"/>
        </w:rPr>
        <w:t>و الوسیلة</w:t>
      </w:r>
      <w:r>
        <w:rPr>
          <w:rStyle w:val="FootnoteAnchor"/>
          <w:rtl w:val="true"/>
        </w:rPr>
        <w:footnoteReference w:id="1744"/>
      </w:r>
      <w:r>
        <w:rPr>
          <w:rFonts w:ascii="IRNazanin" w:hAnsi="IRNazanin" w:eastAsia="IRNazanin"/>
          <w:color w:val="111111"/>
          <w:sz w:val="28"/>
          <w:sz w:val="28"/>
          <w:szCs w:val="28"/>
          <w:rtl w:val="true"/>
          <w:lang w:bidi="fa-IR"/>
        </w:rPr>
        <w:t>و تحریرها</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و جامع المدارک</w:t>
      </w:r>
      <w:r>
        <w:rPr>
          <w:rStyle w:val="FootnoteAnchor"/>
          <w:rtl w:val="true"/>
        </w:rPr>
        <w:footnoteReference w:id="1746"/>
      </w:r>
      <w:r>
        <w:rPr>
          <w:rFonts w:ascii="IRNazanin" w:hAnsi="IRNazanin" w:eastAsia="IRNazanin"/>
          <w:color w:val="111111"/>
          <w:sz w:val="28"/>
          <w:sz w:val="28"/>
          <w:szCs w:val="28"/>
          <w:rtl w:val="true"/>
          <w:lang w:bidi="fa-IR"/>
        </w:rPr>
        <w:t>و منهاج الصالحین</w:t>
      </w:r>
      <w:r>
        <w:rPr>
          <w:rStyle w:val="FootnoteAnchor"/>
          <w:rtl w:val="true"/>
        </w:rPr>
        <w:footnoteReference w:id="1747"/>
      </w:r>
      <w:r>
        <w:rPr>
          <w:rFonts w:ascii="IRNazanin" w:hAnsi="IRNazanin" w:eastAsia="IRNazanin"/>
          <w:color w:val="111111"/>
          <w:sz w:val="28"/>
          <w:sz w:val="28"/>
          <w:szCs w:val="28"/>
          <w:rtl w:val="true"/>
          <w:lang w:bidi="fa-IR"/>
        </w:rPr>
        <w:t>و مبانیه</w:t>
      </w:r>
      <w:r>
        <w:rPr>
          <w:rStyle w:val="FootnoteAnchor"/>
          <w:rtl w:val="true"/>
        </w:rPr>
        <w:footnoteReference w:id="1748"/>
      </w:r>
      <w:r>
        <w:rPr>
          <w:rFonts w:ascii="IRNazanin" w:hAnsi="IRNazanin" w:eastAsia="IRNazanin"/>
          <w:color w:val="111111"/>
          <w:sz w:val="28"/>
          <w:sz w:val="28"/>
          <w:szCs w:val="28"/>
          <w:rtl w:val="true"/>
          <w:lang w:bidi="fa-IR"/>
        </w:rPr>
        <w:t>و مهذّب الأحکام</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کلماتهم أنّ مراعاة المصلحة إنّما تکون بحسب نظر الولیّ، و هی لا تنضبط لاختلاف المصالح باختلاف الأمکنة و الأزمنة و الأحوال، کما نبّه علیه فی الجواهر</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9482920_73709187"/>
      <w:bookmarkStart w:id="605" w:name="_Toc229"/>
      <w:bookmarkEnd w:id="604"/>
      <w:r>
        <w:rPr>
          <w:rtl w:val="true"/>
        </w:rPr>
        <w:t>أدلّة جواز رهن مال الصّبی</w:t>
      </w:r>
      <w:bookmarkEnd w:id="605"/>
    </w:p>
    <w:p>
      <w:pPr>
        <w:pStyle w:val="BookText"/>
        <w:rPr/>
      </w:pPr>
      <w:r>
        <w:rPr>
          <w:rFonts w:ascii="IRNazanin" w:hAnsi="IRNazanin" w:eastAsia="IRNazanin"/>
          <w:color w:val="111111"/>
          <w:sz w:val="28"/>
          <w:sz w:val="28"/>
          <w:szCs w:val="28"/>
          <w:rtl w:val="true"/>
          <w:lang w:bidi="fa-IR"/>
        </w:rPr>
        <w:t>و یمکن الاستدلال لإثبات هذا الحکم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حیث نهی عن القرب إلاّ بالتی هی أحسن، و الفرض أنّ فی رهن مال الصبیّ مصلحة 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ولایة الولیّ الشاملة لذلک</w:t>
      </w:r>
      <w:r>
        <w:rPr>
          <w:rFonts w:eastAsia="IRNazanin" w:cs="IRNazanin"/>
          <w:color w:val="111111"/>
          <w:sz w:val="28"/>
          <w:szCs w:val="28"/>
          <w:rtl w:val="true"/>
          <w:lang w:bidi="fa-IR"/>
        </w:rPr>
        <w:t>.</w:t>
      </w:r>
      <w:bookmarkStart w:id="606" w:name="pg11753_115012"/>
    </w:p>
    <w:p>
      <w:pPr>
        <w:pStyle w:val="BookText"/>
        <w:rPr/>
      </w:pPr>
      <w:bookmarkEnd w:id="606"/>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المسالک و الجواهر الإجماع علیه، حیث قال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الحکم ممّا لا خلاف فیه عندنا، و إنّما خالف فیه بعض الشافعیّة، فمنع رهن ماله مطلقاً</w:t>
      </w:r>
      <w:r>
        <w:rPr>
          <w:rFonts w:eastAsia="IRNazanin" w:cs="IRNazanin"/>
          <w:color w:val="111111"/>
          <w:sz w:val="28"/>
          <w:szCs w:val="28"/>
          <w:rtl w:val="true"/>
          <w:lang w:bidi="fa-IR"/>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فی الجواهر</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للإجماع و اقتضاء ولایته ذلک</w:t>
      </w:r>
      <w:r>
        <w:rPr>
          <w:rFonts w:eastAsia="IRNazanin" w:cs="IRNazanin"/>
          <w:color w:val="111111"/>
          <w:sz w:val="28"/>
          <w:szCs w:val="28"/>
          <w:rtl w:val="true"/>
          <w:lang w:bidi="fa-IR"/>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للولیّ الاتّجار بمال الصبیّ کما تقدّم، و الرهن و الارتهان من شئون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للولیّ التصرّف فی مال الیتیم مع المصلحة، و لا فرق فی جواز التصرّف بین أقسامه، و لکن لمّا کان جواز ذلک الرهن مع مراعاة المصلحة التی هی الأحسن الذی نهی اللّه</w:t>
      </w:r>
      <w:r>
        <w:rPr>
          <w:rStyle w:val="FootnoteAnchor"/>
          <w:rtl w:val="true"/>
        </w:rPr>
        <w:footnoteReference w:id="1754"/>
      </w:r>
      <w:r>
        <w:rPr>
          <w:rFonts w:ascii="IRNazanin" w:hAnsi="IRNazanin" w:eastAsia="IRNazanin"/>
          <w:color w:val="111111"/>
          <w:sz w:val="28"/>
          <w:sz w:val="28"/>
          <w:szCs w:val="28"/>
          <w:rtl w:val="true"/>
          <w:lang w:bidi="fa-IR"/>
        </w:rPr>
        <w:t>عن القرب إلی مال الیتیم بدونه، فلا بدّ أن یکون وضع الرهن علی ید عدلٍ یجوز إیداعه منه، أو فی ید من یطمئنّ به علیه من التلف و نحوه</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و أشار إلی ذلک الشهید الثانی أیضاً</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9482922_73709187"/>
      <w:bookmarkStart w:id="608" w:name="_Toc230"/>
      <w:bookmarkEnd w:id="607"/>
      <w:r>
        <w:rPr>
          <w:rtl w:val="true"/>
        </w:rPr>
        <w:t>الارتهان للصغیر</w:t>
      </w:r>
      <w:bookmarkEnd w:id="60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قلنا ظهر أنّه یجوز لولیّ الیتیم أخذ الرهن له، صرّح بذلک غیر واحد من الفقهاء</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 xml:space="preserve">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الحکم بجواز تصرّف الأولیاء علی وجه الاحتیاط و الحظّ للصغیر المولّی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الارتهان له،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بیع ماله أو قرضه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بیع ماله ففیه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سلعة تساوی مائة درهم نقداً بمائة درهم إلی أجل و یأخذ به رهناً، فهذا باطل؛ لأنّه لا حظّ للمولّی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ما یساوی مائة نقداً بمائة و عشرین، مائة نقداً یعجّلها و عشرین مؤجّلة یأخذ بها رهناً، فهذا صحیح و الرهن صحیح؛ لأنّ فیه الحظّ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بمائة و عشرین مؤجّلة و یؤخذ بالجمیع رهناً، فمن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لأنّ الولیّ نصب للتجارة فی مال المولّی علیه و طلب الفضل و الربح له، و لا یمکنه إلاّ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لأنّ فیه تغریراً بالأصل، و الأوّل أصحّ؛ لأنّ الرهن وثیقة و فیه العائدة، فلیس فیه تغریر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القرض؛ فإنّه لا یجوز إلاّ فی موضع الضرورة؛ و هو أن یکون فی البلد نهب أو حرق أو غرق یخاف علی مال الصغیر أن یتلف، فیجوز له أن یقرضه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یقرضه ثقة یؤمن أن یجحد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ملیّاً یقدر علی قضائه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أخذ الرهن به ینظر، فإن کان الحظّ فی أخذه أَخَذَه، و إن کان فی ترکه تَرَکَهُ، و أخذه أحوط؛ لأنّ عندنا إذا تلف الرهن لا یسقط به الدین، و علی هذا یجوز بیع ماله نسیئة و أخذ الرهن به إذا کان له فیه الحظّ</w:t>
      </w:r>
      <w:r>
        <w:rPr>
          <w:rFonts w:eastAsia="IRNazanin" w:cs="IRNazanin"/>
          <w:color w:val="111111"/>
          <w:sz w:val="28"/>
          <w:szCs w:val="28"/>
          <w:rtl w:val="true"/>
          <w:lang w:bidi="fa-IR"/>
        </w:rPr>
        <w:t>»</w:t>
      </w:r>
      <w:r>
        <w:rPr>
          <w:rStyle w:val="FootnoteAnchor"/>
          <w:rtl w:val="true"/>
        </w:rPr>
        <w:footnoteReference w:id="1758"/>
      </w:r>
      <w:bookmarkStart w:id="609" w:name="pg11753_115014"/>
    </w:p>
    <w:p>
      <w:pPr>
        <w:pStyle w:val="Heading5"/>
        <w:numPr>
          <w:ilvl w:val="4"/>
          <w:numId w:val="1"/>
        </w:numPr>
        <w:rPr/>
      </w:pPr>
      <w:bookmarkStart w:id="610" w:name="__RefHeading___Toc9482924_73709187"/>
      <w:bookmarkStart w:id="611" w:name="_Toc231"/>
      <w:bookmarkEnd w:id="609"/>
      <w:bookmarkEnd w:id="610"/>
      <w:r>
        <w:rPr>
          <w:rtl w:val="true"/>
        </w:rPr>
        <w:t>اشتراط کون الرهن مساویاً لمال الصغیر أو أزید</w:t>
      </w:r>
      <w:bookmarkEnd w:id="611"/>
    </w:p>
    <w:p>
      <w:pPr>
        <w:pStyle w:val="BookText"/>
        <w:rPr/>
      </w:pPr>
      <w:r>
        <w:rPr>
          <w:rFonts w:ascii="IRNazanin" w:hAnsi="IRNazanin" w:eastAsia="IRNazanin"/>
          <w:color w:val="111111"/>
          <w:sz w:val="28"/>
          <w:sz w:val="28"/>
          <w:szCs w:val="28"/>
          <w:rtl w:val="true"/>
          <w:lang w:bidi="fa-IR"/>
        </w:rPr>
        <w:t>و فی المسالک</w:t>
      </w:r>
      <w:r>
        <w:rPr>
          <w:rStyle w:val="FootnoteAnchor"/>
          <w:rtl w:val="true"/>
        </w:rPr>
        <w:footnoteReference w:id="1759"/>
      </w:r>
      <w:r>
        <w:rPr>
          <w:rFonts w:ascii="Amiri" w:hAnsi="Amiri" w:eastAsia="Amiri" w:cs="Amiri"/>
          <w:color w:val="111111"/>
          <w:sz w:val="28"/>
          <w:sz w:val="28"/>
          <w:szCs w:val="28"/>
          <w:rtl w:val="true"/>
          <w:lang w:bidi="ar-SA"/>
        </w:rPr>
        <w:t>و الروضة</w:t>
      </w:r>
      <w:r>
        <w:rPr>
          <w:rStyle w:val="FootnoteAnchor"/>
          <w:rtl w:val="true"/>
        </w:rPr>
        <w:footnoteReference w:id="1760"/>
      </w:r>
      <w:r>
        <w:rPr>
          <w:rFonts w:ascii="IRNazanin" w:hAnsi="IRNazanin" w:eastAsia="IRNazanin"/>
          <w:color w:val="111111"/>
          <w:sz w:val="28"/>
          <w:sz w:val="28"/>
          <w:szCs w:val="28"/>
          <w:rtl w:val="true"/>
          <w:lang w:bidi="fa-IR"/>
        </w:rPr>
        <w:t>و الریاض</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کون الرهن مساویاً أو أزید، و کونه بید الولیّ أو عدلٍ، و الإشهاد علی الحقّ، فلو أخلّ ببعض هذه ضمن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الأحوط الإقراض من الثقة الملیّ و الارتهان و الإشهاد مع الإمکان</w:t>
      </w:r>
      <w:r>
        <w:rPr>
          <w:rFonts w:eastAsia="IRNazanin" w:cs="IRNazanin"/>
          <w:color w:val="111111"/>
          <w:sz w:val="28"/>
          <w:szCs w:val="28"/>
          <w:rtl w:val="true"/>
          <w:lang w:bidi="fa-IR"/>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اقتصر فی الشرائع</w:t>
      </w:r>
      <w:r>
        <w:rPr>
          <w:rStyle w:val="FootnoteAnchor"/>
          <w:rtl w:val="true"/>
        </w:rPr>
        <w:footnoteReference w:id="1763"/>
      </w:r>
      <w:r>
        <w:rPr>
          <w:rFonts w:ascii="IRNazanin" w:hAnsi="IRNazanin" w:eastAsia="IRNazanin"/>
          <w:color w:val="111111"/>
          <w:sz w:val="28"/>
          <w:sz w:val="28"/>
          <w:szCs w:val="28"/>
          <w:rtl w:val="true"/>
          <w:lang w:bidi="fa-IR"/>
        </w:rPr>
        <w:t>و الإرشاد</w:t>
      </w:r>
      <w:r>
        <w:rPr>
          <w:rStyle w:val="FootnoteAnchor"/>
          <w:rtl w:val="true"/>
        </w:rPr>
        <w:footnoteReference w:id="1764"/>
      </w:r>
      <w:r>
        <w:rPr>
          <w:rFonts w:ascii="Amiri" w:hAnsi="Amiri" w:eastAsia="Amiri" w:cs="Amiri"/>
          <w:color w:val="111111"/>
          <w:sz w:val="28"/>
          <w:sz w:val="28"/>
          <w:szCs w:val="28"/>
          <w:rtl w:val="true"/>
          <w:lang w:bidi="ar-SA"/>
        </w:rPr>
        <w:t>و اللمعة</w:t>
      </w:r>
      <w:r>
        <w:rPr>
          <w:rStyle w:val="FootnoteAnchor"/>
          <w:rtl w:val="true"/>
        </w:rPr>
        <w:footnoteReference w:id="1765"/>
      </w:r>
      <w:r>
        <w:rPr>
          <w:rFonts w:ascii="IRNazanin" w:hAnsi="IRNazanin" w:eastAsia="IRNazanin"/>
          <w:color w:val="111111"/>
          <w:sz w:val="28"/>
          <w:sz w:val="28"/>
          <w:szCs w:val="28"/>
          <w:rtl w:val="true"/>
          <w:lang w:bidi="fa-IR"/>
        </w:rPr>
        <w:t>و رهن التذکرة</w:t>
      </w:r>
      <w:r>
        <w:rPr>
          <w:rStyle w:val="FootnoteAnchor"/>
          <w:rtl w:val="true"/>
        </w:rPr>
        <w:footnoteReference w:id="1766"/>
      </w:r>
      <w:r>
        <w:rPr>
          <w:rFonts w:ascii="IRNazanin" w:hAnsi="IRNazanin" w:eastAsia="IRNazanin"/>
          <w:color w:val="111111"/>
          <w:sz w:val="28"/>
          <w:sz w:val="28"/>
          <w:szCs w:val="28"/>
          <w:rtl w:val="true"/>
          <w:lang w:bidi="fa-IR"/>
        </w:rPr>
        <w:t>و حجر القواعد</w:t>
      </w:r>
      <w:r>
        <w:rPr>
          <w:rStyle w:val="FootnoteAnchor"/>
          <w:rtl w:val="true"/>
        </w:rPr>
        <w:footnoteReference w:id="1767"/>
      </w:r>
      <w:r>
        <w:rPr>
          <w:rFonts w:ascii="IRNazanin" w:hAnsi="IRNazanin" w:eastAsia="IRNazanin"/>
          <w:color w:val="111111"/>
          <w:sz w:val="28"/>
          <w:sz w:val="28"/>
          <w:szCs w:val="28"/>
          <w:rtl w:val="true"/>
          <w:lang w:bidi="fa-IR"/>
        </w:rPr>
        <w:t>علی أنّه یجوز له مع المصلحة کالخوف أن یقرضه و یرتهن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کلام هؤلاء أنّه مع إمکان الرهن لا یعتبر کون المقترض ثقة ملیّاً؛ لانضباط الدین بالرهن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حجر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تمکّن من الارتهان و رضی بالکفیل و لم یرتهن ضمن</w:t>
      </w:r>
      <w:r>
        <w:rPr>
          <w:rFonts w:eastAsia="IRNazanin" w:cs="IRNazanin"/>
          <w:color w:val="111111"/>
          <w:sz w:val="28"/>
          <w:szCs w:val="28"/>
          <w:rtl w:val="true"/>
          <w:lang w:bidi="fa-IR"/>
        </w:rPr>
        <w:t>»</w:t>
      </w:r>
      <w:r>
        <w:rPr>
          <w:rStyle w:val="FootnoteAnchor"/>
          <w:rtl w:val="true"/>
        </w:rPr>
        <w:footnoteReference w:id="1768"/>
      </w:r>
      <w:bookmarkStart w:id="612" w:name="pg11753_115015"/>
    </w:p>
    <w:p>
      <w:pPr>
        <w:pStyle w:val="BookText"/>
        <w:rPr/>
      </w:pPr>
      <w:bookmarkEnd w:id="612"/>
      <w:r>
        <w:rPr>
          <w:rFonts w:ascii="IRNazanin" w:hAnsi="IRNazanin" w:eastAsia="IRNazanin"/>
          <w:color w:val="111111"/>
          <w:sz w:val="28"/>
          <w:sz w:val="28"/>
          <w:szCs w:val="28"/>
          <w:rtl w:val="true"/>
          <w:lang w:bidi="fa-IR"/>
        </w:rPr>
        <w:t>و فی الشرائع</w:t>
      </w:r>
      <w:r>
        <w:rPr>
          <w:rStyle w:val="FootnoteAnchor"/>
          <w:rtl w:val="true"/>
        </w:rPr>
        <w:footnoteReference w:id="1769"/>
      </w:r>
      <w:r>
        <w:rPr>
          <w:rFonts w:ascii="IRNazanin" w:hAnsi="IRNazanin" w:eastAsia="IRNazanin"/>
          <w:color w:val="111111"/>
          <w:sz w:val="28"/>
          <w:sz w:val="28"/>
          <w:szCs w:val="28"/>
          <w:rtl w:val="true"/>
          <w:lang w:bidi="fa-IR"/>
        </w:rPr>
        <w:t>و القواعد</w:t>
      </w:r>
      <w:r>
        <w:rPr>
          <w:rStyle w:val="FootnoteAnchor"/>
          <w:rtl w:val="true"/>
        </w:rPr>
        <w:footnoteReference w:id="1770"/>
      </w:r>
      <w:r>
        <w:rPr>
          <w:rFonts w:ascii="Amiri" w:hAnsi="Amiri" w:eastAsia="Amiri" w:cs="Amiri"/>
          <w:color w:val="111111"/>
          <w:sz w:val="28"/>
          <w:sz w:val="28"/>
          <w:szCs w:val="28"/>
          <w:rtl w:val="true"/>
          <w:lang w:bidi="ar-SA"/>
        </w:rPr>
        <w:t>و اللمعة</w:t>
      </w:r>
      <w:r>
        <w:rPr>
          <w:rStyle w:val="FootnoteAnchor"/>
          <w:rtl w:val="true"/>
        </w:rPr>
        <w:footnoteReference w:id="1771"/>
      </w:r>
      <w:r>
        <w:rPr>
          <w:rFonts w:ascii="Amiri" w:hAnsi="Amiri" w:eastAsia="Amiri" w:cs="Amiri"/>
          <w:color w:val="111111"/>
          <w:sz w:val="28"/>
          <w:sz w:val="28"/>
          <w:szCs w:val="28"/>
          <w:rtl w:val="true"/>
          <w:lang w:bidi="ar-SA"/>
        </w:rPr>
        <w:t>و الروضة</w:t>
      </w:r>
      <w:r>
        <w:rPr>
          <w:rStyle w:val="FootnoteAnchor"/>
          <w:rtl w:val="true"/>
        </w:rPr>
        <w:footnoteReference w:id="1772"/>
      </w:r>
      <w:r>
        <w:rPr>
          <w:rFonts w:ascii="IRNazanin" w:hAnsi="IRNazanin" w:eastAsia="IRNazanin"/>
          <w:color w:val="111111"/>
          <w:sz w:val="28"/>
          <w:sz w:val="28"/>
          <w:szCs w:val="28"/>
          <w:rtl w:val="true"/>
          <w:lang w:bidi="fa-IR"/>
        </w:rPr>
        <w:t>و المسالک</w:t>
      </w: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تعذّر الرهن فی موضع الخوف و الضرورة و الحاجة أقرضه من ثقة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کلماتهم أنّه إذا تعذّر الثقة لا یجوز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فی مفتاح الکرامة بالإیراد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الإقراض أولی؛ لأنّه مرجوّ الحصول فی الدنیا أو الآخرة، بخلاف التلف من اللّه سبحانه</w:t>
      </w:r>
      <w:r>
        <w:rPr>
          <w:rFonts w:eastAsia="IRNazanin" w:cs="IRNazanin"/>
          <w:color w:val="111111"/>
          <w:sz w:val="28"/>
          <w:szCs w:val="28"/>
          <w:rtl w:val="true"/>
          <w:lang w:bidi="fa-IR"/>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تعذّر الرهن یکتفی بالملاءة و الثقة، و مع التعذّر یسقط، و مع وجودهما یمکن تقدیم الثقة، و یحتمل الملیّ أیضاً</w:t>
      </w:r>
      <w:r>
        <w:rPr>
          <w:rFonts w:eastAsia="IRNazanin" w:cs="IRNazanin"/>
          <w:color w:val="111111"/>
          <w:sz w:val="28"/>
          <w:szCs w:val="28"/>
          <w:rtl w:val="true"/>
          <w:lang w:bidi="fa-IR"/>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ذلک بحسب نظر الولیّ و ظنّه و العادة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فی الرهن و الارتهان حکم الإقراض و الاقتراض للصبی فلا نعیده، و لکن بقی اقتراض الولیّ مال الصبیّ لنفسه، و سنذکره قریباً إن شاء اللّه</w:t>
      </w:r>
      <w:r>
        <w:rPr>
          <w:rFonts w:eastAsia="IRNazanin" w:cs="IRNazanin"/>
          <w:color w:val="111111"/>
          <w:sz w:val="28"/>
          <w:szCs w:val="28"/>
          <w:rtl w:val="true"/>
          <w:lang w:bidi="fa-IR"/>
        </w:rPr>
        <w:t>.</w:t>
      </w:r>
    </w:p>
    <w:p>
      <w:pPr>
        <w:pStyle w:val="Heading5"/>
        <w:numPr>
          <w:ilvl w:val="4"/>
          <w:numId w:val="1"/>
        </w:numPr>
        <w:rPr/>
      </w:pPr>
      <w:bookmarkStart w:id="613" w:name="__RefHeading___Toc9482926_73709187"/>
      <w:bookmarkStart w:id="614" w:name="_Toc232"/>
      <w:bookmarkEnd w:id="613"/>
      <w:r>
        <w:rPr>
          <w:rtl w:val="true"/>
        </w:rPr>
        <w:t>آراء فقهاء أهل السنّة فی المسائل التی تقدّمت</w:t>
      </w:r>
      <w:bookmarkEnd w:id="61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عندهم أنّه یجوز للولیّ أن یرهن مال الصبیّ أو یرتهن له، و کذلک یجوز الاقراض فی ماله و الاقتراض له مشروطاً بالشرائط التی یلزمونها، فنذکر شطراً من کلماتهم علی الترتیب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قال فی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رهن الأب متاع الصغیر فأدرک الابن و مات الأب لیس للابن أن یردّه حتّی یقضی الدین؛ لوقوعه لازماً من جانبه، إذ تصرّف الأب بمنزلة تصرّفه بنفسه بعد البلوغ لقیامه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رهن الوصیّ متاعاً للیتیم فی دین استدانه علیه، و قبض المرتهن، ثمّ استعاره الوصیّ لحاجة الیتیم، فضاع فی ید الوصیّ؛ فإنّه خرج من الرهن و هلک من مال الیتیم؛ لأنّ فعل الوصیّ کفعله بنفسه بعد البلوغ؛ لأنّه استعاره لحاجة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استعاره لحاجة نفسه ضمنه للصبیّ؛ لأنّه متعدٍّ؛ إذ لیس له ولایة الاستعمال لحاجة نفسه</w:t>
      </w:r>
      <w:r>
        <w:rPr>
          <w:rFonts w:eastAsia="IRNazanin" w:cs="IRNazanin"/>
          <w:color w:val="111111"/>
          <w:sz w:val="28"/>
          <w:szCs w:val="28"/>
          <w:rtl w:val="true"/>
          <w:lang w:bidi="fa-IR"/>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فی المبسوط بعد الحکم بجواز الرهن من مال الصغیر</w:t>
      </w:r>
      <w:r>
        <w:rPr>
          <w:rStyle w:val="FootnoteAnchor"/>
          <w:rtl w:val="true"/>
        </w:rPr>
        <w:footnoteReference w:id="1777"/>
      </w:r>
      <w:r>
        <w:rPr>
          <w:rFonts w:ascii="IRNazanin" w:hAnsi="IRNazanin" w:eastAsia="IRNazanin"/>
          <w:color w:val="111111"/>
          <w:sz w:val="28"/>
          <w:sz w:val="28"/>
          <w:szCs w:val="28"/>
          <w:rtl w:val="true"/>
          <w:lang w:bidi="fa-IR"/>
        </w:rPr>
        <w:t>بین رهن الأب متاع الصغیر لنفسه، و بین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رهن الأب من نفسه متاع الصغیر فهو جائز، کما یجوز بیعه مال الصغیر بخلاف الوصیّ؛ لأنّ الأب یملک التصرّف مع نفسه و إن لم یکن فیه منفعة ظاهرة بخلاف الوصیّ؛ لأنّ الأب غیر متّهم بإغرار نفسه علی الولد و الوصیّ متّهم بذلک</w:t>
      </w:r>
      <w:r>
        <w:rPr>
          <w:rFonts w:eastAsia="IRNazanin" w:cs="IRNazanin"/>
          <w:color w:val="111111"/>
          <w:sz w:val="28"/>
          <w:szCs w:val="28"/>
          <w:rtl w:val="true"/>
          <w:lang w:bidi="fa-IR"/>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استدان الوصیّ للیتیم فی کسوته و طعامه فرهن به متاعاً للیتیم جاز؛ لأنّ الاستدانة جائزة للحاجة، و الرهن یقع إیفاءً للحقّ فیجوز، و کذلک لو اتّجر للیتیم فارتهن أو رهن؛ لأنّ الأولی له التجارة تثمیراً لمال الیتیم،</w:t>
      </w:r>
    </w:p>
    <w:p>
      <w:pPr>
        <w:pStyle w:val="BookText"/>
        <w:rPr/>
      </w:pPr>
      <w:r>
        <w:rPr>
          <w:rFonts w:ascii="IRNazanin" w:hAnsi="IRNazanin" w:eastAsia="IRNazanin"/>
          <w:color w:val="111111"/>
          <w:sz w:val="28"/>
          <w:sz w:val="28"/>
          <w:szCs w:val="28"/>
          <w:rtl w:val="true"/>
          <w:lang w:bidi="fa-IR"/>
        </w:rPr>
        <w:t>فلا یجد بدّاً من الارتهان و الرهن؛ لأنّه إیفاء و استیفاء</w:t>
      </w:r>
      <w:r>
        <w:rPr>
          <w:rFonts w:eastAsia="IRNazanin" w:cs="IRNazanin"/>
          <w:color w:val="111111"/>
          <w:sz w:val="28"/>
          <w:szCs w:val="28"/>
          <w:rtl w:val="true"/>
          <w:lang w:bidi="fa-IR"/>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فی البدائع بین إقراض الولیّ من مال الصبیّ فإنّه لا یجوز، بخلاف القاضی فإنّه یجوز له 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للولیّ أن یقرض مال الصبیّ؛ لأنّ القرض إزالة الملک من غیر عوضٍ للحال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بخلاف القاضی؛ فإنّه یقرض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توی</w:t>
      </w:r>
      <w:r>
        <w:rPr>
          <w:rStyle w:val="FootnoteAnchor"/>
          <w:rtl w:val="true"/>
        </w:rPr>
        <w:footnoteReference w:id="1780"/>
      </w:r>
      <w:r>
        <w:rPr>
          <w:rFonts w:ascii="IRNazanin" w:hAnsi="IRNazanin" w:eastAsia="IRNazanin"/>
          <w:color w:val="111111"/>
          <w:sz w:val="28"/>
          <w:sz w:val="28"/>
          <w:szCs w:val="28"/>
          <w:rtl w:val="true"/>
          <w:lang w:bidi="fa-IR"/>
        </w:rPr>
        <w:t>الدین بالإفلاس أو بالإنکار، و الظاهر أنّ القاضی یختار أملی الناس و أوثقهم، و له ولایة التفحّص عن أحوالهم، فیختار من لا یتحقّق إفلاسه ظاهراً و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القاضی یقضی بعلمه، فلا یتحقّق التوی بالإنکار</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السرخسی</w:t>
      </w:r>
      <w:r>
        <w:rPr>
          <w:rStyle w:val="FootnoteAnchor"/>
          <w:rtl w:val="true"/>
        </w:rPr>
        <w:footnoteReference w:id="1782"/>
      </w:r>
      <w:r>
        <w:rPr>
          <w:rFonts w:ascii="IRNazanin" w:hAnsi="IRNazanin" w:eastAsia="IRNazanin"/>
          <w:color w:val="111111"/>
          <w:sz w:val="28"/>
          <w:sz w:val="28"/>
          <w:szCs w:val="28"/>
          <w:rtl w:val="true"/>
          <w:lang w:bidi="fa-IR"/>
        </w:rPr>
        <w:t>و الأستروشنی</w:t>
      </w:r>
      <w:r>
        <w:rPr>
          <w:rStyle w:val="FootnoteAnchor"/>
          <w:rtl w:val="true"/>
        </w:rPr>
        <w:footnoteReference w:id="1783"/>
      </w:r>
      <w:r>
        <w:rPr>
          <w:rFonts w:ascii="IRNazanin" w:hAnsi="IRNazanin" w:eastAsia="IRNazanin"/>
          <w:color w:val="111111"/>
          <w:sz w:val="28"/>
          <w:sz w:val="28"/>
          <w:szCs w:val="28"/>
          <w:rtl w:val="true"/>
          <w:lang w:bidi="fa-IR"/>
        </w:rPr>
        <w:t>و الشیخ نظام</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الأب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یملک الإقراض؛ لأنّه تبرّع، و لیس للصغیر فیه منفعة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یملک ذلک؛ لأنّه غیر متّهم فی حقّ ولده</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قال الحجاوی و البهوتی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للولیّ 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ثقةٍ لحاجة</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رهن مالهما للحاجة عند ثقةٍ، و للأب أن یرتهن</w:t>
      </w:r>
    </w:p>
    <w:p>
      <w:pPr>
        <w:pStyle w:val="BookText"/>
        <w:rPr/>
      </w:pPr>
      <w:r>
        <w:rPr>
          <w:rFonts w:ascii="IRNazanin" w:hAnsi="IRNazanin" w:eastAsia="IRNazanin"/>
          <w:color w:val="111111"/>
          <w:sz w:val="28"/>
          <w:sz w:val="28"/>
          <w:szCs w:val="28"/>
          <w:rtl w:val="true"/>
          <w:lang w:bidi="fa-IR"/>
        </w:rPr>
        <w:t xml:space="preserve">مالهما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و لا یجوز لغیره علی المذهب</w:t>
      </w:r>
      <w:r>
        <w:rPr>
          <w:rFonts w:eastAsia="IRNazanin" w:cs="IRNazanin"/>
          <w:color w:val="111111"/>
          <w:sz w:val="28"/>
          <w:szCs w:val="28"/>
          <w:rtl w:val="true"/>
          <w:lang w:bidi="fa-IR"/>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للولیّ قرض مال الصبیّ لمصلحةٍ فیه</w:t>
      </w:r>
      <w:r>
        <w:rPr>
          <w:rStyle w:val="FootnoteAnchor"/>
          <w:rtl w:val="true"/>
        </w:rPr>
        <w:footnoteReference w:id="1788"/>
      </w:r>
      <w:r>
        <w:rPr>
          <w:rFonts w:ascii="IRNazanin" w:hAnsi="IRNazanin" w:eastAsia="IRNazanin"/>
          <w:color w:val="111111"/>
          <w:sz w:val="28"/>
          <w:sz w:val="28"/>
          <w:szCs w:val="28"/>
          <w:rtl w:val="true"/>
          <w:lang w:bidi="fa-IR"/>
        </w:rPr>
        <w:t>؛ بأن یکون الثمن المؤجّل أکثر ممّا یباع به حالاً، و ذلک لحاجة سفر أو خوف علی المال من نهب أو غرق أو غیرهما، فیجوز حینئذٍ و لو بلا رهن و لا کفیل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ضاع المال أو تلف بسبب ترک الرهن و الکفیل لم یضمن الولیّ؛ لأنّ الظاهر السلامة</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المغنی و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یقرضه لحاجة سفر أو خوف علیه، أو غیرهما</w:t>
      </w:r>
      <w:r>
        <w:rPr>
          <w:rFonts w:eastAsia="IRNazanin" w:cs="IRNazanin"/>
          <w:color w:val="111111"/>
          <w:sz w:val="28"/>
          <w:szCs w:val="28"/>
          <w:rtl w:val="true"/>
          <w:lang w:bidi="fa-IR"/>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جاء 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المولّی علیه لصغر أو سفه أو جنون، فلا یجوز له التصرّف فی ماله برهن و لا ارتهان، و یتولّی ذلک ولیّه من أبیه، أو وصیّ للورثة، أو أمین حاکمٍ</w:t>
      </w:r>
      <w:r>
        <w:rPr>
          <w:rFonts w:eastAsia="IRNazanin" w:cs="IRNazanin"/>
          <w:color w:val="111111"/>
          <w:sz w:val="28"/>
          <w:szCs w:val="28"/>
          <w:rtl w:val="true"/>
          <w:lang w:bidi="fa-IR"/>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 الولیّ مال الصبیّ و المجنون و المحجور علیه بالسفه و ارتهانه لهم مشترط بالمصلحة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صور المصلحة فی الرهن و الارتهان</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ذلک فی روضة الطالبین</w:t>
      </w:r>
      <w:r>
        <w:rPr>
          <w:rStyle w:val="FootnoteAnchor"/>
          <w:rtl w:val="true"/>
        </w:rPr>
        <w:footnoteReference w:id="1793"/>
      </w:r>
      <w:r>
        <w:rPr>
          <w:rFonts w:ascii="IRNazanin" w:hAnsi="IRNazanin" w:eastAsia="IRNazanin"/>
          <w:color w:val="111111"/>
          <w:sz w:val="28"/>
          <w:sz w:val="28"/>
          <w:szCs w:val="28"/>
          <w:rtl w:val="true"/>
          <w:lang w:bidi="fa-IR"/>
        </w:rPr>
        <w:t>و المجموع شرح المهذّب</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و مغنی المحتاج</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یودع ماله و لا یقرضه من غیر حاجة؛ لأنّه یخرجه من یده فلم یجز، فإن خاف من نهب أو حریق أو غرق، أو أراد سفراً و خاف علیه جاز الإیداع و الإقراض، فإن قدر علی الإیداع دون الإقراض أودع، و لا یودع إلاّ ثقة، و إن قدر علی الإقراض دون الإیداع أقرضه، و لا یقرضه إلاّ ثقة ملیّاً؛ لأنّ غیر الثقة یجحد و غیر الملیّ لا یمکن أخذ البدل منه</w:t>
      </w:r>
      <w:r>
        <w:rPr>
          <w:rFonts w:eastAsia="IRNazanin" w:cs="IRNazanin"/>
          <w:color w:val="111111"/>
          <w:sz w:val="28"/>
          <w:szCs w:val="28"/>
          <w:rtl w:val="true"/>
          <w:lang w:bidi="fa-IR"/>
        </w:rPr>
        <w:t>»</w:t>
      </w:r>
      <w:r>
        <w:rPr>
          <w:rStyle w:val="FootnoteAnchor"/>
          <w:rtl w:val="true"/>
        </w:rPr>
        <w:footnoteReference w:id="1796"/>
      </w:r>
      <w:r>
        <w:rPr>
          <w:rFonts w:ascii="IRNazanin" w:hAnsi="IRNazanin" w:eastAsia="IRNazanin"/>
          <w:color w:val="111111"/>
          <w:sz w:val="28"/>
          <w:sz w:val="28"/>
          <w:szCs w:val="28"/>
          <w:rtl w:val="true"/>
          <w:lang w:bidi="fa-IR"/>
        </w:rPr>
        <w:t>، و به قال النووی</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و الرافعی</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یجوز للولیّ أن یستقرض للصبیّ لحاجة إلی النفقة أو الکسوة أو لإصلاح عقاره أو مرمّتها ارتقاباً لغلّتها أو غیرها</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قال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للوصیّ أن یرهن مال الیتیم رهناً فیما یبتاع له من کسوةٍ أو طعامٍ، و لیس للوصیّ أن یأخذ عروض الیتیم بما أسلفه رهناً</w:t>
      </w:r>
      <w:r>
        <w:rPr>
          <w:rFonts w:eastAsia="IRNazanin" w:cs="IRNazanin"/>
          <w:color w:val="111111"/>
          <w:sz w:val="28"/>
          <w:szCs w:val="28"/>
          <w:rtl w:val="true"/>
          <w:lang w:bidi="fa-IR"/>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التاج و الإکلیل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الحاشیة للدسوقی</w:t>
      </w:r>
      <w:r>
        <w:rPr>
          <w:rStyle w:val="FootnoteAnchor"/>
          <w:rtl w:val="true"/>
        </w:rPr>
        <w:footnoteReference w:id="1801"/>
      </w:r>
      <w:r>
        <w:rPr>
          <w:rFonts w:ascii="IRNazanin" w:hAnsi="IRNazanin" w:eastAsia="IRNazanin"/>
          <w:color w:val="111111"/>
          <w:sz w:val="28"/>
          <w:sz w:val="28"/>
          <w:szCs w:val="28"/>
          <w:rtl w:val="true"/>
          <w:lang w:bidi="fa-IR"/>
        </w:rPr>
        <w:t>، و 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الرهن ممّن یصحّ منه البیع</w:t>
      </w:r>
      <w:r>
        <w:rPr>
          <w:rFonts w:eastAsia="IRNazanin" w:cs="IRNazanin"/>
          <w:color w:val="111111"/>
          <w:sz w:val="28"/>
          <w:szCs w:val="28"/>
          <w:rtl w:val="true"/>
          <w:lang w:bidi="fa-IR"/>
        </w:rPr>
        <w:t>»</w:t>
      </w:r>
      <w:r>
        <w:rPr>
          <w:rStyle w:val="FootnoteAnchor"/>
          <w:rtl w:val="true"/>
        </w:rPr>
        <w:footnoteReference w:id="1802"/>
      </w:r>
      <w:bookmarkStart w:id="615" w:name="pg11753_115020"/>
    </w:p>
    <w:p>
      <w:pPr>
        <w:pStyle w:val="Heading5"/>
        <w:numPr>
          <w:ilvl w:val="4"/>
          <w:numId w:val="1"/>
        </w:numPr>
        <w:rPr/>
      </w:pPr>
      <w:bookmarkStart w:id="616" w:name="__RefHeading___Toc9482928_73709187"/>
      <w:bookmarkStart w:id="617" w:name="_Toc233"/>
      <w:bookmarkEnd w:id="615"/>
      <w:bookmarkEnd w:id="616"/>
      <w:r>
        <w:rPr>
          <w:rtl w:val="true"/>
        </w:rPr>
        <w:t>اقتراض الولیّ من مال الصبیّ‌</w:t>
      </w:r>
      <w:bookmarkEnd w:id="617"/>
    </w:p>
    <w:p>
      <w:pPr>
        <w:pStyle w:val="BookText"/>
        <w:rPr/>
      </w:pPr>
      <w:r>
        <w:rPr>
          <w:rFonts w:ascii="IRNazanin" w:hAnsi="IRNazanin" w:eastAsia="IRNazanin"/>
          <w:color w:val="111111"/>
          <w:sz w:val="28"/>
          <w:sz w:val="28"/>
          <w:szCs w:val="28"/>
          <w:rtl w:val="true"/>
          <w:lang w:bidi="fa-IR"/>
        </w:rPr>
        <w:t>المشهور بین الفقهاء أنّه یجوز للولیّ الاقتراض من مال الصبیّ لنفسه، کإقراضه لغیره إذا کان ذلک مصلحة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اتّجر الإنسان بمال الیتیم نظراً لهم و شفقةً علیهم فربح کان الربح لهم و إن خسر کان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اتّجر به لنفسه و کان متمکِّناً فی الحال من ضمان ذلک المال و غرامته، إن حدث به حادث جاز ذلک و کان المال قرضاً علیه، فإن ربح کان له، و إن خسر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اتّجر لنفسه بمالهم و لیس بمتمکّن فی الحال من مثله و ضمانه کان ضامناً للمال، فإن رَبِحَ کان ذلک للأیتام، و إن خسِرَ کان علیه دونهم</w:t>
      </w:r>
      <w:r>
        <w:rPr>
          <w:rFonts w:eastAsia="IRNazanin" w:cs="IRNazanin"/>
          <w:color w:val="111111"/>
          <w:sz w:val="28"/>
          <w:szCs w:val="28"/>
          <w:rtl w:val="true"/>
          <w:lang w:bidi="fa-IR"/>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اتّجر لنفسه کان له الربح و علیه الخسران إذا کان ملیّاً بمثل المال، و إن لم یکن ملیّاً أو تصرّف فیه غیرُ مَنْ له التصرّف کان الربح للیتیم و الخسران علی المتصرّف</w:t>
      </w:r>
      <w:r>
        <w:rPr>
          <w:rFonts w:eastAsia="IRNazanin" w:cs="IRNazanin"/>
          <w:color w:val="111111"/>
          <w:sz w:val="28"/>
          <w:szCs w:val="28"/>
          <w:rtl w:val="true"/>
          <w:lang w:bidi="fa-IR"/>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القولین فی التحریر من دون ترجیح</w:t>
      </w: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الجامع للشرائع و حجر التذکرة اشتراط الملاءة و المصلحة للطفل</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ذلک فی المسالک</w:t>
      </w:r>
      <w:r>
        <w:rPr>
          <w:rStyle w:val="FootnoteAnchor"/>
          <w:rtl w:val="true"/>
        </w:rPr>
        <w:footnoteReference w:id="1807"/>
      </w:r>
      <w:r>
        <w:rPr>
          <w:rFonts w:ascii="IRNazanin" w:hAnsi="IRNazanin" w:eastAsia="IRNazanin"/>
          <w:color w:val="111111"/>
          <w:sz w:val="28"/>
          <w:sz w:val="28"/>
          <w:szCs w:val="28"/>
          <w:rtl w:val="true"/>
          <w:lang w:bidi="fa-IR"/>
        </w:rPr>
        <w:t>و الکفایة</w:t>
      </w:r>
      <w:r>
        <w:rPr>
          <w:rStyle w:val="FootnoteAnchor"/>
          <w:rtl w:val="true"/>
        </w:rPr>
        <w:footnoteReference w:id="1808"/>
      </w:r>
      <w:r>
        <w:rPr>
          <w:rFonts w:ascii="IRNazanin" w:hAnsi="IRNazanin" w:eastAsia="IRNazanin"/>
          <w:color w:val="111111"/>
          <w:sz w:val="28"/>
          <w:sz w:val="28"/>
          <w:szCs w:val="28"/>
          <w:rtl w:val="true"/>
          <w:lang w:bidi="fa-IR"/>
        </w:rPr>
        <w:t>و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کإقراضه لغیره، و لأنّه تصرّف فی مال الیتیم و هو مشروط بالمصلحة، و احتملا جواز إقراضه مع عدم الضرر علی الطفل و إن لم یکن له مصلحة</w:t>
      </w:r>
      <w:r>
        <w:rPr>
          <w:rFonts w:eastAsia="IRNazanin" w:cs="IRNazanin"/>
          <w:color w:val="111111"/>
          <w:sz w:val="28"/>
          <w:szCs w:val="28"/>
          <w:rtl w:val="true"/>
          <w:lang w:bidi="fa-IR"/>
        </w:rPr>
        <w:t>.</w:t>
      </w:r>
      <w:bookmarkStart w:id="618" w:name="pg11753_115021"/>
    </w:p>
    <w:p>
      <w:pPr>
        <w:pStyle w:val="BookText"/>
        <w:rPr/>
      </w:pPr>
      <w:bookmarkEnd w:id="618"/>
      <w:r>
        <w:rPr>
          <w:rFonts w:ascii="IRNazanin" w:hAnsi="IRNazanin" w:eastAsia="IRNazanin"/>
          <w:color w:val="111111"/>
          <w:sz w:val="28"/>
          <w:sz w:val="28"/>
          <w:szCs w:val="28"/>
          <w:rtl w:val="true"/>
          <w:lang w:bidi="fa-IR"/>
        </w:rPr>
        <w:t>و فی الجواهر</w:t>
      </w:r>
      <w:r>
        <w:rPr>
          <w:rStyle w:val="FootnoteAnchor"/>
          <w:rtl w:val="true"/>
        </w:rPr>
        <w:footnoteReference w:id="18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التأمّل فی جواز ذلک للولیّ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الأحوط الاقتصار فی تصرّف الأولیاء علی کونه الأحسن، لمقتضی إطلاق الآیة الکریمة</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کان ولیّاً ملیّاً فإنّه یجوز له الاقتراض من مال الطفل و الاتّجار لنفسه، و أنّ الربح له و النقیصة علیه</w:t>
      </w:r>
      <w:r>
        <w:rPr>
          <w:rFonts w:eastAsia="IRNazanin" w:cs="IRNazanin"/>
          <w:color w:val="111111"/>
          <w:sz w:val="28"/>
          <w:szCs w:val="28"/>
          <w:rtl w:val="true"/>
          <w:lang w:bidi="fa-IR"/>
        </w:rPr>
        <w:t>»</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9482930_73709187"/>
      <w:bookmarkStart w:id="620" w:name="_Toc234"/>
      <w:bookmarkEnd w:id="619"/>
      <w:r>
        <w:rPr>
          <w:rtl w:val="true"/>
        </w:rPr>
        <w:t>أدلّة جواز اقتراض الولیّ من مال الصبیّ‌</w:t>
      </w:r>
      <w:bookmarkEnd w:id="620"/>
    </w:p>
    <w:p>
      <w:pPr>
        <w:pStyle w:val="BookText"/>
        <w:rPr/>
      </w:pPr>
      <w:r>
        <w:rPr>
          <w:rFonts w:ascii="IRNazanin" w:hAnsi="IRNazanin" w:eastAsia="IRNazanin"/>
          <w:color w:val="111111"/>
          <w:sz w:val="28"/>
          <w:sz w:val="28"/>
          <w:szCs w:val="28"/>
          <w:rtl w:val="true"/>
          <w:lang w:bidi="fa-IR"/>
        </w:rPr>
        <w:t>و تدلّ علی هذا الحکم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منصور بن حازم فی الصحیح عن أبی عبد اللّه علیه السلام فی رجل ولّی مال یتیم أ یستقرض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الحسین علیهما السلام قد کان یستقرض من مال أیتام کانوا فی حجره، فلا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الکافی و التهذیب بسند صحیح عن أبی الربیع، و دلالتها واضحة</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منصور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مال الیتیم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عندک مال و ضمنته فلک الربح و أنت ضامن للمال، و إن کان لا مال لک و عملت به فالربح للغلام و أنت ضامن للمال</w:t>
      </w:r>
      <w:r>
        <w:rPr>
          <w:rFonts w:eastAsia="IRNazanin" w:cs="IRNazanin"/>
          <w:color w:val="111111"/>
          <w:sz w:val="28"/>
          <w:szCs w:val="28"/>
          <w:rtl w:val="true"/>
          <w:lang w:bidi="fa-IR"/>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الربح و أنت ضامن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الاقتراض</w:t>
      </w:r>
      <w:bookmarkStart w:id="621" w:name="pg11753_115022"/>
    </w:p>
    <w:p>
      <w:pPr>
        <w:pStyle w:val="BookText"/>
        <w:rPr/>
      </w:pPr>
      <w:bookmarkEnd w:id="621"/>
      <w:r>
        <w:rPr>
          <w:rFonts w:ascii="IRNazanin" w:hAnsi="IRNazanin" w:eastAsia="IRNazanin"/>
          <w:color w:val="111111"/>
          <w:sz w:val="28"/>
          <w:sz w:val="28"/>
          <w:szCs w:val="28"/>
          <w:rtl w:val="true"/>
          <w:lang w:bidi="fa-IR"/>
        </w:rPr>
        <w:t>من مال الیتیم، و لکن اعتبرت الملاءة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أبی العطارد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الیتیم یکون عندی فأتّجر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حرّکته فعلیک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أُحرّکه ثمانیة أشهر و أدعه أربعة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زکاته</w:t>
      </w:r>
      <w:r>
        <w:rPr>
          <w:rFonts w:eastAsia="IRNazanin" w:cs="IRNazanin"/>
          <w:color w:val="111111"/>
          <w:sz w:val="28"/>
          <w:szCs w:val="28"/>
          <w:rtl w:val="true"/>
          <w:lang w:bidi="fa-IR"/>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الاتّجار لنفسه، فیدلّ علی جواز اقتراض الولیّ و الاتّجار بمال الیتیم لنفسه</w:t>
      </w:r>
      <w:r>
        <w:rPr>
          <w:rFonts w:eastAsia="IRNazanin" w:cs="IRNazanin"/>
          <w:color w:val="111111"/>
          <w:sz w:val="28"/>
          <w:szCs w:val="28"/>
          <w:rtl w:val="true"/>
          <w:lang w:bidi="fa-IR"/>
        </w:rPr>
        <w:t>.</w:t>
      </w:r>
    </w:p>
    <w:p>
      <w:pPr>
        <w:pStyle w:val="Heading5"/>
        <w:numPr>
          <w:ilvl w:val="4"/>
          <w:numId w:val="1"/>
        </w:numPr>
        <w:rPr/>
      </w:pPr>
      <w:bookmarkStart w:id="622" w:name="__RefHeading___Toc9482932_73709187"/>
      <w:bookmarkStart w:id="623" w:name="_Toc235"/>
      <w:bookmarkEnd w:id="622"/>
      <w:r>
        <w:rPr>
          <w:rtl w:val="true"/>
        </w:rPr>
        <w:t>عدم جواز الاقتراض من مال الصبیّ‌</w:t>
      </w:r>
      <w:bookmarkEnd w:id="623"/>
    </w:p>
    <w:p>
      <w:pPr>
        <w:pStyle w:val="BookText"/>
        <w:rPr/>
      </w:pPr>
      <w:r>
        <w:rPr>
          <w:rFonts w:ascii="IRNazanin" w:hAnsi="IRNazanin" w:eastAsia="IRNazanin"/>
          <w:color w:val="111111"/>
          <w:sz w:val="28"/>
          <w:sz w:val="28"/>
          <w:szCs w:val="28"/>
          <w:rtl w:val="true"/>
          <w:lang w:bidi="fa-IR"/>
        </w:rPr>
        <w:t xml:space="preserve">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ما قاله الشیخ فی النهایة</w:t>
      </w:r>
      <w:r>
        <w:rPr>
          <w:rStyle w:val="FootnoteAnchor"/>
          <w:rtl w:val="true"/>
        </w:rPr>
        <w:footnoteReference w:id="1815"/>
      </w:r>
      <w:r>
        <w:rPr>
          <w:rFonts w:ascii="IRNazanin" w:hAnsi="IRNazanin" w:eastAsia="IRNazanin"/>
          <w:color w:val="111111"/>
          <w:sz w:val="28"/>
          <w:sz w:val="28"/>
          <w:szCs w:val="28"/>
          <w:rtl w:val="true"/>
          <w:lang w:bidi="fa-IR"/>
        </w:rPr>
        <w:t xml:space="preserve">من جواز اقتراض الولیّ من الصبیّ لنفسه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غیر واضح و لا مستقیم، و لا یجوز له أن یستقرض شیئاً من ذلک؛ سواء کان متمکِّناً فی الحال من ضمانه و غرامته، أو لم یکن؛ لأنّه أمین، و الأمین لا یجوز أن یتصرّف لنفسه فی أمانته بغیر خلاف بیننا معشر الإمامیّة، و لا یجوز له أن یتّجر فیه لنفسه علی حال من الأحوال، و إنّما أورد شیخنا ذلک إیراداً لا اعتقاداً، من جهة أخبار الآحاد</w:t>
      </w:r>
      <w:r>
        <w:rPr>
          <w:rFonts w:eastAsia="IRNazanin" w:cs="IRNazanin"/>
          <w:color w:val="111111"/>
          <w:sz w:val="28"/>
          <w:szCs w:val="28"/>
          <w:rtl w:val="true"/>
          <w:lang w:bidi="fa-IR"/>
        </w:rPr>
        <w:t>»</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ابن إدریس مردود بالنصوص الواردة فی المقام کما تقدّم، و لذلک قال العلاّمة ردّاً لابن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الاقتراض إن کان مصلحة للیتیم جاز فعله؛ لأنّه یجوز له أن یقرض غیره مع المصلحة، فجاز أن یقترض معها؛ لأنّ مناط الجواز حصول المصلحة، و إذا اقترض خرج عن کونه أمیناً فی ذلک المال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الإجماع غیر مناف لذلک</w:t>
      </w:r>
      <w:r>
        <w:rPr>
          <w:rFonts w:eastAsia="IRNazanin" w:cs="IRNazanin"/>
          <w:color w:val="111111"/>
          <w:sz w:val="28"/>
          <w:szCs w:val="28"/>
          <w:rtl w:val="true"/>
          <w:lang w:bidi="fa-IR"/>
        </w:rPr>
        <w:t>»</w:t>
      </w:r>
      <w:r>
        <w:rPr>
          <w:rStyle w:val="FootnoteAnchor"/>
          <w:rtl w:val="true"/>
        </w:rPr>
        <w:footnoteReference w:id="1817"/>
      </w:r>
      <w:bookmarkStart w:id="624" w:name="pg11753_115023"/>
    </w:p>
    <w:p>
      <w:pPr>
        <w:pStyle w:val="BookText"/>
        <w:rPr/>
      </w:pPr>
      <w:bookmarkEnd w:id="624"/>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ابن إدریس هنا من اقتراض الولیّ مردود بالأخبار</w:t>
      </w:r>
      <w:r>
        <w:rPr>
          <w:rFonts w:eastAsia="IRNazanin" w:cs="IRNazanin"/>
          <w:color w:val="111111"/>
          <w:sz w:val="28"/>
          <w:szCs w:val="28"/>
          <w:rtl w:val="true"/>
          <w:lang w:bidi="fa-IR"/>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9482934_73709187"/>
      <w:bookmarkStart w:id="626" w:name="_Toc236"/>
      <w:bookmarkEnd w:id="625"/>
      <w:r>
        <w:rPr>
          <w:rtl w:val="true"/>
        </w:rPr>
        <w:t>اقتراض الولیّ من مال الصبیّ عند فقهاء أهل السنّة</w:t>
      </w:r>
      <w:bookmarkEnd w:id="626"/>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یلزم الأب و الجدّ الارتهان من نفسهما للصبیّ و الدین علیهما إن باعا ماله لأنفسهما نسیئةً؛ لأنّهما أمینان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الأب مال ولده من نفسه بالنسیئة لم یحتجّ إلی الارتهان</w:t>
      </w:r>
      <w:r>
        <w:rPr>
          <w:rFonts w:eastAsia="IRNazanin" w:cs="IRNazanin"/>
          <w:color w:val="111111"/>
          <w:sz w:val="28"/>
          <w:szCs w:val="28"/>
          <w:rtl w:val="true"/>
          <w:lang w:bidi="fa-IR"/>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الطبری فی تفسیره </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أذِن اللّه جلّ ثناؤه لولاة أموالهم أکلُها به</w:t>
      </w:r>
      <w:r>
        <w:rPr>
          <w:rStyle w:val="FootnoteAnchor"/>
          <w:rtl w:val="true"/>
        </w:rPr>
        <w:footnoteReference w:id="1821"/>
      </w:r>
      <w:r>
        <w:rPr>
          <w:rFonts w:ascii="IRNazanin" w:hAnsi="IRNazanin" w:eastAsia="IRNazanin"/>
          <w:color w:val="111111"/>
          <w:sz w:val="28"/>
          <w:sz w:val="28"/>
          <w:szCs w:val="28"/>
          <w:rtl w:val="true"/>
          <w:lang w:bidi="fa-IR"/>
        </w:rPr>
        <w:t>إذا کانوا أهل فقرٍ و 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القرض یستقرضه من ماله ثمّ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عبیدة 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ینفق من مال الیتیم یکون علیه قرضاً</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الأب و الجدّ الارتهان من نفسهما و الدین علیهما، کأن باعا ماله لنفسهما نسیئةً؛ لأنّهما أمینان فی حقّه</w:t>
      </w:r>
      <w:r>
        <w:rPr>
          <w:rFonts w:eastAsia="IRNazanin" w:cs="IRNazanin"/>
          <w:color w:val="111111"/>
          <w:sz w:val="28"/>
          <w:szCs w:val="28"/>
          <w:rtl w:val="true"/>
          <w:lang w:bidi="fa-IR"/>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الروضة</w:t>
      </w:r>
      <w:r>
        <w:rPr>
          <w:rStyle w:val="FootnoteAnchor"/>
          <w:rtl w:val="true"/>
        </w:rPr>
        <w:footnoteReference w:id="1824"/>
      </w:r>
      <w:r>
        <w:rPr>
          <w:rFonts w:ascii="IRNazanin" w:hAnsi="IRNazanin" w:eastAsia="IRNazanin"/>
          <w:color w:val="111111"/>
          <w:sz w:val="28"/>
          <w:sz w:val="28"/>
          <w:szCs w:val="28"/>
          <w:rtl w:val="true"/>
          <w:lang w:bidi="fa-IR"/>
        </w:rPr>
        <w:t>و العزیز شرح الوجیز</w:t>
      </w:r>
      <w:r>
        <w:rPr>
          <w:rStyle w:val="FootnoteAnchor"/>
          <w:rtl w:val="true"/>
        </w:rPr>
        <w:footnoteReference w:id="1825"/>
      </w:r>
      <w:bookmarkStart w:id="627" w:name="pg11753_115024"/>
    </w:p>
    <w:p>
      <w:pPr>
        <w:pStyle w:val="Heading4"/>
        <w:numPr>
          <w:ilvl w:val="3"/>
          <w:numId w:val="1"/>
        </w:numPr>
        <w:rPr/>
      </w:pPr>
      <w:bookmarkStart w:id="628" w:name="__RefHeading___Toc9482936_73709187"/>
      <w:bookmarkStart w:id="629" w:name="_Toc237"/>
      <w:bookmarkEnd w:id="627"/>
      <w:bookmarkEnd w:id="628"/>
      <w:r>
        <w:rPr>
          <w:rtl w:val="true"/>
        </w:rPr>
        <w:t>المبحث الثالث</w:t>
      </w:r>
      <w:r>
        <w:rPr>
          <w:rtl w:val="true"/>
        </w:rPr>
        <w:t xml:space="preserve">: </w:t>
      </w:r>
      <w:r>
        <w:rPr>
          <w:rtl w:val="true"/>
        </w:rPr>
        <w:t>إیداعُ مال الصبیّ و عاریته</w:t>
      </w:r>
      <w:bookmarkEnd w:id="629"/>
    </w:p>
    <w:p>
      <w:pPr>
        <w:pStyle w:val="Heading5"/>
        <w:numPr>
          <w:ilvl w:val="4"/>
          <w:numId w:val="1"/>
        </w:numPr>
        <w:rPr/>
      </w:pPr>
      <w:bookmarkStart w:id="630" w:name="__RefHeading___Toc9482938_73709187"/>
      <w:bookmarkStart w:id="631" w:name="_Toc238"/>
      <w:bookmarkEnd w:id="630"/>
      <w:r>
        <w:rPr>
          <w:rtl w:val="true"/>
        </w:rPr>
        <w:t>اشارة</w:t>
      </w:r>
      <w:bookmarkEnd w:id="631"/>
    </w:p>
    <w:p>
      <w:pPr>
        <w:pStyle w:val="BookText"/>
        <w:rPr/>
      </w:pPr>
      <w:r>
        <w:rPr>
          <w:rStyle w:val="FootnoteAnchor"/>
          <w:rtl w:val="true"/>
        </w:rPr>
        <w:footnoteReference w:id="1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کلمات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w:t>
      </w:r>
      <w:r>
        <w:rPr>
          <w:rStyle w:val="FootnoteAnchor"/>
          <w:rtl w:val="true"/>
        </w:rPr>
        <w:footnoteReference w:id="1827"/>
      </w:r>
      <w:r>
        <w:rPr>
          <w:rFonts w:ascii="IRNazanin" w:hAnsi="IRNazanin" w:eastAsia="IRNazanin"/>
          <w:color w:val="111111"/>
          <w:sz w:val="28"/>
          <w:sz w:val="28"/>
          <w:szCs w:val="28"/>
          <w:rtl w:val="true"/>
          <w:lang w:bidi="fa-IR"/>
        </w:rPr>
        <w:t>للولیّ أن یودع مال الصبیّ عند ثقةٍ أمین إذا کانت فیه مصلحة و 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الولیّ السفر لم یصحبه</w:t>
      </w:r>
      <w:r>
        <w:rPr>
          <w:rStyle w:val="FootnoteAnchor"/>
          <w:rtl w:val="true"/>
        </w:rPr>
        <w:footnoteReference w:id="1828"/>
      </w:r>
      <w:r>
        <w:rPr>
          <w:rFonts w:ascii="IRNazanin" w:hAnsi="IRNazanin" w:eastAsia="IRNazanin"/>
          <w:color w:val="111111"/>
          <w:sz w:val="28"/>
          <w:sz w:val="28"/>
          <w:szCs w:val="28"/>
          <w:rtl w:val="true"/>
          <w:lang w:bidi="fa-IR"/>
        </w:rPr>
        <w:t>، بل ینبغی إقراضه من الثقة، و لو لم یجد المقترض أودعه، و له إیداعه مع وجود المقترض، و لا ضمان علیه</w:t>
      </w:r>
      <w:r>
        <w:rPr>
          <w:rFonts w:eastAsia="IRNazanin" w:cs="IRNazanin"/>
          <w:color w:val="111111"/>
          <w:sz w:val="28"/>
          <w:szCs w:val="28"/>
          <w:rtl w:val="true"/>
          <w:lang w:bidi="fa-IR"/>
        </w:rPr>
        <w:t>»</w:t>
      </w:r>
      <w:r>
        <w:rPr>
          <w:rStyle w:val="FootnoteAnchor"/>
          <w:rtl w:val="true"/>
        </w:rPr>
        <w:footnoteReference w:id="1829"/>
      </w:r>
      <w:r>
        <w:rPr>
          <w:rFonts w:ascii="IRNazanin" w:hAnsi="IRNazanin" w:eastAsia="IRNazanin"/>
          <w:color w:val="111111"/>
          <w:sz w:val="28"/>
          <w:sz w:val="28"/>
          <w:szCs w:val="28"/>
          <w:rtl w:val="true"/>
          <w:lang w:bidi="fa-IR"/>
        </w:rPr>
        <w:t>، فإنّه قد یکون الإیداع أنفع له من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الولیّ السفر لم یسافر به و أقرضه من ملیٍّ مأمون و هو أولی من الإیداع؛ لأنّ الودیعة لا تضمن، و لو لم یوجد المقترض بهذه الصفة أودعه من ثقةٍ أمینٍ، فهو أولی من السفر به؛ لأنّه موضع الحاجة و الضرورة، و لو أودعه من الثقة مع وجود المقترض الملیّ المأمون لم یکن مفرطاً و لا ضمان علیه؛ فإنّه قد یکون الإیداع أنفع له من القرض</w:t>
      </w:r>
      <w:r>
        <w:rPr>
          <w:rFonts w:eastAsia="IRNazanin" w:cs="IRNazanin"/>
          <w:color w:val="111111"/>
          <w:sz w:val="28"/>
          <w:szCs w:val="28"/>
          <w:rtl w:val="true"/>
          <w:lang w:bidi="fa-IR"/>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یستظهر من بعض کلمات الأصحاب أنّه یجوز للولیّ إعارة</w:t>
      </w:r>
      <w:r>
        <w:rPr>
          <w:rStyle w:val="FootnoteAnchor"/>
          <w:rtl w:val="true"/>
        </w:rPr>
        <w:footnoteReference w:id="1831"/>
      </w: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الصبیّ لو کان فیها الحظّ و المصلحة للیتیم، لأنّه ناظر فی مصلحته و هذا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 إعارة الصبیّ و لا المجنون، و لو أذِن الولیّ جاز للصبیّ مع مراعاة المصلحة</w:t>
      </w:r>
      <w:r>
        <w:rPr>
          <w:rFonts w:eastAsia="IRNazanin" w:cs="IRNazanin"/>
          <w:color w:val="111111"/>
          <w:sz w:val="28"/>
          <w:szCs w:val="28"/>
          <w:rtl w:val="true"/>
          <w:lang w:bidi="fa-IR"/>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الصبیّ ممیّزاً أو أذِن له الولیّ فی الإعارة جاز مع المصلحة</w:t>
      </w:r>
      <w:r>
        <w:rPr>
          <w:rFonts w:eastAsia="IRNazanin" w:cs="IRNazanin"/>
          <w:color w:val="111111"/>
          <w:sz w:val="28"/>
          <w:szCs w:val="28"/>
          <w:rtl w:val="true"/>
          <w:lang w:bidi="fa-IR"/>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اللمعة</w:t>
      </w:r>
      <w:r>
        <w:rPr>
          <w:rStyle w:val="FootnoteAnchor"/>
          <w:rtl w:val="true"/>
        </w:rPr>
        <w:footnoteReference w:id="1834"/>
      </w:r>
      <w:r>
        <w:rPr>
          <w:rFonts w:ascii="IRNazanin" w:hAnsi="IRNazanin" w:eastAsia="IRNazanin"/>
          <w:color w:val="111111"/>
          <w:sz w:val="28"/>
          <w:sz w:val="28"/>
          <w:szCs w:val="28"/>
          <w:rtl w:val="true"/>
          <w:lang w:bidi="fa-IR"/>
        </w:rPr>
        <w:t>و الإرشاد</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تقدّم فی البیع أنّ عقد الصبیّ لا عبرة به و إن أذِنَ له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جاز هنا لأنّ العاریة لمّا کانت جائزة و لا تختصُّ بلفظ، بل کلّ ما دلّ علی رضا المعیر</w:t>
      </w:r>
      <w:r>
        <w:rPr>
          <w:rStyle w:val="FootnoteAnchor"/>
          <w:rtl w:val="true"/>
        </w:rPr>
        <w:footnoteReference w:id="1836"/>
      </w:r>
      <w:r>
        <w:rPr>
          <w:rFonts w:ascii="IRNazanin" w:hAnsi="IRNazanin" w:eastAsia="IRNazanin"/>
          <w:color w:val="111111"/>
          <w:sz w:val="28"/>
          <w:sz w:val="28"/>
          <w:szCs w:val="28"/>
          <w:rtl w:val="true"/>
          <w:lang w:bidi="fa-IR"/>
        </w:rPr>
        <w:t>و هو هنا الولیّ، کان إذنه للصبیّ بمنزلة الإیجاب، فالعبرة حینئذٍ بإذنه لا بعبارة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بالمُعار هنا ملک الصبیّ کما یدلّ علیه مراعاة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تتحقّق المصلحة بکون ید المستعیر أحفظ من ید الولیّ فی ذلک الوقت، لخوفٍ و نحوه، أو لانتفاع الصبیّ بالمستعیر بما یزید عن المنفعة، أو لکون العین ینفعها الاستعمال و یضرّها ترکه و نحو ذلک</w:t>
      </w:r>
      <w:r>
        <w:rPr>
          <w:rFonts w:eastAsia="IRNazanin" w:cs="IRNazanin"/>
          <w:color w:val="111111"/>
          <w:sz w:val="28"/>
          <w:szCs w:val="28"/>
          <w:rtl w:val="true"/>
          <w:lang w:bidi="fa-IR"/>
        </w:rPr>
        <w:t>»</w:t>
      </w:r>
      <w:r>
        <w:rPr>
          <w:rStyle w:val="FootnoteAnchor"/>
          <w:rtl w:val="true"/>
        </w:rPr>
        <w:footnoteReference w:id="1837"/>
      </w:r>
      <w:bookmarkStart w:id="632" w:name="pg11753_115026"/>
    </w:p>
    <w:p>
      <w:pPr>
        <w:pStyle w:val="BookText"/>
        <w:rPr/>
      </w:pPr>
      <w:bookmarkEnd w:id="632"/>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إذن الولیّ لا یجعل مسلوب العبارة غیر مسلوبٍ کما هو مفروغ عنه فی غیر المقام، و لکنّه یجعل إذنُ الولیّ فعلَ الصبیّ فعلاً للولیّ، کما جعلَ أمره للصبی بأفعال الحجّ موجباً للصحّة فی الجملة، إلاّ أنّ هذا الحکم مختصٌّ بالعاریة و لا یجری فی سائر العقود، للسیرة المعتضدة بهذه الکلمات من الأصحاب، و إرسالهم إرسال المسلّمات</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9482940_73709187"/>
      <w:bookmarkStart w:id="634" w:name="_Toc239"/>
      <w:bookmarkEnd w:id="633"/>
      <w:r>
        <w:rPr>
          <w:rtl w:val="true"/>
        </w:rPr>
        <w:t>أدلّة جواز إیداع مال الصبیّ‌</w:t>
      </w:r>
      <w:bookmarkEnd w:id="634"/>
    </w:p>
    <w:p>
      <w:pPr>
        <w:pStyle w:val="BookText"/>
        <w:rPr/>
      </w:pPr>
      <w:r>
        <w:rPr>
          <w:rFonts w:ascii="IRNazanin" w:hAnsi="IRNazanin" w:eastAsia="IRNazanin"/>
          <w:color w:val="111111"/>
          <w:sz w:val="28"/>
          <w:sz w:val="28"/>
          <w:szCs w:val="28"/>
          <w:rtl w:val="true"/>
          <w:lang w:bidi="fa-IR"/>
        </w:rPr>
        <w:t>و یمکن الاستدلال لإثبات هذا الحکم بإطلاق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فی الفرض الإیداع و الإعارة کانا بمصلحة الصبیّ و یصیران موجبین لحفظ ماله، فیدخل فی الاُمور التی أمر اللّه تعالی بعدم جواز قرب مال الیتیم إلاّ بها،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تدلّ علی ذلک إطلاق ما دلّ علی عموم ولایته الشامل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یمکن الاستدلال بعموم ما ورد فی صحیحة</w:t>
      </w:r>
    </w:p>
    <w:p>
      <w:pPr>
        <w:pStyle w:val="BookText"/>
        <w:rPr/>
      </w:pPr>
      <w:r>
        <w:rPr>
          <w:rFonts w:ascii="IRNazanin" w:hAnsi="IRNazanin" w:eastAsia="IRNazanin"/>
          <w:color w:val="111111"/>
          <w:sz w:val="28"/>
          <w:sz w:val="28"/>
          <w:szCs w:val="28"/>
          <w:rtl w:val="true"/>
          <w:lang w:bidi="fa-IR"/>
        </w:rPr>
        <w:t>محمّد بن مسلم، عن أبی جعفر علیه السلام؛ أی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والده هو الذی یلی أمره</w:t>
      </w:r>
      <w:r>
        <w:rPr>
          <w:rFonts w:eastAsia="IRNazanin" w:cs="IRNazanin"/>
          <w:color w:val="111111"/>
          <w:sz w:val="28"/>
          <w:szCs w:val="28"/>
          <w:rtl w:val="true"/>
          <w:lang w:bidi="fa-IR"/>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خبر عبید بن زرارة، عن أبی عبد اللّه علیه السلام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635" w:name="__RefHeading___Toc9482942_73709187"/>
      <w:bookmarkStart w:id="636" w:name="_Toc240"/>
      <w:bookmarkEnd w:id="635"/>
      <w:r>
        <w:rPr>
          <w:rtl w:val="true"/>
        </w:rPr>
        <w:t>الإیداع و العاریة فی مال الصبیّ عند فقهاء أهل السنّة</w:t>
      </w:r>
      <w:bookmarkEnd w:id="63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الولیّ السفر لم یکن له المسافرة بماله، و قرضه لثقةٍ أمینٍ أولی من إیداعه؛ لأنّ الودیعة لا تضمن إذا تلفت، فإن لم یجد من یستقرضه</w:t>
      </w:r>
    </w:p>
    <w:p>
      <w:pPr>
        <w:pStyle w:val="BookText"/>
        <w:rPr/>
      </w:pPr>
      <w:r>
        <w:rPr>
          <w:rFonts w:ascii="IRNazanin" w:hAnsi="IRNazanin" w:eastAsia="IRNazanin"/>
          <w:color w:val="111111"/>
          <w:sz w:val="28"/>
          <w:sz w:val="28"/>
          <w:szCs w:val="28"/>
          <w:rtl w:val="true"/>
          <w:lang w:bidi="fa-IR"/>
        </w:rPr>
        <w:t>علی هذه الصفة فله إیداعه؛ لأنّه موضع حاجة</w:t>
      </w:r>
      <w:r>
        <w:rPr>
          <w:rFonts w:eastAsia="IRNazanin" w:cs="IRNazanin"/>
          <w:color w:val="111111"/>
          <w:sz w:val="28"/>
          <w:szCs w:val="28"/>
          <w:rtl w:val="true"/>
          <w:lang w:bidi="fa-IR"/>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إیداعه مع إمکان قرضه، ذکره فی المغنی، و ظاهره متی جاز قرضه جاز إیداعه، و ظاهر کلام الأکثر یجوز إیداعه؛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یتصرّف بالمصلحة، و قد یراه مصلحة، و لهذا جاز مع إمکان قرضه</w:t>
      </w:r>
      <w:r>
        <w:rPr>
          <w:rFonts w:eastAsia="IRNazanin" w:cs="IRNazanin"/>
          <w:color w:val="111111"/>
          <w:sz w:val="28"/>
          <w:szCs w:val="28"/>
          <w:rtl w:val="true"/>
          <w:lang w:bidi="fa-IR"/>
        </w:rPr>
        <w:t>»</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المرداوی</w:t>
      </w:r>
      <w:r>
        <w:rPr>
          <w:rStyle w:val="FootnoteAnchor"/>
          <w:rtl w:val="true"/>
        </w:rPr>
        <w:footnoteReference w:id="1842"/>
      </w:r>
      <w:r>
        <w:rPr>
          <w:rFonts w:ascii="IRNazanin" w:hAnsi="IRNazanin" w:eastAsia="IRNazanin"/>
          <w:color w:val="111111"/>
          <w:sz w:val="28"/>
          <w:sz w:val="28"/>
          <w:szCs w:val="28"/>
          <w:rtl w:val="true"/>
          <w:lang w:bidi="fa-IR"/>
        </w:rPr>
        <w:t>و ابن مفلح</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أراد أن یودع ماله فقرضه أولی، و إن أودعه مع إمکان قرضه جاز، و لا ضمان علیه</w:t>
      </w:r>
      <w:r>
        <w:rPr>
          <w:rFonts w:eastAsia="IRNazanin" w:cs="IRNazanin"/>
          <w:color w:val="111111"/>
          <w:sz w:val="28"/>
          <w:szCs w:val="28"/>
          <w:rtl w:val="true"/>
          <w:lang w:bidi="fa-IR"/>
        </w:rPr>
        <w:t>»</w:t>
      </w:r>
      <w:r>
        <w:rPr>
          <w:rStyle w:val="FootnoteAnchor"/>
          <w:rtl w:val="true"/>
        </w:rPr>
        <w:footnoteReference w:id="1844"/>
      </w:r>
      <w:r>
        <w:rPr>
          <w:rFonts w:ascii="IRNazanin" w:hAnsi="IRNazanin" w:eastAsia="IRNazanin"/>
          <w:color w:val="111111"/>
          <w:sz w:val="28"/>
          <w:sz w:val="28"/>
          <w:szCs w:val="28"/>
          <w:rtl w:val="true"/>
          <w:lang w:bidi="fa-IR"/>
        </w:rPr>
        <w:t>، و کذا فی شرحه</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خاف علی ماله من نهب أو غرقٍ أو حریقٍ و لم یقدر الولیّ علی المسافرة به، أو أراد الولیّ السفر إلی موضعٍ لا یمکنه نقل المال إلیه، أو یحتاج فی نقله إلی مئونةٍ مجحفة جاز أن یودعه</w:t>
      </w:r>
      <w:r>
        <w:rPr>
          <w:rFonts w:eastAsia="IRNazanin" w:cs="IRNazanin"/>
          <w:color w:val="111111"/>
          <w:sz w:val="28"/>
          <w:szCs w:val="28"/>
          <w:rtl w:val="true"/>
          <w:lang w:bidi="fa-IR"/>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النووی فی المجموع</w:t>
      </w:r>
      <w:r>
        <w:rPr>
          <w:rStyle w:val="FootnoteAnchor"/>
          <w:rtl w:val="true"/>
        </w:rPr>
        <w:footnoteReference w:id="1847"/>
      </w:r>
      <w:r>
        <w:rPr>
          <w:rFonts w:ascii="IRNazanin" w:hAnsi="IRNazanin" w:eastAsia="IRNazanin"/>
          <w:color w:val="111111"/>
          <w:sz w:val="28"/>
          <w:sz w:val="28"/>
          <w:szCs w:val="28"/>
          <w:rtl w:val="true"/>
          <w:lang w:bidi="fa-IR"/>
        </w:rPr>
        <w:t>و روضة الطالبین</w:t>
      </w:r>
      <w:r>
        <w:rPr>
          <w:rStyle w:val="FootnoteAnchor"/>
          <w:rtl w:val="true"/>
        </w:rPr>
        <w:footnoteReference w:id="1848"/>
      </w:r>
      <w:r>
        <w:rPr>
          <w:rFonts w:ascii="IRNazanin" w:hAnsi="IRNazanin" w:eastAsia="IRNazanin"/>
          <w:color w:val="111111"/>
          <w:sz w:val="28"/>
          <w:sz w:val="28"/>
          <w:szCs w:val="28"/>
          <w:rtl w:val="true"/>
          <w:lang w:bidi="fa-IR"/>
        </w:rPr>
        <w:t>، و الرافعی فی العزیز</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و کذا فی المهذّب</w:t>
      </w:r>
      <w:r>
        <w:rPr>
          <w:rStyle w:val="FootnoteAnchor"/>
          <w:rtl w:val="true"/>
        </w:rPr>
        <w:footnoteReference w:id="1850"/>
      </w:r>
      <w:r>
        <w:rPr>
          <w:rFonts w:ascii="IRNazanin" w:hAnsi="IRNazanin" w:eastAsia="IRNazanin"/>
          <w:color w:val="111111"/>
          <w:sz w:val="28"/>
          <w:sz w:val="28"/>
          <w:szCs w:val="28"/>
          <w:rtl w:val="true"/>
          <w:lang w:bidi="fa-IR"/>
        </w:rPr>
        <w:t>للشیرازی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أن یعیر ماله استحساناً، و القیاس لا یجوز، وجه</w:t>
      </w:r>
      <w:bookmarkStart w:id="637" w:name="pg11753_115028"/>
    </w:p>
    <w:p>
      <w:pPr>
        <w:pStyle w:val="BookText"/>
        <w:rPr/>
      </w:pPr>
      <w:bookmarkEnd w:id="637"/>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الإعارة تملیک المنفعة بغیر عوضٍ فکان ضرراً، و وجه 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من توابع التجارة و ضروراتها فتملک بملک التجارة، و لهذا ملکها المأذون، و له أن یودع ماله؛ لأنّ الإیداع من ضرورات التجارة</w:t>
      </w:r>
      <w:r>
        <w:rPr>
          <w:rFonts w:eastAsia="IRNazanin" w:cs="IRNazanin"/>
          <w:color w:val="111111"/>
          <w:sz w:val="28"/>
          <w:szCs w:val="28"/>
          <w:rtl w:val="true"/>
          <w:lang w:bidi="fa-IR"/>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9482944_73709187"/>
      <w:bookmarkStart w:id="639" w:name="_Toc241"/>
      <w:bookmarkEnd w:id="638"/>
      <w:r>
        <w:rPr>
          <w:rtl w:val="true"/>
        </w:rPr>
        <w:t>إیضاح</w:t>
      </w:r>
      <w:bookmarkEnd w:id="63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فی البحث عن ولایة الأب و الجدّ و غیرهما علی تزویج الصغار، جواز الاستنابة و التوکیل فیه خاصّة، و بیّنا فی خلال البحث جواز الاستنابة فی شئون الطفل عموماً، و منها الاستنابة و التوکیل فی التصرّف فی أموالهم فلا نعیده</w:t>
      </w:r>
      <w:r>
        <w:rPr>
          <w:rFonts w:eastAsia="IRNazanin" w:cs="IRNazanin"/>
          <w:color w:val="111111"/>
          <w:sz w:val="28"/>
          <w:szCs w:val="28"/>
          <w:rtl w:val="true"/>
          <w:lang w:bidi="fa-IR"/>
        </w:rPr>
        <w:t>.</w:t>
      </w:r>
      <w:bookmarkStart w:id="640" w:name="pg11753_115029"/>
    </w:p>
    <w:p>
      <w:pPr>
        <w:pStyle w:val="Heading3"/>
        <w:numPr>
          <w:ilvl w:val="2"/>
          <w:numId w:val="1"/>
        </w:numPr>
        <w:rPr/>
      </w:pPr>
      <w:bookmarkStart w:id="641" w:name="__RefHeading___Toc9482946_73709187"/>
      <w:bookmarkStart w:id="642" w:name="_Toc242"/>
      <w:bookmarkEnd w:id="640"/>
      <w:bookmarkEnd w:id="641"/>
      <w:r>
        <w:rPr>
          <w:rtl w:val="true"/>
        </w:rPr>
        <w:t>الفصل الثالث فی إجارة الولیّ الصبیّ أو ماله</w:t>
      </w:r>
      <w:bookmarkEnd w:id="642"/>
    </w:p>
    <w:p>
      <w:pPr>
        <w:pStyle w:val="Heading4"/>
        <w:numPr>
          <w:ilvl w:val="3"/>
          <w:numId w:val="1"/>
        </w:numPr>
        <w:rPr/>
      </w:pPr>
      <w:bookmarkStart w:id="643" w:name="__RefHeading___Toc9482948_73709187"/>
      <w:bookmarkStart w:id="644" w:name="_Toc243"/>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من التصرّفات التی تجوز للولیّ إجارة الصبیّ نفسه أو ماله؛ سواء کان أباً أو جدّاً أو وصیّاً أو حاکماً أو أمینه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رحمه الله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آجر الأب أو الوصیّ الصبیّ أو شیئاً من ماله مدّة صحّت الإجارة بلا خلافٍ، فإن بلغ الصبیّ قبل انقضاء المدّة کان له ما بقی، و لم یکن للصبیّ فسخه</w:t>
      </w:r>
      <w:r>
        <w:rPr>
          <w:rFonts w:eastAsia="IRNazanin" w:cs="IRNazanin"/>
          <w:color w:val="111111"/>
          <w:sz w:val="28"/>
          <w:szCs w:val="28"/>
          <w:rtl w:val="true"/>
          <w:lang w:bidi="fa-IR"/>
        </w:rPr>
        <w:t>»</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آجر الأب أو الوصیّ الصبیّ أو ماله صحّ ذلک، کما یصحّ بیع ماله، فإذا بلغ و قد بقی من مدّة الإجارة بعضها کان له فسخها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له ذلک، و هو الأقوی</w:t>
      </w:r>
      <w:r>
        <w:rPr>
          <w:rFonts w:eastAsia="IRNazanin" w:cs="IRNazanin"/>
          <w:color w:val="111111"/>
          <w:sz w:val="28"/>
          <w:szCs w:val="28"/>
          <w:rtl w:val="true"/>
          <w:lang w:bidi="fa-IR"/>
        </w:rPr>
        <w:t>»</w:t>
      </w:r>
      <w:r>
        <w:rPr>
          <w:rStyle w:val="FootnoteAnchor"/>
          <w:rtl w:val="true"/>
        </w:rPr>
        <w:footnoteReference w:id="1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قال العلاّمة فی جملة من کتبه، کالمختلف</w:t>
      </w:r>
      <w:r>
        <w:rPr>
          <w:rStyle w:val="FootnoteAnchor"/>
          <w:rtl w:val="true"/>
        </w:rPr>
        <w:footnoteReference w:id="1855"/>
      </w:r>
      <w:r>
        <w:rPr>
          <w:rFonts w:ascii="IRNazanin" w:hAnsi="IRNazanin" w:eastAsia="IRNazanin"/>
          <w:color w:val="111111"/>
          <w:sz w:val="28"/>
          <w:sz w:val="28"/>
          <w:szCs w:val="28"/>
          <w:rtl w:val="true"/>
          <w:lang w:bidi="fa-IR"/>
        </w:rPr>
        <w:t>و التحریر</w:t>
      </w:r>
      <w:r>
        <w:rPr>
          <w:rStyle w:val="FootnoteAnchor"/>
          <w:rtl w:val="true"/>
        </w:rPr>
        <w:footnoteReference w:id="1856"/>
      </w:r>
      <w:r>
        <w:rPr>
          <w:rFonts w:ascii="IRNazanin" w:hAnsi="IRNazanin" w:eastAsia="IRNazanin"/>
          <w:color w:val="111111"/>
          <w:sz w:val="28"/>
          <w:sz w:val="28"/>
          <w:szCs w:val="28"/>
          <w:rtl w:val="true"/>
          <w:lang w:bidi="fa-IR"/>
        </w:rPr>
        <w:t>و التذکرة</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و القواعد</w:t>
      </w:r>
      <w:r>
        <w:rPr>
          <w:rStyle w:val="FootnoteAnchor"/>
          <w:rtl w:val="true"/>
        </w:rPr>
        <w:footnoteReference w:id="1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الفسخ، و تبعه المحقّق الثانی فی شرحه علیها</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المحقّق الأردبیلی علی وجه،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یحتمل عدم البطلان و کونه موقوفاً علی إجازته بعد البلوغ و الرشد بناءً علی جواز الفضولی</w:t>
      </w:r>
      <w:r>
        <w:rPr>
          <w:rFonts w:eastAsia="IRNazanin" w:cs="IRNazanin"/>
          <w:color w:val="111111"/>
          <w:sz w:val="28"/>
          <w:szCs w:val="28"/>
          <w:rtl w:val="true"/>
          <w:lang w:bidi="fa-IR"/>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الشهید الثانی فی المسالک</w:t>
      </w:r>
      <w:r>
        <w:rPr>
          <w:rStyle w:val="FootnoteAnchor"/>
          <w:rtl w:val="true"/>
        </w:rPr>
        <w:footnoteReference w:id="1861"/>
      </w:r>
      <w:r>
        <w:rPr>
          <w:rFonts w:ascii="IRNazanin" w:hAnsi="IRNazanin" w:eastAsia="IRNazanin"/>
          <w:color w:val="111111"/>
          <w:sz w:val="28"/>
          <w:sz w:val="28"/>
          <w:szCs w:val="28"/>
          <w:rtl w:val="true"/>
          <w:lang w:bidi="fa-IR"/>
        </w:rPr>
        <w:t>و المحقّق العاملی فی مفتاح الکرامة</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و المحقّق الیزدی فی العروة، و قال به أیضاً عدّة من فقهاء العصر فی تعلیقاتهم علیها</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آجر الوصیّ صبیّاً مدّةً یعلم بلوغه فیها، بطلت فی المتیقّن و صحّت فی المحتمل، و لو اتّفق البلوغ فیه هل للصبیّ الفسخ بعد بلوغه؟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فیه تردّد</w:t>
      </w:r>
      <w:r>
        <w:rPr>
          <w:rFonts w:eastAsia="IRNazanin" w:cs="IRNazanin"/>
          <w:color w:val="111111"/>
          <w:sz w:val="28"/>
          <w:szCs w:val="28"/>
          <w:rtl w:val="true"/>
          <w:lang w:bidi="fa-IR"/>
        </w:rPr>
        <w:t>»</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آجر الولیّ الطفل مدّة، فبلغ و رشد فی الأثناء، أو آجر ماله یحتمل البقاء؛ لأنّ تصرّفه کان للمصلحة فیلزم، و حینئذٍ هل له خیار الفسخ؟ نظر، و یحتمل البطلان؛ لتبیّن خروج هذه المدّة عن الولایة، و هو الأقرب</w:t>
      </w:r>
      <w:r>
        <w:rPr>
          <w:rFonts w:eastAsia="IRNazanin" w:cs="IRNazanin"/>
          <w:color w:val="111111"/>
          <w:sz w:val="28"/>
          <w:szCs w:val="28"/>
          <w:rtl w:val="true"/>
          <w:lang w:bidi="fa-IR"/>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هذا فی الجواهر،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قول الشیخ بلزوم الإجارة</w:t>
      </w:r>
    </w:p>
    <w:p>
      <w:pPr>
        <w:pStyle w:val="BookText"/>
        <w:rPr/>
      </w:pPr>
      <w:r>
        <w:rPr>
          <w:rFonts w:ascii="IRNazanin" w:hAnsi="IRNazanin" w:eastAsia="IRNazanin"/>
          <w:color w:val="111111"/>
          <w:sz w:val="28"/>
          <w:sz w:val="28"/>
          <w:szCs w:val="28"/>
          <w:rtl w:val="true"/>
          <w:lang w:bidi="fa-IR"/>
        </w:rPr>
        <w:t xml:space="preserve">و صحّتها لو اتّفق بلوغ الطفل فی أثنائها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ما عرفت من أنّه بالنسبة إلی الحال المفروض لیس من أهلها و لا فی محلّها، و الجهل لا مدخلیّة له فی تغیّر حکم الموضوع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w:t>
      </w:r>
      <w:r>
        <w:rPr>
          <w:rStyle w:val="FootnoteAnchor"/>
          <w:rtl w:val="true"/>
        </w:rPr>
        <w:footnoteReference w:id="1866"/>
      </w:r>
      <w:r>
        <w:rPr>
          <w:rFonts w:ascii="IRNazanin" w:hAnsi="IRNazanin" w:eastAsia="IRNazanin"/>
          <w:color w:val="111111"/>
          <w:sz w:val="28"/>
          <w:sz w:val="28"/>
          <w:szCs w:val="28"/>
          <w:rtl w:val="true"/>
          <w:lang w:bidi="fa-IR"/>
        </w:rPr>
        <w:t>إجارة الولیّ المدّة الزائدة علی سنّ البلوغ فی مصلحة الطفل قبل بلوغه کان المتّجه لزومها، و کذا الکلام فی ماله، و لیس مفروض المسألة هنا کذلک</w:t>
      </w:r>
      <w:r>
        <w:rPr>
          <w:rFonts w:eastAsia="IRNazanin" w:cs="IRNazanin"/>
          <w:color w:val="111111"/>
          <w:sz w:val="28"/>
          <w:szCs w:val="28"/>
          <w:rtl w:val="true"/>
          <w:lang w:bidi="fa-IR"/>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آجر الولیّ الصبیّ المولّی علیه، أو ملّکه مدّةً مع مراعاة المصلحة و الغبطة، فبلغ الرشد قبل انقضائها، فله نقض الإجارة و فسخها بالنسبة إلی ما بقی من المدّة، إلاّ أن تقتضی المصلحة اللازمة المراعاة فیما قبل الرشد، الإجارة مدّةً زائدةً علی زمان تحقّقه، بحیث تکون بأقلّ منها خلاف مصلحته، فحینئذٍ لیس له فسخها بعد البلوغ و الرشد</w:t>
      </w:r>
      <w:r>
        <w:rPr>
          <w:rFonts w:eastAsia="IRNazanin" w:cs="IRNazanin"/>
          <w:color w:val="111111"/>
          <w:sz w:val="28"/>
          <w:szCs w:val="28"/>
          <w:rtl w:val="true"/>
          <w:lang w:bidi="fa-IR"/>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الشیخ الفقیه الفاضل اللنکرانی دام ظلّه</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الفقهاء رضوان اللّه علیهم اتّفقوا فی أصل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 إجارة الولیّ الصبیّ أو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فیها مخالفاً و إن اختلفوا فی حکم بعض شقوقها التی سنذکرها خلال البحث عنها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للتحقیق فی بیان صور المسألة عقدنا هذا الفصل، و نطرح فیه مبحثین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إجارة الولیّ نفس الصبیّ و تملیک منافع بدنه</w:t>
      </w:r>
      <w:r>
        <w:rPr>
          <w:rFonts w:eastAsia="IRNazanin" w:cs="IRNazanin"/>
          <w:color w:val="111111"/>
          <w:sz w:val="28"/>
          <w:szCs w:val="28"/>
          <w:rtl w:val="true"/>
          <w:lang w:bidi="fa-IR"/>
        </w:rPr>
        <w:t>.</w:t>
      </w:r>
      <w:bookmarkStart w:id="645" w:name="pg11753_115032"/>
    </w:p>
    <w:p>
      <w:pPr>
        <w:pStyle w:val="BookText"/>
        <w:rPr/>
      </w:pPr>
      <w:bookmarkEnd w:id="645"/>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إجارة مال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فی آخر هذا الفصل مبحثاً ثالثاً یرتبط بکلّ المباحث التی ذکرناها سابقاً فی الفصول الثلاثة الأخیرة، و کذا بعدها، و نحقّق فیه عن حکم جواز أخذ الاُجرة للمتولّی من مال الطفل</w:t>
      </w:r>
      <w:r>
        <w:rPr>
          <w:rFonts w:eastAsia="IRNazanin" w:cs="IRNazanin"/>
          <w:color w:val="111111"/>
          <w:sz w:val="28"/>
          <w:szCs w:val="28"/>
          <w:rtl w:val="true"/>
          <w:lang w:bidi="fa-IR"/>
        </w:rPr>
        <w:t>.</w:t>
      </w:r>
    </w:p>
    <w:p>
      <w:pPr>
        <w:pStyle w:val="Heading4"/>
        <w:numPr>
          <w:ilvl w:val="3"/>
          <w:numId w:val="1"/>
        </w:numPr>
        <w:rPr/>
      </w:pPr>
      <w:bookmarkStart w:id="646" w:name="__RefHeading___Toc9482950_73709187"/>
      <w:bookmarkStart w:id="647" w:name="_Toc244"/>
      <w:bookmarkEnd w:id="646"/>
      <w:r>
        <w:rPr>
          <w:rtl w:val="true"/>
        </w:rPr>
        <w:t>المبحث الأوّل</w:t>
      </w:r>
      <w:r>
        <w:rPr>
          <w:rtl w:val="true"/>
        </w:rPr>
        <w:t xml:space="preserve">: </w:t>
      </w:r>
      <w:r>
        <w:rPr>
          <w:rtl w:val="true"/>
        </w:rPr>
        <w:t>إجارة الولیّ نفس الصبیّ‌</w:t>
      </w:r>
      <w:bookmarkEnd w:id="647"/>
    </w:p>
    <w:p>
      <w:pPr>
        <w:pStyle w:val="Heading5"/>
        <w:numPr>
          <w:ilvl w:val="4"/>
          <w:numId w:val="1"/>
        </w:numPr>
        <w:rPr/>
      </w:pPr>
      <w:bookmarkStart w:id="648" w:name="__RefHeading___Toc9482952_73709187"/>
      <w:bookmarkStart w:id="649" w:name="_Toc245"/>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تُتصوّر فی المسألة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آجره مدّة یعلم بعدم بلوغه و رشده، فلا خلاف فی صحّة الإجارة واقعاً و ظاهراً؛ لأنّه لا شکّ بأنّ للحرّ سلطنة علی تملیک منافعه، و الولیّ قائم مقام الصبیّ فی هذه السلطنة، فله السلطنة علی تملیک منافع الصغیر و إجارتها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آجره مدّة یعلم ببلوغه و رشده فیها؛ فإنّه تصحّ الإجارة إلی وقت البلوغ و الرشد، ثمّ یتخیّر الصبیّ بین الفسخ و الإمضاء، مثلاً لو کان عمر الصبیّ عشراً و آجره عشراً؛ فإنّ الإجارة لا تکون لازمة بعد البلوغ، بل تتوقّف علی إجازة الصبیّ بعد بلوغه و رشده؛ لأنّها وقعت علی ما لیس له ولایة علیه، فتصرّف الولیّ حینئذٍ فضولی إن لم یعتبر فی صحّته وجود المجیز حال العقد، و إلاّ کان العقد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المحقّق الرشتی قدس سره</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الخوئی رحمه الله من أنّه لا دلیل للولایة علی مثل هذا التصرّف،</w:t>
      </w:r>
    </w:p>
    <w:p>
      <w:pPr>
        <w:pStyle w:val="BookText"/>
        <w:rPr/>
      </w:pPr>
      <w:r>
        <w:rPr>
          <w:rFonts w:ascii="IRNazanin" w:hAnsi="IRNazanin" w:eastAsia="IRNazanin"/>
          <w:color w:val="111111"/>
          <w:sz w:val="28"/>
          <w:sz w:val="28"/>
          <w:szCs w:val="28"/>
          <w:rtl w:val="true"/>
          <w:lang w:bidi="fa-IR"/>
        </w:rPr>
        <w:t>و مجرّد عدم الدلیل علی الولایة کافٍ فی عدم النفوذ و الافتقار إلی الإجازة</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الرشتی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عموم الولایة لمثل هذا المال غیر ثابت</w:t>
      </w:r>
      <w:r>
        <w:rPr>
          <w:rFonts w:eastAsia="IRNazanin" w:cs="IRNazanin"/>
          <w:color w:val="111111"/>
          <w:sz w:val="28"/>
          <w:szCs w:val="28"/>
          <w:rtl w:val="true"/>
          <w:lang w:bidi="fa-IR"/>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الإجارة للمحقّق الفقیه الآشتیانی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المقام دلیل علی ثبوت الولایة بالنسبة إلی جمیع منافع الصغیر، حتّی الموجودة فی زمان کبره</w:t>
      </w:r>
      <w:r>
        <w:rPr>
          <w:rFonts w:eastAsia="IRNazanin" w:cs="IRNazanin"/>
          <w:color w:val="111111"/>
          <w:sz w:val="28"/>
          <w:szCs w:val="28"/>
          <w:rtl w:val="true"/>
          <w:lang w:bidi="fa-IR"/>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الاصفهانی قدس سره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 المصادفة لزمان کبره فهی منافع الکبیر، و المفروض عدم السلطنة للولی إلاّ علی الصغیر و منافعه لا علی الکبیر و منافعه، و هذا هو الوجه فی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المنافع الآتیة لیست أموالاً فعلیّة للصغیر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نظر المانع إن کان إلی عدم کونها مملوکة للصغیر، فالمنافع التی تصادف زمان صغره أیضاً غیر مملوکة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مالیّتها إلاّ فی ظرف وجودها؛ فإنّ الملکیّة تتقدّم علی ذات المملوک، و المالیّة منتزعةٌ من ذات المنفعة، فلا تتقدّم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المنافع المصادفة لزمان صغره أیضاً کذلک، مع أنّه یصحّ تملیکها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للمنع ما ذکرناه من عدم السلطنة علی تملیک منافع الکبیر، و لا یعقل أن تکون المنافع الآتیة منافع الصغیر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الصغَرَ لو لم یکن مانعاً شرعاً لکان للصغیر فعلاً تملیک جمیع منافعه المصادفة لزمان صغره و کبره، و الشارع لمکان مانعیّة الصغر فی نظره جعل هذه السلطنة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فیجاب عنه بما أجبنا به فی إجارة أملاکه من عدم</w:t>
      </w:r>
    </w:p>
    <w:p>
      <w:pPr>
        <w:pStyle w:val="BookText"/>
        <w:rPr/>
      </w:pPr>
      <w:r>
        <w:rPr>
          <w:rFonts w:ascii="IRNazanin" w:hAnsi="IRNazanin" w:eastAsia="IRNazanin"/>
          <w:color w:val="111111"/>
          <w:sz w:val="28"/>
          <w:sz w:val="28"/>
          <w:szCs w:val="28"/>
          <w:rtl w:val="true"/>
          <w:lang w:bidi="fa-IR"/>
        </w:rPr>
        <w:t>المقتضی للولایة المطلقة</w:t>
      </w:r>
      <w:r>
        <w:rPr>
          <w:rFonts w:eastAsia="IRNazanin" w:cs="IRNazanin"/>
          <w:color w:val="111111"/>
          <w:sz w:val="28"/>
          <w:szCs w:val="28"/>
          <w:rtl w:val="true"/>
          <w:lang w:bidi="fa-IR"/>
        </w:rPr>
        <w:t>»</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قدس سره أنّه لم یکن لهذه الولایة مقتضٍ؛ لأنّ مناسبة الحکم و الموضوع تقتضی أن یجعل الشارع الحکیم للصبیّ ولیّاً، لئلاّ یفوت علیه ما یتعلّق بنفسه و ماله من المصالح فی صغره، و المصلحة الراجعة إلی أملاکه فی زمان کبره لا تفوت بترک إجارة الولیّ، بل قابلة لأن یستوفیها الصغیر بعد کبره، فلا مقتضی للولایة علی مثل هذا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منافع الصغیر قبل الإجارة لیست من الأموال، و إنّما تصیر بوجودها الاعتباری مالاً حین الإجارة لتصحیح تعلّق الملکیّة بها، و لیس فی المقام دلیل علی ثبوت الولایة بالنسبة إلی جمیع منافع الصغیر، حتّی الموجودة فی زمان کبره و لو بوجودها الاعتباری حال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خلوّها بالنسبة إلی الموجودة فی زمان کبره عمّا هو الحکمة لتشریعها من قصور الصبیّ؛ إذ لیس له قصور بالنسبة إلی أمواله الموجودة فی زمان کبره</w:t>
      </w:r>
      <w:r>
        <w:rPr>
          <w:rFonts w:eastAsia="IRNazanin" w:cs="IRNazanin"/>
          <w:color w:val="111111"/>
          <w:sz w:val="28"/>
          <w:szCs w:val="28"/>
          <w:rtl w:val="true"/>
          <w:lang w:bidi="fa-IR"/>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الفقیه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البدن التی یکون مقتضی إیجاره تملیکها فهی تغایر الأموال، من جهة عدم کونها مملوکة علی حدّ الأموال، غایة الأمر ثبوت السلطنة لنفس الحرّ علی إیجاره، و الولیّ لا یکون إلاّ قائماً مقامه عند وجود نقص فیه کالصغر و نحوه،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فدائرة الولایة محدودة بما یکون المولّی علیه ناقصاً بالإضافة إلیه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لیس له الولایة إلاّ بالنسبة إلی منافع الصغیر، و المنافع بعد البلوغ لا تکون معنونة بهذه العنوان؛ لأنّها لیست إلاّ منافع الکبیر، فالفرق بین الأموال و منافع البدن إنّما هو فی کون الأموال مملوکة للصغیر فعلاً، و مقتضی الولایة</w:t>
      </w:r>
    </w:p>
    <w:p>
      <w:pPr>
        <w:pStyle w:val="BookText"/>
        <w:rPr/>
      </w:pPr>
      <w:r>
        <w:rPr>
          <w:rFonts w:ascii="IRNazanin" w:hAnsi="IRNazanin" w:eastAsia="IRNazanin"/>
          <w:color w:val="111111"/>
          <w:sz w:val="28"/>
          <w:sz w:val="28"/>
          <w:szCs w:val="28"/>
          <w:rtl w:val="true"/>
          <w:lang w:bidi="fa-IR"/>
        </w:rPr>
        <w:t>أو الوصایة جواز التصرّف فیها مطلقاً إذا کان موافقاً للمصلحة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المنافع فلیست منافع الصغیر إلاّ المقدار المقارن لزمان الصغر، و ما عداها فهو خارج عن دائرة الولایة</w:t>
      </w:r>
      <w:r>
        <w:rPr>
          <w:rFonts w:eastAsia="IRNazanin" w:cs="IRNazanin"/>
          <w:color w:val="111111"/>
          <w:sz w:val="28"/>
          <w:szCs w:val="28"/>
          <w:rtl w:val="true"/>
          <w:lang w:bidi="fa-IR"/>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آجره مدّة لا یعلم بلوغه و رشده فیها</w:t>
      </w:r>
      <w:r>
        <w:rPr>
          <w:rStyle w:val="FootnoteAnchor"/>
          <w:rtl w:val="true"/>
        </w:rPr>
        <w:footnoteReference w:id="1877"/>
      </w:r>
      <w:r>
        <w:rPr>
          <w:rFonts w:ascii="IRNazanin" w:hAnsi="IRNazanin" w:eastAsia="IRNazanin"/>
          <w:color w:val="111111"/>
          <w:sz w:val="28"/>
          <w:sz w:val="28"/>
          <w:szCs w:val="28"/>
          <w:rtl w:val="true"/>
          <w:lang w:bidi="fa-IR"/>
        </w:rPr>
        <w:t>، فتصحّ الإجارة بلا خلاف کما فی الخلاف</w:t>
      </w:r>
      <w:r>
        <w:rPr>
          <w:rStyle w:val="FootnoteAnchor"/>
          <w:rtl w:val="true"/>
        </w:rPr>
        <w:footnoteReference w:id="1878"/>
      </w:r>
      <w:r>
        <w:rPr>
          <w:rFonts w:ascii="IRNazanin" w:hAnsi="IRNazanin" w:eastAsia="IRNazanin"/>
          <w:color w:val="111111"/>
          <w:sz w:val="28"/>
          <w:sz w:val="28"/>
          <w:szCs w:val="28"/>
          <w:rtl w:val="true"/>
          <w:lang w:bidi="fa-IR"/>
        </w:rPr>
        <w:t>؛ بمعنی الحکم بصحّته ظاهراً لتحقّق الولایة المقتضیة لصحّة ذلک</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الرشتی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لأصالة عدم البلوغ</w:t>
      </w:r>
      <w:r>
        <w:rPr>
          <w:rFonts w:eastAsia="IRNazanin" w:cs="IRNazanin"/>
          <w:color w:val="111111"/>
          <w:sz w:val="28"/>
          <w:szCs w:val="28"/>
          <w:rtl w:val="true"/>
          <w:lang w:bidi="fa-IR"/>
        </w:rPr>
        <w:t>»</w:t>
      </w:r>
      <w:r>
        <w:rPr>
          <w:rStyle w:val="FootnoteAnchor"/>
          <w:rtl w:val="true"/>
        </w:rPr>
        <w:footnoteReference w:id="1880"/>
      </w:r>
      <w:r>
        <w:rPr>
          <w:rFonts w:ascii="IRNazanin" w:hAnsi="IRNazanin" w:eastAsia="IRNazanin"/>
          <w:color w:val="111111"/>
          <w:sz w:val="28"/>
          <w:sz w:val="28"/>
          <w:szCs w:val="28"/>
          <w:rtl w:val="true"/>
          <w:lang w:bidi="fa-IR"/>
        </w:rPr>
        <w:t>و قال الفقیه الآشتیانی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بلوغه و رشده، و أصالة بقاء ولایته المقتضیة لصحّة ذلک</w:t>
      </w:r>
      <w:r>
        <w:rPr>
          <w:rFonts w:eastAsia="IRNazanin" w:cs="IRNazanin"/>
          <w:color w:val="111111"/>
          <w:sz w:val="28"/>
          <w:szCs w:val="28"/>
          <w:rtl w:val="true"/>
          <w:lang w:bidi="fa-IR"/>
        </w:rPr>
        <w:t>»</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فیه إنّما هو استصحاب عدم البلوغ الجاری فی جمیع أجزاء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یستشکل فی ذلک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احتمال البلوغ فی بعض مدّة الإجارة مع عدم ثبوت الولایة له بالإضافة إلی ما بعد البلوغ موجب لتحقّق الغرر و ثبوت الجهالة؛ لأنّ مدّة الإجارة حینئذٍ غیر معلومةٍ، و لکن هذا الإشکال إنّما یبتنی علی بطلان الإجارة فی الزمان المصادف للبلوغ واقعاً؛ ضرورة أنّه علی فرض الصّحة فی ذلک الزمان أیضاً لا یتحقّق غرر</w:t>
      </w:r>
      <w:r>
        <w:rPr>
          <w:rStyle w:val="FootnoteAnchor"/>
          <w:rtl w:val="true"/>
        </w:rPr>
        <w:footnoteReference w:id="1882"/>
      </w:r>
      <w:bookmarkStart w:id="650" w:name="pg11753_115036"/>
    </w:p>
    <w:p>
      <w:pPr>
        <w:pStyle w:val="BookText"/>
        <w:rPr/>
      </w:pPr>
      <w:bookmarkEnd w:id="650"/>
      <w:r>
        <w:rPr>
          <w:rFonts w:ascii="IRNazanin" w:hAnsi="IRNazanin" w:eastAsia="IRNazanin"/>
          <w:color w:val="111111"/>
          <w:sz w:val="28"/>
          <w:sz w:val="28"/>
          <w:szCs w:val="28"/>
          <w:rtl w:val="true"/>
          <w:lang w:bidi="fa-IR"/>
        </w:rPr>
        <w:t>و لا تثبت جهالة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الاُصول العملیّة التی منها الاستصحاب و إن قلنا بالإجزاء فیها فی الأحکام التکلیفیّة، و لکنّها لا تصلح لإثبات الأحکام الوضعیّة مع انکشاف الخلاف و عدم المصادفة للواقع، فلا مجال للاتّکاء علی استصحاب عدم البلوغ، و الحکم باللزوم و عدم الوقوف علی الإجازة بالإضافة إلی ما بعد البلوغ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عدم ورود هذا الإشکال أیضاً؛ لأنّ ملاک الإجزاء فی الأحکام التکلیفیّة موجود فی الأحکام الوضعیة أیضاً؛ فإنّ مناط الإجزاء هناک هو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دلیل اعتبار الأصل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الأوّلیة الدالّة علی الأجزاء و الشرائط، و تعمیم دائرة الشرط و الجزء بحیث لا یکون لهما اختصاص بالواقعین منهما، و هذا المناط موجود هنا، فإنّ مفاد دلیل اعتبار الاستصحاب یرجع إلی التصرّف فی دلیل ثبوت الولایة و تعمیم دائرتها لصورة الشکّ‌</w:t>
      </w:r>
      <w:r>
        <w:rPr>
          <w:rStyle w:val="FootnoteAnchor"/>
          <w:rtl w:val="true"/>
        </w:rPr>
        <w:footnoteReference w:id="1883"/>
      </w:r>
      <w:r>
        <w:rPr>
          <w:rFonts w:ascii="IRNazanin" w:hAnsi="IRNazanin" w:eastAsia="IRNazanin"/>
          <w:color w:val="111111"/>
          <w:sz w:val="28"/>
          <w:sz w:val="28"/>
          <w:szCs w:val="28"/>
          <w:rtl w:val="true"/>
          <w:lang w:bidi="fa-IR"/>
        </w:rPr>
        <w:t>و إن کان مصادفاً للبلوغ واقعاً</w:t>
      </w:r>
      <w:r>
        <w:rPr>
          <w:rFonts w:eastAsia="IRNazanin" w:cs="IRNazanin"/>
          <w:color w:val="111111"/>
          <w:sz w:val="28"/>
          <w:szCs w:val="28"/>
          <w:rtl w:val="true"/>
          <w:lang w:bidi="fa-IR"/>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9482954_73709187"/>
      <w:bookmarkStart w:id="652" w:name="_Toc246"/>
      <w:bookmarkEnd w:id="651"/>
      <w:r>
        <w:rPr>
          <w:rtl w:val="true"/>
        </w:rPr>
        <w:t>جواز فسخ الصبیّ بعد بلوغه و رشده</w:t>
      </w:r>
      <w:bookmarkEnd w:id="652"/>
    </w:p>
    <w:p>
      <w:pPr>
        <w:pStyle w:val="BookText"/>
        <w:rPr/>
      </w:pPr>
      <w:r>
        <w:rPr>
          <w:rFonts w:ascii="IRNazanin" w:hAnsi="IRNazanin" w:eastAsia="IRNazanin"/>
          <w:color w:val="111111"/>
          <w:sz w:val="28"/>
          <w:sz w:val="28"/>
          <w:szCs w:val="28"/>
          <w:rtl w:val="true"/>
          <w:lang w:bidi="fa-IR"/>
        </w:rPr>
        <w:t>لو اتّفق بلوغ الصبیّ و رشده فی مدّة الإجارة فهل له الفسخ؟ بمعنی عدم إجازته عقد الإجارة بالنسبة إلی ما بعد البلوغ لکونه حینئذٍ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قولان بل ثلاثة أقوال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الفسخ، و به قال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المبسوط فی أوّل</w:t>
      </w:r>
    </w:p>
    <w:p>
      <w:pPr>
        <w:pStyle w:val="BookText"/>
        <w:rPr/>
      </w:pPr>
      <w:r>
        <w:rPr>
          <w:rFonts w:ascii="IRNazanin" w:hAnsi="IRNazanin" w:eastAsia="IRNazanin"/>
          <w:color w:val="111111"/>
          <w:sz w:val="28"/>
          <w:sz w:val="28"/>
          <w:szCs w:val="28"/>
          <w:rtl w:val="true"/>
          <w:lang w:bidi="fa-IR"/>
        </w:rPr>
        <w:t>کلامه</w:t>
      </w:r>
      <w:r>
        <w:rPr>
          <w:rStyle w:val="FootnoteAnchor"/>
          <w:rtl w:val="true"/>
        </w:rPr>
        <w:footnoteReference w:id="1885"/>
      </w:r>
      <w:r>
        <w:rPr>
          <w:rFonts w:ascii="IRNazanin" w:hAnsi="IRNazanin" w:eastAsia="IRNazanin"/>
          <w:color w:val="111111"/>
          <w:sz w:val="28"/>
          <w:sz w:val="28"/>
          <w:szCs w:val="28"/>
          <w:rtl w:val="true"/>
          <w:lang w:bidi="fa-IR"/>
        </w:rPr>
        <w:t>، و العلاّمة فی المختلف</w:t>
      </w:r>
      <w:r>
        <w:rPr>
          <w:rStyle w:val="FootnoteAnchor"/>
          <w:rtl w:val="true"/>
        </w:rPr>
        <w:footnoteReference w:id="1886"/>
      </w:r>
      <w:r>
        <w:rPr>
          <w:rFonts w:ascii="IRNazanin" w:hAnsi="IRNazanin" w:eastAsia="IRNazanin"/>
          <w:color w:val="111111"/>
          <w:sz w:val="28"/>
          <w:sz w:val="28"/>
          <w:szCs w:val="28"/>
          <w:rtl w:val="true"/>
          <w:lang w:bidi="fa-IR"/>
        </w:rPr>
        <w:t>و التذکرة</w:t>
      </w:r>
      <w:r>
        <w:rPr>
          <w:rStyle w:val="FootnoteAnchor"/>
          <w:rtl w:val="true"/>
        </w:rPr>
        <w:footnoteReference w:id="1887"/>
      </w:r>
      <w:r>
        <w:rPr>
          <w:rFonts w:ascii="IRNazanin" w:hAnsi="IRNazanin" w:eastAsia="IRNazanin"/>
          <w:color w:val="111111"/>
          <w:sz w:val="28"/>
          <w:sz w:val="28"/>
          <w:szCs w:val="28"/>
          <w:rtl w:val="true"/>
          <w:lang w:bidi="fa-IR"/>
        </w:rPr>
        <w:t>و التحریر</w:t>
      </w:r>
      <w:r>
        <w:rPr>
          <w:rStyle w:val="FootnoteAnchor"/>
          <w:rtl w:val="true"/>
        </w:rPr>
        <w:footnoteReference w:id="1888"/>
      </w:r>
      <w:r>
        <w:rPr>
          <w:rFonts w:ascii="IRNazanin" w:hAnsi="IRNazanin" w:eastAsia="IRNazanin"/>
          <w:color w:val="111111"/>
          <w:sz w:val="28"/>
          <w:sz w:val="28"/>
          <w:szCs w:val="28"/>
          <w:rtl w:val="true"/>
          <w:lang w:bidi="fa-IR"/>
        </w:rPr>
        <w:t>و القواعد و الإرشاد</w:t>
      </w:r>
      <w:r>
        <w:rPr>
          <w:rStyle w:val="FootnoteAnchor"/>
          <w:rtl w:val="true"/>
        </w:rPr>
        <w:footnoteReference w:id="1889"/>
      </w:r>
      <w:r>
        <w:rPr>
          <w:rFonts w:ascii="IRNazanin" w:hAnsi="IRNazanin" w:eastAsia="IRNazanin"/>
          <w:color w:val="111111"/>
          <w:sz w:val="28"/>
          <w:sz w:val="28"/>
          <w:szCs w:val="28"/>
          <w:rtl w:val="true"/>
          <w:lang w:bidi="fa-IR"/>
        </w:rPr>
        <w:t>، و الشهید فی القواعد و الفوائد</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1891"/>
      </w:r>
      <w:r>
        <w:rPr>
          <w:rFonts w:ascii="Amiri" w:hAnsi="Amiri" w:eastAsia="Amiri" w:cs="Amiri"/>
          <w:color w:val="111111"/>
          <w:sz w:val="28"/>
          <w:sz w:val="28"/>
          <w:szCs w:val="28"/>
          <w:rtl w:val="true"/>
          <w:lang w:bidi="ar-SA"/>
        </w:rPr>
        <w:t>و مجمع الفائدة و البرهان</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و جامع المقاصد</w:t>
      </w:r>
      <w:r>
        <w:rPr>
          <w:rStyle w:val="FootnoteAnchor"/>
          <w:rtl w:val="true"/>
        </w:rPr>
        <w:footnoteReference w:id="1893"/>
      </w:r>
      <w:r>
        <w:rPr>
          <w:rFonts w:ascii="IRNazanin" w:hAnsi="IRNazanin" w:eastAsia="IRNazanin"/>
          <w:color w:val="111111"/>
          <w:sz w:val="28"/>
          <w:sz w:val="28"/>
          <w:szCs w:val="28"/>
          <w:rtl w:val="true"/>
          <w:lang w:bidi="fa-IR"/>
        </w:rPr>
        <w:t>و الجواهر</w:t>
      </w:r>
      <w:r>
        <w:rPr>
          <w:rStyle w:val="FootnoteAnchor"/>
          <w:rtl w:val="true"/>
        </w:rPr>
        <w:footnoteReference w:id="1894"/>
      </w:r>
      <w:r>
        <w:rPr>
          <w:rFonts w:ascii="IRNazanin" w:hAnsi="IRNazanin" w:eastAsia="IRNazanin"/>
          <w:color w:val="111111"/>
          <w:sz w:val="28"/>
          <w:sz w:val="28"/>
          <w:szCs w:val="28"/>
          <w:rtl w:val="true"/>
          <w:lang w:bidi="fa-IR"/>
        </w:rPr>
        <w:t>و تحریر الوسیلة</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العروة و التعلیقات علیها إلاّ السیّدان الفقیهان الاصفهانی و الگلپایگانی</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فی الشرائع</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هذا الفرع انّما یتفرّع علی تقدیر صحّة الإجارة فی جمیع المدّة المحتملة، حتی المصادفة منها للبلوغ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بالفسخ هو الفسخ الاصطلاحی الذی موضوعه العقد الصحیح، لا الفسخ بمعنی ردّ العقد المساوق للبطلان فی المقام</w:t>
      </w:r>
      <w:r>
        <w:rPr>
          <w:rFonts w:eastAsia="IRNazanin" w:cs="IRNazanin"/>
          <w:color w:val="111111"/>
          <w:sz w:val="28"/>
          <w:szCs w:val="28"/>
          <w:rtl w:val="true"/>
          <w:lang w:bidi="fa-IR"/>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علّلوا هذا الحکم بأنّ العلم و الجهل لا مدخل لهما فی ثبوت الولایة و عدمهما، و أنّ الولایة إنّما تکون قبل الکمال، فیکون نفوذ تصرّف الولیّ مقصوراً علی ذلک الزمان، و لا ولایة له فیما بعد ذلک، و أنّه لیس الصبیّ حینئذٍ قاصراً بالنسبة</w:t>
      </w:r>
      <w:bookmarkStart w:id="653" w:name="pg11753_115038"/>
    </w:p>
    <w:p>
      <w:pPr>
        <w:pStyle w:val="BookText"/>
        <w:rPr/>
      </w:pPr>
      <w:bookmarkEnd w:id="653"/>
      <w:r>
        <w:rPr>
          <w:rFonts w:ascii="IRNazanin" w:hAnsi="IRNazanin" w:eastAsia="IRNazanin"/>
          <w:color w:val="111111"/>
          <w:sz w:val="28"/>
          <w:sz w:val="28"/>
          <w:szCs w:val="28"/>
          <w:rtl w:val="true"/>
          <w:lang w:bidi="fa-IR"/>
        </w:rPr>
        <w:t>إلی السلطنة علی نفسه، و إلی التصرّف فی ماله و محجوراً عنه کی یحتاج إلی الولیّ، فیکون العقد بالنسبة إلیه فضولیّاً، و للصبیّ إجازته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الفقیه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بالنسبة إلی الصبیّ نفسه فلم یدلّ أیّ دلیل علی ولایة الولیّ حتّی بالإضافة إلی ما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النکاح قام الدلیل علی الولایة علی تزویج الصبیّ أو الصبیّة و لو کان الزواج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غیره فلم یثبت له هذه الولایة بحیث یتمکّن من إیجاره للخدمة عشرین سنة مثلاً</w:t>
      </w:r>
      <w:r>
        <w:rPr>
          <w:rFonts w:eastAsia="IRNazanin" w:cs="IRNazanin"/>
          <w:color w:val="111111"/>
          <w:sz w:val="28"/>
          <w:szCs w:val="28"/>
          <w:rtl w:val="true"/>
          <w:lang w:bidi="fa-IR"/>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9482956_73709187"/>
      <w:bookmarkStart w:id="655" w:name="_Toc247"/>
      <w:bookmarkEnd w:id="654"/>
      <w:r>
        <w:rPr>
          <w:rtl w:val="true"/>
        </w:rPr>
        <w:t>عدم جواز فسخ الصبیّ بعد بلوغه و رشده</w:t>
      </w:r>
      <w:bookmarkEnd w:id="655"/>
    </w:p>
    <w:p>
      <w:pPr>
        <w:pStyle w:val="Heading6"/>
        <w:numPr>
          <w:ilvl w:val="5"/>
          <w:numId w:val="1"/>
        </w:numPr>
        <w:rPr/>
      </w:pPr>
      <w:bookmarkStart w:id="656" w:name="__RefHeading___Toc9482958_73709187"/>
      <w:bookmarkStart w:id="657" w:name="_Toc248"/>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بلغ الصبیّ قبل انقضاء مدّة الإجارة لم یکن له فسخها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الشیخ فی الخلاف و قوّاه فی المبسوط، و تبعه ابن إدریس</w:t>
      </w:r>
      <w:r>
        <w:rPr>
          <w:rStyle w:val="FootnoteAnchor"/>
          <w:rtl w:val="true"/>
        </w:rPr>
        <w:footnoteReference w:id="1900"/>
      </w:r>
      <w:r>
        <w:rPr>
          <w:rFonts w:ascii="IRNazanin" w:hAnsi="IRNazanin" w:eastAsia="IRNazanin"/>
          <w:color w:val="111111"/>
          <w:sz w:val="28"/>
          <w:sz w:val="28"/>
          <w:szCs w:val="28"/>
          <w:rtl w:val="true"/>
          <w:lang w:bidi="fa-IR"/>
        </w:rPr>
        <w:t>، و اختاره السیّد أبو الحسن الاصفهانی فی وسیلة النجاة</w:t>
      </w:r>
      <w:r>
        <w:rPr>
          <w:rStyle w:val="FootnoteAnchor"/>
          <w:rtl w:val="true"/>
        </w:rPr>
        <w:footnoteReference w:id="1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قدس سره فی تعلیقته علی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 لا یخلو من قوّة، خصوصاً فی إجارة أملاکه؛ لأنّ المولّی علیه فی زمان عدم بلوغه مالک لجمیع المنافع حتّی ما کانت بعد بلوغه، فقد وقع تصرّف الولیّ فیما هو ملک للمولّی علیه فعلاً، فإذا کان مصلحة له کما هو المفروض نفذ و لزم، و لیس له ردّه بعد بلوغه</w:t>
      </w:r>
      <w:r>
        <w:rPr>
          <w:rFonts w:eastAsia="IRNazanin" w:cs="IRNazanin"/>
          <w:color w:val="111111"/>
          <w:sz w:val="28"/>
          <w:szCs w:val="28"/>
          <w:rtl w:val="true"/>
          <w:lang w:bidi="fa-IR"/>
        </w:rPr>
        <w:t>»</w:t>
      </w:r>
      <w:r>
        <w:rPr>
          <w:rStyle w:val="FootnoteAnchor"/>
          <w:rtl w:val="true"/>
        </w:rPr>
        <w:footnoteReference w:id="1902"/>
      </w:r>
      <w:r>
        <w:rPr>
          <w:rFonts w:ascii="IRNazanin" w:hAnsi="IRNazanin" w:eastAsia="IRNazanin"/>
          <w:color w:val="111111"/>
          <w:sz w:val="28"/>
          <w:sz w:val="28"/>
          <w:szCs w:val="28"/>
          <w:rtl w:val="true"/>
          <w:lang w:bidi="fa-IR"/>
        </w:rPr>
        <w:t>و وافقه السیّد الفقیه الگلپایگانی</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مقتضی ولایته علی الطفل فی جمیع ماله الولایة علیه من ماله 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ما ذکره الشیخ و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ریب فی أنّ للإنسان السلطنة علی منافعه المستقبلة، فتکون لولیّه السلطنة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حینئذٍ عدم جواز</w:t>
      </w:r>
      <w:bookmarkStart w:id="658" w:name="pg11753_115039"/>
    </w:p>
    <w:p>
      <w:pPr>
        <w:pStyle w:val="BookText"/>
        <w:rPr/>
      </w:pPr>
      <w:bookmarkEnd w:id="658"/>
      <w:r>
        <w:rPr>
          <w:rFonts w:ascii="IRNazanin" w:hAnsi="IRNazanin" w:eastAsia="IRNazanin"/>
          <w:color w:val="111111"/>
          <w:sz w:val="28"/>
          <w:sz w:val="28"/>
          <w:szCs w:val="28"/>
          <w:rtl w:val="true"/>
          <w:lang w:bidi="fa-IR"/>
        </w:rPr>
        <w:t>فسخه، و نفوذ تصرّف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قدس سره استشکل فی آخر کلامه من جهة ثبوت إطلاق الدلیل</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9" w:name="__RefHeading___Toc9482960_73709187"/>
      <w:bookmarkStart w:id="660" w:name="_Toc249"/>
      <w:bookmarkEnd w:id="659"/>
      <w:r>
        <w:rPr>
          <w:rtl w:val="true"/>
        </w:rPr>
        <w:t>أدلّة هذا القول</w:t>
      </w:r>
      <w:bookmarkEnd w:id="660"/>
    </w:p>
    <w:p>
      <w:pPr>
        <w:pStyle w:val="BookText"/>
        <w:rPr/>
      </w:pPr>
      <w:r>
        <w:rPr>
          <w:rFonts w:ascii="IRNazanin" w:hAnsi="IRNazanin" w:eastAsia="IRNazanin"/>
          <w:color w:val="111111"/>
          <w:sz w:val="28"/>
          <w:sz w:val="28"/>
          <w:szCs w:val="28"/>
          <w:rtl w:val="true"/>
          <w:lang w:bidi="fa-IR"/>
        </w:rPr>
        <w:t>و یمکن أن یستدلّ لإثبات 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قدس سره من أنّ الإجارة وقعت من أهلها فی محلّها، و من ادّعی أنّ له الفسخ بعد بلوغه فعلیه الدلالة</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الإجارة عقد لازم بحقّ الولایة، فلم تبطل بالبلوغ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ولیّاً حین تصرّف للمصلحة، فیلزم کما لو زوّجه ثمّ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الصحّة قبل البلوغ و الرشد</w:t>
      </w:r>
      <w:r>
        <w:rPr>
          <w:rStyle w:val="FootnoteAnchor"/>
          <w:rtl w:val="true"/>
        </w:rPr>
        <w:footnoteReference w:id="1905"/>
      </w:r>
      <w:r>
        <w:rPr>
          <w:rFonts w:ascii="IRNazanin" w:hAnsi="IRNazanin" w:eastAsia="IRNazanin"/>
          <w:color w:val="111111"/>
          <w:sz w:val="28"/>
          <w:sz w:val="28"/>
          <w:szCs w:val="28"/>
          <w:rtl w:val="true"/>
          <w:lang w:bidi="fa-IR"/>
        </w:rPr>
        <w:t>، و ما قاله الفقیه الرشتی فی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 کما تری لا ینبغی الالتفات إلیه</w:t>
      </w:r>
      <w:r>
        <w:rPr>
          <w:rStyle w:val="FootnoteAnchor"/>
          <w:rtl w:val="true"/>
        </w:rPr>
        <w:footnoteReference w:id="1906"/>
      </w:r>
      <w:r>
        <w:rPr>
          <w:rFonts w:ascii="Amiri" w:hAnsi="Amiri" w:eastAsia="Amiri" w:cs="Amiri"/>
          <w:color w:val="111111"/>
          <w:sz w:val="28"/>
          <w:sz w:val="28"/>
          <w:szCs w:val="28"/>
          <w:rtl w:val="true"/>
          <w:lang w:bidi="ar-SA"/>
        </w:rPr>
        <w:t>، 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أدلّة الولایة أنّها قبل البلوغ مطلقة غیر مقیّدةٍ بشیءٍ غیر المصلحة، فله قبل البلوغ ما للمولّی علیه لو کان بالغاً مع مراعاة المصلحة، فیکون البلوغ غایةً للولایة لا قیداً لما فیه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السیّد الفقیه الگلپایگانی</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إطلاق لأدلّة الولایة علی نفس المولّی علیه بالنسبة إلی بعد البلوغ و لا أقل من الشکّ فی ذلک، و هو کافٍ لعدم صحة الإجارة فی ذلک الزمان</w:t>
      </w:r>
    </w:p>
    <w:p>
      <w:pPr>
        <w:pStyle w:val="BookText"/>
        <w:rPr/>
      </w:pPr>
      <w:r>
        <w:rPr>
          <w:rFonts w:ascii="IRNazanin" w:hAnsi="IRNazanin" w:eastAsia="IRNazanin"/>
          <w:color w:val="111111"/>
          <w:sz w:val="28"/>
          <w:sz w:val="28"/>
          <w:szCs w:val="28"/>
          <w:rtl w:val="true"/>
          <w:lang w:bidi="fa-IR"/>
        </w:rPr>
        <w:t>من رأسها، فلا یبقی محلّ للفسخ حتّی یقال بأنّه یجوز أم لا، و بهذا یردّ أیضاً الوجوه الأربعة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تبطل الإجارة من رأس، لا أنّ الزیادة تبطل فقط، و لعلّ الوجه فیه وجود الجهالة و الغرر الناشئ من احتمال بلوغه فی کلّ جزء من الأزمنة، فلا یعلم أیّ قدرٍ من الزمان واجد لشرط الصحّة، کما عن القواعد فیما لو استأجر عبداً یعلم موته قبل انقضاء الإجارة، فحکم ببطلان الإجارة من أصلها للجهالة</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w:t>
      </w:r>
      <w:r>
        <w:rPr>
          <w:rStyle w:val="FootnoteAnchor"/>
          <w:rtl w:val="true"/>
        </w:rPr>
        <w:footnoteReference w:id="1909"/>
      </w:r>
      <w:r>
        <w:rPr>
          <w:rFonts w:ascii="IRNazanin" w:hAnsi="IRNazanin" w:eastAsia="IRNazanin"/>
          <w:color w:val="111111"/>
          <w:sz w:val="28"/>
          <w:sz w:val="28"/>
          <w:szCs w:val="28"/>
          <w:rtl w:val="true"/>
          <w:lang w:bidi="fa-IR"/>
        </w:rPr>
        <w:t>و مراده قدس سره أنّه یصحّ للولیّ إجارة الصبیّ بحیث لا یکون زمان البلوغ داخلاً فی المدّة، و إلاّ فتبطل الإجارة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یحتمل أن یکون مراده قدس سره من البطلان کونها موقوفةً علی إجازة الصبیّ بعد البلوغ و الرشد، لا البطلان من رأس</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تردّد فیه فی الشرائع،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آجر الوصیّ صبیّاً مدّة یعلم بلوغه فیها بطلت فی المتیقّن، و صحّت فی المحتمل و لو اتّفق البلوغ فیه، و هل للصبیّ الفسخ بعد بلوغه؟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فیه تردّدٌ</w:t>
      </w:r>
      <w:r>
        <w:rPr>
          <w:rFonts w:eastAsia="IRNazanin" w:cs="IRNazanin"/>
          <w:color w:val="111111"/>
          <w:sz w:val="28"/>
          <w:szCs w:val="28"/>
          <w:rtl w:val="true"/>
          <w:lang w:bidi="fa-IR"/>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ثبوت الفسخ له أنّ زمان الولایة إنّما یکون قبل الکمال، فیکون نفوذ تصرّف الولیّ مقصوراً علی ذلک الزمان دون ما سواه، فلا ولایة له فی هذا الحال، و یکون التصرّف فیه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کون الفسخ له، أنّ الولیّ کان ولیّاً حین تصرّف للمصلحة فلزم، کما لو زوّجه ثمّ بلغ، و لأنّ الإجارة عقد لازم بحقّ الولایة، فلم تبطل بالبلوغ</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ففی هذه المسألة لو مات أو انتقلت الولایة إلی غیره لم تبطل الإجارة به؛ لأنّ تصرّف الولیّ بمنزلة تصرّف المالک بقیامه مقامه، و قد حقّق فی محلّه أنّ المالک إذا آجر ثمّ مات فالإجارة بحالها، و کذا لو آجره الولیّ مدّة ثمّ انتقلت الولایة بموت، أو طروّ مانع؛ فإنّها لا تبطل؛ لأنّ الولیّ نائب عن المولّی علیه، ففعله بمنزلة فعله، فلا یفسد بطروّ مانع کما لو فعله بنفسه</w:t>
      </w:r>
      <w:r>
        <w:rPr>
          <w:rStyle w:val="FootnoteAnchor"/>
          <w:rtl w:val="true"/>
        </w:rPr>
        <w:footnoteReference w:id="1912"/>
      </w:r>
      <w:bookmarkStart w:id="661" w:name="pg11753_115042"/>
    </w:p>
    <w:p>
      <w:pPr>
        <w:pStyle w:val="Heading4"/>
        <w:numPr>
          <w:ilvl w:val="3"/>
          <w:numId w:val="1"/>
        </w:numPr>
        <w:rPr/>
      </w:pPr>
      <w:bookmarkStart w:id="662" w:name="__RefHeading___Toc9482962_73709187"/>
      <w:bookmarkStart w:id="663" w:name="_Toc250"/>
      <w:bookmarkEnd w:id="661"/>
      <w:bookmarkEnd w:id="662"/>
      <w:r>
        <w:rPr>
          <w:rtl w:val="true"/>
        </w:rPr>
        <w:t>المبحث الثانی</w:t>
      </w:r>
      <w:r>
        <w:rPr>
          <w:rtl w:val="true"/>
        </w:rPr>
        <w:t xml:space="preserve">: </w:t>
      </w:r>
      <w:r>
        <w:rPr>
          <w:rtl w:val="true"/>
        </w:rPr>
        <w:t>إجارة الولیّ ما یملکه الصبیّ‌</w:t>
      </w:r>
      <w:bookmarkEnd w:id="663"/>
    </w:p>
    <w:p>
      <w:pPr>
        <w:pStyle w:val="Heading5"/>
        <w:numPr>
          <w:ilvl w:val="4"/>
          <w:numId w:val="1"/>
        </w:numPr>
        <w:rPr/>
      </w:pPr>
      <w:bookmarkStart w:id="664" w:name="__RefHeading___Toc9482964_73709187"/>
      <w:bookmarkStart w:id="665" w:name="_Toc251"/>
      <w:bookmarkEnd w:id="664"/>
      <w:r>
        <w:rPr>
          <w:rtl w:val="true"/>
        </w:rPr>
        <w:t>اشارة</w:t>
      </w:r>
      <w:bookmarkEnd w:id="665"/>
    </w:p>
    <w:p>
      <w:pPr>
        <w:pStyle w:val="BookText"/>
        <w:rPr/>
      </w:pPr>
      <w:r>
        <w:rPr>
          <w:rFonts w:ascii="IRNazanin" w:hAnsi="IRNazanin" w:eastAsia="IRNazanin"/>
          <w:color w:val="111111"/>
          <w:sz w:val="28"/>
          <w:sz w:val="28"/>
          <w:szCs w:val="28"/>
          <w:rtl w:val="true"/>
          <w:lang w:bidi="fa-IR"/>
        </w:rPr>
        <w:t>فی هذه المسألة أیضاً ثلاث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تقدّم ذکرها فی بیان إجارة نفس الصبیّ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الصورة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فی صحّة الإجارة واقعاً و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لو آجر أمواله مدّة یعلم ببلوغه و رشده فیها؛ فإنّه تصحّ الإجارة إلی وقت البلوغ و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بالإضافة إلی ما بعد زمان البلوغ ففیه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یبطل فی الزائد بعد البلوغ؛ بمعنی أنّه لا یکون لازماً بل یتوقّف علی إجازة الصبیّ و عدمها؛ لعدم کونه ولیّاً فیها، فتصرّفه حینئذٍ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آجر الوصیّ صبیّاً أو شیئاً من ماله مدّةً یتیقّن أنّه یبلغ قبل مضیّها، مثل أن یکون للصبیّ أربع عشرة سنةً فآجره ثلاث سنین؛ فإنّه یبلغ باستکمال خمس عشرة سنة؛ فإنّ السنة الواحدة یکون العقد صحیحاً، و ما زاد علیه یکون باطلاً</w:t>
      </w:r>
      <w:r>
        <w:rPr>
          <w:rFonts w:eastAsia="IRNazanin" w:cs="IRNazanin"/>
          <w:color w:val="111111"/>
          <w:sz w:val="28"/>
          <w:szCs w:val="28"/>
          <w:rtl w:val="true"/>
          <w:lang w:bidi="fa-IR"/>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التحریر</w:t>
      </w:r>
      <w:r>
        <w:rPr>
          <w:rStyle w:val="FootnoteAnchor"/>
          <w:rtl w:val="true"/>
        </w:rPr>
        <w:footnoteReference w:id="1914"/>
      </w:r>
      <w:r>
        <w:rPr>
          <w:rFonts w:ascii="IRNazanin" w:hAnsi="IRNazanin" w:eastAsia="IRNazanin"/>
          <w:color w:val="111111"/>
          <w:sz w:val="28"/>
          <w:sz w:val="28"/>
          <w:szCs w:val="28"/>
          <w:rtl w:val="true"/>
          <w:lang w:bidi="fa-IR"/>
        </w:rPr>
        <w:t>و التذکرة</w:t>
      </w:r>
      <w:r>
        <w:rPr>
          <w:rStyle w:val="FootnoteAnchor"/>
          <w:rtl w:val="true"/>
        </w:rPr>
        <w:footnoteReference w:id="1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الشهید الأوّل</w:t>
      </w:r>
      <w:r>
        <w:rPr>
          <w:rStyle w:val="FootnoteAnchor"/>
          <w:rtl w:val="true"/>
        </w:rPr>
        <w:footnoteReference w:id="1916"/>
      </w:r>
      <w:r>
        <w:rPr>
          <w:rFonts w:ascii="IRNazanin" w:hAnsi="IRNazanin" w:eastAsia="IRNazanin"/>
          <w:color w:val="111111"/>
          <w:sz w:val="28"/>
          <w:sz w:val="28"/>
          <w:szCs w:val="28"/>
          <w:rtl w:val="true"/>
          <w:lang w:bidi="fa-IR"/>
        </w:rPr>
        <w:t>و المحقّق الثانی</w:t>
      </w:r>
      <w:r>
        <w:rPr>
          <w:rStyle w:val="FootnoteAnchor"/>
          <w:rtl w:val="true"/>
        </w:rPr>
        <w:footnoteReference w:id="191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الأردبیلی</w:t>
      </w:r>
      <w:r>
        <w:rPr>
          <w:rStyle w:val="FootnoteAnchor"/>
          <w:rtl w:val="true"/>
        </w:rPr>
        <w:footnoteReference w:id="1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العروة مع تعلیقات عدّة من الفقهاء</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و أمّا أدلّة بطلان هذه الإجارة، فقد تقدّمت فی المقام الأوّل من الإجماع، و عدم عموم الأدلّة، و عدم المقتضی لجعل هذه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هنا هی أنّ المنافع المصادفة لزمان بلوغه ممّا یملکه الکبیر، و لا ولایة للولیّ إلاّ علی ما یملکه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الاصفهانی قدس سره قال فی دفع هذا الاستدلال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المنافع المستقبلة للدار و نحوها مملوکة لمالک العین فعلاً، و إنّما المتأخّر ذات المملوک، لا أنّ الملکیّة لتدرّجیّة المنافع لا بدّ من أن تکون مقارنة لها، لئلاّ یلزم ملک المعدوم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فتصرّف الولیّ إنّما هو فیما یملکه الصغیر، لا فیما یملکه فی زمان کبره، و المفروض أنّ الولیّ له ولایة التصرّف فی کلّ ما یملکه الصغیر فعلاً، فمقتضی القاعدة نفوذ تصرّفه مطلقاً و إن کان بتملیک المنافع المصادفة بذاتها لزمان البلوغ</w:t>
      </w:r>
      <w:r>
        <w:rPr>
          <w:rStyle w:val="FootnoteAnchor"/>
          <w:rtl w:val="true"/>
        </w:rPr>
        <w:footnoteReference w:id="1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قدس سره رجع عن هذا الدلیل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مقتضی للولایة علی مثل هذا التصرّف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فلا اعتبار به؛ لکون المسألة ذات 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الأدلّة، فلا تنهض فی قبال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لو فرض أنّ فی إجارة الولیّ المدّة الزائدة علی سنّ البلوغ مصلحة للطفل قبل بلوغه، مثل أن یکون إدخال زمان البلوغ من مقدّمات حفظ ماله، فقد صرّح غیر واحدٍ بصحّة الإجارة و نفوذها علی الصبیّ بعد البلوغ</w:t>
      </w:r>
      <w:r>
        <w:rPr>
          <w:rStyle w:val="FootnoteAnchor"/>
          <w:rtl w:val="true"/>
        </w:rPr>
        <w:footnoteReference w:id="1921"/>
      </w:r>
      <w:r>
        <w:rPr>
          <w:rFonts w:ascii="IRNazanin" w:hAnsi="IRNazanin" w:eastAsia="IRNazanin"/>
          <w:color w:val="111111"/>
          <w:sz w:val="28"/>
          <w:sz w:val="28"/>
          <w:szCs w:val="28"/>
          <w:rtl w:val="true"/>
          <w:lang w:bidi="fa-IR"/>
        </w:rPr>
        <w:t>بمقتضی إطلاق الآیة الکریمة، فلا وجه لما استدلّ به القائلون بالبطلان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صحّة الإجارة و نفوذها، و أنّه لیس للصبیّ الفسخ عند ما یبلغ، و هو</w:t>
      </w:r>
    </w:p>
    <w:p>
      <w:pPr>
        <w:pStyle w:val="BookText"/>
        <w:rPr/>
      </w:pPr>
      <w:r>
        <w:rPr>
          <w:rFonts w:ascii="IRNazanin" w:hAnsi="IRNazanin" w:eastAsia="IRNazanin"/>
          <w:color w:val="111111"/>
          <w:sz w:val="28"/>
          <w:sz w:val="28"/>
          <w:szCs w:val="28"/>
          <w:rtl w:val="true"/>
          <w:lang w:bidi="fa-IR"/>
        </w:rPr>
        <w:t>مقتضی إطلاق کلام الشیخ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آجر الأب أو الوصیّ الصبیّ أو شیئاً من ماله مدّةً، صحّت الإجارة بلا خلاف، فإن بلغ الصبی قبل انقضاء المدّة کان له ما بقی، و لم یکن للصبی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قدس سره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علی عین الصبیّ أو علی ماله وقع صحیحاً بلا خلاف، فمن ادّعی أنّ له الفسخ بعد بلوغه فعلیه الدلالة</w:t>
      </w:r>
      <w:r>
        <w:rPr>
          <w:rFonts w:eastAsia="IRNazanin" w:cs="IRNazanin"/>
          <w:color w:val="111111"/>
          <w:sz w:val="28"/>
          <w:szCs w:val="28"/>
          <w:rtl w:val="true"/>
          <w:lang w:bidi="fa-IR"/>
        </w:rPr>
        <w:t>»</w:t>
      </w:r>
      <w:r>
        <w:rPr>
          <w:rStyle w:val="FootnoteAnchor"/>
          <w:rtl w:val="true"/>
        </w:rPr>
        <w:footnoteReference w:id="1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فی ذلک فی السرائر</w:t>
      </w:r>
      <w:r>
        <w:rPr>
          <w:rStyle w:val="FootnoteAnchor"/>
          <w:rtl w:val="true"/>
        </w:rPr>
        <w:footnoteReference w:id="1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المحقّق النائینی</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و عدّة من فقهاء العصر</w:t>
      </w:r>
      <w:r>
        <w:rPr>
          <w:rStyle w:val="FootnoteAnchor"/>
          <w:rtl w:val="true"/>
        </w:rPr>
        <w:footnoteReference w:id="1925"/>
      </w:r>
      <w:r>
        <w:rPr>
          <w:rFonts w:ascii="IRNazanin" w:hAnsi="IRNazanin" w:eastAsia="IRNazanin"/>
          <w:color w:val="111111"/>
          <w:sz w:val="28"/>
          <w:sz w:val="28"/>
          <w:szCs w:val="28"/>
          <w:rtl w:val="true"/>
          <w:lang w:bidi="fa-IR"/>
        </w:rPr>
        <w:t>و الدلیل علی ذلک إطلاق أدلّة الولایة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الفقیه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بالنسبة إلی الأموال، فلا ینبغی الإشکال فی النفوذ، و أنّه لیس للصبی الفسخ عند ما بلغ، و ذلک للإطلاق فی أدلّة الولایة؛ فإنّها و إن کانت مقیّدةً بحال الصغر، فلا ولایة للولیّ بعد ما بلغ الصبیّ، إلاّ أنّ متعلّق هذه الولایة مطلقٌ یشمل حال ما بعد البلوغ، کما قبله بمناطٍ واحدٍ؛ و هو رعایة الغبطة و المصلحة</w:t>
      </w:r>
      <w:r>
        <w:rPr>
          <w:rStyle w:val="FootnoteAnchor"/>
          <w:rtl w:val="true"/>
        </w:rPr>
        <w:footnoteReference w:id="1926"/>
      </w:r>
      <w:r>
        <w:rPr>
          <w:rFonts w:ascii="IRNazanin" w:hAnsi="IRNazanin" w:eastAsia="IRNazanin"/>
          <w:color w:val="111111"/>
          <w:sz w:val="28"/>
          <w:sz w:val="28"/>
          <w:szCs w:val="28"/>
          <w:rtl w:val="true"/>
          <w:lang w:bidi="fa-IR"/>
        </w:rPr>
        <w:t>، و الولیّ إنّما جعل ولیّاً لذلک، فکما أنّ له البیع و إخراج المال عیناً و منفعةً عن ملکه إلی الأبد إذا اقتضته المصلحة، فکذلک له أن یبقی العین و یُخرج المنفعة خاصّةً لمدّة قصیرة أو طویلة حسبما یجده من المصلحة و إن عمّت ما</w:t>
      </w:r>
    </w:p>
    <w:p>
      <w:pPr>
        <w:pStyle w:val="BookText"/>
        <w:rPr/>
      </w:pPr>
      <w:r>
        <w:rPr>
          <w:rFonts w:ascii="IRNazanin" w:hAnsi="IRNazanin" w:eastAsia="IRNazanin"/>
          <w:color w:val="111111"/>
          <w:sz w:val="28"/>
          <w:sz w:val="28"/>
          <w:szCs w:val="28"/>
          <w:rtl w:val="true"/>
          <w:lang w:bidi="fa-IR"/>
        </w:rPr>
        <w:t>بعد البلوغ</w:t>
      </w:r>
      <w:r>
        <w:rPr>
          <w:rFonts w:eastAsia="IRNazanin" w:cs="IRNazanin"/>
          <w:color w:val="111111"/>
          <w:sz w:val="28"/>
          <w:szCs w:val="28"/>
          <w:rtl w:val="true"/>
          <w:lang w:bidi="fa-IR"/>
        </w:rPr>
        <w:t>»</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إذا آجر الولیّ مال الصبیّ مدّةً لا یتیقّن أنّه یبلغ قبل مضیّها، مثل أن یؤجره سنةً أو سنتین و له عشر سنین؛ فإنّه یجوز أن یبلغ بالاحتلام قبل مضیّ الإجارة، فتصحّ الإجارة بلا خلاف کما فی الخلاف</w:t>
      </w:r>
      <w:r>
        <w:rPr>
          <w:rStyle w:val="FootnoteAnchor"/>
          <w:rtl w:val="true"/>
        </w:rPr>
        <w:footnoteReference w:id="1928"/>
      </w:r>
      <w:r>
        <w:rPr>
          <w:rFonts w:ascii="IRNazanin" w:hAnsi="IRNazanin" w:eastAsia="IRNazanin"/>
          <w:color w:val="111111"/>
          <w:sz w:val="28"/>
          <w:sz w:val="28"/>
          <w:szCs w:val="28"/>
          <w:rtl w:val="true"/>
          <w:lang w:bidi="fa-IR"/>
        </w:rPr>
        <w:t>؛ بمعنی الحکم بصحّته ظاهراً لتحقّق الولایة المقتضیة لصحّة ذلک</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لإثبات حکم هذه الصورة ما قلناه فی الصورة الثالثة من إجارة نفس الصبیّ، و لا تفاوت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البلوغ و الرشد فی هذا الزمان المحتمل، فهل للصبیّ الفسخ؛ بمعنی عدم إجازة العقد الفضولی المفروض صحّته التی هی القابلة لترتیب الأثر؟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 بالبطلان؛ بمعنی أنّ الصبیّ یتخیّر فیها بعد البلوغ بین الإجازة و عدمها، کما اختاره الشیخ فی المبسوط‌</w:t>
      </w:r>
      <w:r>
        <w:rPr>
          <w:rStyle w:val="FootnoteAnchor"/>
          <w:rtl w:val="true"/>
        </w:rPr>
        <w:footnoteReference w:id="1930"/>
      </w:r>
      <w:r>
        <w:rPr>
          <w:rFonts w:ascii="IRNazanin" w:hAnsi="IRNazanin" w:eastAsia="IRNazanin"/>
          <w:color w:val="111111"/>
          <w:sz w:val="28"/>
          <w:sz w:val="28"/>
          <w:szCs w:val="28"/>
          <w:rtl w:val="true"/>
          <w:lang w:bidi="fa-IR"/>
        </w:rPr>
        <w:t>، و العلاّمة فی أکثر کتبه</w:t>
      </w:r>
      <w:r>
        <w:rPr>
          <w:rStyle w:val="FootnoteAnchor"/>
          <w:rtl w:val="true"/>
        </w:rPr>
        <w:footnoteReference w:id="1931"/>
      </w:r>
      <w:r>
        <w:rPr>
          <w:rFonts w:ascii="IRNazanin" w:hAnsi="IRNazanin" w:eastAsia="IRNazanin"/>
          <w:color w:val="111111"/>
          <w:sz w:val="28"/>
          <w:sz w:val="28"/>
          <w:szCs w:val="28"/>
          <w:rtl w:val="true"/>
          <w:lang w:bidi="fa-IR"/>
        </w:rPr>
        <w:t>، و الشهید فی قواعده</w:t>
      </w:r>
      <w:r>
        <w:rPr>
          <w:rStyle w:val="FootnoteAnchor"/>
          <w:rtl w:val="true"/>
        </w:rPr>
        <w:footnoteReference w:id="1932"/>
      </w:r>
      <w:r>
        <w:rPr>
          <w:rFonts w:ascii="IRNazanin" w:hAnsi="IRNazanin" w:eastAsia="IRNazanin"/>
          <w:color w:val="111111"/>
          <w:sz w:val="28"/>
          <w:sz w:val="28"/>
          <w:szCs w:val="28"/>
          <w:rtl w:val="true"/>
          <w:lang w:bidi="fa-IR"/>
        </w:rPr>
        <w:t>، و المحقّق الثانی</w:t>
      </w:r>
      <w:r>
        <w:rPr>
          <w:rStyle w:val="FootnoteAnchor"/>
          <w:rtl w:val="true"/>
        </w:rPr>
        <w:footnoteReference w:id="1933"/>
      </w:r>
      <w:r>
        <w:rPr>
          <w:rFonts w:ascii="IRNazanin" w:hAnsi="IRNazanin" w:eastAsia="IRNazanin"/>
          <w:color w:val="111111"/>
          <w:sz w:val="28"/>
          <w:sz w:val="28"/>
          <w:szCs w:val="28"/>
          <w:rtl w:val="true"/>
          <w:lang w:bidi="fa-IR"/>
        </w:rPr>
        <w:t>و غیرهم</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آخر بأنّه لا یکون له الفسخ بعد بلوغه و رشده</w:t>
      </w:r>
      <w:r>
        <w:rPr>
          <w:rFonts w:eastAsia="IRNazanin" w:cs="IRNazanin"/>
          <w:color w:val="111111"/>
          <w:sz w:val="28"/>
          <w:szCs w:val="28"/>
          <w:rtl w:val="true"/>
          <w:lang w:bidi="fa-IR"/>
        </w:rPr>
        <w:t>.</w:t>
      </w:r>
      <w:bookmarkStart w:id="666" w:name="pg11753_115046"/>
    </w:p>
    <w:p>
      <w:pPr>
        <w:pStyle w:val="BookText"/>
        <w:rPr/>
      </w:pPr>
      <w:bookmarkEnd w:id="666"/>
      <w:r>
        <w:rPr>
          <w:rFonts w:ascii="IRNazanin" w:hAnsi="IRNazanin" w:eastAsia="IRNazanin"/>
          <w:color w:val="111111"/>
          <w:sz w:val="28"/>
          <w:sz w:val="28"/>
          <w:szCs w:val="28"/>
          <w:rtl w:val="true"/>
          <w:lang w:bidi="fa-IR"/>
        </w:rPr>
        <w:t>قال به الشیخ فی الخلاف</w:t>
      </w:r>
      <w:r>
        <w:rPr>
          <w:rStyle w:val="FootnoteAnchor"/>
          <w:rtl w:val="true"/>
        </w:rPr>
        <w:footnoteReference w:id="1935"/>
      </w:r>
      <w:r>
        <w:rPr>
          <w:rFonts w:ascii="IRNazanin" w:hAnsi="IRNazanin" w:eastAsia="IRNazanin"/>
          <w:color w:val="111111"/>
          <w:sz w:val="28"/>
          <w:sz w:val="28"/>
          <w:szCs w:val="28"/>
          <w:rtl w:val="true"/>
          <w:lang w:bidi="fa-IR"/>
        </w:rPr>
        <w:t>و تبعه ابن إدریس</w:t>
      </w:r>
      <w:r>
        <w:rPr>
          <w:rStyle w:val="FootnoteAnchor"/>
          <w:rtl w:val="true"/>
        </w:rPr>
        <w:footnoteReference w:id="1936"/>
      </w:r>
      <w:r>
        <w:rPr>
          <w:rFonts w:ascii="IRNazanin" w:hAnsi="IRNazanin" w:eastAsia="IRNazanin"/>
          <w:color w:val="111111"/>
          <w:sz w:val="28"/>
          <w:sz w:val="28"/>
          <w:szCs w:val="28"/>
          <w:rtl w:val="true"/>
          <w:lang w:bidi="fa-IR"/>
        </w:rPr>
        <w:t>و المحقّق النائینی</w:t>
      </w:r>
      <w:r>
        <w:rPr>
          <w:rStyle w:val="FootnoteAnchor"/>
          <w:rtl w:val="true"/>
        </w:rPr>
        <w:footnoteReference w:id="1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بعض فقهاء العصر</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إثبات القولین فی هذه المسألة أیضاً ما قلناه فی تقریر الصورة الثالثة من إجارة نفس الصبیّ، فراجع</w:t>
      </w:r>
      <w:r>
        <w:rPr>
          <w:rFonts w:eastAsia="IRNazanin" w:cs="IRNazanin"/>
          <w:color w:val="111111"/>
          <w:sz w:val="28"/>
          <w:szCs w:val="28"/>
          <w:rtl w:val="true"/>
          <w:lang w:bidi="fa-IR"/>
        </w:rPr>
        <w:t>.</w:t>
      </w:r>
    </w:p>
    <w:p>
      <w:pPr>
        <w:pStyle w:val="Heading5"/>
        <w:numPr>
          <w:ilvl w:val="4"/>
          <w:numId w:val="1"/>
        </w:numPr>
        <w:rPr/>
      </w:pPr>
      <w:bookmarkStart w:id="667" w:name="__RefHeading___Toc9482966_73709187"/>
      <w:bookmarkStart w:id="668" w:name="_Toc252"/>
      <w:bookmarkEnd w:id="667"/>
      <w:r>
        <w:rPr>
          <w:rtl w:val="true"/>
        </w:rPr>
        <w:t>فرع</w:t>
      </w:r>
      <w:bookmarkEnd w:id="668"/>
    </w:p>
    <w:p>
      <w:pPr>
        <w:pStyle w:val="BookText"/>
        <w:rPr/>
      </w:pPr>
      <w:r>
        <w:rPr>
          <w:rFonts w:ascii="IRNazanin" w:hAnsi="IRNazanin" w:eastAsia="IRNazanin"/>
          <w:color w:val="111111"/>
          <w:sz w:val="28"/>
          <w:sz w:val="28"/>
          <w:szCs w:val="28"/>
          <w:rtl w:val="true"/>
          <w:lang w:bidi="fa-IR"/>
        </w:rPr>
        <w:t>إنّ القائلین بعدم صحّة إجارة الولیّ مال الصبیّ أو نفسه مدّةً یعلم أو یحتمل البلوغ فیها، استثنوا صورة واحدة عن ذلک؛ و هی ما إذا کان ذلک هو مقتضی المصلحة اللازمة المراعاة، بحیث کانت إجارته مقتصرةً علی عهد الصغر خالیةً من المصلحة، بل متضمّنةً للمفسدة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ضمّ شیءٍ من زمان البلوغ ففیه المصلحة الملزمة، فحینئذٍ تکون الإجارة نافذةً و لازمة لیس له فسخها بعد البلوغ</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السیّد الخوئی رحمه الله فی الردّ علیهم،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غیر واضح؛ نظراً إلی أنّ مجرّد وجود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بالغة حدّ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کافیة فی ثبوت الولایة ما لم یقم علیها دلیل من الخارج، و المفروض قصور الدلیل و عدم شموله لما بعد انقضاء عهد الصبا</w:t>
      </w:r>
      <w:r>
        <w:rPr>
          <w:rFonts w:eastAsia="IRNazanin" w:cs="IRNazanin"/>
          <w:color w:val="111111"/>
          <w:sz w:val="28"/>
          <w:szCs w:val="28"/>
          <w:rtl w:val="true"/>
          <w:lang w:bidi="fa-IR"/>
        </w:rPr>
        <w:t>.</w:t>
      </w:r>
      <w:bookmarkStart w:id="669" w:name="pg11753_115047"/>
    </w:p>
    <w:p>
      <w:pPr>
        <w:pStyle w:val="BookText"/>
        <w:rPr/>
      </w:pPr>
      <w:bookmarkEnd w:id="669"/>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بمجرّدها لا تجوّز التصرّف فی سلطان الغیر ما لم تثبت الولایة علیه بدلیل، و المفروض انتفاؤه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بلغت المصلحة الملزمة حدّ الوجوب؛ مثل ما لو توقّف حفظ حیاة الصبیّ علی إجارته مدّة تزید علی زمان بلوغه، بحیث لولاه لکان معرضاً للهلاک، اندرج ذلک فی الاُمور الحسبیّة و رجعت الولایة حینئذٍ إلی الحاکم الشرعی، لا إلی الولیّ أو الوصیّ من غیر فرقٍ بین الصغیر و الکبیر</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9482968_73709187"/>
      <w:bookmarkStart w:id="671" w:name="_Toc253"/>
      <w:bookmarkEnd w:id="670"/>
      <w:r>
        <w:rPr>
          <w:rtl w:val="true"/>
        </w:rPr>
        <w:t>إجارة الولیّ نفس الصبیّ أو ماله عند فقهاء أهل السنّة</w:t>
      </w:r>
      <w:r>
        <w:rPr>
          <w:rtl w:val="true"/>
        </w:rPr>
        <w:t>:</w:t>
      </w:r>
      <w:bookmarkEnd w:id="671"/>
    </w:p>
    <w:p>
      <w:pPr>
        <w:pStyle w:val="BookText"/>
        <w:rPr/>
      </w:pPr>
      <w:r>
        <w:rPr>
          <w:rFonts w:ascii="IRNazanin" w:hAnsi="IRNazanin" w:eastAsia="IRNazanin"/>
          <w:color w:val="111111"/>
          <w:sz w:val="28"/>
          <w:sz w:val="28"/>
          <w:szCs w:val="28"/>
          <w:rtl w:val="true"/>
          <w:lang w:bidi="fa-IR"/>
        </w:rPr>
        <w:t xml:space="preserve">ذهب فقهاء أهل السنّة أیضاً إلی أنّه یجوز للولیّ إجارة الطفل أو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کان أو قیّماً إذا رأی المصلحة فیها، فنذکر شطراً من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جاء فی الوجیز للغزالی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آجر الولیّ الصبیّ أو دابّته مدّةً تجاوز البلوغ لم یجزئ، فإن قصرت فبلغ بالاحتلام علی قربٍ فالأقیس أنّه لا ینفسخ، إذ بنی العقد له علی المصلحة</w:t>
      </w:r>
      <w:r>
        <w:rPr>
          <w:rFonts w:eastAsia="IRNazanin" w:cs="IRNazanin"/>
          <w:color w:val="111111"/>
          <w:sz w:val="28"/>
          <w:szCs w:val="28"/>
          <w:rtl w:val="true"/>
          <w:lang w:bidi="fa-IR"/>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العمرانی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أجّر رجل صبیّاً له علیه ولایة، أو أجّر ماله مدّةً، ثمّ بلغ الصبیّ قبل انقضاء المدّة، فهل تنفسخ الإجارة؟ اختلف أصحابنا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تنفسخ، و هو اختیار الشیخ أبی إسحاق</w:t>
      </w:r>
      <w:r>
        <w:rPr>
          <w:rStyle w:val="FootnoteAnchor"/>
          <w:rtl w:val="true"/>
        </w:rPr>
        <w:footnoteReference w:id="1942"/>
      </w:r>
      <w:r>
        <w:rPr>
          <w:rFonts w:ascii="IRNazanin" w:hAnsi="IRNazanin" w:eastAsia="IRNazanin"/>
          <w:color w:val="111111"/>
          <w:sz w:val="28"/>
          <w:sz w:val="28"/>
          <w:szCs w:val="28"/>
          <w:rtl w:val="true"/>
          <w:lang w:bidi="fa-IR"/>
        </w:rPr>
        <w:t>؛ لأنّه عقده فی حال ولایته علیه، فصار کما لو زوّجه ثمّ بلغ</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تنفسخ؛ لأنّه بان بالبلوغ أنّ تصرّف الولیّ علیه إلی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الخطیب الشربینی</w:t>
      </w:r>
      <w:r>
        <w:rPr>
          <w:rStyle w:val="FootnoteAnchor"/>
          <w:rtl w:val="true"/>
        </w:rPr>
        <w:footnoteReference w:id="1943"/>
      </w:r>
      <w:r>
        <w:rPr>
          <w:rFonts w:ascii="IRNazanin" w:hAnsi="IRNazanin" w:eastAsia="IRNazanin"/>
          <w:color w:val="111111"/>
          <w:sz w:val="28"/>
          <w:sz w:val="28"/>
          <w:szCs w:val="28"/>
          <w:rtl w:val="true"/>
          <w:lang w:bidi="fa-IR"/>
        </w:rPr>
        <w:t>و النووی</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فیما عقد علیه الولیّ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تحقّق أنّ الصبیّ یبلغ قبل انقضائها،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أربع عشر سنة، فأجره سنتین؛ فإنّه لا یصحّ فی السنة الأخیرة؛ لأنّه یتحقّق أنّه یبلغ بخمس عشرة سنة، و هل یصحّ فی الاُولی؟ علی قولین فی تفریق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مدّةً لا یتحقّق بلوغه فیها،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یؤجّره و له أربع عشرة سنة، فبلغ فیها بالاحتلام، لم تنفسخ الإجارة، و کانت لازمةً له</w:t>
      </w:r>
      <w:r>
        <w:rPr>
          <w:rFonts w:eastAsia="IRNazanin" w:cs="IRNazanin"/>
          <w:color w:val="111111"/>
          <w:sz w:val="28"/>
          <w:szCs w:val="28"/>
          <w:rtl w:val="true"/>
          <w:lang w:bidi="fa-IR"/>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حلیة العلماء</w:t>
      </w:r>
      <w:r>
        <w:rPr>
          <w:rStyle w:val="FootnoteAnchor"/>
          <w:rtl w:val="true"/>
        </w:rPr>
        <w:footnoteReference w:id="1946"/>
      </w:r>
      <w:r>
        <w:rPr>
          <w:rFonts w:ascii="IRNazanin" w:hAnsi="IRNazanin" w:eastAsia="IRNazanin"/>
          <w:color w:val="111111"/>
          <w:sz w:val="28"/>
          <w:sz w:val="28"/>
          <w:szCs w:val="28"/>
          <w:rtl w:val="true"/>
          <w:lang w:bidi="fa-IR"/>
        </w:rPr>
        <w:t>و التهذیب</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قال الکاسانی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آجر نفسه أو ماله ثمّ بلغ الصبیّ فی المدّة، فله الخیار فی إجارة النفس إن شاء مضی علیها و إن شاء أبطلها، و لا خیار له فی إجارة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إجارة مال الصغیر تصرّف فی ماله علی وجه النظر، فیقوم الأب فیه مقامه، فلا یثبت له خیار الإبطال بالبلوغ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إجارة نفسه، فتصرّف علی نفسه بالإضرار و کان ینبغی أن لا یملکه الأب، إلاّ أنّه ملکها من حیث إنّها نوع ریاضة و تهذیب للصغیر و تأدیب له، و الأب یلی تأدیب الصغیر، فولیها علی أنّها تأدیب، فإذا بلغ فقد انقطعت ولایة التأدیب، و هو الفرق</w:t>
      </w:r>
      <w:r>
        <w:rPr>
          <w:rFonts w:eastAsia="IRNazanin" w:cs="IRNazanin"/>
          <w:color w:val="111111"/>
          <w:sz w:val="28"/>
          <w:szCs w:val="28"/>
          <w:rtl w:val="true"/>
          <w:lang w:bidi="fa-IR"/>
        </w:rPr>
        <w:t>»</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مختصر اختلاف العلماء</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جاء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أجر الولیّ الیتیمَ أو السیّد العبدَ ثمّ بلغ الصبیّ و عتق العبد لم تنفسخ الإجارة، و یحتمل أن تنفسخ</w:t>
      </w:r>
      <w:r>
        <w:rPr>
          <w:rFonts w:eastAsia="IRNazanin" w:cs="IRNazanin"/>
          <w:color w:val="111111"/>
          <w:sz w:val="28"/>
          <w:szCs w:val="28"/>
          <w:rtl w:val="true"/>
          <w:lang w:bidi="fa-IR"/>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المرداوی فی شرحه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المذهب، و علیه الأصحاب و قطع به کثیر منهم</w:t>
      </w:r>
      <w:r>
        <w:rPr>
          <w:rFonts w:eastAsia="IRNazanin" w:cs="IRNazanin"/>
          <w:color w:val="111111"/>
          <w:sz w:val="28"/>
          <w:szCs w:val="28"/>
          <w:rtl w:val="true"/>
          <w:lang w:bidi="fa-IR"/>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المغنی و الشرح الکبیر، و بیّن وجه الاحتمالین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عقد لازم عَقَده بحقّ الولایة، فلم یبطل بالبلوغ کما لو باع داره أو زوّجه، و یحتمل أن تبطل الإجارة فیما بعد زوال الولایة علی ما ذکرنا فی إجارة الوقف، و یحتمل أن یفرّق بین ما إذا آجره مدّةً یتحقّق فیها بلوغه فی أثنائها، مثل أن آجره عامین و هو ابن أربع عشرة، فتبطل فی السادس عشر؛ لأنّنا نتیقّن أنّه آجره فیها بعد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تصحّ فی الخامس عشر؟ علی وجهین، بناءً علی تفریق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لم یتحقّق بلوغه فی أثنائها، کالذی آجره فی الخامس عشر وحده فبلغ فی أثنائه، فیکون فیه ما قد ذکرناه فی صدر الفصل</w:t>
      </w:r>
      <w:r>
        <w:rPr>
          <w:rFonts w:eastAsia="IRNazanin" w:cs="IRNazanin"/>
          <w:color w:val="111111"/>
          <w:sz w:val="28"/>
          <w:szCs w:val="28"/>
          <w:rtl w:val="true"/>
          <w:lang w:bidi="fa-IR"/>
        </w:rPr>
        <w:t>»</w:t>
      </w:r>
      <w:r>
        <w:rPr>
          <w:rStyle w:val="FootnoteAnchor"/>
          <w:rtl w:val="true"/>
        </w:rPr>
        <w:footnoteReference w:id="1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المبدع</w:t>
      </w:r>
      <w:r>
        <w:rPr>
          <w:rStyle w:val="FootnoteAnchor"/>
          <w:rtl w:val="true"/>
        </w:rPr>
        <w:footnoteReference w:id="1953"/>
      </w:r>
    </w:p>
    <w:p>
      <w:pPr>
        <w:pStyle w:val="BookText"/>
        <w:rPr/>
      </w:pPr>
      <w:r>
        <w:rPr>
          <w:rFonts w:ascii="IRNazanin" w:hAnsi="IRNazanin" w:eastAsia="IRNazanin"/>
          <w:color w:val="111111"/>
          <w:sz w:val="28"/>
          <w:sz w:val="28"/>
          <w:szCs w:val="28"/>
          <w:rtl w:val="true"/>
          <w:lang w:bidi="fa-IR"/>
        </w:rPr>
        <w:t>و منتهی الإرادات</w:t>
      </w:r>
      <w:r>
        <w:rPr>
          <w:rStyle w:val="FootnoteAnchor"/>
          <w:rtl w:val="true"/>
        </w:rPr>
        <w:footnoteReference w:id="1954"/>
      </w:r>
      <w:r>
        <w:rPr>
          <w:rFonts w:ascii="IRNazanin" w:hAnsi="IRNazanin" w:eastAsia="IRNazanin"/>
          <w:color w:val="111111"/>
          <w:sz w:val="28"/>
          <w:sz w:val="28"/>
          <w:szCs w:val="28"/>
          <w:rtl w:val="true"/>
          <w:lang w:bidi="fa-IR"/>
        </w:rPr>
        <w:t>و التوضیح</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محلّ الخلاف فیما إذا لم یعلم بلوغه عند فراغها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آجره مدّةً یعلم بلوغه فیها، فإنّها تنفسخ علی الصحیح من المذهب</w:t>
      </w:r>
      <w:r>
        <w:rPr>
          <w:rFonts w:eastAsia="IRNazanin" w:cs="IRNazanin"/>
          <w:color w:val="111111"/>
          <w:sz w:val="28"/>
          <w:szCs w:val="28"/>
          <w:rtl w:val="true"/>
          <w:lang w:bidi="fa-IR"/>
        </w:rPr>
        <w:t>»</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و فی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الولیّ أو عزل و انتقلت عنه الولایة إلی غیره، لم یبطل عقده؛ لأنّه تصرّف، و هو من أهل التصرّف فیما له الولایة علیه، فلم یبطل تصرّفه</w:t>
      </w:r>
      <w:r>
        <w:rPr>
          <w:rFonts w:eastAsia="IRNazanin" w:cs="IRNazanin"/>
          <w:color w:val="111111"/>
          <w:sz w:val="28"/>
          <w:szCs w:val="28"/>
          <w:rtl w:val="true"/>
          <w:lang w:bidi="fa-IR"/>
        </w:rPr>
        <w:t>»</w:t>
      </w:r>
      <w:r>
        <w:rPr>
          <w:rStyle w:val="FootnoteAnchor"/>
          <w:rtl w:val="true"/>
        </w:rPr>
        <w:footnoteReference w:id="1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المغنی و الشرح الکبیر</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جاء فی مختصر 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بِرشد صغیر عقد علیه أو علی سِلعِهِ ولی، إلاّ لظنّ عدم بلوغه و بقی کالشهر</w:t>
      </w:r>
      <w:r>
        <w:rPr>
          <w:rFonts w:eastAsia="IRNazanin" w:cs="IRNazanin"/>
          <w:color w:val="111111"/>
          <w:sz w:val="28"/>
          <w:szCs w:val="28"/>
          <w:rtl w:val="true"/>
          <w:lang w:bidi="fa-IR"/>
        </w:rPr>
        <w:t>»</w:t>
      </w:r>
      <w:r>
        <w:rPr>
          <w:rStyle w:val="FootnoteAnchor"/>
          <w:rtl w:val="true"/>
        </w:rPr>
        <w:footnoteReference w:id="1959"/>
      </w:r>
      <w:r>
        <w:rPr>
          <w:rFonts w:ascii="IRNazanin" w:hAnsi="IRNazanin" w:eastAsia="IRNazanin"/>
          <w:color w:val="111111"/>
          <w:sz w:val="28"/>
          <w:sz w:val="28"/>
          <w:szCs w:val="28"/>
          <w:rtl w:val="true"/>
          <w:lang w:bidi="fa-IR"/>
        </w:rPr>
        <w:t>، أی کذلک تنفسخ الإجارة برشد الصبیّ إذا آجره ولیّه أو آجر سلعته کداره أو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یظنّ عدم بلوغه قبل انقضاء المدّة و قد بقی من مدّة الإجارة شهر و أیام یسیرة، فیلزمه بقیّة المدّة بالنظر للعقد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الولیّ الصبیّ مدّة فبلغ قبل انقضائها، انفسخت الإجارة عنه و لم یلزمه باقی المدّة، إلاّ أن یکون الشیء الخفیف نحو الأیّام و الشهر و ما أشبهه فیلزمه ذلک</w:t>
      </w:r>
      <w:r>
        <w:rPr>
          <w:rStyle w:val="FootnoteAnchor"/>
          <w:rtl w:val="true"/>
        </w:rPr>
        <w:footnoteReference w:id="1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إجارة نفس الصبیّ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أجر الولیّ سلعته کداره و دوابّه، أو رقیقه و عقاره سنین، فاحتلم بعد مضیّ سنة، فإن کان یظنّ أنّ الصبیّ لا یحتلم فی مثل تلک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ظنّ الناس أنّه لا یحتلم فی مثل تلک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فاحتلم بعد مضیّ سنة، فلا فسخ له و جاز ذلک علیه؛ لأنّ الوصیّ إنّما صنع من ذلک ما یجوز له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عقد علیه هذه الأشیاء و هو یعلم أنّ الصبیّ یحتلم قبل ذلک، لا یجوز ذلک علیه</w:t>
      </w:r>
      <w:r>
        <w:rPr>
          <w:rStyle w:val="FootnoteAnchor"/>
          <w:rtl w:val="true"/>
        </w:rPr>
        <w:footnoteReference w:id="1961"/>
      </w:r>
      <w:bookmarkStart w:id="672" w:name="pg11753_115051"/>
    </w:p>
    <w:p>
      <w:pPr>
        <w:pStyle w:val="Heading4"/>
        <w:numPr>
          <w:ilvl w:val="3"/>
          <w:numId w:val="1"/>
        </w:numPr>
        <w:rPr/>
      </w:pPr>
      <w:bookmarkStart w:id="673" w:name="__RefHeading___Toc9482970_73709187"/>
      <w:bookmarkStart w:id="674" w:name="_Toc254"/>
      <w:bookmarkEnd w:id="672"/>
      <w:bookmarkEnd w:id="673"/>
      <w:r>
        <w:rPr>
          <w:rtl w:val="true"/>
        </w:rPr>
        <w:t>المبحث الثالث</w:t>
      </w:r>
      <w:r>
        <w:rPr>
          <w:rtl w:val="true"/>
        </w:rPr>
        <w:t xml:space="preserve">: </w:t>
      </w:r>
      <w:r>
        <w:rPr>
          <w:rtl w:val="true"/>
        </w:rPr>
        <w:t>جواز أخذ الاُجرة من مال الطفل</w:t>
      </w:r>
      <w:bookmarkEnd w:id="674"/>
    </w:p>
    <w:p>
      <w:pPr>
        <w:pStyle w:val="Heading5"/>
        <w:numPr>
          <w:ilvl w:val="4"/>
          <w:numId w:val="1"/>
        </w:numPr>
        <w:rPr/>
      </w:pPr>
      <w:bookmarkStart w:id="675" w:name="__RefHeading___Toc9482972_73709187"/>
      <w:bookmarkStart w:id="676" w:name="_Toc255"/>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 xml:space="preserve">المشهور بین الفقهاء أنّه یجوز لمن یتولّی أموال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الجدّ و الوصیّ و الحاکم و أمینه و عدول المؤمنین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الاُجرة منها، بشرط أن لا یکون بعمله متبرّعاً</w:t>
      </w:r>
      <w:r>
        <w:rPr>
          <w:rStyle w:val="FootnoteAnchor"/>
          <w:rtl w:val="true"/>
        </w:rPr>
        <w:footnoteReference w:id="1962"/>
      </w:r>
      <w:r>
        <w:rPr>
          <w:rFonts w:ascii="IRNazanin" w:hAnsi="IRNazanin" w:eastAsia="IRNazanin"/>
          <w:color w:val="111111"/>
          <w:sz w:val="28"/>
          <w:sz w:val="28"/>
          <w:szCs w:val="28"/>
          <w:rtl w:val="true"/>
          <w:lang w:bidi="fa-IR"/>
        </w:rPr>
        <w:t>، بل الظاهر أنّ هذا الحکم فی الجملة متّفقٌ بینهم و إن اختلفوا فی قدر ما یجوز الأخذ منها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هذه المسألة یستدعی أن یبحث عنها فی مقامین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المتولّی فقیراً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المتولّی غنیّاً</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9482974_73709187"/>
      <w:bookmarkStart w:id="678" w:name="_Toc256"/>
      <w:bookmarkEnd w:id="677"/>
      <w:r>
        <w:rPr>
          <w:rtl w:val="true"/>
        </w:rPr>
        <w:t>المقام الأوّل</w:t>
      </w:r>
      <w:r>
        <w:rPr>
          <w:rtl w:val="true"/>
        </w:rPr>
        <w:t xml:space="preserve">: </w:t>
      </w:r>
      <w:r>
        <w:rPr>
          <w:rtl w:val="true"/>
        </w:rPr>
        <w:t>أن یکون المتولّی فقیراً</w:t>
      </w:r>
      <w:bookmarkEnd w:id="678"/>
    </w:p>
    <w:p>
      <w:pPr>
        <w:pStyle w:val="Heading6"/>
        <w:numPr>
          <w:ilvl w:val="5"/>
          <w:numId w:val="1"/>
        </w:numPr>
        <w:rPr/>
      </w:pPr>
      <w:bookmarkStart w:id="679" w:name="__RefHeading___Toc9482976_73709187"/>
      <w:bookmarkStart w:id="680" w:name="_Toc257"/>
      <w:bookmarkEnd w:id="679"/>
      <w:r>
        <w:rPr>
          <w:rtl w:val="true"/>
        </w:rPr>
        <w:t>اشارة</w:t>
      </w:r>
      <w:bookmarkEnd w:id="680"/>
    </w:p>
    <w:p>
      <w:pPr>
        <w:pStyle w:val="BookText"/>
        <w:rPr/>
      </w:pPr>
      <w:r>
        <w:rPr>
          <w:rFonts w:ascii="IRNazanin" w:hAnsi="IRNazanin" w:eastAsia="IRNazanin"/>
          <w:color w:val="111111"/>
          <w:sz w:val="28"/>
          <w:sz w:val="28"/>
          <w:szCs w:val="28"/>
          <w:rtl w:val="true"/>
          <w:lang w:bidi="fa-IR"/>
        </w:rPr>
        <w:t>إذا کان المتولّی</w:t>
      </w:r>
      <w:r>
        <w:rPr>
          <w:rStyle w:val="FootnoteAnchor"/>
          <w:rtl w:val="true"/>
        </w:rPr>
        <w:footnoteReference w:id="1963"/>
      </w:r>
      <w:r>
        <w:rPr>
          <w:rFonts w:ascii="IRNazanin" w:hAnsi="IRNazanin" w:eastAsia="IRNazanin"/>
          <w:color w:val="111111"/>
          <w:sz w:val="28"/>
          <w:sz w:val="28"/>
          <w:szCs w:val="28"/>
          <w:rtl w:val="true"/>
          <w:lang w:bidi="fa-IR"/>
        </w:rPr>
        <w:t>فی أموال الطفل فقیراً، هل یجوز له أخذ أُجرة مثل عمله، أو یجوز له أن یأخذ بقدر کفایته، أو یجب علیه أن یأخذ أقلّ الأمرین من الاُجرة و الکفایة، فیه ثلاثة أقوال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یأخذ قدر کفایته، و هو قول الشیخ رحمه الله فی النهایة،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التصرّف فی أموال الیتامی إلاّ لمن کان ولیّاً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ولیّاً یقوم بأمرهم و بجمع أموالهم و سدّ خلاّتهم و جمع غلاّتهم و مراعاة مواشیهم، جاز له حینئذٍ أن یأخذ من أموالهم قدر کفایته و حاجته من غیر إسرافٍ و لا تفریط</w:t>
      </w:r>
      <w:r>
        <w:rPr>
          <w:rFonts w:eastAsia="IRNazanin" w:cs="IRNazanin"/>
          <w:color w:val="111111"/>
          <w:sz w:val="28"/>
          <w:szCs w:val="28"/>
          <w:rtl w:val="true"/>
          <w:lang w:bidi="fa-IR"/>
        </w:rPr>
        <w:t>»</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و جعله أحد الأقوال فی التبیان</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الوسیلة</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یدلّ علیه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المعروف ما لا إسراف فیه و لا تقتیر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 یقوی فی نفسی أنّ له قدر کفایته کیف ما دارت القضیّة،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فالتلزّم</w:t>
      </w:r>
      <w:r>
        <w:rPr>
          <w:rStyle w:val="FootnoteAnchor"/>
          <w:rtl w:val="true"/>
        </w:rPr>
        <w:footnoteReference w:id="1967"/>
      </w:r>
      <w:r>
        <w:rPr>
          <w:rFonts w:ascii="IRNazanin" w:hAnsi="IRNazanin" w:eastAsia="IRNazanin"/>
          <w:color w:val="111111"/>
          <w:sz w:val="28"/>
          <w:sz w:val="28"/>
          <w:szCs w:val="28"/>
          <w:rtl w:val="true"/>
          <w:lang w:bidi="fa-IR"/>
        </w:rPr>
        <w:t>بظاهر التنزیل، هو الواجب دون ما سواه؛ لأنّه المعلوم، و ما عداه إذا لم یقم علیه دلیل مظنون</w:t>
      </w:r>
      <w:r>
        <w:rPr>
          <w:rFonts w:eastAsia="IRNazanin" w:cs="IRNazanin"/>
          <w:color w:val="111111"/>
          <w:sz w:val="28"/>
          <w:szCs w:val="28"/>
          <w:rtl w:val="true"/>
          <w:lang w:bidi="fa-IR"/>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الکفایة غیر مضبوط و لا معروف، و لم یذکر له ضابطة معیّنة؛ لأنّ الکفایة تختلف بحسب الأشخاص و الحالات و الأزمنة و الأمکنة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الأمرین من الاُجرة و الکفایة، و هو حسن لو کان للکفایة معنی مضبوط، و لکنّه مجمل</w:t>
      </w:r>
      <w:r>
        <w:rPr>
          <w:rStyle w:val="FootnoteAnchor"/>
          <w:rtl w:val="true"/>
        </w:rPr>
        <w:footnoteReference w:id="1969"/>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r>
        <w:rPr>
          <w:rStyle w:val="FootnoteAnchor"/>
          <w:rtl w:val="true"/>
        </w:rPr>
        <w:footnoteReference w:id="1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علی إطلاقه غیر تامّ، لأنّ العمل ربما کان قلیلاً و الحاجة کثیرة، فیؤدّی إلی الإضرار بالیتیم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بالکفایة ما یکفیه لنفسه</w:t>
      </w:r>
      <w:r>
        <w:rPr>
          <w:rStyle w:val="FootnoteAnchor"/>
          <w:rtl w:val="true"/>
        </w:rPr>
        <w:footnoteReference w:id="1972"/>
      </w:r>
      <w:r>
        <w:rPr>
          <w:rFonts w:ascii="IRNazanin" w:hAnsi="IRNazanin" w:eastAsia="IRNazanin"/>
          <w:color w:val="111111"/>
          <w:sz w:val="28"/>
          <w:sz w:val="28"/>
          <w:szCs w:val="28"/>
          <w:rtl w:val="true"/>
          <w:lang w:bidi="fa-IR"/>
        </w:rPr>
        <w:t>و عیاله، أو یقتصر علی نفسه</w:t>
      </w:r>
    </w:p>
    <w:p>
      <w:pPr>
        <w:pStyle w:val="BookText"/>
        <w:rPr/>
      </w:pPr>
      <w:r>
        <w:rPr>
          <w:rFonts w:ascii="Amiri" w:hAnsi="Amiri" w:eastAsia="Amiri" w:cs="Amiri"/>
          <w:color w:val="111111"/>
          <w:sz w:val="28"/>
          <w:sz w:val="28"/>
          <w:szCs w:val="28"/>
          <w:rtl w:val="true"/>
          <w:lang w:bidi="ar-SA"/>
        </w:rPr>
        <w:t>خاصّةً، فیه أیضاً 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المال و العمل قلیلین، کلبن شاة إذا حلبها، فلو أکل بقدر کفافه منه یلزم أن یکون قد أکل کلّه، و هو غیر جائز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ذلک من خبر أبی الصباح الکنانی؛ لأنّ فی ذیله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المال قلیلاً فلا یأکل منه شیئاً</w:t>
      </w:r>
      <w:r>
        <w:rPr>
          <w:rFonts w:eastAsia="IRNazanin" w:cs="IRNazanin"/>
          <w:color w:val="111111"/>
          <w:sz w:val="28"/>
          <w:szCs w:val="28"/>
          <w:rtl w:val="true"/>
          <w:lang w:bidi="fa-IR"/>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معناه أنّه یأخذ اجرة مثل ذلک، أو أنّ مثل ذلک لا اجرة له عرفاً</w:t>
      </w:r>
      <w:r>
        <w:rPr>
          <w:rFonts w:eastAsia="IRNazanin" w:cs="IRNazanin"/>
          <w:color w:val="111111"/>
          <w:sz w:val="28"/>
          <w:szCs w:val="28"/>
          <w:rtl w:val="true"/>
          <w:lang w:bidi="fa-IR"/>
        </w:rPr>
        <w:t>»</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أقلّ الأمرین من الاُجرة و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الکفایة أقلّ من اجرة المثل، فله قدر الکفایة دون اجرة المثل، و إن کانت اجرة المثل أقلّ من الکفایة، فله اجرة المثل دون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إذا کان فقیراً جاز له أن یأکل من مال الیتیم أقلّ الأمرین من کفایته أو أجرة مثله، و لا یجب علیه قضاؤه</w:t>
      </w:r>
      <w:r>
        <w:rPr>
          <w:rFonts w:eastAsia="IRNazanin" w:cs="IRNazanin"/>
          <w:color w:val="111111"/>
          <w:sz w:val="28"/>
          <w:szCs w:val="28"/>
          <w:rtl w:val="true"/>
          <w:lang w:bidi="fa-IR"/>
        </w:rPr>
        <w:t>»</w:t>
      </w:r>
      <w:r>
        <w:rPr>
          <w:rStyle w:val="FootnoteAnchor"/>
          <w:rtl w:val="true"/>
        </w:rPr>
        <w:footnoteReference w:id="1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الخلاف</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و به قال الشهید فی الروضة</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فقیراً جاز أن یأخذ إجماعاً، و فی قدره خلاف، الأقرب أن یقول یستحقّ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یستحبّ له أن یأخذ أقلّ الأمرین</w:t>
      </w:r>
      <w:r>
        <w:rPr>
          <w:rFonts w:eastAsia="IRNazanin" w:cs="IRNazanin"/>
          <w:color w:val="111111"/>
          <w:sz w:val="28"/>
          <w:szCs w:val="28"/>
          <w:rtl w:val="true"/>
          <w:lang w:bidi="fa-IR"/>
        </w:rPr>
        <w:t>»</w:t>
      </w:r>
      <w:r>
        <w:rPr>
          <w:rStyle w:val="FootnoteAnchor"/>
          <w:rtl w:val="true"/>
        </w:rPr>
        <w:footnoteReference w:id="1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الأصحّ‌</w:t>
      </w:r>
      <w:r>
        <w:rPr>
          <w:rStyle w:val="FootnoteAnchor"/>
          <w:rtl w:val="true"/>
        </w:rPr>
        <w:footnoteReference w:id="1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التنقیح الرائع</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و کنز العرفان</w:t>
      </w:r>
      <w:r>
        <w:rPr>
          <w:rStyle w:val="FootnoteAnchor"/>
          <w:rtl w:val="true"/>
        </w:rPr>
        <w:footnoteReference w:id="1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أولی؛ لأنّه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الرموز هو أحسن الأقوال و أجود من التهجّم علی أموال الیتامی</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الاستدلال لهذا الحکم، بأنّ الکفایة إن کانت أقلّ من الاُجرة؛ فإنّه مع حصولها یصیر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غنیّاً یجب علیه الاستعفاف؛ لظاهر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Style w:val="FootnoteAnchor"/>
          <w:rtl w:val="true"/>
        </w:rPr>
        <w:footnoteReference w:id="19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للوجوب، فیجب علیه الاستعفاف عن بقیّة الاُجرة، و أمّا إذا کانت اجرة المثل أقلّ؛ فإنّما یستحقّ عوض عمله، فلا یحلّ له أخذ ما زاد علیه</w:t>
      </w:r>
      <w:r>
        <w:rPr>
          <w:rFonts w:eastAsia="Amiri" w:cs="Amiri" w:ascii="Amiri" w:hAnsi="Amiri"/>
          <w:color w:val="111111"/>
          <w:sz w:val="28"/>
          <w:szCs w:val="28"/>
          <w:rtl w:val="true"/>
          <w:lang w:bidi="ar-SA"/>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یرد علیه بأنّ المراد من الأکل فی الآیة إن کان معناه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بلعُ الطعام بعد مضغه</w:t>
      </w:r>
      <w:r>
        <w:rPr>
          <w:rStyle w:val="FootnoteAnchor"/>
          <w:rtl w:val="true"/>
        </w:rPr>
        <w:footnoteReference w:id="1985"/>
      </w:r>
      <w:r>
        <w:rPr>
          <w:rFonts w:ascii="IRNazanin" w:hAnsi="IRNazanin" w:eastAsia="IRNazanin"/>
          <w:color w:val="111111"/>
          <w:sz w:val="28"/>
          <w:sz w:val="28"/>
          <w:szCs w:val="28"/>
          <w:rtl w:val="true"/>
          <w:lang w:bidi="fa-IR"/>
        </w:rPr>
        <w:t xml:space="preserve">و جعله مختصّاً بالولیّ، بأن یأکل هو بمقدار قوته و لا یتعدّی إلی 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منافاة بین الفقر و حصول الکفایة منه بهذا المعنی؛ لأنّ حصول القوت یحتاج معه إلی بقیّة مئونة السنة من نفقةٍ و کسوة و مسکن و غیرها، حتّی یتحقّق ارتفاع الفقر، و حینئذٍ 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لثبوت أقلّ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حصول الکفایة یکون غنیّاً، فیجب علیه الاستعفاف عن بقیّة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بالأکل مطلق التصرّف و الأخذ؛ لأنّ الأکل یستعمل کثیراً فیما هو أعمّ من المعنی الحقیقی، کما هو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تَأْکُلُوها إِسْرافاً</w:t>
      </w:r>
    </w:p>
    <w:p>
      <w:pPr>
        <w:pStyle w:val="BookText"/>
        <w:rPr/>
      </w:pPr>
      <w:r>
        <w:rPr>
          <w:rFonts w:ascii="Amiri" w:hAnsi="Amiri" w:eastAsia="Amiri" w:cs="Amiri"/>
          <w:color w:val="111111"/>
          <w:sz w:val="28"/>
          <w:sz w:val="28"/>
          <w:szCs w:val="28"/>
          <w:rtl w:val="true"/>
          <w:lang w:bidi="ar-SA"/>
        </w:rPr>
        <w:t>وَ بِداراً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 ذلک، فقید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غیر واضح المراد حتّی یعتبر أقلّ الأمرین و یجب الاقتصار علیه؛ لأنّ التصرّف علی هذا الوجه یختلف باختلاف الأشخاص و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کلا المعنیین للأکل لا یتمّ الاستدلال بهذه الآیة للقول بأنّه یجوز أقلّ الأمرین؛ لأنّ العمل ربما کان قلیلاً و القوت کثیراً، فیؤدّی إلی الإضرار بالیتیم، کما أشار إلی بعض ذلک فی المسالک</w:t>
      </w:r>
      <w:r>
        <w:rPr>
          <w:rStyle w:val="FootnoteAnchor"/>
          <w:rtl w:val="true"/>
        </w:rPr>
        <w:footnoteReference w:id="1986"/>
      </w:r>
      <w:r>
        <w:rPr>
          <w:rFonts w:ascii="IRNazanin" w:hAnsi="IRNazanin" w:eastAsia="IRNazanin"/>
          <w:color w:val="111111"/>
          <w:sz w:val="28"/>
          <w:sz w:val="28"/>
          <w:szCs w:val="28"/>
          <w:rtl w:val="true"/>
          <w:lang w:bidi="fa-IR"/>
        </w:rPr>
        <w:t>و الجواهر</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أجود الأقوال و أصحّها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اجرة مثل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اختاره الشیخ فی موضع من النهایة،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المتولّی لأموال الیتامی و القیّم باُمورهم، یستحقّ اجرة مثله فیما یقوم به من مالهم من غیر زیادةٍ و لا نقصان، فإن نقص نفسه کان له فی ذلک فضل و ثواب، و إن لم یفعل کان له المطالبة باستیفاء حقّه من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الزیادة فلا یجوز له أخذها علی حالٍ</w:t>
      </w:r>
      <w:r>
        <w:rPr>
          <w:rFonts w:eastAsia="IRNazanin" w:cs="IRNazanin"/>
          <w:color w:val="111111"/>
          <w:sz w:val="28"/>
          <w:szCs w:val="28"/>
          <w:rtl w:val="true"/>
          <w:lang w:bidi="fa-IR"/>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الکیدری</w:t>
      </w:r>
      <w:r>
        <w:rPr>
          <w:rStyle w:val="FootnoteAnchor"/>
          <w:rtl w:val="true"/>
        </w:rPr>
        <w:footnoteReference w:id="1989"/>
      </w:r>
      <w:r>
        <w:rPr>
          <w:rFonts w:ascii="Amiri" w:hAnsi="Amiri" w:eastAsia="Amiri" w:cs="Amiri"/>
          <w:color w:val="111111"/>
          <w:sz w:val="28"/>
          <w:sz w:val="28"/>
          <w:szCs w:val="28"/>
          <w:rtl w:val="true"/>
          <w:lang w:bidi="ar-SA"/>
        </w:rPr>
        <w:t>و المحقّق</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لمن یتولّی أموال الیتامی أن یأخذ اجرة</w:t>
      </w:r>
      <w:bookmarkStart w:id="681" w:name="pg11753_115056"/>
    </w:p>
    <w:p>
      <w:pPr>
        <w:pStyle w:val="BookText"/>
        <w:rPr/>
      </w:pPr>
      <w:bookmarkEnd w:id="681"/>
      <w:r>
        <w:rPr>
          <w:rFonts w:ascii="IRNazanin" w:hAnsi="IRNazanin" w:eastAsia="IRNazanin"/>
          <w:color w:val="111111"/>
          <w:sz w:val="28"/>
          <w:sz w:val="28"/>
          <w:szCs w:val="28"/>
          <w:rtl w:val="true"/>
          <w:lang w:bidi="fa-IR"/>
        </w:rPr>
        <w:t>المثل عن نظره فی ماله</w:t>
      </w:r>
      <w:r>
        <w:rPr>
          <w:rFonts w:eastAsia="IRNazanin" w:cs="IRNazanin"/>
          <w:color w:val="111111"/>
          <w:sz w:val="28"/>
          <w:szCs w:val="28"/>
          <w:rtl w:val="true"/>
          <w:lang w:bidi="fa-IR"/>
        </w:rPr>
        <w:t>»</w:t>
      </w:r>
      <w:r>
        <w:rPr>
          <w:rStyle w:val="FootnoteAnchor"/>
          <w:rtl w:val="true"/>
        </w:rPr>
        <w:footnoteReference w:id="1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1992"/>
      </w:r>
      <w:r>
        <w:rPr>
          <w:rFonts w:ascii="IRNazanin" w:hAnsi="IRNazanin" w:eastAsia="IRNazanin"/>
          <w:color w:val="111111"/>
          <w:sz w:val="28"/>
          <w:sz w:val="28"/>
          <w:szCs w:val="28"/>
          <w:rtl w:val="true"/>
          <w:lang w:bidi="fa-IR"/>
        </w:rPr>
        <w:t>و القواعد</w:t>
      </w:r>
      <w:r>
        <w:rPr>
          <w:rStyle w:val="FootnoteAnchor"/>
          <w:rtl w:val="true"/>
        </w:rPr>
        <w:footnoteReference w:id="1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أیضاً الشهیدان</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تفسیر مجمع البیان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تَأْکُلُوها إِسْرافاً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معناه لا تأکلوا من مال الیتیم فوق ما تحتاجون إلیه؛ فإنّ لولیّ الیتیم أن یتناول من ماله قدر القوت إذا کان محتاجاً علی وجه الاُجرة علی عمله فی مال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الظاهر فی روایات أصحابنا أنّ له اجرة المثل؛ سواء کان قدر کفایته أو لم یکن</w:t>
      </w:r>
      <w:r>
        <w:rPr>
          <w:rFonts w:eastAsia="IRNazanin" w:cs="IRNazanin"/>
          <w:color w:val="111111"/>
          <w:sz w:val="28"/>
          <w:szCs w:val="28"/>
          <w:rtl w:val="true"/>
          <w:lang w:bidi="fa-IR"/>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اختاره المحقّق العاملی</w:t>
      </w:r>
      <w:r>
        <w:rPr>
          <w:rStyle w:val="FootnoteAnchor"/>
          <w:rtl w:val="true"/>
        </w:rPr>
        <w:footnoteReference w:id="1996"/>
      </w:r>
      <w:r>
        <w:rPr>
          <w:rFonts w:ascii="IRNazanin" w:hAnsi="IRNazanin" w:eastAsia="IRNazanin"/>
          <w:color w:val="111111"/>
          <w:sz w:val="28"/>
          <w:sz w:val="28"/>
          <w:szCs w:val="28"/>
          <w:rtl w:val="true"/>
          <w:lang w:bidi="fa-IR"/>
        </w:rPr>
        <w:t>و المحقّق الأردبیلی</w:t>
      </w:r>
      <w:r>
        <w:rPr>
          <w:rStyle w:val="FootnoteAnchor"/>
          <w:rtl w:val="true"/>
        </w:rPr>
        <w:footnoteReference w:id="1997"/>
      </w:r>
      <w:r>
        <w:rPr>
          <w:rFonts w:ascii="IRNazanin" w:hAnsi="IRNazanin" w:eastAsia="IRNazanin"/>
          <w:color w:val="111111"/>
          <w:sz w:val="28"/>
          <w:sz w:val="28"/>
          <w:szCs w:val="28"/>
          <w:rtl w:val="true"/>
          <w:lang w:bidi="fa-IR"/>
        </w:rPr>
        <w:t>و صاحبا الریاض</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و الجواهر</w:t>
      </w:r>
      <w:r>
        <w:rPr>
          <w:rStyle w:val="FootnoteAnchor"/>
          <w:rtl w:val="true"/>
        </w:rPr>
        <w:footnoteReference w:id="1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أیضاً جمع من فقهاء العصر</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2" w:name="__RefHeading___Toc9482978_73709187"/>
      <w:bookmarkStart w:id="683" w:name="_Toc258"/>
      <w:bookmarkEnd w:id="682"/>
      <w:r>
        <w:rPr>
          <w:rtl w:val="true"/>
        </w:rPr>
        <w:t>أدلّة جواز أخذ الولیّ اجرة المثل</w:t>
      </w:r>
      <w:bookmarkEnd w:id="68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لهذا الحکم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الأکل بالمعروف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هو أخذ اجرة المثل کما هو مقتضی القاعدة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أعلی أفراد الأکل بالمعروف شرعاً و عرفاً اجرة المثل، فإن نقص عنها زاد فی المعروف و قد أحسن إلی الیتیم، بل إن لم یأخذ شیئاً فقد زاد فی الإحسان و لم یکن من الأکل بالمعروف، الذی قد رخّص فیه فی مقابلة العمل للفقیر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حینئذٍ أنّ الفقیر إن أراد الأکل فلا یأکل إلاّ بالمعروف، و هو أن یکون فی مقابلة عمل له فی مال الیتیم، و أن لا یزید علی اجرة المثل، و کلّما نقص عن ذلک فهو من المعروف، بل لعلّ ذلک هو المراد من النصوص</w:t>
      </w:r>
      <w:r>
        <w:rPr>
          <w:rFonts w:eastAsia="IRNazanin" w:cs="IRNazanin"/>
          <w:color w:val="111111"/>
          <w:sz w:val="28"/>
          <w:szCs w:val="28"/>
          <w:rtl w:val="true"/>
          <w:lang w:bidi="fa-IR"/>
        </w:rPr>
        <w:t>»</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فالمعروف فی الشرع و العرف اجرة عمله الذی هو حفظ الأولاد و الأموال، فلا یجوز له إلاّ ذلک المقدار فیأخذه، و إن کان زائداً عمّا یحتاج إلیه من سدّ الخلّة</w:t>
      </w:r>
      <w:r>
        <w:rPr>
          <w:rFonts w:eastAsia="IRNazanin" w:cs="IRNazanin"/>
          <w:color w:val="111111"/>
          <w:sz w:val="28"/>
          <w:szCs w:val="28"/>
          <w:rtl w:val="true"/>
          <w:lang w:bidi="fa-IR"/>
        </w:rPr>
        <w:t>»</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التذکرة</w:t>
      </w:r>
      <w:r>
        <w:rPr>
          <w:rStyle w:val="FootnoteAnchor"/>
          <w:rtl w:val="true"/>
        </w:rPr>
        <w:footnoteReference w:id="2003"/>
      </w:r>
      <w:r>
        <w:rPr>
          <w:rFonts w:ascii="IRNazanin" w:hAnsi="IRNazanin" w:eastAsia="IRNazanin"/>
          <w:color w:val="111111"/>
          <w:sz w:val="28"/>
          <w:sz w:val="28"/>
          <w:szCs w:val="28"/>
          <w:rtl w:val="true"/>
          <w:lang w:bidi="fa-IR"/>
        </w:rPr>
        <w:t>و مفتاح الکرامة</w:t>
      </w:r>
      <w:r>
        <w:rPr>
          <w:rStyle w:val="FootnoteAnchor"/>
          <w:rtl w:val="true"/>
        </w:rPr>
        <w:footnoteReference w:id="2004"/>
      </w:r>
      <w:r>
        <w:rPr>
          <w:rFonts w:ascii="IRNazanin" w:hAnsi="IRNazanin" w:eastAsia="IRNazanin"/>
          <w:color w:val="111111"/>
          <w:sz w:val="28"/>
          <w:sz w:val="28"/>
          <w:szCs w:val="28"/>
          <w:rtl w:val="true"/>
          <w:lang w:bidi="fa-IR"/>
        </w:rPr>
        <w:t>و مهذّب الأحکام</w:t>
      </w:r>
      <w:r>
        <w:rPr>
          <w:rStyle w:val="FootnoteAnchor"/>
          <w:rtl w:val="true"/>
        </w:rPr>
        <w:footnoteReference w:id="2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فیه</w:t>
      </w:r>
      <w:r>
        <w:rPr>
          <w:rFonts w:eastAsia="IRNazanin" w:cs="IRNazanin"/>
          <w:color w:val="111111"/>
          <w:sz w:val="28"/>
          <w:szCs w:val="28"/>
          <w:rtl w:val="true"/>
          <w:lang w:bidi="fa-IR"/>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بهذا الإجماع؛ لأنّ النصوص التی سنذکرها قریباً کانت مدرکاً له، مضافاً إلی أنّه لا یمکن إثباته مع ذهاب جمع من الفقهاء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احترام العمل</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الوجه عندی أنّ له اجرة المثل؛ سواء کان غنیّاً أو فقیراً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 تصحّ المعاوضة علیه، فاستحقّ فاعله الاُجرة إذا لم یتبرّع</w:t>
      </w:r>
      <w:r>
        <w:rPr>
          <w:rFonts w:eastAsia="IRNazanin" w:cs="IRNazanin"/>
          <w:color w:val="111111"/>
          <w:sz w:val="28"/>
          <w:szCs w:val="28"/>
          <w:rtl w:val="true"/>
          <w:lang w:bidi="fa-IR"/>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عمل محترم غیر متبرّع به، فکان له اجرة مثله</w:t>
      </w:r>
      <w:r>
        <w:rPr>
          <w:rFonts w:eastAsia="IRNazanin" w:cs="IRNazanin"/>
          <w:color w:val="111111"/>
          <w:sz w:val="28"/>
          <w:szCs w:val="28"/>
          <w:rtl w:val="true"/>
          <w:lang w:bidi="fa-IR"/>
        </w:rPr>
        <w:t>»</w:t>
      </w:r>
      <w:r>
        <w:rPr>
          <w:rStyle w:val="FootnoteAnchor"/>
          <w:rtl w:val="true"/>
        </w:rPr>
        <w:footnoteReference w:id="2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 عمل المسلم محترم و له أجر فیما إذا کان بأمر من له الأمر، و إن کان الأحوط الأولی للغنی غیر المحتاج عدم الاستفادة من مال الیتیم، الذی جعل أکله ظلماً أکلاً</w:t>
      </w:r>
      <w:r>
        <w:rPr>
          <w:rStyle w:val="FootnoteAnchor"/>
          <w:rtl w:val="true"/>
        </w:rPr>
        <w:footnoteReference w:id="2011"/>
      </w:r>
      <w:r>
        <w:rPr>
          <w:rFonts w:ascii="IRNazanin" w:hAnsi="IRNazanin" w:eastAsia="IRNazanin"/>
          <w:color w:val="111111"/>
          <w:sz w:val="28"/>
          <w:sz w:val="28"/>
          <w:szCs w:val="28"/>
          <w:rtl w:val="true"/>
          <w:lang w:bidi="fa-IR"/>
        </w:rPr>
        <w:t>فی بطونهم النار فی الکتاب العزیز</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و هو یدلّ علی کمال مراقبة مال الیتیم و لزوم التحفّظ و الاجتناب منه</w:t>
      </w:r>
      <w:r>
        <w:rPr>
          <w:rFonts w:eastAsia="IRNazanin" w:cs="IRNazanin"/>
          <w:color w:val="111111"/>
          <w:sz w:val="28"/>
          <w:szCs w:val="28"/>
          <w:rtl w:val="true"/>
          <w:lang w:bidi="fa-IR"/>
        </w:rPr>
        <w:t>»</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کما ادّعاه فی المهذّب</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هشام بن الحکم أو صحیحه علی قولٍ </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عمّن تولّی مال الیتیم ما له أن یأکل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غیره یقوم به من الأجر لهم، فلیأکل بقدر ذلک</w:t>
      </w:r>
      <w:r>
        <w:rPr>
          <w:rFonts w:eastAsia="IRNazanin" w:cs="IRNazanin"/>
          <w:color w:val="111111"/>
          <w:sz w:val="28"/>
          <w:szCs w:val="28"/>
          <w:rtl w:val="true"/>
          <w:lang w:bidi="fa-IR"/>
        </w:rPr>
        <w:t>»</w:t>
      </w:r>
      <w:r>
        <w:rPr>
          <w:rStyle w:val="FootnoteAnchor"/>
          <w:rtl w:val="true"/>
        </w:rPr>
        <w:footnoteReference w:id="2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علی المقصود صریحة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 xml:space="preserve">أبی الصباح الکنانی أو صحیحه، عن أبی عبد اللّه علیه السلام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رجل یحبس نفسه عن المعیشة، فلا بأس أن یأکل بالمعروف إذا کان یصلح لهم أموالهم، فإن کان المال قلیلاً فلا یأکل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سماعة، عن أبی عبد اللّه علیه السلام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یلی شیئاً للیتامی و هو محتاج لیس له ما</w:t>
      </w:r>
    </w:p>
    <w:p>
      <w:pPr>
        <w:pStyle w:val="BookText"/>
        <w:rPr/>
      </w:pPr>
      <w:r>
        <w:rPr>
          <w:rFonts w:ascii="IRNazanin" w:hAnsi="IRNazanin" w:eastAsia="IRNazanin"/>
          <w:color w:val="111111"/>
          <w:sz w:val="28"/>
          <w:sz w:val="28"/>
          <w:szCs w:val="28"/>
          <w:rtl w:val="true"/>
          <w:lang w:bidi="fa-IR"/>
        </w:rPr>
        <w:t>یقیمه فهو یتقاضی أموالهم و یقوم فی ضیعتهم، فلیأکل بقدر و لا یسرف، و إن کانت ضیعتهم لا تشغله عمّا یعالج بنفسه فلا یرزأنّ‌</w:t>
      </w:r>
      <w:r>
        <w:rPr>
          <w:rStyle w:val="FootnoteAnchor"/>
          <w:rtl w:val="true"/>
        </w:rPr>
        <w:footnoteReference w:id="2018"/>
      </w:r>
      <w:r>
        <w:rPr>
          <w:rFonts w:ascii="IRNazanin" w:hAnsi="IRNazanin" w:eastAsia="IRNazanin"/>
          <w:color w:val="111111"/>
          <w:sz w:val="28"/>
          <w:sz w:val="28"/>
          <w:szCs w:val="28"/>
          <w:rtl w:val="true"/>
          <w:lang w:bidi="fa-IR"/>
        </w:rPr>
        <w:t>من أموالهم شیئاً</w:t>
      </w:r>
      <w:r>
        <w:rPr>
          <w:rFonts w:eastAsia="IRNazanin" w:cs="IRNazanin"/>
          <w:color w:val="111111"/>
          <w:sz w:val="28"/>
          <w:szCs w:val="28"/>
          <w:rtl w:val="true"/>
          <w:lang w:bidi="fa-IR"/>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حاضر عن القیّم للیتامی فی الشراء لهم و البیع فیما یصلحهم، أ لَهُ أن یأکل من أموالهم؟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یأکل من أموالهم بالمعروف،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w:t>
      </w:r>
      <w:r>
        <w:rPr>
          <w:rFonts w:eastAsia="Amiri" w:cs="Amiri" w:ascii="Amiri" w:hAnsi="Amiri"/>
          <w:color w:val="111111"/>
          <w:sz w:val="28"/>
          <w:szCs w:val="28"/>
          <w:rtl w:val="true"/>
          <w:lang w:bidi="ar-SA"/>
        </w:rPr>
        <w:t xml:space="preserve">) </w:t>
      </w:r>
      <w:r>
        <w:rPr>
          <w:rStyle w:val="FootnoteAnchor"/>
          <w:rtl w:val="true"/>
        </w:rPr>
        <w:footnoteReference w:id="2020"/>
      </w:r>
      <w:r>
        <w:rPr>
          <w:rFonts w:ascii="IRNazanin" w:hAnsi="IRNazanin" w:eastAsia="IRNazanin"/>
          <w:color w:val="111111"/>
          <w:sz w:val="28"/>
          <w:sz w:val="28"/>
          <w:szCs w:val="28"/>
          <w:rtl w:val="true"/>
          <w:lang w:bidi="fa-IR"/>
        </w:rPr>
        <w:t>هو القوت، و إنّما عنی فلیأکل بالمعروف الوصیّ لهم و القیّم فی أموالهم ما یصلحهم</w:t>
      </w:r>
      <w:r>
        <w:rPr>
          <w:rFonts w:eastAsia="IRNazanin" w:cs="IRNazanin"/>
          <w:color w:val="111111"/>
          <w:sz w:val="28"/>
          <w:szCs w:val="28"/>
          <w:rtl w:val="true"/>
          <w:lang w:bidi="fa-IR"/>
        </w:rPr>
        <w:t>»</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عیسی ابن موسی عن القیّم للأیتام فی الإبل و ما یحلّ له منها،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لاط‌</w:t>
      </w:r>
      <w:r>
        <w:rPr>
          <w:rStyle w:val="FootnoteAnchor"/>
          <w:rtl w:val="true"/>
        </w:rPr>
        <w:footnoteReference w:id="2022"/>
      </w:r>
      <w:r>
        <w:rPr>
          <w:rFonts w:ascii="IRNazanin" w:hAnsi="IRNazanin" w:eastAsia="IRNazanin"/>
          <w:color w:val="111111"/>
          <w:sz w:val="28"/>
          <w:sz w:val="28"/>
          <w:szCs w:val="28"/>
          <w:rtl w:val="true"/>
          <w:lang w:bidi="fa-IR"/>
        </w:rPr>
        <w:t>حوضها و طلب ضالتها و هنأ</w:t>
      </w:r>
      <w:r>
        <w:rPr>
          <w:rStyle w:val="FootnoteAnchor"/>
          <w:rtl w:val="true"/>
        </w:rPr>
        <w:footnoteReference w:id="2023"/>
      </w:r>
      <w:r>
        <w:rPr>
          <w:rFonts w:ascii="IRNazanin" w:hAnsi="IRNazanin" w:eastAsia="IRNazanin"/>
          <w:color w:val="111111"/>
          <w:sz w:val="28"/>
          <w:sz w:val="28"/>
          <w:szCs w:val="28"/>
          <w:rtl w:val="true"/>
          <w:lang w:bidi="fa-IR"/>
        </w:rPr>
        <w:t>جرباها</w:t>
      </w:r>
      <w:r>
        <w:rPr>
          <w:rStyle w:val="FootnoteAnchor"/>
          <w:rtl w:val="true"/>
        </w:rPr>
        <w:footnoteReference w:id="2024"/>
      </w:r>
      <w:r>
        <w:rPr>
          <w:rFonts w:ascii="IRNazanin" w:hAnsi="IRNazanin" w:eastAsia="IRNazanin"/>
          <w:color w:val="111111"/>
          <w:sz w:val="28"/>
          <w:sz w:val="28"/>
          <w:szCs w:val="28"/>
          <w:rtl w:val="true"/>
          <w:lang w:bidi="fa-IR"/>
        </w:rPr>
        <w:t>، فله أن یصیب من لبنها فی غیر نهک لضرع، و لا فساد لنسل</w:t>
      </w:r>
      <w:r>
        <w:rPr>
          <w:rFonts w:eastAsia="IRNazanin" w:cs="IRNazanin"/>
          <w:color w:val="111111"/>
          <w:sz w:val="28"/>
          <w:szCs w:val="28"/>
          <w:rtl w:val="true"/>
          <w:lang w:bidi="fa-IR"/>
        </w:rPr>
        <w:t>»</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بیده</w:t>
      </w:r>
    </w:p>
    <w:p>
      <w:pPr>
        <w:pStyle w:val="BookText"/>
        <w:rPr/>
      </w:pPr>
      <w:r>
        <w:rPr>
          <w:rFonts w:ascii="IRNazanin" w:hAnsi="IRNazanin" w:eastAsia="IRNazanin"/>
          <w:color w:val="111111"/>
          <w:sz w:val="28"/>
          <w:sz w:val="28"/>
          <w:szCs w:val="28"/>
          <w:rtl w:val="true"/>
          <w:lang w:bidi="fa-IR"/>
        </w:rPr>
        <w:t>ماشیة لابن أخ له یتیم فی حجره، أ یخلط أمرها بأمر ماشیته؟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یلیط حوضها و یقوم علی مهنتها و یردّ نادتها، فیشرب من ألبانها غیر منهک للحلاب، و لا مضرّ بالولد</w:t>
      </w:r>
      <w:r>
        <w:rPr>
          <w:rFonts w:eastAsia="IRNazanin" w:cs="IRNazanin"/>
          <w:color w:val="111111"/>
          <w:sz w:val="28"/>
          <w:szCs w:val="28"/>
          <w:rtl w:val="true"/>
          <w:lang w:bidi="fa-IR"/>
        </w:rPr>
        <w:t>»</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المرویّة فی تفسیر العیّاشی</w:t>
      </w:r>
      <w:r>
        <w:rPr>
          <w:rStyle w:val="FootnoteAnchor"/>
          <w:rtl w:val="true"/>
        </w:rPr>
        <w:footnoteReference w:id="2027"/>
      </w:r>
      <w:r>
        <w:rPr>
          <w:rFonts w:ascii="IRNazanin" w:hAnsi="IRNazanin" w:eastAsia="IRNazanin"/>
          <w:color w:val="111111"/>
          <w:sz w:val="28"/>
          <w:sz w:val="28"/>
          <w:szCs w:val="28"/>
          <w:rtl w:val="true"/>
          <w:lang w:bidi="fa-IR"/>
        </w:rPr>
        <w:t>؛ لأنّ صریح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الرجل یحبس نفسه فی أموالهم و یقوم فی ضیعتهم و یشغل نفسه عن طلب المعیشة فلا یحترث لنفسه، فلیأکل بالمعروف من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الوسائل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یحترف لنفسه</w:t>
      </w:r>
      <w:r>
        <w:rPr>
          <w:rFonts w:eastAsia="IRNazanin" w:cs="IRNazanin"/>
          <w:color w:val="111111"/>
          <w:sz w:val="28"/>
          <w:szCs w:val="28"/>
          <w:rtl w:val="true"/>
          <w:lang w:bidi="fa-IR"/>
        </w:rPr>
        <w:t>»</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من النصوص أنّ للولیّ أکل ما هو المعروف من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الأکل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اجرة المثل، بمعنی أنّه یجوز أن یأکل الولیّ فی مقابل ما عمل فی مال الیتیم، و أن لا یزید علی اجرة المثل، و کلّما نقص عن ذلک فهو من المعروف کما فی الجواهر</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یظهر</w:t>
      </w:r>
      <w:r>
        <w:rPr>
          <w:rStyle w:val="FootnoteAnchor"/>
          <w:rtl w:val="true"/>
        </w:rPr>
        <w:footnoteReference w:id="2030"/>
      </w:r>
      <w:r>
        <w:rPr>
          <w:rFonts w:ascii="IRNazanin" w:hAnsi="IRNazanin" w:eastAsia="IRNazanin"/>
          <w:color w:val="111111"/>
          <w:sz w:val="28"/>
          <w:sz w:val="28"/>
          <w:szCs w:val="28"/>
          <w:rtl w:val="true"/>
          <w:lang w:bidi="fa-IR"/>
        </w:rPr>
        <w:t>من بعض النصوص المتقدّمة خلاف المدّعی، و أنّ له أکل القوت فقط، کصحیحة عبد اللّه بن سنان</w:t>
      </w:r>
      <w:r>
        <w:rPr>
          <w:rStyle w:val="FootnoteAnchor"/>
          <w:rtl w:val="true"/>
        </w:rPr>
        <w:footnoteReference w:id="2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فقیراً و لیس له ما یقیمه یجوز له الأخذ بالمقدار الذی یقیمه، کموثّقة سماعة</w:t>
      </w:r>
      <w:r>
        <w:rPr>
          <w:rStyle w:val="FootnoteAnchor"/>
          <w:rtl w:val="true"/>
        </w:rPr>
        <w:footnoteReference w:id="203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w:t>
      </w:r>
    </w:p>
    <w:p>
      <w:pPr>
        <w:pStyle w:val="BookText"/>
        <w:rPr/>
      </w:pPr>
      <w:r>
        <w:rPr>
          <w:rFonts w:ascii="IRNazanin" w:hAnsi="IRNazanin" w:eastAsia="IRNazanin"/>
          <w:color w:val="111111"/>
          <w:sz w:val="28"/>
          <w:sz w:val="28"/>
          <w:szCs w:val="28"/>
          <w:rtl w:val="true"/>
          <w:lang w:bidi="fa-IR"/>
        </w:rPr>
        <w:t>إطلاقها الجواز حتّی فی صورة کون المقدار المذکور أکثر من اجرة المثل، فیقع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 بأنّ الترجیح مع موثّقة سماعة، لکونها موافقة للکتاب فیؤخذ بها، و إن أبیت عن هذا الجمع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التعارض و بعد التساقط یرجع إلی إطلاق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مجموع الأدلّة</w:t>
      </w:r>
      <w:r>
        <w:rPr>
          <w:rStyle w:val="FootnoteAnchor"/>
          <w:rtl w:val="true"/>
        </w:rPr>
        <w:footnoteReference w:id="2033"/>
      </w:r>
      <w:r>
        <w:rPr>
          <w:rFonts w:ascii="IRNazanin" w:hAnsi="IRNazanin" w:eastAsia="IRNazanin"/>
          <w:color w:val="111111"/>
          <w:sz w:val="28"/>
          <w:sz w:val="28"/>
          <w:szCs w:val="28"/>
          <w:rtl w:val="true"/>
          <w:lang w:bidi="fa-IR"/>
        </w:rPr>
        <w:t xml:space="preserve">أنّه یجوز للولیّ أن یأخذ من مال الیتیم بالنحو المعروف، و المقدار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إسراف فیه و لا تقتیر، و هو الحدّ الأوسط، أی اجرة المثل، بل یستفاد المدّعی من موثّقة سماعة أیضاً، حیث قیّد الجواز بعدم السرف،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المتفاهم العرفی عند إطلاق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لفعله اجرة فی العادة، کوضع الدراهم و الدنانیر عنده، أو کان المال قلیلاً غیر محتاج إلی عمل له اجرة یعتدّ بها عرفاً، لم یأخذ شیئاً کما فی الجواهر</w:t>
      </w:r>
      <w:r>
        <w:rPr>
          <w:rStyle w:val="FootnoteAnchor"/>
          <w:rtl w:val="true"/>
        </w:rPr>
        <w:footnoteReference w:id="2034"/>
      </w:r>
      <w:r>
        <w:rPr>
          <w:rFonts w:ascii="IRNazanin" w:hAnsi="IRNazanin" w:eastAsia="IRNazanin"/>
          <w:color w:val="111111"/>
          <w:sz w:val="28"/>
          <w:sz w:val="28"/>
          <w:szCs w:val="28"/>
          <w:rtl w:val="true"/>
          <w:lang w:bidi="fa-IR"/>
        </w:rPr>
        <w:t>و مفتاح الکرامة</w:t>
      </w:r>
      <w:r>
        <w:rPr>
          <w:rStyle w:val="FootnoteAnchor"/>
          <w:rtl w:val="true"/>
        </w:rPr>
        <w:footnoteReference w:id="2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یظهر ذلک من ذیل روایة الکنانی،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المال قلیلاً فلا یأکل منه شیئاً</w:t>
      </w:r>
      <w:r>
        <w:rPr>
          <w:rFonts w:eastAsia="IRNazanin" w:cs="IRNazanin"/>
          <w:color w:val="111111"/>
          <w:sz w:val="28"/>
          <w:szCs w:val="28"/>
          <w:rtl w:val="true"/>
          <w:lang w:bidi="fa-IR"/>
        </w:rPr>
        <w:t>»</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ذیل روایة أبی بصیر، حیث قال علیه 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فی الدنانیر و الدراهم التی عنده موضوعة</w:t>
      </w:r>
      <w:r>
        <w:rPr>
          <w:rFonts w:eastAsia="IRNazanin" w:cs="IRNazanin"/>
          <w:color w:val="111111"/>
          <w:sz w:val="28"/>
          <w:szCs w:val="28"/>
          <w:rtl w:val="true"/>
          <w:lang w:bidi="fa-IR"/>
        </w:rPr>
        <w:t>»</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الولیّ غنیّاً</w:t>
      </w:r>
    </w:p>
    <w:p>
      <w:pPr>
        <w:pStyle w:val="BookText"/>
        <w:rPr/>
      </w:pPr>
      <w:r>
        <w:rPr>
          <w:rFonts w:ascii="Amiri" w:hAnsi="Amiri" w:eastAsia="Amiri" w:cs="Amiri"/>
          <w:color w:val="111111"/>
          <w:sz w:val="28"/>
          <w:sz w:val="28"/>
          <w:szCs w:val="28"/>
          <w:rtl w:val="true"/>
          <w:lang w:bidi="ar-SA"/>
        </w:rPr>
        <w:t>و أمّا إذا کان ولیّ الصبیّ غنیّاً هل یستحقّ الاُجرة أم لا؟ فیه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له أخذ شیء من مال الصبیّ فی مقابل إدارة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إذا کان فقیراً جاز له أن یأکل من مال الیتیم</w:t>
      </w:r>
      <w:r>
        <w:rPr>
          <w:rFonts w:eastAsia="IRNazanin" w:cs="IRNazanin"/>
          <w:color w:val="111111"/>
          <w:sz w:val="28"/>
          <w:szCs w:val="28"/>
          <w:rtl w:val="true"/>
          <w:lang w:bidi="fa-IR"/>
        </w:rPr>
        <w:t>»</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غنیّاً، فلا یجوز له أخذ شیء من أموالهم</w:t>
      </w:r>
      <w:r>
        <w:rPr>
          <w:rFonts w:eastAsia="IRNazanin" w:cs="IRNazanin"/>
          <w:color w:val="111111"/>
          <w:sz w:val="28"/>
          <w:szCs w:val="28"/>
          <w:rtl w:val="true"/>
          <w:lang w:bidi="fa-IR"/>
        </w:rPr>
        <w:t>»</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کان غنیّاً، فالأقوی وجوب استعفافه مطلقاً</w:t>
      </w:r>
      <w:r>
        <w:rPr>
          <w:rFonts w:eastAsia="IRNazanin" w:cs="IRNazanin"/>
          <w:color w:val="111111"/>
          <w:sz w:val="28"/>
          <w:szCs w:val="28"/>
          <w:rtl w:val="true"/>
          <w:lang w:bidi="fa-IR"/>
        </w:rPr>
        <w:t>»</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السیوری</w:t>
      </w:r>
      <w:r>
        <w:rPr>
          <w:rStyle w:val="FootnoteAnchor"/>
          <w:rtl w:val="true"/>
        </w:rPr>
        <w:footnoteReference w:id="2041"/>
      </w:r>
      <w:r>
        <w:rPr>
          <w:rFonts w:ascii="IRNazanin" w:hAnsi="IRNazanin" w:eastAsia="IRNazanin"/>
          <w:color w:val="111111"/>
          <w:sz w:val="28"/>
          <w:sz w:val="28"/>
          <w:szCs w:val="28"/>
          <w:rtl w:val="true"/>
          <w:lang w:bidi="fa-IR"/>
        </w:rPr>
        <w:t>و المحقّق الثانی</w:t>
      </w:r>
      <w:r>
        <w:rPr>
          <w:rStyle w:val="FootnoteAnchor"/>
          <w:rtl w:val="true"/>
        </w:rPr>
        <w:footnoteReference w:id="2042"/>
      </w:r>
      <w:r>
        <w:rPr>
          <w:rFonts w:ascii="IRNazanin" w:hAnsi="IRNazanin" w:eastAsia="IRNazanin"/>
          <w:color w:val="111111"/>
          <w:sz w:val="28"/>
          <w:sz w:val="28"/>
          <w:szCs w:val="28"/>
          <w:rtl w:val="true"/>
          <w:lang w:bidi="fa-IR"/>
        </w:rPr>
        <w:t>و المحدّث الکاشانی</w:t>
      </w:r>
      <w:r>
        <w:rPr>
          <w:rStyle w:val="FootnoteAnchor"/>
          <w:rtl w:val="true"/>
        </w:rPr>
        <w:footnoteReference w:id="2043"/>
      </w:r>
      <w:r>
        <w:rPr>
          <w:rFonts w:ascii="IRNazanin" w:hAnsi="IRNazanin" w:eastAsia="IRNazanin"/>
          <w:color w:val="111111"/>
          <w:sz w:val="28"/>
          <w:sz w:val="28"/>
          <w:szCs w:val="28"/>
          <w:rtl w:val="true"/>
          <w:lang w:bidi="fa-IR"/>
        </w:rPr>
        <w:t>و المحقّق الأردبیلی</w:t>
      </w:r>
      <w:r>
        <w:rPr>
          <w:rStyle w:val="FootnoteAnchor"/>
          <w:rtl w:val="true"/>
        </w:rPr>
        <w:footnoteReference w:id="2044"/>
      </w:r>
      <w:r>
        <w:rPr>
          <w:rFonts w:ascii="IRNazanin" w:hAnsi="IRNazanin" w:eastAsia="IRNazanin"/>
          <w:color w:val="111111"/>
          <w:sz w:val="28"/>
          <w:sz w:val="28"/>
          <w:szCs w:val="28"/>
          <w:rtl w:val="true"/>
          <w:lang w:bidi="fa-IR"/>
        </w:rPr>
        <w:t>و صاحب الریاض</w:t>
      </w:r>
      <w:r>
        <w:rPr>
          <w:rStyle w:val="FootnoteAnchor"/>
          <w:rtl w:val="true"/>
        </w:rPr>
        <w:footnoteReference w:id="2045"/>
      </w:r>
      <w:r>
        <w:rPr>
          <w:rFonts w:ascii="IRNazanin" w:hAnsi="IRNazanin" w:eastAsia="IRNazanin"/>
          <w:color w:val="111111"/>
          <w:sz w:val="28"/>
          <w:sz w:val="28"/>
          <w:szCs w:val="28"/>
          <w:rtl w:val="true"/>
          <w:lang w:bidi="fa-IR"/>
        </w:rPr>
        <w:t>و کذا هو ظاهر المختصر النافع</w:t>
      </w:r>
      <w:r>
        <w:rPr>
          <w:rStyle w:val="FootnoteAnchor"/>
          <w:rtl w:val="true"/>
        </w:rPr>
        <w:footnoteReference w:id="2046"/>
      </w:r>
      <w:r>
        <w:rPr>
          <w:rFonts w:ascii="IRNazanin" w:hAnsi="IRNazanin" w:eastAsia="IRNazanin"/>
          <w:color w:val="111111"/>
          <w:sz w:val="28"/>
          <w:sz w:val="28"/>
          <w:szCs w:val="28"/>
          <w:rtl w:val="true"/>
          <w:lang w:bidi="fa-IR"/>
        </w:rPr>
        <w:t>و کشف الرموز</w:t>
      </w:r>
      <w:r>
        <w:rPr>
          <w:rStyle w:val="FootnoteAnchor"/>
          <w:rtl w:val="true"/>
        </w:rPr>
        <w:footnoteReference w:id="2047"/>
      </w:r>
      <w:r>
        <w:rPr>
          <w:rFonts w:ascii="Amiri" w:hAnsi="Amiri" w:eastAsia="Amiri" w:cs="Amiri"/>
          <w:color w:val="111111"/>
          <w:sz w:val="28"/>
          <w:sz w:val="28"/>
          <w:szCs w:val="28"/>
          <w:rtl w:val="true"/>
          <w:lang w:bidi="ar-SA"/>
        </w:rPr>
        <w:t>و اللمعة</w:t>
      </w:r>
      <w:r>
        <w:rPr>
          <w:rStyle w:val="FootnoteAnchor"/>
          <w:rtl w:val="true"/>
        </w:rPr>
        <w:footnoteReference w:id="2048"/>
      </w:r>
      <w:r>
        <w:rPr>
          <w:rFonts w:ascii="IRNazanin" w:hAnsi="IRNazanin" w:eastAsia="IRNazanin"/>
          <w:color w:val="111111"/>
          <w:sz w:val="28"/>
          <w:sz w:val="28"/>
          <w:szCs w:val="28"/>
          <w:rtl w:val="true"/>
          <w:lang w:bidi="fa-IR"/>
        </w:rPr>
        <w:t>و غیرها</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 لأنّ الأمر</w:t>
      </w:r>
      <w:bookmarkStart w:id="684" w:name="pg11753_115064"/>
    </w:p>
    <w:p>
      <w:pPr>
        <w:pStyle w:val="BookText"/>
        <w:rPr/>
      </w:pPr>
      <w:bookmarkEnd w:id="684"/>
      <w:r>
        <w:rPr>
          <w:rFonts w:ascii="IRNazanin" w:hAnsi="IRNazanin" w:eastAsia="IRNazanin"/>
          <w:color w:val="111111"/>
          <w:sz w:val="28"/>
          <w:sz w:val="28"/>
          <w:szCs w:val="28"/>
          <w:rtl w:val="true"/>
          <w:lang w:bidi="fa-IR"/>
        </w:rPr>
        <w:t>للوجوب، کما فی المبسوط‌</w:t>
      </w:r>
      <w:r>
        <w:rPr>
          <w:rStyle w:val="FootnoteAnchor"/>
          <w:rtl w:val="true"/>
        </w:rPr>
        <w:footnoteReference w:id="2051"/>
      </w:r>
      <w:r>
        <w:rPr>
          <w:rFonts w:ascii="IRNazanin" w:hAnsi="IRNazanin" w:eastAsia="IRNazanin"/>
          <w:color w:val="111111"/>
          <w:sz w:val="28"/>
          <w:sz w:val="28"/>
          <w:szCs w:val="28"/>
          <w:rtl w:val="true"/>
          <w:lang w:bidi="fa-IR"/>
        </w:rPr>
        <w:t>و المسالک</w:t>
      </w:r>
      <w:r>
        <w:rPr>
          <w:rStyle w:val="FootnoteAnchor"/>
          <w:rtl w:val="true"/>
        </w:rPr>
        <w:footnoteReference w:id="2052"/>
      </w:r>
      <w:r>
        <w:rPr>
          <w:rFonts w:ascii="IRNazanin" w:hAnsi="IRNazanin" w:eastAsia="IRNazanin"/>
          <w:color w:val="111111"/>
          <w:sz w:val="28"/>
          <w:sz w:val="28"/>
          <w:szCs w:val="28"/>
          <w:rtl w:val="true"/>
          <w:lang w:bidi="fa-IR"/>
        </w:rPr>
        <w:t>و جامع المقاصد</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وجوب التعفّف؛ لظاهر الأمر فی الآیة</w:t>
      </w:r>
      <w:r>
        <w:rPr>
          <w:rFonts w:eastAsia="IRNazanin" w:cs="IRNazanin"/>
          <w:color w:val="111111"/>
          <w:sz w:val="28"/>
          <w:szCs w:val="28"/>
          <w:rtl w:val="true"/>
          <w:lang w:bidi="fa-IR"/>
        </w:rPr>
        <w:t>»</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عدم استباحة مال الغیر إلاّ بدلیلٍ، و لا یوجد هنا دلیل کما فی التنقیح الرائع</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مع غناه فالأحوط بل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یأخذ شیئاً، للأصل</w:t>
      </w:r>
      <w:r>
        <w:rPr>
          <w:rFonts w:eastAsia="IRNazanin" w:cs="IRNazanin"/>
          <w:color w:val="111111"/>
          <w:sz w:val="28"/>
          <w:szCs w:val="28"/>
          <w:rtl w:val="true"/>
          <w:lang w:bidi="fa-IR"/>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pStyle w:val="BookText"/>
        <w:rPr/>
      </w:pPr>
      <w:r>
        <w:rPr>
          <w:rFonts w:ascii="Amiri" w:hAnsi="Amiri" w:eastAsia="Amiri" w:cs="Amiri"/>
          <w:color w:val="111111"/>
          <w:sz w:val="28"/>
          <w:sz w:val="28"/>
          <w:szCs w:val="28"/>
          <w:rtl w:val="true"/>
          <w:lang w:bidi="ar-SA"/>
        </w:rPr>
        <w:t xml:space="preserve">سماعة المتقدِّمة عن أبی عبد اللّه علیه السلام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یلی شیئاً للیتامی و هو محتاج لیس له ما یقیمه فهو یتقاضی</w:t>
      </w:r>
      <w:r>
        <w:rPr>
          <w:rStyle w:val="FootnoteAnchor"/>
          <w:rtl w:val="true"/>
        </w:rPr>
        <w:footnoteReference w:id="2057"/>
      </w:r>
      <w:r>
        <w:rPr>
          <w:rFonts w:ascii="IRNazanin" w:hAnsi="IRNazanin" w:eastAsia="IRNazanin"/>
          <w:color w:val="111111"/>
          <w:sz w:val="28"/>
          <w:sz w:val="28"/>
          <w:szCs w:val="28"/>
          <w:rtl w:val="true"/>
          <w:lang w:bidi="fa-IR"/>
        </w:rPr>
        <w:t>أموالهم و یقوم فی ضیعتهم، فلیأکل بقدر و لا یسرف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قیّد الحکم بما إذا کان الولیّ محتاجاً</w:t>
      </w:r>
      <w:r>
        <w:rPr>
          <w:rFonts w:eastAsia="IRNazanin" w:cs="IRNazanin"/>
          <w:color w:val="111111"/>
          <w:sz w:val="28"/>
          <w:szCs w:val="28"/>
          <w:rtl w:val="true"/>
          <w:lang w:bidi="fa-IR"/>
        </w:rPr>
        <w:t>.</w:t>
      </w:r>
    </w:p>
    <w:p>
      <w:pPr>
        <w:pStyle w:val="Heading6"/>
        <w:numPr>
          <w:ilvl w:val="5"/>
          <w:numId w:val="1"/>
        </w:numPr>
        <w:rPr/>
      </w:pPr>
      <w:bookmarkStart w:id="685" w:name="__RefHeading___Toc9482980_73709187"/>
      <w:bookmarkStart w:id="686" w:name="_Toc259"/>
      <w:bookmarkEnd w:id="685"/>
      <w:r>
        <w:rPr>
          <w:rtl w:val="true"/>
        </w:rPr>
        <w:t>المناقشة فی الاستدلال بالآیة</w:t>
      </w:r>
      <w:bookmarkEnd w:id="68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المبارکة و إن کان ظاهرها یوهم اشتراط کون الولیّ فقیراً؛ لأنّ الأمر للوجوب، و لکن مادّة الاستعفاف تدلّ علی الرجحان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فی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لا إشعار فیه بالوجوب، بل یدلّ بمفهومه علی الأولویّة</w:t>
      </w:r>
      <w:r>
        <w:rPr>
          <w:rFonts w:eastAsia="IRNazanin" w:cs="IRNazanin"/>
          <w:color w:val="111111"/>
          <w:sz w:val="28"/>
          <w:szCs w:val="28"/>
          <w:rtl w:val="true"/>
          <w:lang w:bidi="fa-IR"/>
        </w:rPr>
        <w:t>»</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إن کان غنیّاً استحبّ له أن یستعفف عنه</w:t>
      </w:r>
      <w:r>
        <w:rPr>
          <w:rFonts w:eastAsia="IRNazanin" w:cs="IRNazanin"/>
          <w:color w:val="111111"/>
          <w:sz w:val="28"/>
          <w:szCs w:val="28"/>
          <w:rtl w:val="true"/>
          <w:lang w:bidi="fa-IR"/>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الأمر بالاستعفاف علی الاستحباب، و ادّعوا أنّ لفظ الاستعفاف مشعر به، و له وجه</w:t>
      </w:r>
      <w:r>
        <w:rPr>
          <w:rFonts w:eastAsia="IRNazanin" w:cs="IRNazanin"/>
          <w:color w:val="111111"/>
          <w:sz w:val="28"/>
          <w:szCs w:val="28"/>
          <w:rtl w:val="true"/>
          <w:lang w:bidi="fa-IR"/>
        </w:rPr>
        <w:t>»</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یستحبّ له التعفّف مع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لقرینة العفّة الظاهرة فی الجواز</w:t>
      </w:r>
      <w:r>
        <w:rPr>
          <w:rFonts w:eastAsia="IRNazanin" w:cs="IRNazanin"/>
          <w:color w:val="111111"/>
          <w:sz w:val="28"/>
          <w:szCs w:val="28"/>
          <w:rtl w:val="true"/>
          <w:lang w:bidi="fa-IR"/>
        </w:rPr>
        <w:t>»</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المادّة تشعر بالندب</w:t>
      </w:r>
      <w:r>
        <w:rPr>
          <w:rFonts w:eastAsia="IRNazanin" w:cs="IRNazanin"/>
          <w:color w:val="111111"/>
          <w:sz w:val="28"/>
          <w:szCs w:val="28"/>
          <w:rtl w:val="true"/>
          <w:lang w:bidi="fa-IR"/>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أنظار هؤلاء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متّجهة إلی أنّ معنی الاستعفاف طلب العفاف، کما ورد فی الحدیث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النفس عن المحرّمات و عن سؤال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الاستعفاف طلب العفاف</w:t>
      </w:r>
      <w:r>
        <w:rPr>
          <w:rFonts w:eastAsia="IRNazanin" w:cs="IRNazanin"/>
          <w:color w:val="111111"/>
          <w:sz w:val="28"/>
          <w:szCs w:val="28"/>
          <w:rtl w:val="true"/>
          <w:lang w:bidi="fa-IR"/>
        </w:rPr>
        <w:t>»</w:t>
      </w:r>
      <w:r>
        <w:rPr>
          <w:rStyle w:val="FootnoteAnchor"/>
          <w:rtl w:val="true"/>
        </w:rPr>
        <w:footnoteReference w:id="2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 لابن الأثیر</w:t>
      </w:r>
      <w:r>
        <w:rPr>
          <w:rStyle w:val="FootnoteAnchor"/>
          <w:rtl w:val="true"/>
        </w:rPr>
        <w:footnoteReference w:id="2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طلب العفاف لیس بواجب بل هو مستحبّ</w:t>
      </w:r>
      <w:r>
        <w:rPr>
          <w:rFonts w:eastAsia="IRNazanin" w:cs="IRNazanin"/>
          <w:color w:val="111111"/>
          <w:sz w:val="28"/>
          <w:szCs w:val="28"/>
          <w:rtl w:val="true"/>
          <w:lang w:bidi="fa-IR"/>
        </w:rPr>
        <w:t>.</w:t>
      </w:r>
      <w:bookmarkStart w:id="687" w:name="pg11753_115066"/>
    </w:p>
    <w:p>
      <w:pPr>
        <w:pStyle w:val="BookText"/>
        <w:rPr/>
      </w:pPr>
      <w:bookmarkEnd w:id="687"/>
      <w:r>
        <w:rPr>
          <w:rFonts w:ascii="IRNazanin" w:hAnsi="IRNazanin" w:eastAsia="IRNazanin"/>
          <w:color w:val="111111"/>
          <w:sz w:val="28"/>
          <w:sz w:val="28"/>
          <w:szCs w:val="28"/>
          <w:rtl w:val="true"/>
          <w:lang w:bidi="fa-IR"/>
        </w:rPr>
        <w:t>و لذا قال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الاستعفاف کفّ النفس أو استعداد النفس لترک شیء، و لا شکّ أنّ الذی یجب علی الإنسان 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استعداد النفس لترک الحرام فهو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مدلول المادّة مع الهیئة و تقدیم المادّة علی الهیئة أولی، فیحمل الأمر علی الاستحباب</w:t>
      </w:r>
      <w:r>
        <w:rPr>
          <w:rFonts w:eastAsia="IRNazanin" w:cs="IRNazanin"/>
          <w:color w:val="111111"/>
          <w:sz w:val="28"/>
          <w:szCs w:val="28"/>
          <w:rtl w:val="true"/>
          <w:lang w:bidi="fa-IR"/>
        </w:rPr>
        <w:t>»</w:t>
      </w:r>
      <w:r>
        <w:rPr>
          <w:rStyle w:val="FootnoteAnchor"/>
          <w:rtl w:val="true"/>
        </w:rPr>
        <w:footnoteReference w:id="2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الآیة علی اشتراط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یؤیّده ما فی الکشّاف من 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لْیَسْتَعْفِفِ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لیجتهد فی العفّة و ظلف النفس</w:t>
      </w:r>
      <w:r>
        <w:rPr>
          <w:rStyle w:val="FootnoteAnchor"/>
          <w:rtl w:val="true"/>
        </w:rPr>
        <w:footnoteReference w:id="2068"/>
      </w:r>
      <w:r>
        <w:rPr>
          <w:rFonts w:ascii="IRNazanin" w:hAnsi="IRNazanin" w:eastAsia="IRNazanin"/>
          <w:color w:val="111111"/>
          <w:sz w:val="28"/>
          <w:sz w:val="28"/>
          <w:szCs w:val="28"/>
          <w:rtl w:val="true"/>
          <w:lang w:bidi="fa-IR"/>
        </w:rPr>
        <w:t>، کأن المستعفّ طالب من نفسه العفاف و حاملها علیه</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کذا ما فی کنز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لْیَسْتَعْفِفِ الَّذِینَ لا یَجِدُونَ نِکاحاً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کان الفقیر یخاف زیادة الفقر بالنکاح، فلیجتهد فی قمع الشهوة و طلب العفّة بالریاضة لتسکین شهوته</w:t>
      </w:r>
      <w:r>
        <w:rPr>
          <w:rFonts w:eastAsia="Amiri" w:cs="Amiri" w:ascii="Amiri" w:hAnsi="Amiri"/>
          <w:color w:val="111111"/>
          <w:sz w:val="28"/>
          <w:szCs w:val="28"/>
          <w:rtl w:val="true"/>
          <w:lang w:bidi="ar-SA"/>
        </w:rPr>
        <w:t>»</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9482982_73709187"/>
      <w:bookmarkStart w:id="689" w:name="_Toc260"/>
      <w:bookmarkEnd w:id="688"/>
      <w:r>
        <w:rPr>
          <w:rtl w:val="true"/>
        </w:rPr>
        <w:t>المناقشة فی الاستدلال بالموثّقة</w:t>
      </w:r>
      <w:bookmarkEnd w:id="689"/>
    </w:p>
    <w:p>
      <w:pPr>
        <w:pStyle w:val="BookText"/>
        <w:rPr/>
      </w:pPr>
      <w:r>
        <w:rPr>
          <w:rFonts w:ascii="IRNazanin" w:hAnsi="IRNazanin" w:eastAsia="IRNazanin"/>
          <w:color w:val="111111"/>
          <w:sz w:val="28"/>
          <w:sz w:val="28"/>
          <w:szCs w:val="28"/>
          <w:rtl w:val="true"/>
          <w:lang w:bidi="fa-IR"/>
        </w:rPr>
        <w:t>و یرد علی الاستدلال بموثّقة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فیها تقییداً بکون الولیّ محتاجاً و لیس له ما یقیمه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الموثّقة و کذا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الآیة</w:t>
      </w:r>
    </w:p>
    <w:p>
      <w:pPr>
        <w:pStyle w:val="BookText"/>
        <w:rPr/>
      </w:pPr>
      <w:r>
        <w:rPr>
          <w:rFonts w:ascii="IRNazanin" w:hAnsi="IRNazanin" w:eastAsia="IRNazanin"/>
          <w:color w:val="111111"/>
          <w:sz w:val="28"/>
          <w:sz w:val="28"/>
          <w:szCs w:val="28"/>
          <w:rtl w:val="true"/>
          <w:lang w:bidi="fa-IR"/>
        </w:rPr>
        <w:t>المبارکة لیس معناهما الفقر الشرعیّ‌</w:t>
      </w:r>
      <w:r>
        <w:rPr>
          <w:rStyle w:val="FootnoteAnchor"/>
          <w:rtl w:val="true"/>
        </w:rPr>
        <w:footnoteReference w:id="2071"/>
      </w:r>
      <w:r>
        <w:rPr>
          <w:rFonts w:ascii="IRNazanin" w:hAnsi="IRNazanin" w:eastAsia="IRNazanin"/>
          <w:color w:val="111111"/>
          <w:sz w:val="28"/>
          <w:sz w:val="28"/>
          <w:szCs w:val="28"/>
          <w:rtl w:val="true"/>
          <w:lang w:bidi="fa-IR"/>
        </w:rPr>
        <w:t>، بل الظاهر</w:t>
      </w:r>
      <w:r>
        <w:rPr>
          <w:rStyle w:val="FootnoteAnchor"/>
          <w:rtl w:val="true"/>
        </w:rPr>
        <w:footnoteReference w:id="2072"/>
      </w:r>
      <w:r>
        <w:rPr>
          <w:rFonts w:ascii="IRNazanin" w:hAnsi="IRNazanin" w:eastAsia="IRNazanin"/>
          <w:color w:val="111111"/>
          <w:sz w:val="28"/>
          <w:sz w:val="28"/>
          <w:szCs w:val="28"/>
          <w:rtl w:val="true"/>
          <w:lang w:bidi="fa-IR"/>
        </w:rPr>
        <w:t>أنّ المراد منهما فی الآیة و الموثّقة من کان مشتغلاً بإصلاح أموال الصبیّ أو الیتیم، و کانت أوقاته مستغرقة فی تدبیر شئونه بحیث یشغله ذلک عن تحصیل معیشته و الاشتغال لنفسه، و یدلّ علی ذلک صریحاً قوله علیه السلام فی الموثّقة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ضیعتهم لا تشغله عمّا یعالج بنفسه فلا یرزأنّ‌</w:t>
      </w:r>
      <w:r>
        <w:rPr>
          <w:rStyle w:val="FootnoteAnchor"/>
          <w:rtl w:val="true"/>
        </w:rPr>
        <w:footnoteReference w:id="2073"/>
      </w:r>
      <w:r>
        <w:rPr>
          <w:rFonts w:ascii="IRNazanin" w:hAnsi="IRNazanin" w:eastAsia="IRNazanin"/>
          <w:color w:val="111111"/>
          <w:sz w:val="28"/>
          <w:sz w:val="28"/>
          <w:szCs w:val="28"/>
          <w:rtl w:val="true"/>
          <w:lang w:bidi="fa-IR"/>
        </w:rPr>
        <w:t>من أموالهم شیئاً</w:t>
      </w:r>
      <w:r>
        <w:rPr>
          <w:rFonts w:eastAsia="IRNazanin" w:cs="IRNazanin"/>
          <w:color w:val="111111"/>
          <w:sz w:val="28"/>
          <w:szCs w:val="28"/>
          <w:rtl w:val="true"/>
          <w:lang w:bidi="fa-IR"/>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یستفاد هذا المعنی من الروایات الکثیرة الواردة عنهم علیهم السلام فی بیان معنی الآیة الکریمة التی فیها المعتبرة، مثل قوله علیه السلام فی خبر أبی الصباح الکنانی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رجل یحبس نفسه عن المعیشة، فلا بأس أن یأکل بالمعروف إذا کان یصلح لهم أموالهم</w:t>
      </w:r>
      <w:r>
        <w:rPr>
          <w:rFonts w:eastAsia="IRNazanin" w:cs="IRNazanin"/>
          <w:color w:val="111111"/>
          <w:sz w:val="28"/>
          <w:szCs w:val="28"/>
          <w:rtl w:val="true"/>
          <w:lang w:bidi="fa-IR"/>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الواردة فی تفسیر العیّاشی، مثل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أبو اسامة، عن أبی عبد اللّه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رجل یحبس نفسه علی أموال الیتامی فیقوم لهم فیها و یقوم لهم علیها، فقد شغل نفسه عن طلب المعیشة، فلا بأس أن یأکل بالمعروف إذا کان یصلح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و کذا ما رواه أبو بصیر، عنه علیه السلام</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زرارة، عن أبی جعفر علیه السلام</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زرارة و محمّد بن مسلم، عن أبی عبد اللّه علیه السلام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صحیحة عبد اللّه بن سنان المتقدّمة التی رواها الشیخ فی التهذیب</w:t>
      </w:r>
    </w:p>
    <w:p>
      <w:pPr>
        <w:pStyle w:val="BookText"/>
        <w:rPr/>
      </w:pPr>
      <w:r>
        <w:rPr>
          <w:rFonts w:ascii="IRNazanin" w:hAnsi="IRNazanin" w:eastAsia="IRNazanin"/>
          <w:color w:val="111111"/>
          <w:sz w:val="28"/>
          <w:sz w:val="28"/>
          <w:szCs w:val="28"/>
          <w:rtl w:val="true"/>
          <w:lang w:bidi="fa-IR"/>
        </w:rPr>
        <w:t>بإسناده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القیّم للیتامی فی الشراء لهم و البیع فیما یصلحهم، أ له أن یأکل من أموالهم؟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یأکل من أموالهم بالمعروف، کما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تأمّلت ما تقدّم من النصوص الکثیرة التی اختلفت ألفاظها، و لکنّها اشتملت علی معنی مشترک بینها، یحصل لک الاطمئنان بذلک القدر المشترک، و یصحّ أن یقال، إنّ جمیع الأخبار المتقدّمة مطلقة بالنسبة إلی الفقیر و الغنیّ إلاّ موثّقة سماعة؛ فإنّ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یلی شیئاً للیتامی و هو محتاج لیس له ما یقیمه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فلیأکل بقدر و لا یسرف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معنی المحتاج فی هذه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المتحصّل من الآیة الشریفة بضمیمة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المتولّی لأمر الصغار إذا کان مشتغلاً بإصلاح أموالهم و تدبیر شئونهم، بحیث یشغله ذلک عن کسبه و تحصیل معیشته و تدبیر مال نفسه، فیجوز له أن یأخذ من أموالهم بالقدر المعروف؛ سواء کان غنیّاً أو فقیراً، و المقدار المعروف هو اجرة المثل؛ لأنّ المراد بالأکل أعمّ من المعنی الحقیقی، فیشمل مطلق التصرّف کالأخذ و التملّک و غیرهما، کما أنّ المعروف ما عرف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ما یکون عند العقلاء متعارفاً، و أخذ اجرة المثل متعارف عندهم</w:t>
      </w:r>
      <w:r>
        <w:rPr>
          <w:rFonts w:eastAsia="IRNazanin" w:cs="IRNazanin"/>
          <w:color w:val="111111"/>
          <w:sz w:val="28"/>
          <w:szCs w:val="28"/>
          <w:rtl w:val="true"/>
          <w:lang w:bidi="fa-IR"/>
        </w:rPr>
        <w:t>.</w:t>
      </w:r>
      <w:bookmarkStart w:id="690" w:name="pg11753_115069"/>
    </w:p>
    <w:p>
      <w:pPr>
        <w:pStyle w:val="BookText"/>
        <w:rPr/>
      </w:pPr>
      <w:bookmarkEnd w:id="690"/>
      <w:r>
        <w:rPr>
          <w:rFonts w:ascii="IRNazanin" w:hAnsi="IRNazanin" w:eastAsia="IRNazanin"/>
          <w:color w:val="111111"/>
          <w:sz w:val="28"/>
          <w:sz w:val="28"/>
          <w:szCs w:val="28"/>
          <w:rtl w:val="true"/>
          <w:lang w:bidi="fa-IR"/>
        </w:rPr>
        <w:t>و أمّا إذا کان قادراً علی کلا الأمرین، و هو یقدر علی تحصیل معاشه و تدبیر امور الصغار فیستحبّ له التعفّف</w:t>
      </w:r>
      <w:r>
        <w:rPr>
          <w:rFonts w:eastAsia="IRNazanin" w:cs="IRNazanin"/>
          <w:color w:val="111111"/>
          <w:sz w:val="28"/>
          <w:szCs w:val="28"/>
          <w:rtl w:val="true"/>
          <w:lang w:bidi="fa-IR"/>
        </w:rPr>
        <w:t>.</w:t>
      </w:r>
    </w:p>
    <w:p>
      <w:pPr>
        <w:pStyle w:val="Heading6"/>
        <w:numPr>
          <w:ilvl w:val="5"/>
          <w:numId w:val="1"/>
        </w:numPr>
        <w:rPr/>
      </w:pPr>
      <w:bookmarkStart w:id="691" w:name="__RefHeading___Toc9482984_73709187"/>
      <w:bookmarkStart w:id="692" w:name="_Toc261"/>
      <w:bookmarkEnd w:id="691"/>
      <w:r>
        <w:rPr>
          <w:rtl w:val="true"/>
        </w:rPr>
        <w:t>جواز أخذ الاُجرة</w:t>
      </w:r>
      <w:bookmarkEnd w:id="692"/>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المتولّی لاُمور الصبیّ غنیّاً یجوز له أخذ الاُجرة، کما هو ظاهر النهایة</w:t>
      </w:r>
      <w:r>
        <w:rPr>
          <w:rStyle w:val="FootnoteAnchor"/>
          <w:rtl w:val="true"/>
        </w:rPr>
        <w:footnoteReference w:id="2080"/>
      </w:r>
      <w:r>
        <w:rPr>
          <w:rFonts w:ascii="IRNazanin" w:hAnsi="IRNazanin" w:eastAsia="IRNazanin"/>
          <w:color w:val="111111"/>
          <w:sz w:val="28"/>
          <w:sz w:val="28"/>
          <w:szCs w:val="28"/>
          <w:rtl w:val="true"/>
          <w:lang w:bidi="fa-IR"/>
        </w:rPr>
        <w:t>و الوسیلة</w:t>
      </w:r>
      <w:r>
        <w:rPr>
          <w:rStyle w:val="FootnoteAnchor"/>
          <w:rtl w:val="true"/>
        </w:rPr>
        <w:footnoteReference w:id="2081"/>
      </w:r>
      <w:r>
        <w:rPr>
          <w:rFonts w:ascii="IRNazanin" w:hAnsi="IRNazanin" w:eastAsia="IRNazanin"/>
          <w:color w:val="111111"/>
          <w:sz w:val="28"/>
          <w:sz w:val="28"/>
          <w:szCs w:val="28"/>
          <w:rtl w:val="true"/>
          <w:lang w:bidi="fa-IR"/>
        </w:rPr>
        <w:t>و إصباح الشیعة</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و الشرائع</w:t>
      </w:r>
      <w:r>
        <w:rPr>
          <w:rStyle w:val="FootnoteAnchor"/>
          <w:rtl w:val="true"/>
        </w:rPr>
        <w:footnoteReference w:id="2083"/>
      </w:r>
      <w:r>
        <w:rPr>
          <w:rFonts w:ascii="IRNazanin" w:hAnsi="IRNazanin" w:eastAsia="IRNazanin"/>
          <w:color w:val="111111"/>
          <w:sz w:val="28"/>
          <w:sz w:val="28"/>
          <w:szCs w:val="28"/>
          <w:rtl w:val="true"/>
          <w:lang w:bidi="fa-IR"/>
        </w:rPr>
        <w:t>و القواعد فی موضعین</w:t>
      </w:r>
      <w:r>
        <w:rPr>
          <w:rStyle w:val="FootnoteAnchor"/>
          <w:rtl w:val="true"/>
        </w:rPr>
        <w:footnoteReference w:id="2084"/>
      </w:r>
      <w:r>
        <w:rPr>
          <w:rFonts w:ascii="IRNazanin" w:hAnsi="IRNazanin" w:eastAsia="IRNazanin"/>
          <w:color w:val="111111"/>
          <w:sz w:val="28"/>
          <w:sz w:val="28"/>
          <w:szCs w:val="28"/>
          <w:rtl w:val="true"/>
          <w:lang w:bidi="fa-IR"/>
        </w:rPr>
        <w:t>و التحریر</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بذلک فی التذکرة،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إمّا أن یکون غنیّاً أو فقیراً، فإن کان غنیّاً استحبّ له أن یستعفف عنه فلا یأکل منه شیئاً، عملاً بالآیة، و هل یسوغ له مع الاستغناء أخذ شیء من ماله؟ الأقرب ذلک علی سبیل اجرة المثل، و لا یأخذ زیادة علیه</w:t>
      </w:r>
      <w:r>
        <w:rPr>
          <w:rFonts w:eastAsia="IRNazanin" w:cs="IRNazanin"/>
          <w:color w:val="111111"/>
          <w:sz w:val="28"/>
          <w:szCs w:val="28"/>
          <w:rtl w:val="true"/>
          <w:lang w:bidi="fa-IR"/>
        </w:rPr>
        <w:t>»</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حقّه أن لا یفرّق فی جواز الأخذ بین الغنیّ و الفقیر؛ لأنّ محطّ نظره هو العمل دون الفقر</w:t>
      </w:r>
      <w:r>
        <w:rPr>
          <w:rFonts w:eastAsia="IRNazanin" w:cs="IRNazanin"/>
          <w:color w:val="111111"/>
          <w:sz w:val="28"/>
          <w:szCs w:val="28"/>
          <w:rtl w:val="true"/>
          <w:lang w:bidi="fa-IR"/>
        </w:rPr>
        <w:t>...»</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صرّح بذلک فی الجواهر</w:t>
      </w:r>
      <w:r>
        <w:rPr>
          <w:rStyle w:val="FootnoteAnchor"/>
          <w:rtl w:val="true"/>
        </w:rPr>
        <w:footnoteReference w:id="2088"/>
      </w:r>
      <w:r>
        <w:rPr>
          <w:rFonts w:ascii="IRNazanin" w:hAnsi="IRNazanin" w:eastAsia="IRNazanin"/>
          <w:color w:val="111111"/>
          <w:sz w:val="28"/>
          <w:sz w:val="28"/>
          <w:szCs w:val="28"/>
          <w:rtl w:val="true"/>
          <w:lang w:bidi="fa-IR"/>
        </w:rPr>
        <w:t>و وسیلة النجاة</w:t>
      </w:r>
      <w:r>
        <w:rPr>
          <w:rStyle w:val="FootnoteAnchor"/>
          <w:rtl w:val="true"/>
        </w:rPr>
        <w:footnoteReference w:id="2089"/>
      </w:r>
      <w:r>
        <w:rPr>
          <w:rFonts w:ascii="IRNazanin" w:hAnsi="IRNazanin" w:eastAsia="IRNazanin"/>
          <w:color w:val="111111"/>
          <w:sz w:val="28"/>
          <w:sz w:val="28"/>
          <w:szCs w:val="28"/>
          <w:rtl w:val="true"/>
          <w:lang w:bidi="fa-IR"/>
        </w:rPr>
        <w:t>و مهذّب الأحکام</w:t>
      </w:r>
      <w:r>
        <w:rPr>
          <w:rStyle w:val="FootnoteAnchor"/>
          <w:rtl w:val="true"/>
        </w:rPr>
        <w:footnoteReference w:id="2090"/>
      </w:r>
      <w:bookmarkStart w:id="693" w:name="pg11753_115070"/>
    </w:p>
    <w:p>
      <w:pPr>
        <w:pStyle w:val="BookText"/>
        <w:rPr/>
      </w:pPr>
      <w:bookmarkEnd w:id="693"/>
      <w:r>
        <w:rPr>
          <w:rFonts w:ascii="IRNazanin" w:hAnsi="IRNazanin" w:eastAsia="IRNazanin"/>
          <w:color w:val="111111"/>
          <w:sz w:val="28"/>
          <w:sz w:val="28"/>
          <w:szCs w:val="28"/>
          <w:rtl w:val="true"/>
          <w:lang w:bidi="fa-IR"/>
        </w:rPr>
        <w:t>و فی المسالک</w:t>
      </w:r>
      <w:r>
        <w:rPr>
          <w:rStyle w:val="FootnoteAnchor"/>
          <w:rtl w:val="true"/>
        </w:rPr>
        <w:footnoteReference w:id="2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هذا أیضاً من کلام السیّد المحقّق الخوئی فی منهاج الصالحین</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و لکن أشکل قدس سره فی موضع آخر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غنیّاً ففیه إشکال، و الأحوط الترک</w:t>
      </w:r>
      <w:r>
        <w:rPr>
          <w:rFonts w:eastAsia="IRNazanin" w:cs="IRNazanin"/>
          <w:color w:val="111111"/>
          <w:sz w:val="28"/>
          <w:szCs w:val="28"/>
          <w:rtl w:val="true"/>
          <w:lang w:bidi="fa-IR"/>
        </w:rPr>
        <w:t>»</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للقیّم الذی یتولّی امور الیتیم أن یأخذ من ماله اجرة مثل عمله؛ سواء کان غنیّاً أو فقیراً، و إن کان الأحوط الأولی للأوّل التجنّب</w:t>
      </w:r>
      <w:r>
        <w:rPr>
          <w:rFonts w:eastAsia="IRNazanin" w:cs="IRNazanin"/>
          <w:color w:val="111111"/>
          <w:sz w:val="28"/>
          <w:szCs w:val="28"/>
          <w:rtl w:val="true"/>
          <w:lang w:bidi="fa-IR"/>
        </w:rPr>
        <w:t>»</w:t>
      </w:r>
      <w:r>
        <w:rPr>
          <w:rStyle w:val="FootnoteAnchor"/>
          <w:rtl w:val="true"/>
        </w:rPr>
        <w:footnoteReference w:id="2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9482986_73709187"/>
      <w:bookmarkStart w:id="695" w:name="_Toc262"/>
      <w:bookmarkEnd w:id="694"/>
      <w:r>
        <w:rPr>
          <w:rtl w:val="true"/>
        </w:rPr>
        <w:t>أدلّة جواز أخذ الاُجرة مع الغنی</w:t>
      </w:r>
      <w:bookmarkEnd w:id="695"/>
    </w:p>
    <w:p>
      <w:pPr>
        <w:pStyle w:val="BookText"/>
        <w:rPr/>
      </w:pPr>
      <w:r>
        <w:rPr>
          <w:rFonts w:ascii="IRNazanin" w:hAnsi="IRNazanin" w:eastAsia="IRNazanin"/>
          <w:color w:val="111111"/>
          <w:sz w:val="28"/>
          <w:sz w:val="28"/>
          <w:szCs w:val="28"/>
          <w:rtl w:val="true"/>
          <w:lang w:bidi="fa-IR"/>
        </w:rPr>
        <w:t>و یمکن أن یستدلّ للقول الثانی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الأخبار الواردة فی هذا الباب، التی تقدّم ذکرها فی المباحث السابقة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Style w:val="FootnoteAnchor"/>
          <w:rtl w:val="true"/>
        </w:rPr>
        <w:footnoteReference w:id="2096"/>
      </w:r>
      <w:r>
        <w:rPr>
          <w:rFonts w:ascii="IRNazanin" w:hAnsi="IRNazanin" w:eastAsia="IRNazanin"/>
          <w:color w:val="111111"/>
          <w:sz w:val="28"/>
          <w:sz w:val="28"/>
          <w:szCs w:val="28"/>
          <w:rtl w:val="true"/>
          <w:lang w:bidi="fa-IR"/>
        </w:rPr>
        <w:t>احترام عمل المسلم</w:t>
      </w:r>
      <w:r>
        <w:rPr>
          <w:rStyle w:val="FootnoteAnchor"/>
          <w:rtl w:val="true"/>
        </w:rPr>
        <w:footnoteReference w:id="2097"/>
      </w:r>
      <w:r>
        <w:rPr>
          <w:rFonts w:ascii="IRNazanin" w:hAnsi="IRNazanin" w:eastAsia="IRNazanin"/>
          <w:color w:val="111111"/>
          <w:sz w:val="28"/>
          <w:sz w:val="28"/>
          <w:szCs w:val="28"/>
          <w:rtl w:val="true"/>
          <w:lang w:bidi="fa-IR"/>
        </w:rPr>
        <w:t>؛ و هی أنّ عمل المسلم محترمٌ</w:t>
      </w:r>
    </w:p>
    <w:p>
      <w:pPr>
        <w:pStyle w:val="BookText"/>
        <w:rPr/>
      </w:pPr>
      <w:r>
        <w:rPr>
          <w:rFonts w:ascii="IRNazanin" w:hAnsi="IRNazanin" w:eastAsia="IRNazanin"/>
          <w:color w:val="111111"/>
          <w:sz w:val="28"/>
          <w:sz w:val="28"/>
          <w:szCs w:val="28"/>
          <w:rtl w:val="true"/>
          <w:lang w:bidi="fa-IR"/>
        </w:rPr>
        <w:t>و مأجور، فلیؤدّ اجرته إذا لم یقصد به التبرّع</w:t>
      </w:r>
      <w:r>
        <w:rPr>
          <w:rStyle w:val="FootnoteAnchor"/>
          <w:rtl w:val="true"/>
        </w:rPr>
        <w:footnoteReference w:id="2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الاحترام بلحاظ رعایة سلطنة المسلم علی عمله؛ و معنی احترام العمل هنا عدم جواز أمره بالعمل بلا جعل اجرة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وقع من عامل لأحد بحیث یقع بأمره و تحصیلاً لغرضه، فلا بدّ من أداء عوضه؛ لقاعدتی الاحترام و نفی الضرار</w:t>
      </w:r>
      <w:r>
        <w:rPr>
          <w:rFonts w:eastAsia="IRNazanin" w:cs="IRNazanin"/>
          <w:color w:val="111111"/>
          <w:sz w:val="28"/>
          <w:szCs w:val="28"/>
          <w:rtl w:val="true"/>
          <w:lang w:bidi="fa-IR"/>
        </w:rPr>
        <w:t>»</w:t>
      </w:r>
      <w:r>
        <w:rPr>
          <w:rStyle w:val="FootnoteAnchor"/>
          <w:rtl w:val="true"/>
        </w:rPr>
        <w:footnoteReference w:id="2099"/>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قاعدة احترام العمل من القواعد النظامیّة المقرّرة شرعاً المتقنة، لا تصلح للتقیید بمثل الآیة الکریمة المجملة من هذه الجهة، و کذا ما سیقت مساقها من الأخبار کما لا یخفی علی اولی الأبصار</w:t>
      </w:r>
      <w:r>
        <w:rPr>
          <w:rFonts w:eastAsia="IRNazanin" w:cs="IRNazanin"/>
          <w:color w:val="111111"/>
          <w:sz w:val="28"/>
          <w:szCs w:val="28"/>
          <w:rtl w:val="true"/>
          <w:lang w:bidi="fa-IR"/>
        </w:rPr>
        <w:t>»</w:t>
      </w:r>
      <w:r>
        <w:rPr>
          <w:rStyle w:val="FootnoteAnchor"/>
          <w:rtl w:val="true"/>
        </w:rPr>
        <w:footnoteReference w:id="2101"/>
      </w:r>
      <w:bookmarkStart w:id="696" w:name="pg11753_115072"/>
    </w:p>
    <w:p>
      <w:pPr>
        <w:pStyle w:val="BookText"/>
        <w:rPr/>
      </w:pPr>
      <w:bookmarkEnd w:id="696"/>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نفی الضرر</w:t>
      </w:r>
      <w:r>
        <w:rPr>
          <w:rStyle w:val="FootnoteAnchor"/>
          <w:rtl w:val="true"/>
        </w:rPr>
        <w:footnoteReference w:id="2102"/>
      </w:r>
      <w:r>
        <w:rPr>
          <w:rFonts w:ascii="IRNazanin" w:hAnsi="IRNazanin" w:eastAsia="IRNazanin"/>
          <w:color w:val="111111"/>
          <w:sz w:val="28"/>
          <w:sz w:val="28"/>
          <w:szCs w:val="28"/>
          <w:rtl w:val="true"/>
          <w:lang w:bidi="fa-IR"/>
        </w:rPr>
        <w:t>؛ لأنّ المنفی بالقاعدة إمّا هو الحکم الضرری، أو المنفی بها هو الحکم بنفی موضوعه الضرری، و علی کلّ حال أمر الشارع للولیّ و القیّم بتولیة أموال الصبیّ بلا جعل عوض و اجرة له إضرار</w:t>
      </w:r>
      <w:r>
        <w:rPr>
          <w:rStyle w:val="FootnoteAnchor"/>
          <w:rtl w:val="true"/>
        </w:rPr>
        <w:footnoteReference w:id="2103"/>
      </w:r>
      <w:r>
        <w:rPr>
          <w:rFonts w:ascii="IRNazanin" w:hAnsi="IRNazanin" w:eastAsia="IRNazanin"/>
          <w:color w:val="111111"/>
          <w:sz w:val="28"/>
          <w:sz w:val="28"/>
          <w:szCs w:val="28"/>
          <w:rtl w:val="true"/>
          <w:lang w:bidi="fa-IR"/>
        </w:rPr>
        <w:t>بالولیّ و القیّم؛ لأنّ الولیّ یصرف أوقاته بحفظ أموال الصبیّ و إصلاح اموره و تدبیر شئونه، فإذا کان کلّ ذلک بلا عوض و اجرة تضرّر به، و هذا منفی بقاعدة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إلی ذلک فی المختلف</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الفقیه القمّی رحمه الله فی جامع شتاته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الاختلاف فی المسألة من جهة الاختلاف فی الأخبار و التفهّم فی الآیات القرآنیة، و الأرجح عندی هو القول بثبوت اجرة المثل مطلقاً</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ذلک أنّه عمل غیر محرّم و محترم و کان مأذوناً فیه، بل هو مطلوب الشارع و أمر به، فیستحقّ الولیّ الاُجرة؛ لأنّ المفروض أنّه لم یقصد التبرّع، و أیضاً لو لم نقل بالاُجرة یلزم الإضرار للولی؛ لأنّه صرف أوقاته لاُمور الیتیم من دون اجرة و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یهتمّ باُمور الصغار یلزم الإضرار للیتیم، و الضرر منفی فی الإسلام</w:t>
      </w:r>
      <w:r>
        <w:rPr>
          <w:rFonts w:eastAsia="IRNazanin" w:cs="IRNazanin"/>
          <w:color w:val="111111"/>
          <w:sz w:val="28"/>
          <w:szCs w:val="28"/>
          <w:rtl w:val="true"/>
          <w:lang w:bidi="fa-IR"/>
        </w:rPr>
        <w:t>»</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7" w:name="__RefHeading___Toc9482988_73709187"/>
      <w:bookmarkStart w:id="698" w:name="_Toc263"/>
      <w:bookmarkEnd w:id="697"/>
      <w:r>
        <w:rPr>
          <w:rtl w:val="true"/>
        </w:rPr>
        <w:t>اُمور هامّة ینبغی ذکرها</w:t>
      </w:r>
      <w:bookmarkEnd w:id="69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ترک الاحتیاط فی هذه المسألة؛ لشدّة التأکید کتاباً و سنّة فی التجنّب عن أموال الیتامی، خصوصاً بعد خبر رفاعة المروی</w:t>
      </w:r>
    </w:p>
    <w:p>
      <w:pPr>
        <w:pStyle w:val="BookText"/>
        <w:rPr/>
      </w:pPr>
      <w:r>
        <w:rPr>
          <w:rFonts w:ascii="IRNazanin" w:hAnsi="IRNazanin" w:eastAsia="IRNazanin"/>
          <w:color w:val="111111"/>
          <w:sz w:val="28"/>
          <w:sz w:val="28"/>
          <w:szCs w:val="28"/>
          <w:rtl w:val="true"/>
          <w:lang w:bidi="fa-IR"/>
        </w:rPr>
        <w:t>عن تفسیر العیّاشی،</w:t>
      </w:r>
    </w:p>
    <w:p>
      <w:pPr>
        <w:pStyle w:val="BookText"/>
        <w:rPr/>
      </w:pPr>
      <w:r>
        <w:rPr>
          <w:rFonts w:ascii="Amiri" w:hAnsi="Amiri" w:eastAsia="Amiri" w:cs="Amiri"/>
          <w:color w:val="111111"/>
          <w:sz w:val="28"/>
          <w:sz w:val="28"/>
          <w:szCs w:val="28"/>
          <w:rtl w:val="true"/>
          <w:lang w:bidi="ar-SA"/>
        </w:rPr>
        <w:t xml:space="preserve">عن أبی عبد اللّه علیه السلام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منسوخة</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مجمع البیان، عن جماعة من أهل السنّة تفسیرها بأخذ قدر الحاجة من مال الیتیم علی جهة القرض ثمّ یردّ علیه ما أخذ إذا وجد،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المرویّ عن الباقر علیه السلام</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الثابت عندنا خلافهما کما تقدّم</w:t>
      </w:r>
      <w:r>
        <w:rPr>
          <w:rFonts w:eastAsia="IRNazanin" w:cs="IRNazanin"/>
          <w:color w:val="111111"/>
          <w:sz w:val="28"/>
          <w:szCs w:val="28"/>
          <w:rtl w:val="true"/>
          <w:lang w:bidi="fa-IR"/>
        </w:rPr>
        <w:t>»</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یجعل للوصیّ جعلاً، و لو لم یجعل جاز له أخذ اجرة المثل عن نظره فی ماله</w:t>
      </w:r>
      <w:r>
        <w:rPr>
          <w:rFonts w:eastAsia="IRNazanin" w:cs="IRNazanin"/>
          <w:color w:val="111111"/>
          <w:sz w:val="28"/>
          <w:szCs w:val="28"/>
          <w:rtl w:val="true"/>
          <w:lang w:bidi="fa-IR"/>
        </w:rPr>
        <w:t>»</w:t>
      </w:r>
      <w:r>
        <w:rPr>
          <w:rStyle w:val="FootnoteAnchor"/>
          <w:rtl w:val="true"/>
        </w:rPr>
        <w:footnoteReference w:id="2110"/>
      </w:r>
      <w:r>
        <w:rPr>
          <w:rFonts w:ascii="IRNazanin" w:hAnsi="IRNazanin" w:eastAsia="IRNazanin"/>
          <w:color w:val="111111"/>
          <w:sz w:val="28"/>
          <w:sz w:val="28"/>
          <w:szCs w:val="28"/>
          <w:rtl w:val="true"/>
          <w:lang w:bidi="fa-IR"/>
        </w:rPr>
        <w:t>، و کذا فی التحریر</w:t>
      </w:r>
      <w:r>
        <w:rPr>
          <w:rStyle w:val="FootnoteAnchor"/>
          <w:rtl w:val="true"/>
        </w:rPr>
        <w:footnoteReference w:id="2111"/>
      </w:r>
      <w:r>
        <w:rPr>
          <w:rFonts w:ascii="IRNazanin" w:hAnsi="IRNazanin" w:eastAsia="IRNazanin"/>
          <w:color w:val="111111"/>
          <w:sz w:val="28"/>
          <w:sz w:val="28"/>
          <w:szCs w:val="28"/>
          <w:rtl w:val="true"/>
          <w:lang w:bidi="fa-IR"/>
        </w:rPr>
        <w:t>، و الدروس</w:t>
      </w:r>
      <w:r>
        <w:rPr>
          <w:rStyle w:val="FootnoteAnchor"/>
          <w:rtl w:val="true"/>
        </w:rPr>
        <w:footnoteReference w:id="2112"/>
      </w:r>
    </w:p>
    <w:p>
      <w:pPr>
        <w:pStyle w:val="BookText"/>
        <w:rPr/>
      </w:pPr>
      <w:r>
        <w:rPr>
          <w:rFonts w:ascii="IRNazanin" w:hAnsi="IRNazanin" w:eastAsia="IRNazanin"/>
          <w:color w:val="111111"/>
          <w:sz w:val="28"/>
          <w:sz w:val="28"/>
          <w:szCs w:val="28"/>
          <w:rtl w:val="true"/>
          <w:lang w:bidi="fa-IR"/>
        </w:rPr>
        <w:t>و فی المختصر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له فی الوصیّة جاز</w:t>
      </w:r>
      <w:r>
        <w:rPr>
          <w:rFonts w:eastAsia="IRNazanin" w:cs="IRNazanin"/>
          <w:color w:val="111111"/>
          <w:sz w:val="28"/>
          <w:szCs w:val="28"/>
          <w:rtl w:val="true"/>
          <w:lang w:bidi="fa-IR"/>
        </w:rPr>
        <w:t>»</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جواز بذل جعل للوصیّ علی عمله کما فی 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یجعل له فتولّی امور الأطفال و قام بمصالحهم کان له أن یأخذ عن تصرّفه عوضاً</w:t>
      </w:r>
      <w:r>
        <w:rPr>
          <w:rFonts w:eastAsia="IRNazanin" w:cs="IRNazanin"/>
          <w:color w:val="111111"/>
          <w:sz w:val="28"/>
          <w:szCs w:val="28"/>
          <w:rtl w:val="true"/>
          <w:lang w:bidi="fa-IR"/>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مفتاح الکرامة</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ما تقدّم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نیّة أخذ العوض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ذهل</w:t>
      </w:r>
    </w:p>
    <w:p>
      <w:pPr>
        <w:pStyle w:val="BookText"/>
        <w:rPr/>
      </w:pPr>
      <w:r>
        <w:rPr>
          <w:rFonts w:ascii="IRNazanin" w:hAnsi="IRNazanin" w:eastAsia="IRNazanin"/>
          <w:color w:val="111111"/>
          <w:sz w:val="28"/>
          <w:sz w:val="28"/>
          <w:szCs w:val="28"/>
          <w:rtl w:val="true"/>
          <w:lang w:bidi="fa-IR"/>
        </w:rPr>
        <w:t>عن القصد فالظاهر جواز الأخذ؛ لأنّه مأمور بالعمل من الشارع فیستحق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نوی التبرّع بعمله لم یکن له أخذ شیء مطلقاً، کما فی المسالک</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أن لا یکون بعمله متبرّعاً</w:t>
      </w:r>
      <w:r>
        <w:rPr>
          <w:rStyle w:val="FootnoteAnchor"/>
          <w:rtl w:val="true"/>
        </w:rPr>
        <w:footnoteReference w:id="2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فی مفاتیح الشرائع</w:t>
      </w:r>
      <w:r>
        <w:rPr>
          <w:rStyle w:val="FootnoteAnchor"/>
          <w:rtl w:val="true"/>
        </w:rPr>
        <w:footnoteReference w:id="2118"/>
      </w:r>
      <w:r>
        <w:rPr>
          <w:rFonts w:ascii="IRNazanin" w:hAnsi="IRNazanin" w:eastAsia="IRNazanin"/>
          <w:color w:val="111111"/>
          <w:sz w:val="28"/>
          <w:sz w:val="28"/>
          <w:szCs w:val="28"/>
          <w:rtl w:val="true"/>
          <w:lang w:bidi="fa-IR"/>
        </w:rPr>
        <w:t>و الجواهر</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لم یجز للوصیّ أخذ شیء من أموال الأیتام، إذا عیّن الموصی مقدار المال الموصی به و طبّقه علی مصرفه المعیّن المقدّر، بحیث لم یُبق شیئاً لاُجرة الوصی و استلزم أخذ الاُجرة إمّا الزیادة عن المال الموصی به، أو النقصان فی مقدار المصرف، کما إذا أوصی بأن یصرف ثلثه، أو عیناً معیّناً من ترکته أو مقداراً من المال، کألف درهم فی استئجار عشرین سنة عبادة کلّ سنةٍ کذا مقداراً، و قد ساوی المال مع المصرف کما فی الوسیلة</w:t>
      </w:r>
      <w:r>
        <w:rPr>
          <w:rStyle w:val="FootnoteAnchor"/>
          <w:rtl w:val="true"/>
        </w:rPr>
        <w:footnoteReference w:id="2120"/>
      </w:r>
      <w:r>
        <w:rPr>
          <w:rFonts w:ascii="IRNazanin" w:hAnsi="IRNazanin" w:eastAsia="IRNazanin"/>
          <w:color w:val="111111"/>
          <w:sz w:val="28"/>
          <w:sz w:val="28"/>
          <w:szCs w:val="28"/>
          <w:rtl w:val="true"/>
          <w:lang w:bidi="fa-IR"/>
        </w:rPr>
        <w:t>للسیّد الفقیه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تحریرها</w:t>
      </w:r>
      <w:r>
        <w:rPr>
          <w:rStyle w:val="FootnoteAnchor"/>
          <w:rtl w:val="true"/>
        </w:rPr>
        <w:footnoteReference w:id="2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تفصیل الشریعة فی شرح کلام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یجز له أن یأخذ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لأنّه بقبوله الوصیّة الکذائیّة، أو بعدم ردّها مع الإمکان، کأنّه تبرّع بإجراء الوصیّة و تنفیذها و عدم أخذ الاُجرة أصلاً</w:t>
      </w:r>
      <w:r>
        <w:rPr>
          <w:rFonts w:eastAsia="IRNazanin" w:cs="IRNazanin"/>
          <w:color w:val="111111"/>
          <w:sz w:val="28"/>
          <w:szCs w:val="28"/>
          <w:rtl w:val="true"/>
          <w:lang w:bidi="fa-IR"/>
        </w:rPr>
        <w:t>»</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جعل الموصی للوصیّ شیئاً لحقّ سعیه، فإن کان اجرة مثله من غیر زیادةٍ صحّ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زاد، فإن خرجت الزیادة من الثلث</w:t>
      </w:r>
      <w:bookmarkStart w:id="699" w:name="pg11753_115075"/>
    </w:p>
    <w:p>
      <w:pPr>
        <w:pStyle w:val="BookText"/>
        <w:rPr/>
      </w:pPr>
      <w:bookmarkEnd w:id="699"/>
      <w:r>
        <w:rPr>
          <w:rFonts w:ascii="IRNazanin" w:hAnsi="IRNazanin" w:eastAsia="IRNazanin"/>
          <w:color w:val="111111"/>
          <w:sz w:val="28"/>
          <w:sz w:val="28"/>
          <w:szCs w:val="28"/>
          <w:rtl w:val="true"/>
          <w:lang w:bidi="fa-IR"/>
        </w:rPr>
        <w:t>صحّ أیضاً، و إلاّ اعتبرت إجازة الوارث</w:t>
      </w:r>
      <w:r>
        <w:rPr>
          <w:rFonts w:eastAsia="IRNazanin" w:cs="IRNazanin"/>
          <w:color w:val="111111"/>
          <w:sz w:val="28"/>
          <w:szCs w:val="28"/>
          <w:rtl w:val="true"/>
          <w:lang w:bidi="fa-IR"/>
        </w:rPr>
        <w:t>»</w:t>
      </w:r>
      <w:r>
        <w:rPr>
          <w:rStyle w:val="FootnoteAnchor"/>
          <w:rtl w:val="true"/>
        </w:rPr>
        <w:footnoteReference w:id="2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2124"/>
      </w:r>
      <w:r>
        <w:rPr>
          <w:rFonts w:ascii="IRNazanin" w:hAnsi="IRNazanin" w:eastAsia="IRNazanin"/>
          <w:color w:val="111111"/>
          <w:sz w:val="28"/>
          <w:sz w:val="28"/>
          <w:szCs w:val="28"/>
          <w:rtl w:val="true"/>
          <w:lang w:bidi="fa-IR"/>
        </w:rPr>
        <w:t>و الریاض</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النزاع فی الولیّ الذی لم یکن أمیناً للحاکم کالأب و الجدّ و الوصی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یجعله الحاکم أمیناً فیمکن أن یکون له أخذ أُجرة المثل و إن کان غنیّاً، و یجوز للحاکم أن یعیّن له ذلک إذا لم یوجد المتبرّع</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یوجد المتبرّع الجامع للشرائط، فلا یجوز للحاکم مثلاً أن یجعل النظر إلی غیره ممّن یرید الاُجرة بلا مصلحة للیتیم</w:t>
      </w:r>
      <w:r>
        <w:rPr>
          <w:rFonts w:eastAsia="IRNazanin" w:cs="IRNazanin"/>
          <w:color w:val="111111"/>
          <w:sz w:val="28"/>
          <w:szCs w:val="28"/>
          <w:rtl w:val="true"/>
          <w:lang w:bidi="fa-IR"/>
        </w:rPr>
        <w:t>»</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0" w:name="__RefHeading___Toc9482990_73709187"/>
      <w:bookmarkStart w:id="701" w:name="_Toc264"/>
      <w:bookmarkEnd w:id="700"/>
      <w:r>
        <w:rPr>
          <w:rtl w:val="true"/>
        </w:rPr>
        <w:t>آراء فقهاء أهل السنّة فی جواز أخذ الاُجرة من مال الطفل</w:t>
      </w:r>
      <w:r>
        <w:rPr>
          <w:rtl w:val="true"/>
        </w:rPr>
        <w:t>:</w:t>
      </w:r>
      <w:bookmarkEnd w:id="701"/>
    </w:p>
    <w:p>
      <w:pPr>
        <w:pStyle w:val="BookText"/>
        <w:rPr/>
      </w:pPr>
      <w:r>
        <w:rPr>
          <w:rFonts w:ascii="IRNazanin" w:hAnsi="IRNazanin" w:eastAsia="IRNazanin"/>
          <w:color w:val="111111"/>
          <w:sz w:val="28"/>
          <w:sz w:val="28"/>
          <w:szCs w:val="28"/>
          <w:rtl w:val="true"/>
          <w:lang w:bidi="fa-IR"/>
        </w:rPr>
        <w:t>اشتهر بینهم أنّه لا یجوز للغنی أخذ الاُجرة من مال الطفل، و للفقیر أن یأکل بالمعروف من غیر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کلماتهم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Amiri" w:hAnsi="Amiri" w:eastAsia="Amiri" w:cs="Amiri"/>
          <w:color w:val="111111"/>
          <w:sz w:val="28"/>
          <w:sz w:val="28"/>
          <w:szCs w:val="28"/>
          <w:rtl w:val="true"/>
          <w:lang w:bidi="ar-SA"/>
        </w:rPr>
        <w:t>جاء فی بدائع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ولیّ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غنیّاً لا یأکل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کان فقیراً فهل له أن یأکل علی سبیل الإباحة، أو لیس له أن یأکل إلاّ قرضاً، اختلف فیه الصحابة</w:t>
      </w:r>
      <w:r>
        <w:rPr>
          <w:rFonts w:eastAsia="IRNazanin" w:cs="IRNazanin"/>
          <w:color w:val="111111"/>
          <w:sz w:val="28"/>
          <w:szCs w:val="28"/>
          <w:rtl w:val="true"/>
          <w:lang w:bidi="fa-IR"/>
        </w:rPr>
        <w:t>»</w:t>
      </w:r>
      <w:r>
        <w:rPr>
          <w:rStyle w:val="FootnoteAnchor"/>
          <w:rtl w:val="true"/>
        </w:rPr>
        <w:footnoteReference w:id="2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فعندهم 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یأکل علی سبیل الإباحة، و استدلّ له بظاهر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أطلق اللّه عزّ شأنه لولیّ الیتیم أن یأکل من مال الیتیم بالمعروف، و هو الوسط من غیر 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روی أنّ رجلاً سأل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شیئاً و لیس لی مالٌ ولی یتیمٌ؟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مال یتیمک غیر مسرفٍ و لا متأثلٍ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تقی مالک بماله</w:t>
      </w:r>
      <w:r>
        <w:rPr>
          <w:rFonts w:eastAsia="IRNazanin" w:cs="IRNazanin"/>
          <w:color w:val="111111"/>
          <w:sz w:val="28"/>
          <w:szCs w:val="28"/>
          <w:rtl w:val="true"/>
          <w:lang w:bidi="fa-IR"/>
        </w:rPr>
        <w:t>»</w:t>
      </w:r>
      <w:r>
        <w:rPr>
          <w:rStyle w:val="FootnoteAnchor"/>
          <w:rtl w:val="true"/>
        </w:rPr>
        <w:footnoteReference w:id="2129"/>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أحکام الصغار</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اختلاف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یستقرض الوصیّ من مال الیتیم إذا احتاج إلیه ثمّ یقضیه، و یأکل الوصی من مال الیتیم بقدر عمله فیه إذا لم یضرّ بالصبیّ</w:t>
      </w:r>
      <w:r>
        <w:rPr>
          <w:rFonts w:eastAsia="IRNazanin" w:cs="IRNazanin"/>
          <w:color w:val="111111"/>
          <w:sz w:val="28"/>
          <w:szCs w:val="28"/>
          <w:rtl w:val="true"/>
          <w:lang w:bidi="fa-IR"/>
        </w:rPr>
        <w:t>»</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یأکل إلاّ قرضاً، و استدلّ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دَفَعْتُمْ إِلَیْهِمْ أَمْوالَهُمْ فَأَشْهِدُوا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سبحانه و تعالی بالإشهاد علی الأیتام عند دفع المال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المال فی أیدی الأولیاء بطریق الأمانة، لکان لا حاجة إلی الإشهاد؛ لأنّ القول قول الولیّ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المال إلی الیتیم عند إنکاره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p>
    <w:p>
      <w:pPr>
        <w:pStyle w:val="BookText"/>
        <w:rPr/>
      </w:pPr>
      <w:r>
        <w:rPr>
          <w:rFonts w:ascii="IRNazanin" w:hAnsi="IRNazanin" w:eastAsia="IRNazanin"/>
          <w:color w:val="111111"/>
          <w:sz w:val="28"/>
          <w:sz w:val="28"/>
          <w:szCs w:val="28"/>
          <w:rtl w:val="true"/>
          <w:lang w:bidi="fa-IR"/>
        </w:rPr>
        <w:t>الحاجة إلی الإشهاد عند الأخذ قرضاً لیأکل منه؛ لأنّ فی قضاء الدین القول قول صاحب الدین، لا قول من یقضی الدین</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الاشهاد مستحبّ؛ لأنّ القول قول الولیّ لأنّه أمین، و أمر اللّه تعالی بالإشهاد تنبیهاً علی التحصین و زوالاً للتهم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Amiri" w:hAnsi="Amiri" w:eastAsia="Amiri" w:cs="Amiri"/>
          <w:color w:val="111111"/>
          <w:sz w:val="28"/>
          <w:sz w:val="28"/>
          <w:szCs w:val="28"/>
          <w:rtl w:val="true"/>
          <w:lang w:bidi="ar-SA"/>
        </w:rPr>
        <w:t>و فی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أراد أن یأکل من ماله نظرت، فإن کان غنیّاً لم یجز،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کان فقیراً جاز أن یأکل؛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 عن المسألة، و استعفّ؛ أی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للوصیّ أن یأخذ من مال الیتیم قدر عمالته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منه إلاّ عند الحاجة</w:t>
      </w:r>
      <w:r>
        <w:rPr>
          <w:rFonts w:eastAsia="IRNazanin" w:cs="IRNazanin"/>
          <w:color w:val="111111"/>
          <w:sz w:val="28"/>
          <w:szCs w:val="28"/>
          <w:rtl w:val="true"/>
          <w:lang w:bidi="fa-IR"/>
        </w:rPr>
        <w:t>»</w:t>
      </w:r>
      <w:r>
        <w:rPr>
          <w:rStyle w:val="FootnoteAnchor"/>
          <w:rtl w:val="true"/>
        </w:rPr>
        <w:footnoteReference w:id="2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الوجیز</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الرافعی و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لیس للولیّ أخذ اجرة و لا نفقةٍ من مال الصبیّ إن کان غنیّاً، و إن کان فقیراً، فإن قطع بسببه عن اکتسابه فله أخذ قدر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 الشیخ أبی حامد أنّه یأخذ أقلّ الأمرین من قدر النفقة و اجرة المثل</w:t>
      </w:r>
      <w:r>
        <w:rPr>
          <w:rFonts w:eastAsia="IRNazanin" w:cs="IRNazanin"/>
          <w:color w:val="111111"/>
          <w:sz w:val="28"/>
          <w:szCs w:val="28"/>
          <w:rtl w:val="true"/>
          <w:lang w:bidi="fa-IR"/>
        </w:rPr>
        <w:t>»</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مغنی المحتاج</w:t>
      </w:r>
      <w:r>
        <w:rPr>
          <w:rStyle w:val="FootnoteAnchor"/>
          <w:rtl w:val="true"/>
        </w:rPr>
        <w:footnoteReference w:id="2138"/>
      </w:r>
      <w:r>
        <w:rPr>
          <w:rFonts w:ascii="IRNazanin" w:hAnsi="IRNazanin" w:eastAsia="IRNazanin"/>
          <w:color w:val="111111"/>
          <w:sz w:val="28"/>
          <w:sz w:val="28"/>
          <w:szCs w:val="28"/>
          <w:rtl w:val="true"/>
          <w:lang w:bidi="fa-IR"/>
        </w:rPr>
        <w:t>و نهایة المحتاج</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 xml:space="preserve">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کالشافعیّة تقریباً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للولیّ أن یأکل من مال الصبیّ بقدر عمله إذا احتاج إلیه، و لیس له إلاّ أقلّ الأمرین من اجرة مثله، أو قدر کفایته</w:t>
      </w:r>
      <w:r>
        <w:rPr>
          <w:rFonts w:eastAsia="IRNazanin" w:cs="IRNazanin"/>
          <w:color w:val="111111"/>
          <w:sz w:val="28"/>
          <w:szCs w:val="28"/>
          <w:rtl w:val="true"/>
          <w:lang w:bidi="fa-IR"/>
        </w:rPr>
        <w:t>»</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قدامة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للولیّ أن یأکل من مال المولّی علیه بقدر عمله إذا احتاج إلیه</w:t>
      </w:r>
      <w:r>
        <w:rPr>
          <w:rFonts w:eastAsia="IRNazanin" w:cs="IRNazanin"/>
          <w:color w:val="111111"/>
          <w:sz w:val="28"/>
          <w:szCs w:val="28"/>
          <w:rtl w:val="true"/>
          <w:lang w:bidi="fa-IR"/>
        </w:rPr>
        <w:t>»</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 إلاّ أقلّ الأمرین من اجرته أو قدر کفایته؛ لأنّه یستحقّه بالعمل و الحاجة معاً</w:t>
      </w:r>
      <w:r>
        <w:rPr>
          <w:rFonts w:eastAsia="IRNazanin" w:cs="IRNazanin"/>
          <w:color w:val="111111"/>
          <w:sz w:val="28"/>
          <w:szCs w:val="28"/>
          <w:rtl w:val="true"/>
          <w:lang w:bidi="fa-IR"/>
        </w:rPr>
        <w:t>»</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الشرح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للولیّ أن یأکل من مال المولّی علیه بقدر عمله إذا احتاج إلیه، و إن کان غنیّاً لم یجز له ذلک إذا لم یکن أباً؛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 وَ مَنْ کانَ فَقِیراً فَلْیَأْکُلْ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کان فقیراً فله أقلّ الأمرین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اجرته، أو قدر کفایته؛ لأنّه یستحقّه بالعمل و الحاجة جمیعاً، فلم یجز أن یأخذ إلاّ ما وجدا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المغنی</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 من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یأکل إلاّ الأقلّ من اجرة مثله أو قدر کفایته</w:t>
      </w:r>
      <w:r>
        <w:rPr>
          <w:rFonts w:eastAsia="IRNazanin" w:cs="IRNazanin"/>
          <w:color w:val="111111"/>
          <w:sz w:val="28"/>
          <w:szCs w:val="28"/>
          <w:rtl w:val="true"/>
          <w:lang w:bidi="fa-IR"/>
        </w:rPr>
        <w:t>»</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المالکیّة إلی أنّه یجوز أن یأکل الولیّ من مال الصبیّ بقدر اجرة عمله</w:t>
      </w:r>
    </w:p>
    <w:p>
      <w:pPr>
        <w:pStyle w:val="BookText"/>
        <w:rPr/>
      </w:pPr>
      <w:r>
        <w:rPr>
          <w:rFonts w:ascii="IRNazanin" w:hAnsi="IRNazanin" w:eastAsia="IRNazanin"/>
          <w:color w:val="111111"/>
          <w:sz w:val="28"/>
          <w:sz w:val="28"/>
          <w:szCs w:val="28"/>
          <w:rtl w:val="true"/>
          <w:lang w:bidi="fa-IR"/>
        </w:rPr>
        <w:t>أو قدر کفایته، إلاّ أن یکون غنیّاً فلا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یأکل الأمین و الولیّ من مال الیتیم إلاّ أن یکونا غنیّین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جاء فی المعونة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وصیّ الیتیم أو الأمین محتاجاً جاز أن یأکل من مال الیتیم بقدر أجر مثله</w:t>
      </w:r>
      <w:r>
        <w:rPr>
          <w:rFonts w:eastAsia="IRNazanin" w:cs="IRNazanin"/>
          <w:color w:val="111111"/>
          <w:sz w:val="28"/>
          <w:szCs w:val="28"/>
          <w:rtl w:val="true"/>
          <w:lang w:bidi="fa-IR"/>
        </w:rPr>
        <w:t>»</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الکشناوی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فقیراً فله اجرة مثله؛ أی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الحافظ السیوطی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اجرة عمله؛ أی ما لم تزد علی کفایته، و إلاّ فله کفایته فقط، و هذا مذهب الشافعی</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اجرة مثله مطلقاً زادت علی کفایته أو لا</w:t>
      </w:r>
      <w:r>
        <w:rPr>
          <w:rFonts w:eastAsia="IRNazanin" w:cs="IRNazanin"/>
          <w:color w:val="111111"/>
          <w:sz w:val="28"/>
          <w:szCs w:val="28"/>
          <w:rtl w:val="true"/>
          <w:lang w:bidi="fa-IR"/>
        </w:rPr>
        <w:t>»</w:t>
      </w:r>
      <w:r>
        <w:rPr>
          <w:rStyle w:val="FootnoteAnchor"/>
          <w:rtl w:val="true"/>
        </w:rPr>
        <w:footnoteReference w:id="2146"/>
      </w:r>
      <w:bookmarkStart w:id="702" w:name="pg11753_115081"/>
    </w:p>
    <w:p>
      <w:pPr>
        <w:pStyle w:val="Heading3"/>
        <w:numPr>
          <w:ilvl w:val="2"/>
          <w:numId w:val="1"/>
        </w:numPr>
        <w:rPr/>
      </w:pPr>
      <w:bookmarkStart w:id="703" w:name="__RefHeading___Toc9482992_73709187"/>
      <w:bookmarkStart w:id="704" w:name="_Toc265"/>
      <w:bookmarkEnd w:id="702"/>
      <w:bookmarkEnd w:id="703"/>
      <w:r>
        <w:rPr>
          <w:rtl w:val="true"/>
        </w:rPr>
        <w:t>الفصل الرابع فی استیفاء حقوق الطفل</w:t>
      </w:r>
      <w:bookmarkEnd w:id="704"/>
    </w:p>
    <w:p>
      <w:pPr>
        <w:pStyle w:val="Heading4"/>
        <w:numPr>
          <w:ilvl w:val="3"/>
          <w:numId w:val="1"/>
        </w:numPr>
        <w:rPr/>
      </w:pPr>
      <w:bookmarkStart w:id="705" w:name="__RefHeading___Toc9482994_73709187"/>
      <w:bookmarkStart w:id="706" w:name="_Toc266"/>
      <w:bookmarkEnd w:id="705"/>
      <w:r>
        <w:rPr>
          <w:rtl w:val="true"/>
        </w:rPr>
        <w:t>تمهید</w:t>
      </w:r>
      <w:bookmarkEnd w:id="706"/>
    </w:p>
    <w:p>
      <w:pPr>
        <w:pStyle w:val="BookText"/>
        <w:rPr/>
      </w:pPr>
      <w:r>
        <w:rPr>
          <w:rFonts w:ascii="IRNazanin" w:hAnsi="IRNazanin" w:eastAsia="IRNazanin"/>
          <w:color w:val="111111"/>
          <w:sz w:val="28"/>
          <w:sz w:val="28"/>
          <w:szCs w:val="28"/>
          <w:rtl w:val="true"/>
          <w:lang w:bidi="fa-IR"/>
        </w:rPr>
        <w:t>قد تقدّم ثبوت ولایة الأولیاء فی التصرّف فی مال الصغیر و نفسه، فکذلک لهم الولایة فی استیفاء حقوقه، و یدلّ علی ذلک إطلاق التعلیل الوارد فی ذیل صحیحة محمّد بن مسلم و معتبرة عبید بن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والده هو الذی یلی أمره</w:t>
      </w:r>
      <w:r>
        <w:rPr>
          <w:rFonts w:eastAsia="IRNazanin" w:cs="IRNazanin"/>
          <w:color w:val="111111"/>
          <w:sz w:val="28"/>
          <w:szCs w:val="28"/>
          <w:rtl w:val="true"/>
          <w:lang w:bidi="fa-IR"/>
        </w:rPr>
        <w:t>»</w:t>
      </w:r>
      <w:r>
        <w:rPr>
          <w:rStyle w:val="FootnoteAnchor"/>
          <w:rtl w:val="true"/>
        </w:rPr>
        <w:footnoteReference w:id="2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الصبیّ مطلق یشمل المال و النفس 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نفس جعل الولایة للصغار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الصغار لیسوا من أهل التصرّف و یحتاجون فی جمیع شئونهم إلی من یعینهم، جعل اللّه تعالی الولایة لهم حتّی یتصرّف الأولیاء فی کلّ ما ارتبط بهم من الأموال و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استیفاء حقوقهم، مثل حقّ الشفعة، و حقّ الخیار، و حقّ القصاص، و قطع الدعاوی، و قبول الهبة، و الصدقة، و الوصیّة، و الوقف و غیر ذلک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للتحقیق فی ذلک عقدنا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لاختلاف هذه الحقوق من حیث الحکم و الأثر نقسّمه إلی مباحث</w:t>
      </w:r>
      <w:r>
        <w:rPr>
          <w:rFonts w:eastAsia="IRNazanin" w:cs="IRNazanin"/>
          <w:color w:val="111111"/>
          <w:sz w:val="28"/>
          <w:szCs w:val="28"/>
          <w:rtl w:val="true"/>
          <w:lang w:bidi="fa-IR"/>
        </w:rPr>
        <w:t>:</w:t>
      </w:r>
      <w:bookmarkStart w:id="707" w:name="pg11753_115082"/>
    </w:p>
    <w:p>
      <w:pPr>
        <w:pStyle w:val="Heading4"/>
        <w:numPr>
          <w:ilvl w:val="3"/>
          <w:numId w:val="1"/>
        </w:numPr>
        <w:rPr/>
      </w:pPr>
      <w:bookmarkStart w:id="708" w:name="__RefHeading___Toc9482996_73709187"/>
      <w:bookmarkStart w:id="709" w:name="_Toc267"/>
      <w:bookmarkEnd w:id="707"/>
      <w:bookmarkEnd w:id="708"/>
      <w:r>
        <w:rPr>
          <w:rtl w:val="true"/>
        </w:rPr>
        <w:t>المبحث الأوّل</w:t>
      </w:r>
      <w:r>
        <w:rPr>
          <w:rtl w:val="true"/>
        </w:rPr>
        <w:t xml:space="preserve">: </w:t>
      </w:r>
      <w:r>
        <w:rPr>
          <w:rtl w:val="true"/>
        </w:rPr>
        <w:t>استیفاء حقّ الشفعة</w:t>
      </w:r>
      <w:bookmarkEnd w:id="709"/>
    </w:p>
    <w:p>
      <w:pPr>
        <w:pStyle w:val="Heading5"/>
        <w:numPr>
          <w:ilvl w:val="4"/>
          <w:numId w:val="1"/>
        </w:numPr>
        <w:rPr/>
      </w:pPr>
      <w:bookmarkStart w:id="710" w:name="__RefHeading___Toc9482998_73709187"/>
      <w:bookmarkStart w:id="711" w:name="_Toc268"/>
      <w:bookmarkEnd w:id="710"/>
      <w:r>
        <w:rPr>
          <w:rtl w:val="true"/>
        </w:rPr>
        <w:t>اشارة</w:t>
      </w:r>
      <w:bookmarkEnd w:id="711"/>
    </w:p>
    <w:p>
      <w:pPr>
        <w:pStyle w:val="BookText"/>
        <w:rPr/>
      </w:pPr>
      <w:r>
        <w:rPr>
          <w:rFonts w:ascii="IRNazanin" w:hAnsi="IRNazanin" w:eastAsia="IRNazanin"/>
          <w:color w:val="111111"/>
          <w:sz w:val="28"/>
          <w:sz w:val="28"/>
          <w:szCs w:val="28"/>
          <w:rtl w:val="true"/>
          <w:lang w:bidi="fa-IR"/>
        </w:rPr>
        <w:t>الشفعة حق ثابت بالسنّة و الإجماع، و لصاحبه المطالبة به 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الأصحاب بثبوت الشفعة للصبیّ‌</w:t>
      </w:r>
      <w:r>
        <w:rPr>
          <w:rStyle w:val="FootnoteAnchor"/>
          <w:rtl w:val="true"/>
        </w:rPr>
        <w:footnoteReference w:id="2148"/>
      </w:r>
      <w:r>
        <w:rPr>
          <w:rFonts w:ascii="IRNazanin" w:hAnsi="IRNazanin" w:eastAsia="IRNazanin"/>
          <w:color w:val="111111"/>
          <w:sz w:val="28"/>
          <w:sz w:val="28"/>
          <w:szCs w:val="28"/>
          <w:rtl w:val="true"/>
          <w:lang w:bidi="fa-IR"/>
        </w:rPr>
        <w:t>، و یتولّی ولیّه الأخذ بها مع الغبطة، و لا یجب أن ینتظر بلوغه و 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الشفعة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للصغیر کما تثبت للکبیر، و للمتولّی الناظر فی أمر الیتیم أن یطالب بالشفعة إذا رأی ذلک صلاحاً له</w:t>
      </w:r>
      <w:r>
        <w:rPr>
          <w:rFonts w:eastAsia="IRNazanin" w:cs="IRNazanin"/>
          <w:color w:val="111111"/>
          <w:sz w:val="28"/>
          <w:szCs w:val="28"/>
          <w:rtl w:val="true"/>
          <w:lang w:bidi="fa-IR"/>
        </w:rPr>
        <w:t>»</w:t>
      </w:r>
      <w:r>
        <w:rPr>
          <w:rStyle w:val="FootnoteAnchor"/>
          <w:rtl w:val="true"/>
        </w:rPr>
        <w:footnoteReference w:id="2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2150"/>
      </w:r>
      <w:r>
        <w:rPr>
          <w:rFonts w:ascii="IRNazanin" w:hAnsi="IRNazanin" w:eastAsia="IRNazanin"/>
          <w:color w:val="111111"/>
          <w:sz w:val="28"/>
          <w:sz w:val="28"/>
          <w:szCs w:val="28"/>
          <w:rtl w:val="true"/>
          <w:lang w:bidi="fa-IR"/>
        </w:rPr>
        <w:t>و الخلاف</w:t>
      </w:r>
      <w:r>
        <w:rPr>
          <w:rStyle w:val="FootnoteAnchor"/>
          <w:rtl w:val="true"/>
        </w:rPr>
        <w:footnoteReference w:id="2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الصدوق</w:t>
      </w:r>
      <w:r>
        <w:rPr>
          <w:rStyle w:val="FootnoteAnchor"/>
          <w:rtl w:val="true"/>
        </w:rPr>
        <w:footnoteReference w:id="2152"/>
      </w:r>
      <w:r>
        <w:rPr>
          <w:rFonts w:ascii="IRNazanin" w:hAnsi="IRNazanin" w:eastAsia="IRNazanin"/>
          <w:color w:val="111111"/>
          <w:sz w:val="28"/>
          <w:sz w:val="28"/>
          <w:szCs w:val="28"/>
          <w:rtl w:val="true"/>
          <w:lang w:bidi="fa-IR"/>
        </w:rPr>
        <w:t>و المفید</w:t>
      </w:r>
      <w:r>
        <w:rPr>
          <w:rStyle w:val="FootnoteAnchor"/>
          <w:rtl w:val="true"/>
        </w:rPr>
        <w:footnoteReference w:id="2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أیضاً ابن زهرة</w:t>
      </w:r>
      <w:r>
        <w:rPr>
          <w:rStyle w:val="FootnoteAnchor"/>
          <w:rtl w:val="true"/>
        </w:rPr>
        <w:footnoteReference w:id="2154"/>
      </w:r>
      <w:r>
        <w:rPr>
          <w:rFonts w:ascii="IRNazanin" w:hAnsi="IRNazanin" w:eastAsia="IRNazanin"/>
          <w:color w:val="111111"/>
          <w:sz w:val="28"/>
          <w:sz w:val="28"/>
          <w:szCs w:val="28"/>
          <w:rtl w:val="true"/>
          <w:lang w:bidi="fa-IR"/>
        </w:rPr>
        <w:t>و القاضی</w:t>
      </w:r>
      <w:r>
        <w:rPr>
          <w:rStyle w:val="FootnoteAnchor"/>
          <w:rtl w:val="true"/>
        </w:rPr>
        <w:footnoteReference w:id="2155"/>
      </w:r>
      <w:r>
        <w:rPr>
          <w:rFonts w:ascii="IRNazanin" w:hAnsi="IRNazanin" w:eastAsia="IRNazanin"/>
          <w:color w:val="111111"/>
          <w:sz w:val="28"/>
          <w:sz w:val="28"/>
          <w:szCs w:val="28"/>
          <w:rtl w:val="true"/>
          <w:lang w:bidi="fa-IR"/>
        </w:rPr>
        <w:t>و أبو الصلاح الحلبی</w:t>
      </w:r>
      <w:r>
        <w:rPr>
          <w:rStyle w:val="FootnoteAnchor"/>
          <w:rtl w:val="true"/>
        </w:rPr>
        <w:footnoteReference w:id="2156"/>
      </w:r>
      <w:r>
        <w:rPr>
          <w:rFonts w:ascii="IRNazanin" w:hAnsi="IRNazanin" w:eastAsia="IRNazanin"/>
          <w:color w:val="111111"/>
          <w:sz w:val="28"/>
          <w:sz w:val="28"/>
          <w:szCs w:val="28"/>
          <w:rtl w:val="true"/>
          <w:lang w:bidi="fa-IR"/>
        </w:rPr>
        <w:t>و ابن إدریس</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للغائب و السفیه، و کذا المجنون و الصبیّ،</w:t>
      </w:r>
      <w:bookmarkStart w:id="712" w:name="pg11753_115083"/>
    </w:p>
    <w:p>
      <w:pPr>
        <w:pStyle w:val="BookText"/>
        <w:rPr/>
      </w:pPr>
      <w:bookmarkEnd w:id="712"/>
      <w:r>
        <w:rPr>
          <w:rFonts w:ascii="IRNazanin" w:hAnsi="IRNazanin" w:eastAsia="IRNazanin"/>
          <w:color w:val="111111"/>
          <w:sz w:val="28"/>
          <w:sz w:val="28"/>
          <w:szCs w:val="28"/>
          <w:rtl w:val="true"/>
          <w:lang w:bidi="fa-IR"/>
        </w:rPr>
        <w:t>و یتولّی الأخذ ولیّهما مع الغبطة</w:t>
      </w:r>
      <w:r>
        <w:rPr>
          <w:rFonts w:eastAsia="IRNazanin" w:cs="IRNazanin"/>
          <w:color w:val="111111"/>
          <w:sz w:val="28"/>
          <w:szCs w:val="28"/>
          <w:rtl w:val="true"/>
          <w:lang w:bidi="fa-IR"/>
        </w:rPr>
        <w:t>»</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العلاّمة فی جملةٍ من کتبه</w:t>
      </w:r>
      <w:r>
        <w:rPr>
          <w:rStyle w:val="FootnoteAnchor"/>
          <w:rtl w:val="true"/>
        </w:rPr>
        <w:footnoteReference w:id="2159"/>
      </w:r>
      <w:r>
        <w:rPr>
          <w:rFonts w:ascii="IRNazanin" w:hAnsi="IRNazanin" w:eastAsia="IRNazanin"/>
          <w:color w:val="111111"/>
          <w:sz w:val="28"/>
          <w:sz w:val="28"/>
          <w:szCs w:val="28"/>
          <w:rtl w:val="true"/>
          <w:lang w:bidi="fa-IR"/>
        </w:rPr>
        <w:t>و جماعة من المتأخّرین</w:t>
      </w:r>
      <w:r>
        <w:rPr>
          <w:rStyle w:val="FootnoteAnchor"/>
          <w:rtl w:val="true"/>
        </w:rPr>
        <w:footnoteReference w:id="2160"/>
      </w:r>
      <w:r>
        <w:rPr>
          <w:rFonts w:ascii="IRNazanin" w:hAnsi="IRNazanin" w:eastAsia="IRNazanin"/>
          <w:color w:val="111111"/>
          <w:sz w:val="28"/>
          <w:sz w:val="28"/>
          <w:szCs w:val="28"/>
          <w:rtl w:val="true"/>
          <w:lang w:bidi="fa-IR"/>
        </w:rPr>
        <w:t>و بعض المعاصرین</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تثبت للصغیر و المجنون و إن کان المتولّی للأخذ بها عنهما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الولیّ، الوصیُّ لیس له ذلک إلاّ مع الغبطة و المصلحة، بخلاف الأب و الجدّ، فإنّه یکفی فیها عدم المفسدة</w:t>
      </w:r>
      <w:r>
        <w:rPr>
          <w:rFonts w:eastAsia="IRNazanin" w:cs="IRNazanin"/>
          <w:color w:val="111111"/>
          <w:sz w:val="28"/>
          <w:szCs w:val="28"/>
          <w:rtl w:val="true"/>
          <w:lang w:bidi="fa-IR"/>
        </w:rPr>
        <w:t>»</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9483000_73709187"/>
      <w:bookmarkStart w:id="714" w:name="_Toc269"/>
      <w:bookmarkEnd w:id="713"/>
      <w:r>
        <w:rPr>
          <w:rtl w:val="true"/>
        </w:rPr>
        <w:t>أدلّة استیفاء حق الشفعة للصبیّ‌</w:t>
      </w:r>
      <w:bookmarkEnd w:id="714"/>
    </w:p>
    <w:p>
      <w:pPr>
        <w:pStyle w:val="BookText"/>
        <w:rPr/>
      </w:pPr>
      <w:r>
        <w:rPr>
          <w:rFonts w:ascii="IRNazanin" w:hAnsi="IRNazanin" w:eastAsia="IRNazanin"/>
          <w:color w:val="111111"/>
          <w:sz w:val="28"/>
          <w:sz w:val="28"/>
          <w:szCs w:val="28"/>
          <w:rtl w:val="true"/>
          <w:lang w:bidi="fa-IR"/>
        </w:rPr>
        <w:t>یمکن الاستدلال لإثبات هذا الحکم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التی حکاها الشیخ</w:t>
      </w:r>
      <w:r>
        <w:rPr>
          <w:rStyle w:val="FootnoteAnchor"/>
          <w:rtl w:val="true"/>
        </w:rPr>
        <w:footnoteReference w:id="2163"/>
      </w:r>
      <w:r>
        <w:rPr>
          <w:rFonts w:ascii="Amiri" w:hAnsi="Amiri" w:eastAsia="Amiri" w:cs="Amiri"/>
          <w:color w:val="111111"/>
          <w:sz w:val="28"/>
          <w:sz w:val="28"/>
          <w:szCs w:val="28"/>
          <w:rtl w:val="true"/>
          <w:lang w:bidi="ar-SA"/>
        </w:rPr>
        <w:t>و العلاّمة</w:t>
      </w:r>
      <w:r>
        <w:rPr>
          <w:rStyle w:val="FootnoteAnchor"/>
          <w:rtl w:val="true"/>
        </w:rPr>
        <w:footnoteReference w:id="2164"/>
      </w:r>
      <w:r>
        <w:rPr>
          <w:rFonts w:ascii="IRNazanin" w:hAnsi="IRNazanin" w:eastAsia="IRNazanin"/>
          <w:color w:val="111111"/>
          <w:sz w:val="28"/>
          <w:sz w:val="28"/>
          <w:szCs w:val="28"/>
          <w:rtl w:val="true"/>
          <w:lang w:bidi="fa-IR"/>
        </w:rPr>
        <w:t>و السیّد أبو المکارم</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و صاحب الجواهر</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التی تدلّ علی ثبوت الشفعة للشریک</w:t>
      </w:r>
      <w:r>
        <w:rPr>
          <w:rStyle w:val="FootnoteAnchor"/>
          <w:rtl w:val="true"/>
        </w:rPr>
        <w:footnoteReference w:id="2167"/>
      </w:r>
      <w:bookmarkStart w:id="715" w:name="pg11753_115084"/>
    </w:p>
    <w:p>
      <w:pPr>
        <w:pStyle w:val="BookText"/>
        <w:rPr/>
      </w:pPr>
      <w:bookmarkEnd w:id="715"/>
      <w:r>
        <w:rPr>
          <w:rFonts w:ascii="IRNazanin" w:hAnsi="IRNazanin" w:eastAsia="IRNazanin"/>
          <w:color w:val="111111"/>
          <w:sz w:val="28"/>
          <w:sz w:val="28"/>
          <w:szCs w:val="28"/>
          <w:rtl w:val="true"/>
          <w:lang w:bidi="fa-IR"/>
        </w:rPr>
        <w:t>فقد ورد فی بعضها أنّه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لکلّ شریک لم یقاسم</w:t>
      </w:r>
      <w:r>
        <w:rPr>
          <w:rFonts w:eastAsia="IRNazanin" w:cs="IRNazanin"/>
          <w:color w:val="111111"/>
          <w:sz w:val="28"/>
          <w:szCs w:val="28"/>
          <w:rtl w:val="true"/>
          <w:lang w:bidi="fa-IR"/>
        </w:rPr>
        <w:t>»</w:t>
      </w:r>
      <w:r>
        <w:rPr>
          <w:rStyle w:val="FootnoteAnchor"/>
          <w:rtl w:val="true"/>
        </w:rPr>
        <w:footnoteReference w:id="2168"/>
      </w:r>
      <w:r>
        <w:rPr>
          <w:rFonts w:ascii="Amiri" w:hAnsi="Amiri" w:eastAsia="Amiri" w:cs="Amiri"/>
          <w:color w:val="111111"/>
          <w:sz w:val="28"/>
          <w:sz w:val="28"/>
          <w:szCs w:val="28"/>
          <w:rtl w:val="true"/>
          <w:lang w:bidi="ar-SA"/>
        </w:rPr>
        <w:t>، فعمومه یشمل الصبیّ أیضاً، و کلّ حقٍّ هو للصبیّ یتولاّه 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الأخبار الخاصّة، مثل خبر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المشایخ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الیتیم بمنزلة أبیه، یأخذ له الشفاعة إذا کان له رغبةً</w:t>
      </w:r>
      <w:r>
        <w:rPr>
          <w:rFonts w:eastAsia="IRNazanin" w:cs="IRNazanin"/>
          <w:color w:val="111111"/>
          <w:sz w:val="28"/>
          <w:szCs w:val="28"/>
          <w:rtl w:val="true"/>
          <w:lang w:bidi="fa-IR"/>
        </w:rPr>
        <w:t>»</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ضعفه منجبر 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یضرّ عدم الصحّة؛ لأنّها مقبولة و مؤیّدة</w:t>
      </w:r>
      <w:r>
        <w:rPr>
          <w:rFonts w:eastAsia="IRNazanin" w:cs="IRNazanin"/>
          <w:color w:val="111111"/>
          <w:sz w:val="28"/>
          <w:szCs w:val="28"/>
          <w:rtl w:val="true"/>
          <w:lang w:bidi="fa-IR"/>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9483002_73709187"/>
      <w:bookmarkStart w:id="717" w:name="_Toc270"/>
      <w:bookmarkEnd w:id="716"/>
      <w:r>
        <w:rPr>
          <w:rtl w:val="true"/>
        </w:rPr>
        <w:t>للصبی أخذ الشفعة بعد البلوغ</w:t>
      </w:r>
      <w:bookmarkEnd w:id="717"/>
    </w:p>
    <w:p>
      <w:pPr>
        <w:pStyle w:val="BookText"/>
        <w:rPr/>
      </w:pPr>
      <w:r>
        <w:rPr>
          <w:rFonts w:ascii="IRNazanin" w:hAnsi="IRNazanin" w:eastAsia="IRNazanin"/>
          <w:color w:val="111111"/>
          <w:sz w:val="28"/>
          <w:sz w:val="28"/>
          <w:szCs w:val="28"/>
          <w:rtl w:val="true"/>
          <w:lang w:bidi="fa-IR"/>
        </w:rPr>
        <w:t>لو ترک الولیّ المطالبة بالشفعة مع کونها مصلحة للصغیر، فله الأخذ بها بعد بلوغه بلا خلاف و لا إشکال، کما فی المبسوط‌</w:t>
      </w:r>
      <w:r>
        <w:rPr>
          <w:rStyle w:val="FootnoteAnchor"/>
          <w:rtl w:val="true"/>
        </w:rPr>
        <w:footnoteReference w:id="2171"/>
      </w:r>
      <w:r>
        <w:rPr>
          <w:rFonts w:ascii="IRNazanin" w:hAnsi="IRNazanin" w:eastAsia="IRNazanin"/>
          <w:color w:val="111111"/>
          <w:sz w:val="28"/>
          <w:sz w:val="28"/>
          <w:szCs w:val="28"/>
          <w:rtl w:val="true"/>
          <w:lang w:bidi="fa-IR"/>
        </w:rPr>
        <w:t>و الخلاف</w:t>
      </w:r>
      <w:r>
        <w:rPr>
          <w:rStyle w:val="FootnoteAnchor"/>
          <w:rtl w:val="true"/>
        </w:rPr>
        <w:footnoteReference w:id="2172"/>
      </w:r>
      <w:r>
        <w:rPr>
          <w:rFonts w:ascii="Amiri" w:hAnsi="Amiri" w:eastAsia="Amiri" w:cs="Amiri"/>
          <w:color w:val="111111"/>
          <w:sz w:val="28"/>
          <w:sz w:val="28"/>
          <w:szCs w:val="28"/>
          <w:rtl w:val="true"/>
          <w:lang w:bidi="ar-SA"/>
        </w:rPr>
        <w:t>و المقنعة</w:t>
      </w:r>
      <w:r>
        <w:rPr>
          <w:rStyle w:val="FootnoteAnchor"/>
          <w:rtl w:val="true"/>
        </w:rPr>
        <w:footnoteReference w:id="2173"/>
      </w:r>
      <w:r>
        <w:rPr>
          <w:rFonts w:ascii="IRNazanin" w:hAnsi="IRNazanin" w:eastAsia="IRNazanin"/>
          <w:color w:val="111111"/>
          <w:sz w:val="28"/>
          <w:sz w:val="28"/>
          <w:szCs w:val="28"/>
          <w:rtl w:val="true"/>
          <w:lang w:bidi="fa-IR"/>
        </w:rPr>
        <w:t>و الغنیة</w:t>
      </w:r>
      <w:r>
        <w:rPr>
          <w:rStyle w:val="FootnoteAnchor"/>
          <w:rtl w:val="true"/>
        </w:rPr>
        <w:footnoteReference w:id="217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السرائر</w:t>
      </w:r>
      <w:r>
        <w:rPr>
          <w:rStyle w:val="FootnoteAnchor"/>
          <w:rtl w:val="true"/>
        </w:rPr>
        <w:footnoteReference w:id="2175"/>
      </w:r>
      <w:r>
        <w:rPr>
          <w:rFonts w:ascii="IRNazanin" w:hAnsi="IRNazanin" w:eastAsia="IRNazanin"/>
          <w:color w:val="111111"/>
          <w:sz w:val="28"/>
          <w:sz w:val="28"/>
          <w:szCs w:val="28"/>
          <w:rtl w:val="true"/>
          <w:lang w:bidi="fa-IR"/>
        </w:rPr>
        <w:t>و الشرائع</w:t>
      </w:r>
      <w:r>
        <w:rPr>
          <w:rStyle w:val="FootnoteAnchor"/>
          <w:rtl w:val="true"/>
        </w:rPr>
        <w:footnoteReference w:id="2176"/>
      </w:r>
      <w:r>
        <w:rPr>
          <w:rFonts w:ascii="IRNazanin" w:hAnsi="IRNazanin" w:eastAsia="IRNazanin"/>
          <w:color w:val="111111"/>
          <w:sz w:val="28"/>
          <w:sz w:val="28"/>
          <w:szCs w:val="28"/>
          <w:rtl w:val="true"/>
          <w:lang w:bidi="fa-IR"/>
        </w:rPr>
        <w:t>و النافع</w:t>
      </w:r>
      <w:r>
        <w:rPr>
          <w:rStyle w:val="FootnoteAnchor"/>
          <w:rtl w:val="true"/>
        </w:rPr>
        <w:footnoteReference w:id="2177"/>
      </w:r>
      <w:r>
        <w:rPr>
          <w:rFonts w:ascii="IRNazanin" w:hAnsi="IRNazanin" w:eastAsia="IRNazanin"/>
          <w:color w:val="111111"/>
          <w:sz w:val="28"/>
          <w:sz w:val="28"/>
          <w:szCs w:val="28"/>
          <w:rtl w:val="true"/>
          <w:lang w:bidi="fa-IR"/>
        </w:rPr>
        <w:t>و التذکرة</w:t>
      </w:r>
      <w:r>
        <w:rPr>
          <w:rStyle w:val="FootnoteAnchor"/>
          <w:rtl w:val="true"/>
        </w:rPr>
        <w:footnoteReference w:id="2178"/>
      </w:r>
      <w:r>
        <w:rPr>
          <w:rFonts w:ascii="IRNazanin" w:hAnsi="IRNazanin" w:eastAsia="IRNazanin"/>
          <w:color w:val="111111"/>
          <w:sz w:val="28"/>
          <w:sz w:val="28"/>
          <w:szCs w:val="28"/>
          <w:rtl w:val="true"/>
          <w:lang w:bidi="fa-IR"/>
        </w:rPr>
        <w:t>و الدروس</w:t>
      </w:r>
      <w:r>
        <w:rPr>
          <w:rStyle w:val="FootnoteAnchor"/>
          <w:rtl w:val="true"/>
        </w:rPr>
        <w:footnoteReference w:id="2179"/>
      </w:r>
      <w:r>
        <w:rPr>
          <w:rFonts w:ascii="Amiri" w:hAnsi="Amiri" w:eastAsia="Amiri" w:cs="Amiri"/>
          <w:color w:val="111111"/>
          <w:sz w:val="28"/>
          <w:sz w:val="28"/>
          <w:szCs w:val="28"/>
          <w:rtl w:val="true"/>
          <w:lang w:bidi="ar-SA"/>
        </w:rPr>
        <w:t>و اللمعة</w:t>
      </w:r>
      <w:r>
        <w:rPr>
          <w:rStyle w:val="FootnoteAnchor"/>
          <w:rtl w:val="true"/>
        </w:rPr>
        <w:footnoteReference w:id="2180"/>
      </w:r>
      <w:bookmarkStart w:id="718" w:name="pg11753_115085"/>
    </w:p>
    <w:p>
      <w:pPr>
        <w:pStyle w:val="BookText"/>
        <w:rPr/>
      </w:pPr>
      <w:bookmarkEnd w:id="718"/>
      <w:r>
        <w:rPr>
          <w:rFonts w:ascii="Amiri" w:hAnsi="Amiri" w:eastAsia="Amiri" w:cs="Amiri"/>
          <w:color w:val="111111"/>
          <w:sz w:val="28"/>
          <w:sz w:val="28"/>
          <w:szCs w:val="28"/>
          <w:rtl w:val="true"/>
          <w:lang w:bidi="ar-SA"/>
        </w:rPr>
        <w:t>و الروضة</w:t>
      </w:r>
      <w:r>
        <w:rPr>
          <w:rStyle w:val="FootnoteAnchor"/>
          <w:rtl w:val="true"/>
        </w:rPr>
        <w:footnoteReference w:id="2181"/>
      </w:r>
      <w:r>
        <w:rPr>
          <w:rFonts w:ascii="IRNazanin" w:hAnsi="IRNazanin" w:eastAsia="IRNazanin"/>
          <w:color w:val="111111"/>
          <w:sz w:val="28"/>
          <w:sz w:val="28"/>
          <w:szCs w:val="28"/>
          <w:rtl w:val="true"/>
          <w:lang w:bidi="fa-IR"/>
        </w:rPr>
        <w:t>و غیرها</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w:t>
      </w:r>
      <w:r>
        <w:rPr>
          <w:rStyle w:val="FootnoteAnchor"/>
          <w:rtl w:val="true"/>
        </w:rPr>
        <w:footnoteReference w:id="2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التأخیر وقع لعذرٍ، و هو الصبا، و تقصیر الولیّ بالتراخی لا یسقط حقّ المولّی علیه، و الحقّ لیس متجدّداً له عند الکمال، بل هو مستمرّ، و إنّما المتجدّد أهلیة الأخذ لا أصل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ینافیه أیضاً الضرر علی المشتری بطول الانتظار؛ إذ هو کالاجتهاد فی مقابل النصّ و الفتوی، خصوصاً بعد أن کان هو السبب فی إدخال الضرر علی نفسه ذلک</w:t>
      </w:r>
      <w:r>
        <w:rPr>
          <w:rStyle w:val="FootnoteAnchor"/>
          <w:rtl w:val="true"/>
        </w:rPr>
        <w:footnoteReference w:id="2184"/>
      </w:r>
      <w:r>
        <w:rPr>
          <w:rFonts w:ascii="IRNazanin" w:hAnsi="IRNazanin" w:eastAsia="IRNazanin"/>
          <w:color w:val="111111"/>
          <w:sz w:val="28"/>
          <w:sz w:val="28"/>
          <w:szCs w:val="28"/>
          <w:rtl w:val="true"/>
          <w:lang w:bidi="fa-IR"/>
        </w:rPr>
        <w:t>، و خصوصاً بعد ثبوت مثله فی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الأقوی أیضاً جواز تجدید الولیّ الأخذ و إن ترک سابقاً أو عفا؛ لبطلان ترکه و عفوه، فلا یترتّب علی أحدهما أثر، و لیس هما من التراخی المسقط للشفعة قطعاً؛ لأنّ تقصیره السابق بمنزلة عدمه بعد فرض بقاء حقّ الشفعة للمولّی علیه</w:t>
      </w:r>
      <w:r>
        <w:rPr>
          <w:rStyle w:val="FootnoteAnchor"/>
          <w:rtl w:val="true"/>
        </w:rPr>
        <w:footnoteReference w:id="2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9483004_73709187"/>
      <w:bookmarkStart w:id="720" w:name="_Toc271"/>
      <w:bookmarkEnd w:id="719"/>
      <w:r>
        <w:rPr>
          <w:rtl w:val="true"/>
        </w:rPr>
        <w:t>لیس للصبی أخذ الشفعة بعد البلوغ</w:t>
      </w:r>
      <w:bookmarkEnd w:id="720"/>
    </w:p>
    <w:p>
      <w:pPr>
        <w:pStyle w:val="BookText"/>
        <w:rPr/>
      </w:pPr>
      <w:r>
        <w:rPr>
          <w:rFonts w:ascii="IRNazanin" w:hAnsi="IRNazanin" w:eastAsia="IRNazanin"/>
          <w:color w:val="111111"/>
          <w:sz w:val="28"/>
          <w:sz w:val="28"/>
          <w:szCs w:val="28"/>
          <w:rtl w:val="true"/>
          <w:lang w:bidi="fa-IR"/>
        </w:rPr>
        <w:t>لو لم یکن فی أخذ الولیّ بالشفعة مصلحة، لم یکن للصبیّ بعد البلوغ الأخذ بها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باعه بأکثر من ثمن المثل أو به و لم یکن للمولّی علیه مال، و احتاج إلی بیع عقار هو أجود من المأخوذ و نحو ذلک، لم یصحّ الأخذ؛ لأنّ فعله</w:t>
      </w:r>
      <w:bookmarkStart w:id="721" w:name="pg11753_115086"/>
    </w:p>
    <w:p>
      <w:pPr>
        <w:pStyle w:val="BookText"/>
        <w:rPr/>
      </w:pPr>
      <w:bookmarkEnd w:id="721"/>
      <w:r>
        <w:rPr>
          <w:rFonts w:ascii="IRNazanin" w:hAnsi="IRNazanin" w:eastAsia="IRNazanin"/>
          <w:color w:val="111111"/>
          <w:sz w:val="28"/>
          <w:sz w:val="28"/>
          <w:szCs w:val="28"/>
          <w:rtl w:val="true"/>
          <w:lang w:bidi="fa-IR"/>
        </w:rPr>
        <w:t>مقیّد بالمصلحة</w:t>
      </w:r>
      <w:r>
        <w:rPr>
          <w:rFonts w:eastAsia="IRNazanin" w:cs="IRNazanin"/>
          <w:color w:val="111111"/>
          <w:sz w:val="28"/>
          <w:szCs w:val="28"/>
          <w:rtl w:val="true"/>
          <w:lang w:bidi="fa-IR"/>
        </w:rPr>
        <w:t>»</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جملة من کتب العلاّمة</w:t>
      </w:r>
      <w:r>
        <w:rPr>
          <w:rStyle w:val="FootnoteAnchor"/>
          <w:rtl w:val="true"/>
        </w:rPr>
        <w:footnoteReference w:id="2188"/>
      </w:r>
      <w:r>
        <w:rPr>
          <w:rFonts w:ascii="Amiri" w:hAnsi="Amiri" w:eastAsia="Amiri" w:cs="Amiri"/>
          <w:color w:val="111111"/>
          <w:sz w:val="28"/>
          <w:sz w:val="28"/>
          <w:szCs w:val="28"/>
          <w:rtl w:val="true"/>
          <w:lang w:bidi="ar-SA"/>
        </w:rPr>
        <w:t>و الروضة</w:t>
      </w:r>
      <w:r>
        <w:rPr>
          <w:rStyle w:val="FootnoteAnchor"/>
          <w:rtl w:val="true"/>
        </w:rPr>
        <w:footnoteReference w:id="2189"/>
      </w:r>
      <w:r>
        <w:rPr>
          <w:rFonts w:ascii="IRNazanin" w:hAnsi="IRNazanin" w:eastAsia="IRNazanin"/>
          <w:color w:val="111111"/>
          <w:sz w:val="28"/>
          <w:sz w:val="28"/>
          <w:szCs w:val="28"/>
          <w:rtl w:val="true"/>
          <w:lang w:bidi="fa-IR"/>
        </w:rPr>
        <w:t>و جامع المقاصد</w:t>
      </w:r>
      <w:r>
        <w:rPr>
          <w:rStyle w:val="FootnoteAnchor"/>
          <w:rtl w:val="true"/>
        </w:rPr>
        <w:footnoteReference w:id="2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شفعة للصبی بعد الکمال إذا کان الترک من الولیّ أصلح من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الولیّ مع المصلحة ماضٍ، و لیس للصبیّ نقضه بعد رشده و قد ترک، فلم یکن للصبیّ الأخذ کغیره من التصرّفات</w:t>
      </w:r>
      <w:r>
        <w:rPr>
          <w:rFonts w:eastAsia="IRNazanin" w:cs="IRNazanin"/>
          <w:color w:val="111111"/>
          <w:sz w:val="28"/>
          <w:szCs w:val="28"/>
          <w:rtl w:val="true"/>
          <w:lang w:bidi="fa-IR"/>
        </w:rPr>
        <w:t>»</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جهل الحال أنّ ذلک کان لمصلحة أولا؟</w:t>
      </w:r>
    </w:p>
    <w:p>
      <w:pPr>
        <w:pStyle w:val="BookText"/>
        <w:rPr/>
      </w:pPr>
      <w:r>
        <w:rPr>
          <w:rFonts w:ascii="IRNazanin" w:hAnsi="IRNazanin" w:eastAsia="IRNazanin"/>
          <w:color w:val="111111"/>
          <w:sz w:val="28"/>
          <w:sz w:val="28"/>
          <w:szCs w:val="28"/>
          <w:rtl w:val="true"/>
          <w:lang w:bidi="fa-IR"/>
        </w:rPr>
        <w:t>ففی استحقاق الصبیّ الأخذ بعد الکمال نظراً إلی وجود السبب؛ أی بیع الشریک، فیستصحب ثبوت الشفعة بنفس البیع، أو عدم استحقاقه للشفعة؛ لأنّها مقیّدة بالمصلحة و لم تُعلَم،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الثانی، و هو عدم استحقاقه للشفعة بعد الکمال، کما قال به الشهید الثانی</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استحقاقها المطالبة و الحال هذه نظرٌ؛ لأنّ المطالبة فرع الثبوت حینئذٍ، و الثبوت إنّما یتحقّق مع المصلحة، و الفرض جهالة الحال، فلا مقتضی للثبوت، و هذا وجیه</w:t>
      </w:r>
      <w:r>
        <w:rPr>
          <w:rFonts w:eastAsia="IRNazanin" w:cs="IRNazanin"/>
          <w:color w:val="111111"/>
          <w:sz w:val="28"/>
          <w:szCs w:val="28"/>
          <w:rtl w:val="true"/>
          <w:lang w:bidi="fa-IR"/>
        </w:rPr>
        <w:t>»</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9483006_73709187"/>
      <w:bookmarkStart w:id="723" w:name="_Toc272"/>
      <w:bookmarkEnd w:id="722"/>
      <w:r>
        <w:rPr>
          <w:rtl w:val="true"/>
        </w:rPr>
        <w:t>أخذ الولیّ الشفعة عند فقهاء أهل السنّة</w:t>
      </w:r>
      <w:bookmarkEnd w:id="72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خلاف بینهم أیضاً فی أنّ الولیّ یأخذ للصبی بالشفعة أو یترک بحسب المصلحة، و لنذکر شطراً من کلماتهم فی ذلک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جاء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بیع شقصٌ فی شرکة الصبیّ، فإن کان للصبیّ حظّ فی الأخذ؛ بأن کان له مال یرید أن یشتری له به عقاراً، أخذ له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الحظّ له بالترک؛ بأن کان لا مال له یرید أن یشتری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یأخذه له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 له الولیّ فی موضوع یری له الحظّ فی الأخذ فبلغ الصبیّ، و أراد أن یردّ ما أخذ له الولیّ، لم یملک ذلک؛ لأنّ ما فعله الولیّ ممّا فیه الحظّ لا یملک الصبیّ بعد بلوغه ردّه، و إن ترک الولیّ الأخذ له فی موضع رأی الحظّ له فی الترک، فأراد الصبیّ بعد بلوغه أن یأخذه،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لأنّه بعد بلوغه یملک التصرّف فیما له فیه حظٌّ، و فیما لا حظّ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له ذلک؛ لأنّ الولیّ قد اختار الترک بحسن نظره، فلم یکن له نقض ذلک</w:t>
      </w:r>
      <w:r>
        <w:rPr>
          <w:rFonts w:eastAsia="IRNazanin" w:cs="IRNazanin"/>
          <w:color w:val="111111"/>
          <w:sz w:val="28"/>
          <w:szCs w:val="28"/>
          <w:rtl w:val="true"/>
          <w:lang w:bidi="fa-IR"/>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الرافعی</w:t>
      </w:r>
      <w:r>
        <w:rPr>
          <w:rStyle w:val="FootnoteAnchor"/>
          <w:rtl w:val="true"/>
        </w:rPr>
        <w:footnoteReference w:id="2195"/>
      </w:r>
      <w:r>
        <w:rPr>
          <w:rFonts w:ascii="IRNazanin" w:hAnsi="IRNazanin" w:eastAsia="IRNazanin"/>
          <w:color w:val="111111"/>
          <w:sz w:val="28"/>
          <w:sz w:val="28"/>
          <w:szCs w:val="28"/>
          <w:rtl w:val="true"/>
          <w:lang w:bidi="fa-IR"/>
        </w:rPr>
        <w:t>و النووی</w:t>
      </w:r>
      <w:r>
        <w:rPr>
          <w:rStyle w:val="FootnoteAnchor"/>
          <w:rtl w:val="true"/>
        </w:rPr>
        <w:footnoteReference w:id="2196"/>
      </w:r>
      <w:r>
        <w:rPr>
          <w:rFonts w:ascii="IRNazanin" w:hAnsi="IRNazanin" w:eastAsia="IRNazanin"/>
          <w:color w:val="111111"/>
          <w:sz w:val="28"/>
          <w:sz w:val="28"/>
          <w:szCs w:val="28"/>
          <w:rtl w:val="true"/>
          <w:lang w:bidi="fa-IR"/>
        </w:rPr>
        <w:t>و الخطیب الشربینی</w:t>
      </w:r>
      <w:r>
        <w:rPr>
          <w:rStyle w:val="FootnoteAnchor"/>
          <w:rtl w:val="true"/>
        </w:rPr>
        <w:footnoteReference w:id="2197"/>
      </w:r>
      <w:r>
        <w:rPr>
          <w:rFonts w:ascii="IRNazanin" w:hAnsi="IRNazanin" w:eastAsia="IRNazanin"/>
          <w:color w:val="111111"/>
          <w:sz w:val="28"/>
          <w:sz w:val="28"/>
          <w:szCs w:val="28"/>
          <w:rtl w:val="true"/>
          <w:lang w:bidi="fa-IR"/>
        </w:rPr>
        <w:t>و الأنصاری</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التاج و الإکلیل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للصغیر الشفعة یقوم بها أبوه أو وصیّه، فإن لم یکونا فالإمام ینظر له، و إن لم یکن له أب و لا وصیّ و هو بموضعٍ لا سلطان فیه، فهو علی شفعته 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وجبت الشفعة للصغیر، کان الأمر</w:t>
      </w:r>
    </w:p>
    <w:p>
      <w:pPr>
        <w:pStyle w:val="BookText"/>
        <w:rPr/>
      </w:pPr>
      <w:r>
        <w:rPr>
          <w:rFonts w:ascii="IRNazanin" w:hAnsi="IRNazanin" w:eastAsia="IRNazanin"/>
          <w:color w:val="111111"/>
          <w:sz w:val="28"/>
          <w:sz w:val="28"/>
          <w:szCs w:val="28"/>
          <w:rtl w:val="true"/>
          <w:lang w:bidi="fa-IR"/>
        </w:rPr>
        <w:t>فیها لولیّه من أب أو وصیّ أو حاکم من أخذ 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رشد الصبیّ بعد ذلک لم یکن له أخذ ما ترک، و لا ترک ما أخذ، إلاّ أن یتبیّن أنّ الأخذ لم یکن من حسن النظر لغلائه</w:t>
      </w:r>
      <w:r>
        <w:rPr>
          <w:rFonts w:eastAsia="IRNazanin" w:cs="IRNazanin"/>
          <w:color w:val="111111"/>
          <w:sz w:val="28"/>
          <w:szCs w:val="28"/>
          <w:rtl w:val="true"/>
          <w:lang w:bidi="fa-IR"/>
        </w:rPr>
        <w:t>»</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الدسوقی</w:t>
      </w:r>
      <w:r>
        <w:rPr>
          <w:rStyle w:val="FootnoteAnchor"/>
          <w:rtl w:val="true"/>
        </w:rPr>
        <w:footnoteReference w:id="2200"/>
      </w:r>
      <w:r>
        <w:rPr>
          <w:rFonts w:ascii="IRNazanin" w:hAnsi="IRNazanin" w:eastAsia="IRNazanin"/>
          <w:color w:val="111111"/>
          <w:sz w:val="28"/>
          <w:sz w:val="28"/>
          <w:szCs w:val="28"/>
          <w:rtl w:val="true"/>
          <w:lang w:bidi="fa-IR"/>
        </w:rPr>
        <w:t>و الزرقانی</w:t>
      </w:r>
      <w:r>
        <w:rPr>
          <w:rStyle w:val="FootnoteAnchor"/>
          <w:rtl w:val="true"/>
        </w:rPr>
        <w:footnoteReference w:id="2201"/>
      </w:r>
      <w:r>
        <w:rPr>
          <w:rFonts w:ascii="IRNazanin" w:hAnsi="IRNazanin" w:eastAsia="IRNazanin"/>
          <w:color w:val="111111"/>
          <w:sz w:val="28"/>
          <w:sz w:val="28"/>
          <w:szCs w:val="28"/>
          <w:rtl w:val="true"/>
          <w:lang w:bidi="fa-IR"/>
        </w:rPr>
        <w:t>و ابن شاس</w:t>
      </w:r>
      <w:r>
        <w:rPr>
          <w:rStyle w:val="FootnoteAnchor"/>
          <w:rtl w:val="true"/>
        </w:rPr>
        <w:footnoteReference w:id="2202"/>
      </w:r>
      <w:r>
        <w:rPr>
          <w:rFonts w:ascii="IRNazanin" w:hAnsi="IRNazanin" w:eastAsia="IRNazanin"/>
          <w:color w:val="111111"/>
          <w:sz w:val="28"/>
          <w:sz w:val="28"/>
          <w:szCs w:val="28"/>
          <w:rtl w:val="true"/>
          <w:lang w:bidi="fa-IR"/>
        </w:rPr>
        <w:t>و القرافی</w:t>
      </w:r>
      <w:r>
        <w:rPr>
          <w:rStyle w:val="FootnoteAnchor"/>
          <w:rtl w:val="true"/>
        </w:rPr>
        <w:footnoteReference w:id="2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حاشیة الخرشی</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جاء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الشفعة تثبت للصغیر، و أنّ ولیّه یقوم مقامه فی الأخذ له؛ لأنّه أخذ بطریق التجارة، و فیه دفع الضرر عن الیتامی، و توفیر المنفعة علیهم، و لهذا المقصود أقام الشرع ولیّه مقامه</w:t>
      </w:r>
      <w:r>
        <w:rPr>
          <w:rFonts w:eastAsia="IRNazanin" w:cs="IRNazanin"/>
          <w:color w:val="111111"/>
          <w:sz w:val="28"/>
          <w:szCs w:val="28"/>
          <w:rtl w:val="true"/>
          <w:lang w:bidi="fa-IR"/>
        </w:rPr>
        <w:t>»</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بیعت دار و الصبیّ شفیعها، کان لولیّه أن یطالب بالشفعة و یأخذ له؛ لأنّ الأخذ بالشفعة بمنزلة الشراء من المشتری، و الولیّ یملک ذلک کما یملک الشراء، فإن سلّم الشفعة صحّ التسلیم، و لا شفعة للصبی إذا بلغ عند أبی حنیفة و أبی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الولیّ یتصرّف فی مال الصبیّ علی وجه المصلحة، و المصلحة قد تکون فی الشراء، و قد تکون فی ترکه، و الولیّ أعلم بذلک فیفوّض إلیه</w:t>
      </w:r>
      <w:r>
        <w:rPr>
          <w:rFonts w:eastAsia="IRNazanin" w:cs="IRNazanin"/>
          <w:color w:val="111111"/>
          <w:sz w:val="28"/>
          <w:szCs w:val="28"/>
          <w:rtl w:val="true"/>
          <w:lang w:bidi="fa-IR"/>
        </w:rPr>
        <w:t>»</w:t>
      </w:r>
      <w:r>
        <w:rPr>
          <w:rStyle w:val="FootnoteAnchor"/>
          <w:rtl w:val="true"/>
        </w:rPr>
        <w:footnoteReference w:id="2206"/>
      </w:r>
    </w:p>
    <w:p>
      <w:pPr>
        <w:pStyle w:val="BookText"/>
        <w:rPr/>
      </w:pPr>
      <w:r>
        <w:rPr>
          <w:rFonts w:ascii="IRNazanin" w:hAnsi="IRNazanin" w:eastAsia="IRNazanin"/>
          <w:color w:val="111111"/>
          <w:sz w:val="28"/>
          <w:sz w:val="28"/>
          <w:szCs w:val="28"/>
          <w:rtl w:val="true"/>
          <w:lang w:bidi="fa-IR"/>
        </w:rPr>
        <w:t>و کذا فی أحکام الصغار</w:t>
      </w:r>
      <w:r>
        <w:rPr>
          <w:rStyle w:val="FootnoteAnchor"/>
          <w:rtl w:val="true"/>
        </w:rPr>
        <w:footnoteReference w:id="2207"/>
      </w:r>
      <w:r>
        <w:rPr>
          <w:rFonts w:ascii="IRNazanin" w:hAnsi="IRNazanin" w:eastAsia="IRNazanin"/>
          <w:color w:val="111111"/>
          <w:sz w:val="28"/>
          <w:sz w:val="28"/>
          <w:szCs w:val="28"/>
          <w:rtl w:val="true"/>
          <w:lang w:bidi="fa-IR"/>
        </w:rPr>
        <w:t>و مختصر اختلاف العلماء</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قال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بیع فی شرکة الصغیر شقص</w:t>
      </w:r>
      <w:r>
        <w:rPr>
          <w:rStyle w:val="FootnoteAnchor"/>
          <w:rtl w:val="true"/>
        </w:rPr>
        <w:footnoteReference w:id="2209"/>
      </w:r>
      <w:r>
        <w:rPr>
          <w:rFonts w:ascii="IRNazanin" w:hAnsi="IRNazanin" w:eastAsia="IRNazanin"/>
          <w:color w:val="111111"/>
          <w:sz w:val="28"/>
          <w:sz w:val="28"/>
          <w:szCs w:val="28"/>
          <w:rtl w:val="true"/>
          <w:lang w:bidi="fa-IR"/>
        </w:rPr>
        <w:t>ثبتت له الشفعة فی قول عامّة الفقهاء، منهم الحسن و مالک و الأوزاعی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شفعة له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 النخعیّ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الصبیّ لا یمکنه الأخذ و لا یمکن انتظاره حتّی یبلغ؛ لما فیه من الإضرار بالمشتری، و لیس للولیّ الأخذ؛ لأنّ من لا یملک العفو لا یملک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ردّ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الأخذ، غیر صحیحٍ؛ فإنّ الولیّ یأخذ بها کما یردّ المعیب،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العفو، یبطل بالوکیل فیها و بالردّ بالعیب، فإنّ ولیّ الصبیّ لا یمکنه العفو و یمکنه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لقول عامّة الفقهاء بعموم الأحادیث</w:t>
      </w:r>
      <w:r>
        <w:rPr>
          <w:rStyle w:val="FootnoteAnchor"/>
          <w:rtl w:val="true"/>
        </w:rPr>
        <w:footnoteReference w:id="2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خیارٌ جُعِلَ لإزالة الضرر عن المال، فیثبت فی حقّ الصبیّ کخیار الردّ بالعیب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یأخذ الولیّ انتظر بلوغ الصبیّ، کما ینتظر قدوم الغائب، و ما ذکروه من الضرر فی الانتظار یبطل بالغائب</w:t>
      </w:r>
      <w:r>
        <w:rPr>
          <w:rStyle w:val="FootnoteAnchor"/>
          <w:rtl w:val="true"/>
        </w:rPr>
        <w:footnoteReference w:id="2211"/>
      </w:r>
      <w:bookmarkStart w:id="724" w:name="pg11753_115090"/>
    </w:p>
    <w:p>
      <w:pPr>
        <w:pStyle w:val="Heading4"/>
        <w:numPr>
          <w:ilvl w:val="3"/>
          <w:numId w:val="1"/>
        </w:numPr>
        <w:rPr/>
      </w:pPr>
      <w:bookmarkStart w:id="725" w:name="__RefHeading___Toc9483008_73709187"/>
      <w:bookmarkStart w:id="726" w:name="_Toc273"/>
      <w:bookmarkEnd w:id="724"/>
      <w:bookmarkEnd w:id="725"/>
      <w:r>
        <w:rPr>
          <w:rtl w:val="true"/>
        </w:rPr>
        <w:t>المبحث الثانی</w:t>
      </w:r>
      <w:r>
        <w:rPr>
          <w:rtl w:val="true"/>
        </w:rPr>
        <w:t xml:space="preserve">: </w:t>
      </w:r>
      <w:r>
        <w:rPr>
          <w:rtl w:val="true"/>
        </w:rPr>
        <w:t>استیفاء حقّ الخیار للصبیّ‌</w:t>
      </w:r>
      <w:bookmarkEnd w:id="726"/>
    </w:p>
    <w:p>
      <w:pPr>
        <w:pStyle w:val="Heading5"/>
        <w:numPr>
          <w:ilvl w:val="4"/>
          <w:numId w:val="1"/>
        </w:numPr>
        <w:rPr/>
      </w:pPr>
      <w:bookmarkStart w:id="727" w:name="__RefHeading___Toc9483010_73709187"/>
      <w:bookmarkStart w:id="728" w:name="_Toc274"/>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و للولیّ أیضاً استیفاء حقّ الخیار</w:t>
      </w:r>
      <w:r>
        <w:rPr>
          <w:rStyle w:val="FootnoteAnchor"/>
          <w:rtl w:val="true"/>
        </w:rPr>
        <w:footnoteReference w:id="2212"/>
      </w:r>
      <w:r>
        <w:rPr>
          <w:rFonts w:ascii="IRNazanin" w:hAnsi="IRNazanin" w:eastAsia="IRNazanin"/>
          <w:color w:val="111111"/>
          <w:sz w:val="28"/>
          <w:sz w:val="28"/>
          <w:szCs w:val="28"/>
          <w:rtl w:val="true"/>
          <w:lang w:bidi="fa-IR"/>
        </w:rPr>
        <w:t>للصبی کسائر تصرّفاته مثل خیار المجلس و الشرط و الحیوان، و لعلّه مثل خیار العیب و الرؤیة و غیرها أیضاً؛ لأنّ الولیّ هو المتبایع، و المتبایعان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أن یشتری لولده من نفسه، و أراد الانعقاد، ینبغی أن یختار لزوم العقد عند انعقاد العقد، أو یختار بشرط بطلان الخیار</w:t>
      </w:r>
      <w:r>
        <w:rPr>
          <w:rFonts w:eastAsia="IRNazanin" w:cs="IRNazanin"/>
          <w:color w:val="111111"/>
          <w:sz w:val="28"/>
          <w:szCs w:val="28"/>
          <w:rtl w:val="true"/>
          <w:lang w:bidi="fa-IR"/>
        </w:rPr>
        <w:t>»</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المهذّب</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العاقد عن اثنین له الخیار، و یبطل بما یبطل به خیار المتعاقدین</w:t>
      </w:r>
      <w:r>
        <w:rPr>
          <w:rFonts w:eastAsia="IRNazanin" w:cs="IRNazanin"/>
          <w:color w:val="111111"/>
          <w:sz w:val="28"/>
          <w:szCs w:val="28"/>
          <w:rtl w:val="true"/>
          <w:lang w:bidi="fa-IR"/>
        </w:rPr>
        <w:t>»</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باع مال نفسه من ولده الصغیر أو بالعکس، فالأقرب ثبوت الخیار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أصحّ وجهی الشافعیّة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الولیّ هنا قائم مقام الشخصین فی صحّة العقد، فکذا فی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لأنّ لفظ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علی الغالب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قلناه یثبت الخیار للولیّ و للطفل معاً، و الولیّ نائب عن الطفل،</w:t>
      </w:r>
    </w:p>
    <w:p>
      <w:pPr>
        <w:pStyle w:val="BookText"/>
        <w:rPr/>
      </w:pPr>
      <w:r>
        <w:rPr>
          <w:rFonts w:ascii="IRNazanin" w:hAnsi="IRNazanin" w:eastAsia="IRNazanin"/>
          <w:color w:val="111111"/>
          <w:sz w:val="28"/>
          <w:sz w:val="28"/>
          <w:szCs w:val="28"/>
          <w:rtl w:val="true"/>
          <w:lang w:bidi="fa-IR"/>
        </w:rPr>
        <w:t>فإن التزم لنفسه و للطفل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التزم لنفسه بقی الخیار للطفل، و إن التزم للطفل بقی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باع مال أحد ولدیه علی الآخر و هما صغیران، و البحث کما تقدّم</w:t>
      </w:r>
      <w:r>
        <w:rPr>
          <w:rFonts w:eastAsia="IRNazanin" w:cs="IRNazanin"/>
          <w:color w:val="111111"/>
          <w:sz w:val="28"/>
          <w:szCs w:val="28"/>
          <w:rtl w:val="true"/>
          <w:lang w:bidi="fa-IR"/>
        </w:rPr>
        <w:t>»</w:t>
      </w:r>
      <w:r>
        <w:rPr>
          <w:rStyle w:val="FootnoteAnchor"/>
          <w:rtl w:val="true"/>
        </w:rPr>
        <w:footnoteReference w:id="2216"/>
      </w:r>
      <w:r>
        <w:rPr>
          <w:rFonts w:ascii="IRNazanin" w:hAnsi="IRNazanin" w:eastAsia="IRNazanin"/>
          <w:color w:val="111111"/>
          <w:sz w:val="28"/>
          <w:sz w:val="28"/>
          <w:szCs w:val="28"/>
          <w:rtl w:val="true"/>
          <w:lang w:bidi="fa-IR"/>
        </w:rPr>
        <w:t>و احتمله أیضاً فی المختلف</w:t>
      </w:r>
      <w:r>
        <w:rPr>
          <w:rStyle w:val="FootnoteAnchor"/>
          <w:rtl w:val="true"/>
        </w:rPr>
        <w:footnoteReference w:id="2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المحقّق</w:t>
      </w:r>
      <w:r>
        <w:rPr>
          <w:rStyle w:val="FootnoteAnchor"/>
          <w:rtl w:val="true"/>
        </w:rPr>
        <w:footnoteReference w:id="2218"/>
      </w:r>
      <w:r>
        <w:rPr>
          <w:rFonts w:ascii="IRNazanin" w:hAnsi="IRNazanin" w:eastAsia="IRNazanin"/>
          <w:color w:val="111111"/>
          <w:sz w:val="28"/>
          <w:sz w:val="28"/>
          <w:szCs w:val="28"/>
          <w:rtl w:val="true"/>
          <w:lang w:bidi="fa-IR"/>
        </w:rPr>
        <w:t>و الشهید الثانی</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ثبوت حقّ الخیار للصبیّ</w:t>
      </w:r>
    </w:p>
    <w:p>
      <w:pPr>
        <w:pStyle w:val="BookText"/>
        <w:rPr/>
      </w:pPr>
      <w:r>
        <w:rPr>
          <w:rFonts w:ascii="IRNazanin" w:hAnsi="IRNazanin" w:eastAsia="IRNazanin"/>
          <w:color w:val="111111"/>
          <w:sz w:val="28"/>
          <w:sz w:val="28"/>
          <w:szCs w:val="28"/>
          <w:rtl w:val="true"/>
          <w:lang w:bidi="fa-IR"/>
        </w:rPr>
        <w:t>و یمکن الاستدلال لإثبات 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ثبوته فی کلّ بیع، کما حکی عن الغُنیة معتضداً بالشهرة العظیمة فی المقام</w:t>
      </w:r>
      <w:r>
        <w:rPr>
          <w:rStyle w:val="FootnoteAnchor"/>
          <w:rtl w:val="true"/>
        </w:rPr>
        <w:footnoteReference w:id="2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الموجود فیما عندنا من نسخ کتاب الغنیة ما یقرب من ذلک و لیس صریحاً به</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النصوص الواردة من طریق الخاصّة و العامّة،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 و صاحب الحیوان بالخیار ثلاثة أیّام</w:t>
      </w:r>
      <w:r>
        <w:rPr>
          <w:rFonts w:eastAsia="IRNazanin" w:cs="IRNazanin"/>
          <w:color w:val="111111"/>
          <w:sz w:val="28"/>
          <w:szCs w:val="28"/>
          <w:rtl w:val="true"/>
          <w:lang w:bidi="fa-IR"/>
        </w:rPr>
        <w:t>»</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صحیحة زرارة</w:t>
      </w:r>
      <w:r>
        <w:rPr>
          <w:rStyle w:val="FootnoteAnchor"/>
          <w:rtl w:val="true"/>
        </w:rPr>
        <w:footnoteReference w:id="2223"/>
      </w:r>
      <w:r>
        <w:rPr>
          <w:rFonts w:ascii="IRNazanin" w:hAnsi="IRNazanin" w:eastAsia="IRNazanin"/>
          <w:color w:val="111111"/>
          <w:sz w:val="28"/>
          <w:sz w:val="28"/>
          <w:szCs w:val="28"/>
          <w:rtl w:val="true"/>
          <w:lang w:bidi="fa-IR"/>
        </w:rPr>
        <w:t>و صحیحة فضیل و غیرها</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الحلبی،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شرط ثلاثة</w:t>
      </w:r>
    </w:p>
    <w:p>
      <w:pPr>
        <w:pStyle w:val="BookText"/>
        <w:rPr/>
      </w:pPr>
      <w:r>
        <w:rPr>
          <w:rFonts w:ascii="IRNazanin" w:hAnsi="IRNazanin" w:eastAsia="IRNazanin"/>
          <w:color w:val="111111"/>
          <w:sz w:val="28"/>
          <w:sz w:val="28"/>
          <w:szCs w:val="28"/>
          <w:rtl w:val="true"/>
          <w:lang w:bidi="fa-IR"/>
        </w:rPr>
        <w:t>أیّام للمشتری، فهو بالخیار فیها إن اشترط أو لم یشترط</w:t>
      </w:r>
      <w:r>
        <w:rPr>
          <w:rFonts w:eastAsia="IRNazanin" w:cs="IRNazanin"/>
          <w:color w:val="111111"/>
          <w:sz w:val="28"/>
          <w:szCs w:val="28"/>
          <w:rtl w:val="true"/>
          <w:lang w:bidi="fa-IR"/>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سنن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من طریق أهل السنّة من أنّ المتبایعین کلّ واحدٍ منهما بالخیار علی صاحبه إلاّ بیع الخیار</w:t>
      </w:r>
      <w:r>
        <w:rPr>
          <w:rStyle w:val="FootnoteAnchor"/>
          <w:rtl w:val="true"/>
        </w:rPr>
        <w:footnoteReference w:id="2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عنوان البیع أو المتبایع یصدق علی الولیّ الذی باع عن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فی إثبات الخیار للوکیل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وکیلاً فی التصرّف المالی کأکثر الوکلاء، فإن کان مستقلاًّ فی التصرّف فی مال الموکّل بحیث یشمل فسخ المعاوضة بعد تحقّقها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العامل فی القراض و أولیاء القاصرین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ثبوت الخیار له؛ لعموم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تبادر المالکین ممنوعة، خصوصاً إذا استندت إلی الغلبة؛ فإنّ معاملة الوکلاء و الأولیاء لا تحصی</w:t>
      </w:r>
      <w:r>
        <w:rPr>
          <w:rFonts w:eastAsia="IRNazanin" w:cs="IRNazanin"/>
          <w:color w:val="111111"/>
          <w:sz w:val="28"/>
          <w:szCs w:val="28"/>
          <w:rtl w:val="true"/>
          <w:lang w:bidi="fa-IR"/>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مناط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المقام، للقطع بعدم الفرق بین کون البائع هو المالک الأصلی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من توابع العقد، و هو الظاهر من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الولیّ أنّه بائع، و الخیار ثابت للبائع بمقتضی الأخبار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هذا الخیار للولیّ ممّا لم نجد فیه خلافاً</w:t>
      </w:r>
      <w:r>
        <w:rPr>
          <w:rFonts w:eastAsia="IRNazanin" w:cs="IRNazanin"/>
          <w:color w:val="111111"/>
          <w:sz w:val="28"/>
          <w:szCs w:val="28"/>
          <w:rtl w:val="true"/>
          <w:lang w:bidi="fa-IR"/>
        </w:rPr>
        <w:t>.</w:t>
      </w:r>
      <w:bookmarkStart w:id="729" w:name="pg11753_115093"/>
    </w:p>
    <w:p>
      <w:pPr>
        <w:pStyle w:val="Heading5"/>
        <w:numPr>
          <w:ilvl w:val="4"/>
          <w:numId w:val="1"/>
        </w:numPr>
        <w:rPr/>
      </w:pPr>
      <w:bookmarkStart w:id="730" w:name="__RefHeading___Toc9483012_73709187"/>
      <w:bookmarkStart w:id="731" w:name="_Toc275"/>
      <w:bookmarkEnd w:id="729"/>
      <w:bookmarkEnd w:id="730"/>
      <w:r>
        <w:rPr>
          <w:rtl w:val="true"/>
        </w:rPr>
        <w:t>ثبوت الخیار للولیّ فی حال کونه موجباً و قابلاً باعتبارین</w:t>
      </w:r>
      <w:bookmarkEnd w:id="731"/>
    </w:p>
    <w:p>
      <w:pPr>
        <w:pStyle w:val="Heading6"/>
        <w:numPr>
          <w:ilvl w:val="5"/>
          <w:numId w:val="1"/>
        </w:numPr>
        <w:rPr/>
      </w:pPr>
      <w:bookmarkStart w:id="732" w:name="__RefHeading___Toc9483014_73709187"/>
      <w:bookmarkStart w:id="733" w:name="_Toc276"/>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 xml:space="preserve">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ثبوت حقّ الخیار للصبیّ و استیفاؤه للولیّ ممّا لا 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بما إذا کان الولیّ بائعاً أو مشتریاً نیابةً عن الصغیر، أمّا إذا کان الولیّ بنفسه بائعاً و مشتریاً باعتبارین، کمن باع مال الطفل ولایةً لنفسه، أو باع ماله للصبیّ، أو باع مال أحد الصبیّین للآخر، فهل یثبت الخیار للولیّ أم لا؟</w:t>
      </w:r>
    </w:p>
    <w:p>
      <w:pPr>
        <w:pStyle w:val="BookText"/>
        <w:rPr/>
      </w:pP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p>
    <w:p>
      <w:pPr>
        <w:pStyle w:val="Heading6"/>
        <w:numPr>
          <w:ilvl w:val="5"/>
          <w:numId w:val="1"/>
        </w:numPr>
        <w:rPr/>
      </w:pPr>
      <w:bookmarkStart w:id="734" w:name="__RefHeading___Toc9483016_73709187"/>
      <w:bookmarkStart w:id="735" w:name="_Toc277"/>
      <w:bookmarkEnd w:id="734"/>
      <w:r>
        <w:rPr>
          <w:rtl w:val="true"/>
        </w:rPr>
        <w:t>القول الأوّل</w:t>
      </w:r>
      <w:r>
        <w:rPr>
          <w:rtl w:val="true"/>
        </w:rPr>
        <w:t xml:space="preserve">: </w:t>
      </w:r>
      <w:r>
        <w:rPr>
          <w:rtl w:val="true"/>
        </w:rPr>
        <w:t>ثبوت الخیار للولیّ ما لم یشترط سقوطه</w:t>
      </w:r>
      <w:bookmarkEnd w:id="735"/>
    </w:p>
    <w:p>
      <w:pPr>
        <w:pStyle w:val="BookText"/>
        <w:rPr/>
      </w:pPr>
      <w:r>
        <w:rPr>
          <w:rFonts w:ascii="IRNazanin" w:hAnsi="IRNazanin" w:eastAsia="IRNazanin"/>
          <w:color w:val="111111"/>
          <w:sz w:val="28"/>
          <w:sz w:val="28"/>
          <w:szCs w:val="28"/>
          <w:rtl w:val="true"/>
          <w:lang w:bidi="fa-IR"/>
        </w:rPr>
        <w:t>، أو یلتزم بالعقد، أو یفارق المجلس الذی عقد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اختاره فی المبسوط‌</w:t>
      </w:r>
      <w:r>
        <w:rPr>
          <w:rStyle w:val="FootnoteAnchor"/>
          <w:rtl w:val="true"/>
        </w:rPr>
        <w:footnoteReference w:id="2230"/>
      </w:r>
      <w:r>
        <w:rPr>
          <w:rFonts w:ascii="Amiri" w:hAnsi="Amiri" w:eastAsia="Amiri" w:cs="Amiri"/>
          <w:color w:val="111111"/>
          <w:sz w:val="28"/>
          <w:sz w:val="28"/>
          <w:szCs w:val="28"/>
          <w:rtl w:val="true"/>
          <w:lang w:bidi="ar-SA"/>
        </w:rPr>
        <w:t>، و المهذّب</w:t>
      </w:r>
      <w:r>
        <w:rPr>
          <w:rStyle w:val="FootnoteAnchor"/>
          <w:rtl w:val="true"/>
        </w:rPr>
        <w:footnoteReference w:id="2231"/>
      </w:r>
      <w:r>
        <w:rPr>
          <w:rFonts w:ascii="IRNazanin" w:hAnsi="IRNazanin" w:eastAsia="IRNazanin"/>
          <w:color w:val="111111"/>
          <w:sz w:val="28"/>
          <w:sz w:val="28"/>
          <w:szCs w:val="28"/>
          <w:rtl w:val="true"/>
          <w:lang w:bidi="fa-IR"/>
        </w:rPr>
        <w:t>، و الشرائع</w:t>
      </w:r>
      <w:r>
        <w:rPr>
          <w:rStyle w:val="FootnoteAnchor"/>
          <w:rtl w:val="true"/>
        </w:rPr>
        <w:footnoteReference w:id="2232"/>
      </w:r>
      <w:r>
        <w:rPr>
          <w:rFonts w:ascii="IRNazanin" w:hAnsi="IRNazanin" w:eastAsia="IRNazanin"/>
          <w:color w:val="111111"/>
          <w:sz w:val="28"/>
          <w:sz w:val="28"/>
          <w:szCs w:val="28"/>
          <w:rtl w:val="true"/>
          <w:lang w:bidi="fa-IR"/>
        </w:rPr>
        <w:t>، و التذکرة</w:t>
      </w:r>
      <w:r>
        <w:rPr>
          <w:rStyle w:val="FootnoteAnchor"/>
          <w:rtl w:val="true"/>
        </w:rPr>
        <w:footnoteReference w:id="2233"/>
      </w:r>
      <w:r>
        <w:rPr>
          <w:rFonts w:ascii="IRNazanin" w:hAnsi="IRNazanin" w:eastAsia="IRNazanin"/>
          <w:color w:val="111111"/>
          <w:sz w:val="28"/>
          <w:sz w:val="28"/>
          <w:szCs w:val="28"/>
          <w:rtl w:val="true"/>
          <w:lang w:bidi="fa-IR"/>
        </w:rPr>
        <w:t>، و الدروس</w:t>
      </w:r>
      <w:r>
        <w:rPr>
          <w:rStyle w:val="FootnoteAnchor"/>
          <w:rtl w:val="true"/>
        </w:rPr>
        <w:footnoteReference w:id="2234"/>
      </w:r>
      <w:r>
        <w:rPr>
          <w:rFonts w:ascii="IRNazanin" w:hAnsi="IRNazanin" w:eastAsia="IRNazanin"/>
          <w:color w:val="111111"/>
          <w:sz w:val="28"/>
          <w:sz w:val="28"/>
          <w:szCs w:val="28"/>
          <w:rtl w:val="true"/>
          <w:lang w:bidi="fa-IR"/>
        </w:rPr>
        <w:t>و المسالک</w:t>
      </w:r>
      <w:r>
        <w:rPr>
          <w:rStyle w:val="FootnoteAnchor"/>
          <w:rtl w:val="true"/>
        </w:rPr>
        <w:footnoteReference w:id="2235"/>
      </w:r>
      <w:r>
        <w:rPr>
          <w:rFonts w:ascii="IRNazanin" w:hAnsi="IRNazanin" w:eastAsia="IRNazanin"/>
          <w:color w:val="111111"/>
          <w:sz w:val="28"/>
          <w:sz w:val="28"/>
          <w:szCs w:val="28"/>
          <w:rtl w:val="true"/>
          <w:lang w:bidi="fa-IR"/>
        </w:rPr>
        <w:t>و الجواهر</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لهذا القول بالإجماع علی ثبوت الخیار فی کلّ بیع، کما حکی عن الغنیة</w:t>
      </w:r>
      <w:r>
        <w:rPr>
          <w:rStyle w:val="FootnoteAnchor"/>
          <w:rtl w:val="true"/>
        </w:rPr>
        <w:footnoteReference w:id="2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المقتضی فی صورة تعدّد المتبایعین هو البیع، و هذا المقتضی فی بیع العاقد الواحد أیضاً موجود، فلیلحق به تنقیحاً لمناط الحکم، للقطع بعدم الفرق بین صورة الاتّحاد، و صورة التعدّد، و أنّ النصوص التی تکون علی صیغة التثنیة وردت مورد الغالب</w:t>
      </w:r>
      <w:r>
        <w:rPr>
          <w:rStyle w:val="FootnoteAnchor"/>
          <w:rtl w:val="true"/>
        </w:rPr>
        <w:footnoteReference w:id="2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الافتراق الذی یکون معتبراً فی سقوط</w:t>
      </w:r>
      <w:bookmarkStart w:id="736" w:name="pg11753_115094"/>
    </w:p>
    <w:p>
      <w:pPr>
        <w:pStyle w:val="BookText"/>
        <w:rPr/>
      </w:pPr>
      <w:bookmarkEnd w:id="736"/>
      <w:r>
        <w:rPr>
          <w:rFonts w:ascii="IRNazanin" w:hAnsi="IRNazanin" w:eastAsia="IRNazanin"/>
          <w:color w:val="111111"/>
          <w:sz w:val="28"/>
          <w:sz w:val="28"/>
          <w:szCs w:val="28"/>
          <w:rtl w:val="true"/>
          <w:lang w:bidi="fa-IR"/>
        </w:rPr>
        <w:t>الخیار یحصل هنا بمفارقة مجلس العقد؛ لأنّه مشبه بمفارقة أحد المتبایعین</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7" w:name="__RefHeading___Toc9483018_73709187"/>
      <w:bookmarkStart w:id="738" w:name="_Toc278"/>
      <w:bookmarkEnd w:id="737"/>
      <w:r>
        <w:rPr>
          <w:rtl w:val="true"/>
        </w:rPr>
        <w:t>القول الثانی</w:t>
      </w:r>
      <w:r>
        <w:rPr>
          <w:rtl w:val="true"/>
        </w:rPr>
        <w:t xml:space="preserve">: </w:t>
      </w:r>
      <w:r>
        <w:rPr>
          <w:rtl w:val="true"/>
        </w:rPr>
        <w:t>عدم ثبوت الخیار للولیّ أصلاً</w:t>
      </w:r>
      <w:bookmarkEnd w:id="738"/>
    </w:p>
    <w:p>
      <w:pPr>
        <w:pStyle w:val="BookText"/>
        <w:rPr/>
      </w:pPr>
      <w:r>
        <w:rPr>
          <w:rFonts w:ascii="IRNazanin" w:hAnsi="IRNazanin" w:eastAsia="IRNazanin"/>
          <w:color w:val="111111"/>
          <w:sz w:val="28"/>
          <w:sz w:val="28"/>
          <w:szCs w:val="28"/>
          <w:rtl w:val="true"/>
          <w:lang w:bidi="fa-IR"/>
        </w:rPr>
        <w:t>و به قال فخر المحقّقین</w:t>
      </w:r>
      <w:r>
        <w:rPr>
          <w:rStyle w:val="FootnoteAnchor"/>
          <w:rtl w:val="true"/>
        </w:rPr>
        <w:footnoteReference w:id="2240"/>
      </w:r>
      <w:r>
        <w:rPr>
          <w:rFonts w:ascii="IRNazanin" w:hAnsi="IRNazanin" w:eastAsia="IRNazanin"/>
          <w:color w:val="111111"/>
          <w:sz w:val="28"/>
          <w:sz w:val="28"/>
          <w:szCs w:val="28"/>
          <w:rtl w:val="true"/>
          <w:lang w:bidi="fa-IR"/>
        </w:rPr>
        <w:t>و المحقّق الأردبیلی</w:t>
      </w:r>
      <w:r>
        <w:rPr>
          <w:rStyle w:val="FootnoteAnchor"/>
          <w:rtl w:val="true"/>
        </w:rPr>
        <w:footnoteReference w:id="2241"/>
      </w:r>
      <w:r>
        <w:rPr>
          <w:rFonts w:ascii="IRNazanin" w:hAnsi="IRNazanin" w:eastAsia="IRNazanin"/>
          <w:color w:val="111111"/>
          <w:sz w:val="28"/>
          <w:sz w:val="28"/>
          <w:szCs w:val="28"/>
          <w:rtl w:val="true"/>
          <w:lang w:bidi="fa-IR"/>
        </w:rPr>
        <w:t>و الفاضل الخراسانی</w:t>
      </w:r>
      <w:r>
        <w:rPr>
          <w:rStyle w:val="FootnoteAnchor"/>
          <w:rtl w:val="true"/>
        </w:rPr>
        <w:footnoteReference w:id="2242"/>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أقرب</w:t>
      </w:r>
      <w:r>
        <w:rPr>
          <w:rFonts w:eastAsia="IRNazanin" w:cs="IRNazanin"/>
          <w:color w:val="111111"/>
          <w:sz w:val="28"/>
          <w:szCs w:val="28"/>
          <w:rtl w:val="true"/>
          <w:lang w:bidi="fa-IR"/>
        </w:rPr>
        <w:t>»</w:t>
      </w:r>
      <w:r>
        <w:rPr>
          <w:rStyle w:val="FootnoteAnchor"/>
          <w:rtl w:val="true"/>
        </w:rPr>
        <w:footnoteReference w:id="2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استظهره المحقّق التستری</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ثبوت الخیار إشکال، بل الأظهر العدم</w:t>
      </w:r>
      <w:r>
        <w:rPr>
          <w:rFonts w:eastAsia="IRNazanin" w:cs="IRNazanin"/>
          <w:color w:val="111111"/>
          <w:sz w:val="28"/>
          <w:szCs w:val="28"/>
          <w:rtl w:val="true"/>
          <w:lang w:bidi="fa-IR"/>
        </w:rPr>
        <w:t>»</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 فی مجمع البرهان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إجماع فیه علی 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التی هی المستند لا تشملهما؛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جعل له غایة لا یمکن هنا، و هی تفرّق أحدهما عن الآخر، و قد مرّ أنّ أصل العقد یقتضی اللزوم</w:t>
      </w:r>
      <w:r>
        <w:rPr>
          <w:rFonts w:eastAsia="IRNazanin" w:cs="IRNazanin"/>
          <w:color w:val="111111"/>
          <w:sz w:val="28"/>
          <w:szCs w:val="28"/>
          <w:rtl w:val="true"/>
          <w:lang w:bidi="fa-IR"/>
        </w:rPr>
        <w:t>»</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الأخبار المتقدّمة هو المغایرة بین المتعاقدین و التعدّد فیها</w:t>
      </w:r>
      <w:r>
        <w:rPr>
          <w:rStyle w:val="FootnoteAnchor"/>
          <w:rtl w:val="true"/>
        </w:rPr>
        <w:footnoteReference w:id="2247"/>
      </w:r>
      <w:r>
        <w:rPr>
          <w:rFonts w:ascii="IRNazanin" w:hAnsi="IRNazanin" w:eastAsia="IRNazanin"/>
          <w:color w:val="111111"/>
          <w:sz w:val="28"/>
          <w:sz w:val="28"/>
          <w:szCs w:val="28"/>
          <w:rtl w:val="true"/>
          <w:lang w:bidi="fa-IR"/>
        </w:rPr>
        <w:t>، و دعوی عموم ذلک الوکیل أو الولیّ عن اثنین خروج عن ظاهر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قدّمنا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العقد اللزوم کتاباً و سنّةً، و إثبات الخیار الموجب للخروج عن ذلک، یحتاج إلی دلیل واضح، و الرکون إلی هذه التعلیلات العلیلة و بناء الأحکام الشرعیّة علیها مجازفة ظاهرة</w:t>
      </w:r>
      <w:r>
        <w:rPr>
          <w:rFonts w:eastAsia="IRNazanin" w:cs="IRNazanin"/>
          <w:color w:val="111111"/>
          <w:sz w:val="28"/>
          <w:szCs w:val="28"/>
          <w:rtl w:val="true"/>
          <w:lang w:bidi="fa-IR"/>
        </w:rPr>
        <w:t>»</w:t>
      </w:r>
      <w:r>
        <w:rPr>
          <w:rStyle w:val="FootnoteAnchor"/>
          <w:rtl w:val="true"/>
        </w:rPr>
        <w:footnoteReference w:id="2248"/>
      </w:r>
      <w:bookmarkStart w:id="739" w:name="pg11753_115095"/>
    </w:p>
    <w:p>
      <w:pPr>
        <w:pStyle w:val="Heading6"/>
        <w:numPr>
          <w:ilvl w:val="5"/>
          <w:numId w:val="1"/>
        </w:numPr>
        <w:rPr/>
      </w:pPr>
      <w:bookmarkStart w:id="740" w:name="__RefHeading___Toc9483020_73709187"/>
      <w:bookmarkStart w:id="741" w:name="_Toc279"/>
      <w:bookmarkEnd w:id="739"/>
      <w:bookmarkEnd w:id="740"/>
      <w:r>
        <w:rPr>
          <w:rtl w:val="true"/>
        </w:rPr>
        <w:t>القول الثالث</w:t>
      </w:r>
      <w:r>
        <w:rPr>
          <w:rtl w:val="true"/>
        </w:rPr>
        <w:t xml:space="preserve">: - </w:t>
      </w:r>
      <w:r>
        <w:rPr>
          <w:rtl w:val="true"/>
        </w:rPr>
        <w:t xml:space="preserve">و لعلّه هو الأقوی </w:t>
      </w:r>
      <w:r>
        <w:rPr>
          <w:rtl w:val="true"/>
        </w:rPr>
        <w:t xml:space="preserve">- </w:t>
      </w:r>
      <w:r>
        <w:rPr>
          <w:rtl w:val="true"/>
        </w:rPr>
        <w:t>التوقّف فی المسألة</w:t>
      </w:r>
      <w:bookmarkEnd w:id="741"/>
    </w:p>
    <w:p>
      <w:pPr>
        <w:pStyle w:val="BookText"/>
        <w:rPr/>
      </w:pPr>
      <w:r>
        <w:rPr>
          <w:rFonts w:ascii="IRNazanin" w:hAnsi="IRNazanin" w:eastAsia="IRNazanin"/>
          <w:color w:val="111111"/>
          <w:sz w:val="28"/>
          <w:sz w:val="28"/>
          <w:szCs w:val="28"/>
          <w:rtl w:val="true"/>
          <w:lang w:bidi="fa-IR"/>
        </w:rPr>
        <w:t>قال العلاّمة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المشتری هو البائع؛ بأن یبیع عن ولده لنفسه أو بالعکس،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عملاً بالأصل السالم عن معارضة النصّ، لوروده بصیغة التثنیة مقرونة بالافتراق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مفارقة مجلس العقد، و عندی فی ذلک نظر</w:t>
      </w:r>
      <w:r>
        <w:rPr>
          <w:rFonts w:eastAsia="IRNazanin" w:cs="IRNazanin"/>
          <w:color w:val="111111"/>
          <w:sz w:val="28"/>
          <w:szCs w:val="28"/>
          <w:rtl w:val="true"/>
          <w:lang w:bidi="fa-IR"/>
        </w:rPr>
        <w:t>»</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 بعد البحث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فی هذه المسألة من المتوفّقین</w:t>
      </w:r>
      <w:r>
        <w:rPr>
          <w:rFonts w:eastAsia="IRNazanin" w:cs="IRNazanin"/>
          <w:color w:val="111111"/>
          <w:sz w:val="28"/>
          <w:szCs w:val="28"/>
          <w:rtl w:val="true"/>
          <w:lang w:bidi="fa-IR"/>
        </w:rPr>
        <w:t>»</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القواعد الاحتمالات الثلاثة و لم یرجّح أحدها</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 التوقّف، تبعاً للتحریر و جامع المقاصد</w:t>
      </w:r>
      <w:r>
        <w:rPr>
          <w:rFonts w:eastAsia="IRNazanin" w:cs="IRNazanin"/>
          <w:color w:val="111111"/>
          <w:sz w:val="28"/>
          <w:szCs w:val="28"/>
          <w:rtl w:val="true"/>
          <w:lang w:bidi="fa-IR"/>
        </w:rPr>
        <w:t>»</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9483022_73709187"/>
      <w:bookmarkStart w:id="743" w:name="_Toc280"/>
      <w:bookmarkEnd w:id="742"/>
      <w:r>
        <w:rPr>
          <w:rtl w:val="true"/>
        </w:rPr>
        <w:t>فرع</w:t>
      </w:r>
      <w:bookmarkEnd w:id="743"/>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للولیّ بذل مال الطفل فی مصالحه، کاستکفاف الظالم بالرشوة، و تخلیص ماله من تعویقه، و إطلاق زرعه، و ماء شربه،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طمع السلطان فی مال الیتیم فأعطاه الوصیّ شیئاً منه، فإن کان یقدر علی دفعه بدون المدفوع ضمن، و إلاّ فلا</w:t>
      </w:r>
      <w:r>
        <w:rPr>
          <w:rFonts w:eastAsia="IRNazanin" w:cs="IRNazanin"/>
          <w:color w:val="111111"/>
          <w:sz w:val="28"/>
          <w:szCs w:val="28"/>
          <w:rtl w:val="true"/>
          <w:lang w:bidi="fa-IR"/>
        </w:rPr>
        <w:t>»</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9483024_73709187"/>
      <w:bookmarkStart w:id="745" w:name="_Toc281"/>
      <w:bookmarkEnd w:id="744"/>
      <w:r>
        <w:rPr>
          <w:rtl w:val="true"/>
        </w:rPr>
        <w:t>استیفاء حقّ الخیار عند فقهاء أهل السنّة</w:t>
      </w:r>
      <w:bookmarkEnd w:id="74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یطرحوا مسألة استیفاء حقّ الخیار للصبیّ بخصوصها، و لکن یستفاد من کلمات بعضهم فی مسائل مختلفة أنّ للولیّ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فنذکر بعض عباراتهم التی دلّت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من فقهاء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باع ماله لولده أو بالعکس، ففی ثبوت خیار المجلس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أصحّهما یثبت، فعلی هذا، یثبت خیار للأب، و خیار للولد، و الأب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ألزم البیع لنفسه و للولد لزم، و إن ألزم لنفسه، بقی الخیار للولد، و إذا فارق المجلس لزم العقد</w:t>
      </w:r>
      <w:r>
        <w:rPr>
          <w:rFonts w:eastAsia="IRNazanin" w:cs="IRNazanin"/>
          <w:color w:val="111111"/>
          <w:sz w:val="28"/>
          <w:szCs w:val="28"/>
          <w:rtl w:val="true"/>
          <w:lang w:bidi="fa-IR"/>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الشربینی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اشتری الولیّ لطفله شیئاً فبلغ رشیداً قبل التفرّق لم ینتقل إلیه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للولیّ علی الأوجه من وجهین حکاهما فی البحر</w:t>
      </w:r>
      <w:r>
        <w:rPr>
          <w:rFonts w:eastAsia="IRNazanin" w:cs="IRNazanin"/>
          <w:color w:val="111111"/>
          <w:sz w:val="28"/>
          <w:szCs w:val="28"/>
          <w:rtl w:val="true"/>
          <w:lang w:bidi="fa-IR"/>
        </w:rPr>
        <w:t>»</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صاحب الخیار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إلی الورثة، فکانوا أطفالاً أو مجانین، قال الرویانی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القاضی فیما یفعل ما هو المصلحة من الفسخ و الإجازة</w:t>
      </w:r>
      <w:r>
        <w:rPr>
          <w:rFonts w:eastAsia="IRNazanin" w:cs="IRNazanin"/>
          <w:color w:val="111111"/>
          <w:sz w:val="28"/>
          <w:szCs w:val="28"/>
          <w:rtl w:val="true"/>
          <w:lang w:bidi="fa-IR"/>
        </w:rPr>
        <w:t>»</w:t>
      </w:r>
      <w:r>
        <w:rPr>
          <w:rStyle w:val="FootnoteAnchor"/>
          <w:rtl w:val="true"/>
        </w:rPr>
        <w:footnoteReference w:id="2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الخطیب الشربینی</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البحر الرائق فی الفقه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الأب أو الوصیّ شیئاً للیتیم و شرط الخیار لنفسه فبلغ الصبیّ فی المدّة تمّ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أنّ للوصیّ أن یفسخ بعد بلوغ الصغیر، و لیس له أن یجیز إلاّ برضاه</w:t>
      </w:r>
      <w:r>
        <w:rPr>
          <w:rFonts w:eastAsia="IRNazanin" w:cs="IRNazanin"/>
          <w:color w:val="111111"/>
          <w:sz w:val="28"/>
          <w:szCs w:val="28"/>
          <w:rtl w:val="true"/>
          <w:lang w:bidi="fa-IR"/>
        </w:rPr>
        <w:t>»</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بلغ الصبیّ فی مدّة خیار الشرط للأب أو الوصیّ</w:t>
      </w:r>
    </w:p>
    <w:p>
      <w:pPr>
        <w:pStyle w:val="BookText"/>
        <w:rPr/>
      </w:pPr>
      <w:r>
        <w:rPr>
          <w:rFonts w:ascii="IRNazanin" w:hAnsi="IRNazanin" w:eastAsia="IRNazanin"/>
          <w:color w:val="111111"/>
          <w:sz w:val="28"/>
          <w:sz w:val="28"/>
          <w:szCs w:val="28"/>
          <w:rtl w:val="true"/>
          <w:lang w:bidi="fa-IR"/>
        </w:rPr>
        <w:t>لنفسه فی بیع مال الصبیّ هل یبطل الخیار؟</w:t>
      </w:r>
    </w:p>
    <w:p>
      <w:pPr>
        <w:pStyle w:val="BookText"/>
        <w:rPr/>
      </w:pPr>
      <w:r>
        <w:rPr>
          <w:rFonts w:ascii="IRNazanin" w:hAnsi="IRNazanin" w:eastAsia="IRNazanin"/>
          <w:color w:val="111111"/>
          <w:sz w:val="28"/>
          <w:sz w:val="28"/>
          <w:szCs w:val="28"/>
          <w:rtl w:val="true"/>
          <w:lang w:bidi="fa-IR"/>
        </w:rPr>
        <w:t>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و یلزم العقد، و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 الإجازة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 یتصرّف فی مال الصغیر بطریق النیابة عنه شرعاً؛ لعجزه عن التصرّف بنفسه، و قد زال العجز بالبلوغ فتنتقل الإجازة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قول 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الخیار یثبت للولیّ، و هو ولایة الفسخ و الإجازة و قد بطل بالبلوغ، فلا یحتمل الانتقال إلی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اشتری الأب أو الوصیّ شیئاً بدینٍ فی الذمّة و شرط الخیار لنفسه ثمّ بلغ الصبیّ، جاز العقد علیهما و الصبیّ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الجواز علیهما فلأنّ ولایتهما قد انقطعت بالبلوغ، فلا یملکان التصرّف بالفسخ و الإجازة، فیبطل خیارهما و جاز العقد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 الصبیّ؛ فلأنّ الجواز و اللزوم لم یثبت فی حقّه، و إنّما یثبت فی حقّهما، فکان له خیار الفسخ و الإجازة</w:t>
      </w:r>
      <w:r>
        <w:rPr>
          <w:rFonts w:eastAsia="IRNazanin" w:cs="IRNazanin"/>
          <w:color w:val="111111"/>
          <w:sz w:val="28"/>
          <w:szCs w:val="28"/>
          <w:rtl w:val="true"/>
          <w:lang w:bidi="fa-IR"/>
        </w:rPr>
        <w:t>»</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عثرنا علیه من کلمات الشافعیّة و الحنفیّة، و لم نعثر للمالکیّة و الحنابلة علی نصٍّ فی هذه المسألة</w:t>
      </w:r>
      <w:r>
        <w:rPr>
          <w:rFonts w:eastAsia="IRNazanin" w:cs="IRNazanin"/>
          <w:color w:val="111111"/>
          <w:sz w:val="28"/>
          <w:szCs w:val="28"/>
          <w:rtl w:val="true"/>
          <w:lang w:bidi="fa-IR"/>
        </w:rPr>
        <w:t>.</w:t>
      </w:r>
      <w:bookmarkStart w:id="746" w:name="pg11753_115098"/>
    </w:p>
    <w:p>
      <w:pPr>
        <w:pStyle w:val="Heading4"/>
        <w:numPr>
          <w:ilvl w:val="3"/>
          <w:numId w:val="1"/>
        </w:numPr>
        <w:rPr/>
      </w:pPr>
      <w:bookmarkStart w:id="747" w:name="__RefHeading___Toc9483026_73709187"/>
      <w:bookmarkStart w:id="748" w:name="_Toc282"/>
      <w:bookmarkEnd w:id="746"/>
      <w:bookmarkEnd w:id="747"/>
      <w:r>
        <w:rPr>
          <w:rtl w:val="true"/>
        </w:rPr>
        <w:t>المبحث الثالث</w:t>
      </w:r>
      <w:r>
        <w:rPr>
          <w:rtl w:val="true"/>
        </w:rPr>
        <w:t xml:space="preserve">: </w:t>
      </w:r>
      <w:r>
        <w:rPr>
          <w:rtl w:val="true"/>
        </w:rPr>
        <w:t>الولایة علی القبول و القبض فی الهبة</w:t>
      </w:r>
      <w:bookmarkEnd w:id="748"/>
    </w:p>
    <w:p>
      <w:pPr>
        <w:pStyle w:val="Heading5"/>
        <w:numPr>
          <w:ilvl w:val="4"/>
          <w:numId w:val="1"/>
        </w:numPr>
        <w:rPr/>
      </w:pPr>
      <w:bookmarkStart w:id="749" w:name="__RefHeading___Toc9483028_73709187"/>
      <w:bookmarkStart w:id="750" w:name="_Toc283"/>
      <w:bookmarkEnd w:id="749"/>
      <w:r>
        <w:rPr>
          <w:rtl w:val="true"/>
        </w:rPr>
        <w:t>اشارة</w:t>
      </w:r>
      <w:bookmarkEnd w:id="750"/>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751" w:name="__RefHeading___Toc9483030_73709187"/>
      <w:bookmarkStart w:id="752" w:name="_Toc284"/>
      <w:bookmarkEnd w:id="751"/>
      <w:r>
        <w:rPr>
          <w:rtl w:val="true"/>
        </w:rPr>
        <w:t>المطلب الأوّل</w:t>
      </w:r>
      <w:r>
        <w:rPr>
          <w:rtl w:val="true"/>
        </w:rPr>
        <w:t xml:space="preserve">: </w:t>
      </w:r>
      <w:r>
        <w:rPr>
          <w:rtl w:val="true"/>
        </w:rPr>
        <w:t>الولایة علی قبول الهبة</w:t>
      </w:r>
      <w:bookmarkEnd w:id="752"/>
    </w:p>
    <w:p>
      <w:pPr>
        <w:pStyle w:val="Heading6"/>
        <w:numPr>
          <w:ilvl w:val="5"/>
          <w:numId w:val="1"/>
        </w:numPr>
        <w:rPr/>
      </w:pPr>
      <w:bookmarkStart w:id="753" w:name="__RefHeading___Toc9483032_73709187"/>
      <w:bookmarkStart w:id="754" w:name="_Toc285"/>
      <w:bookmarkEnd w:id="753"/>
      <w:r>
        <w:rPr>
          <w:rtl w:val="true"/>
        </w:rPr>
        <w:t>اشارة</w:t>
      </w:r>
      <w:bookmarkEnd w:id="754"/>
    </w:p>
    <w:p>
      <w:pPr>
        <w:pStyle w:val="BookText"/>
        <w:rPr/>
      </w:pPr>
      <w:r>
        <w:rPr>
          <w:rFonts w:ascii="IRNazanin" w:hAnsi="IRNazanin" w:eastAsia="IRNazanin"/>
          <w:color w:val="111111"/>
          <w:sz w:val="28"/>
          <w:sz w:val="28"/>
          <w:szCs w:val="28"/>
          <w:rtl w:val="true"/>
          <w:lang w:bidi="fa-IR"/>
        </w:rPr>
        <w:t>هل تحتاج الهبة إلی الإیجاب و القبول؟ فی المسألة قولان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الفقهاء بل ادّعی الاتّفاق منهم بأنّ الهبة</w:t>
      </w:r>
      <w:r>
        <w:rPr>
          <w:rStyle w:val="FootnoteAnchor"/>
          <w:rtl w:val="true"/>
        </w:rPr>
        <w:footnoteReference w:id="2260"/>
      </w:r>
      <w:r>
        <w:rPr>
          <w:rFonts w:ascii="IRNazanin" w:hAnsi="IRNazanin" w:eastAsia="IRNazanin"/>
          <w:color w:val="111111"/>
          <w:sz w:val="28"/>
          <w:sz w:val="28"/>
          <w:szCs w:val="28"/>
          <w:rtl w:val="true"/>
          <w:lang w:bidi="fa-IR"/>
        </w:rPr>
        <w:t>من العقود الجائزة و تحتاج إلی 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تفتقر صحّة الهبة إلی الإیجاب</w:t>
      </w:r>
    </w:p>
    <w:p>
      <w:pPr>
        <w:pStyle w:val="BookText"/>
        <w:rPr/>
      </w:pP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w:t>
      </w:r>
      <w:r>
        <w:rPr>
          <w:rStyle w:val="FootnoteAnchor"/>
          <w:rtl w:val="true"/>
        </w:rPr>
        <w:footnoteReference w:id="2261"/>
      </w:r>
      <w:r>
        <w:rPr>
          <w:rFonts w:ascii="Amiri" w:hAnsi="Amiri" w:eastAsia="Amiri" w:cs="Amiri"/>
          <w:color w:val="111111"/>
          <w:sz w:val="28"/>
          <w:sz w:val="28"/>
          <w:szCs w:val="28"/>
          <w:rtl w:val="true"/>
          <w:lang w:bidi="ar-SA"/>
        </w:rPr>
        <w:t>و به قال ابنا حمزة</w:t>
      </w:r>
      <w:r>
        <w:rPr>
          <w:rStyle w:val="FootnoteAnchor"/>
          <w:rtl w:val="true"/>
        </w:rPr>
        <w:footnoteReference w:id="2262"/>
      </w:r>
      <w:r>
        <w:rPr>
          <w:rFonts w:ascii="IRNazanin" w:hAnsi="IRNazanin" w:eastAsia="IRNazanin"/>
          <w:color w:val="111111"/>
          <w:sz w:val="28"/>
          <w:sz w:val="28"/>
          <w:szCs w:val="28"/>
          <w:rtl w:val="true"/>
          <w:lang w:bidi="fa-IR"/>
        </w:rPr>
        <w:t>و إدریس</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و النحلة واحد، و هی عقد علی مال بغیر عوض، و شرط صحّته الإیجاب و القبول</w:t>
      </w:r>
      <w:r>
        <w:rPr>
          <w:rFonts w:eastAsia="IRNazanin" w:cs="IRNazanin"/>
          <w:color w:val="111111"/>
          <w:sz w:val="28"/>
          <w:szCs w:val="28"/>
          <w:rtl w:val="true"/>
          <w:lang w:bidi="fa-IR"/>
        </w:rPr>
        <w:t>»</w:t>
      </w:r>
      <w:r>
        <w:rPr>
          <w:rStyle w:val="FootnoteAnchor"/>
          <w:rtl w:val="true"/>
        </w:rPr>
        <w:footnoteReference w:id="2264"/>
      </w:r>
      <w:r>
        <w:rPr>
          <w:rFonts w:ascii="IRNazanin" w:hAnsi="IRNazanin" w:eastAsia="IRNazanin"/>
          <w:color w:val="111111"/>
          <w:sz w:val="28"/>
          <w:sz w:val="28"/>
          <w:szCs w:val="28"/>
          <w:rtl w:val="true"/>
          <w:lang w:bidi="fa-IR"/>
        </w:rPr>
        <w:t>و کذا فی الشرائع و المختصر النافع</w:t>
      </w:r>
      <w:r>
        <w:rPr>
          <w:rStyle w:val="FootnoteAnchor"/>
          <w:rtl w:val="true"/>
        </w:rPr>
        <w:footnoteReference w:id="2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أیضاً جماعة من المتأخرین</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عقد یفتقر إلی الإیجاب و القبول باللفظ کالبیع و سائر التملیکات</w:t>
      </w:r>
      <w:r>
        <w:rPr>
          <w:rFonts w:eastAsia="IRNazanin" w:cs="IRNazanin"/>
          <w:color w:val="111111"/>
          <w:sz w:val="28"/>
          <w:szCs w:val="28"/>
          <w:rtl w:val="true"/>
          <w:lang w:bidi="fa-IR"/>
        </w:rPr>
        <w:t>»</w:t>
      </w:r>
      <w:r>
        <w:rPr>
          <w:rStyle w:val="FootnoteAnchor"/>
          <w:rtl w:val="true"/>
        </w:rPr>
        <w:footnoteReference w:id="2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الإرشاد</w:t>
      </w:r>
      <w:r>
        <w:rPr>
          <w:rStyle w:val="FootnoteAnchor"/>
          <w:rtl w:val="true"/>
        </w:rPr>
        <w:footnoteReference w:id="2268"/>
      </w:r>
      <w:r>
        <w:rPr>
          <w:rFonts w:ascii="IRNazanin" w:hAnsi="IRNazanin" w:eastAsia="IRNazanin"/>
          <w:color w:val="111111"/>
          <w:sz w:val="28"/>
          <w:sz w:val="28"/>
          <w:szCs w:val="28"/>
          <w:rtl w:val="true"/>
          <w:lang w:bidi="fa-IR"/>
        </w:rPr>
        <w:t>و القواعد</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الأصحاب الاتّفاق علی افتقار الهبة مطلقاً إلی العقد القولی فی الجملة</w:t>
      </w:r>
      <w:r>
        <w:rPr>
          <w:rFonts w:eastAsia="IRNazanin" w:cs="IRNazanin"/>
          <w:color w:val="111111"/>
          <w:sz w:val="28"/>
          <w:szCs w:val="28"/>
          <w:rtl w:val="true"/>
          <w:lang w:bidi="fa-IR"/>
        </w:rPr>
        <w:t>»</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الکفایة للفاضل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یفتقر الهبة إلی الإیجاب و القبول عند الأصحاب، و الإیجاب کلّ لفظ قصد به التملیک المذکور، و القبول کلّ لفظٍ یدلّ علی قبوله</w:t>
      </w:r>
      <w:r>
        <w:rPr>
          <w:rFonts w:eastAsia="IRNazanin" w:cs="IRNazanin"/>
          <w:color w:val="111111"/>
          <w:sz w:val="28"/>
          <w:szCs w:val="28"/>
          <w:rtl w:val="true"/>
          <w:lang w:bidi="fa-IR"/>
        </w:rPr>
        <w:t>»</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الهبة لا تحتاج إلی الإیجاب و القبول اللفظی، بل یکفی فیها المعاطاة، قال الشهید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عدم الحاجة إلی الإیجاب و القبول لفظاً،</w:t>
      </w:r>
    </w:p>
    <w:p>
      <w:pPr>
        <w:pStyle w:val="BookText"/>
        <w:rPr/>
      </w:pPr>
      <w:r>
        <w:rPr>
          <w:rFonts w:ascii="IRNazanin" w:hAnsi="IRNazanin" w:eastAsia="IRNazanin"/>
          <w:color w:val="111111"/>
          <w:sz w:val="28"/>
          <w:sz w:val="28"/>
          <w:szCs w:val="28"/>
          <w:rtl w:val="true"/>
          <w:lang w:bidi="fa-IR"/>
        </w:rPr>
        <w:t>و یکفی الفعل الدّال علیهما</w:t>
      </w:r>
      <w:r>
        <w:rPr>
          <w:rFonts w:eastAsia="IRNazanin" w:cs="IRNazanin"/>
          <w:color w:val="111111"/>
          <w:sz w:val="28"/>
          <w:szCs w:val="28"/>
          <w:rtl w:val="true"/>
          <w:lang w:bidi="fa-IR"/>
        </w:rPr>
        <w:t>»</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استقرب العلاّمة فی التحریر فی أوّل الباب عدم الاستغناء فی الهبة عن الإیجاب و القبول، و أباح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المهدی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عملاً بالإذن المستفاد عن العادة</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آخر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قیل بعدم اشتراط القبول نطقاً کان وجهاً، قضاءً للعادة لقبول الهدایا من غیر نطق</w:t>
      </w:r>
      <w:r>
        <w:rPr>
          <w:rFonts w:eastAsia="IRNazanin" w:cs="IRNazanin"/>
          <w:color w:val="111111"/>
          <w:sz w:val="28"/>
          <w:szCs w:val="28"/>
          <w:rtl w:val="true"/>
          <w:lang w:bidi="fa-IR"/>
        </w:rPr>
        <w:t>»</w:t>
      </w:r>
      <w:r>
        <w:rPr>
          <w:rStyle w:val="FootnoteAnchor"/>
          <w:rtl w:val="true"/>
        </w:rPr>
        <w:footnoteReference w:id="2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حسن</w:t>
      </w:r>
      <w:r>
        <w:rPr>
          <w:rFonts w:eastAsia="IRNazanin" w:cs="IRNazanin"/>
          <w:color w:val="111111"/>
          <w:sz w:val="28"/>
          <w:szCs w:val="28"/>
          <w:rtl w:val="true"/>
          <w:lang w:bidi="fa-IR"/>
        </w:rPr>
        <w:t>»</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قویّ متین</w:t>
      </w:r>
      <w:r>
        <w:rPr>
          <w:rFonts w:eastAsia="IRNazanin" w:cs="IRNazanin"/>
          <w:color w:val="111111"/>
          <w:sz w:val="28"/>
          <w:szCs w:val="28"/>
          <w:rtl w:val="true"/>
          <w:lang w:bidi="fa-IR"/>
        </w:rPr>
        <w:t>»</w:t>
      </w:r>
      <w:r>
        <w:rPr>
          <w:rStyle w:val="FootnoteAnchor"/>
          <w:rtl w:val="true"/>
        </w:rPr>
        <w:footnoteReference w:id="2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فی الهبة من الإیجاب الدّال علی تملّک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القبول الدّال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مطلق ما یدلّ علیهما و لو فعلاً، و یشکل إذا ارید ما یدلّ علیهما لفظاً</w:t>
      </w:r>
      <w:r>
        <w:rPr>
          <w:rFonts w:eastAsia="IRNazanin" w:cs="IRNazanin"/>
          <w:color w:val="111111"/>
          <w:sz w:val="28"/>
          <w:szCs w:val="28"/>
          <w:rtl w:val="true"/>
          <w:lang w:bidi="fa-IR"/>
        </w:rPr>
        <w:t>»</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هی العقد المقتضی تملیک العین من غیر عوض تملیکاً منجّزاً مجرّداً عن القربة، أو الأثر الحاصل منه و لو بالمعاطاة أو فعل الواهب</w:t>
      </w:r>
      <w:r>
        <w:rPr>
          <w:rFonts w:eastAsia="IRNazanin" w:cs="IRNazanin"/>
          <w:color w:val="111111"/>
          <w:sz w:val="28"/>
          <w:szCs w:val="28"/>
          <w:rtl w:val="true"/>
          <w:lang w:bidi="fa-IR"/>
        </w:rPr>
        <w:t>»</w:t>
      </w:r>
      <w:r>
        <w:rPr>
          <w:rStyle w:val="FootnoteAnchor"/>
          <w:rtl w:val="true"/>
        </w:rPr>
        <w:footnoteReference w:id="2278"/>
      </w:r>
    </w:p>
    <w:p>
      <w:pPr>
        <w:pStyle w:val="BookText"/>
        <w:rPr/>
      </w:pPr>
      <w:r>
        <w:rPr>
          <w:rFonts w:ascii="IRNazanin" w:hAnsi="IRNazanin" w:eastAsia="IRNazanin"/>
          <w:color w:val="111111"/>
          <w:sz w:val="28"/>
          <w:sz w:val="28"/>
          <w:szCs w:val="28"/>
          <w:rtl w:val="true"/>
          <w:lang w:bidi="fa-IR"/>
        </w:rPr>
        <w:t>و به قال أیضاً بعض فقهاء العصر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الفقیه الخوئی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عقد یحتاج إلی إیجاب و قبول، و یکفی فی الإیجاب کلّ ما دلّ علی التملیک المذکور من لفظٍ أو فعلٍ أو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القبول کلّ ما دلّ علی الرضا بالإیجاب من لفظ أو فعل أو نحو ذلک</w:t>
      </w:r>
      <w:r>
        <w:rPr>
          <w:rFonts w:eastAsia="IRNazanin" w:cs="IRNazanin"/>
          <w:color w:val="111111"/>
          <w:sz w:val="28"/>
          <w:szCs w:val="28"/>
          <w:rtl w:val="true"/>
          <w:lang w:bidi="fa-IR"/>
        </w:rPr>
        <w:t>»</w:t>
      </w:r>
      <w:r>
        <w:rPr>
          <w:rStyle w:val="FootnoteAnchor"/>
          <w:rtl w:val="true"/>
        </w:rPr>
        <w:footnoteReference w:id="2279"/>
      </w:r>
      <w:bookmarkStart w:id="755" w:name="pg11753_115101"/>
    </w:p>
    <w:p>
      <w:pPr>
        <w:pStyle w:val="BookText"/>
        <w:rPr/>
      </w:pPr>
      <w:bookmarkEnd w:id="755"/>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وقوعها بالمعاطاة بتسلیم العین و تسلّمها بعنوانها</w:t>
      </w:r>
      <w:r>
        <w:rPr>
          <w:rFonts w:eastAsia="IRNazanin" w:cs="IRNazanin"/>
          <w:color w:val="111111"/>
          <w:sz w:val="28"/>
          <w:szCs w:val="28"/>
          <w:rtl w:val="true"/>
          <w:lang w:bidi="fa-IR"/>
        </w:rPr>
        <w:t>»</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9483034_73709187"/>
      <w:bookmarkStart w:id="757" w:name="_Toc286"/>
      <w:bookmarkEnd w:id="756"/>
      <w:r>
        <w:rPr>
          <w:rtl w:val="true"/>
        </w:rPr>
        <w:t>أدلّة جواز الهبة بالمعاطاة</w:t>
      </w:r>
      <w:bookmarkEnd w:id="757"/>
    </w:p>
    <w:p>
      <w:pPr>
        <w:pStyle w:val="BookText"/>
        <w:rPr/>
      </w:pPr>
      <w:r>
        <w:rPr>
          <w:rFonts w:ascii="IRNazanin" w:hAnsi="IRNazanin" w:eastAsia="IRNazanin"/>
          <w:color w:val="111111"/>
          <w:sz w:val="28"/>
          <w:sz w:val="28"/>
          <w:szCs w:val="28"/>
          <w:rtl w:val="true"/>
          <w:lang w:bidi="fa-IR"/>
        </w:rPr>
        <w:t>و یمکن أن یستدلّ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الهبة لمّا کانت من العقود الجائزة فی أکثر مواردها وسّعوا المجال فیها و لم یضیّقوها علی حدّ العقود اللازمة، فاکتفوا بکلّ ما دلّ علی التملیک حتّی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 مع نیّة الهبة کفی و إن لم یکن بصیغة الماضویة، کما توسّعوا فی عقد الرهن؛ لأنّه کان جائزاً من أحد الطرفین</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المعاطاة فی غیر الهبة، من دعوی السیرة القطعیة متحقّق فی المقام أیضاً، فلا محیص عن القول بمشروعیّة المعاطاة فی الهبة کمشروعیّتها فی باب البیع</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یصدق الهبة مع عدم اللفظ الدالّ علی الإیجاب و القبول حقیقةً‌</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الهدایا کانت تحمل إلی رسول اللّه صلی الله علیه و آله من کسری و قیصر و سائر الملوک</w:t>
      </w:r>
      <w:r>
        <w:rPr>
          <w:rStyle w:val="FootnoteAnchor"/>
          <w:rtl w:val="true"/>
        </w:rPr>
        <w:footnoteReference w:id="2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 أنّه صلی الله علیه و آله راعی العقد، و یبعد حمله علی الإباحة؛ لأنّه صلی الله علیه و آله کان</w:t>
      </w:r>
      <w:bookmarkStart w:id="758" w:name="pg11753_115102"/>
    </w:p>
    <w:p>
      <w:pPr>
        <w:pStyle w:val="BookText"/>
        <w:rPr/>
      </w:pPr>
      <w:bookmarkEnd w:id="758"/>
      <w:r>
        <w:rPr>
          <w:rFonts w:ascii="Amiri" w:hAnsi="Amiri" w:eastAsia="Amiri" w:cs="Amiri"/>
          <w:color w:val="111111"/>
          <w:sz w:val="28"/>
          <w:sz w:val="28"/>
          <w:szCs w:val="28"/>
          <w:rtl w:val="true"/>
          <w:lang w:bidi="ar-SA"/>
        </w:rPr>
        <w:t>یتصرّف فیها تصرّف الملاّک</w:t>
      </w:r>
      <w:r>
        <w:rPr>
          <w:rStyle w:val="FootnoteAnchor"/>
          <w:rtl w:val="true"/>
        </w:rPr>
        <w:footnoteReference w:id="2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عنه صلی الله علیه و آله ما ینافی الإباحة و هو الوط‌ء، کما فی ماریة القبطیّة امّ ولده، مع أنّه روی أنّها کانت من الهدایا</w:t>
      </w:r>
      <w:r>
        <w:rPr>
          <w:rStyle w:val="FootnoteAnchor"/>
          <w:rtl w:val="true"/>
        </w:rPr>
        <w:footnoteReference w:id="2287"/>
      </w:r>
      <w:r>
        <w:rPr>
          <w:rFonts w:ascii="Amiri" w:hAnsi="Amiri" w:eastAsia="Amiri" w:cs="Amiri"/>
          <w:color w:val="111111"/>
          <w:sz w:val="28"/>
          <w:sz w:val="28"/>
          <w:szCs w:val="28"/>
          <w:rtl w:val="true"/>
          <w:lang w:bidi="ar-SA"/>
        </w:rPr>
        <w:t>و أُهدی إلیه حلّةٌ فأهداها لعلیّ علیه السلام</w:t>
      </w:r>
      <w:r>
        <w:rPr>
          <w:rStyle w:val="FootnoteAnchor"/>
          <w:rtl w:val="true"/>
        </w:rPr>
        <w:footnoteReference w:id="2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یُنقل عنه قبول لفظی و لا عن الرسل إیجاب، و هذا کلّه یدلّ علی استفادة الملک فی الجملة لا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ذلک فی التذکرة</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فیحمل ما تقدّم فی کلمات الأصحاب من أنّ الهبة عقد یحتاج إلی الإیجاب و القبول علی إرادة بیان أنّ الهبة من أقسام العقود لا الإیقاعات و إن تحقّقت بما یتضمّن معنی الإیجاب و القبول من الأفعال، أو یحمل ذلک علی بیان قسم العقدی من الهبة، أی الهبة اللازمة</w:t>
      </w:r>
      <w:r>
        <w:rPr>
          <w:rFonts w:eastAsia="IRNazanin" w:cs="IRNazanin"/>
          <w:color w:val="111111"/>
          <w:sz w:val="28"/>
          <w:szCs w:val="28"/>
          <w:rtl w:val="true"/>
          <w:lang w:bidi="fa-IR"/>
        </w:rPr>
        <w:t>.</w:t>
      </w:r>
    </w:p>
    <w:p>
      <w:pPr>
        <w:pStyle w:val="Heading6"/>
        <w:numPr>
          <w:ilvl w:val="5"/>
          <w:numId w:val="1"/>
        </w:numPr>
        <w:rPr/>
      </w:pPr>
      <w:bookmarkStart w:id="759" w:name="__RefHeading___Toc9483036_73709187"/>
      <w:bookmarkStart w:id="760" w:name="_Toc287"/>
      <w:bookmarkEnd w:id="759"/>
      <w:r>
        <w:rPr>
          <w:rtl w:val="true"/>
        </w:rPr>
        <w:t>إیضاح</w:t>
      </w:r>
      <w:bookmarkEnd w:id="760"/>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الهدیّة کالهبة فی الإیجاب و القبول و القبض</w:t>
      </w:r>
      <w:r>
        <w:rPr>
          <w:rFonts w:eastAsia="IRNazanin" w:cs="IRNazanin"/>
          <w:color w:val="111111"/>
          <w:sz w:val="28"/>
          <w:szCs w:val="28"/>
          <w:rtl w:val="true"/>
          <w:lang w:bidi="fa-IR"/>
        </w:rPr>
        <w:t>»</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الهدیّة ضرب من الهبة مقرونة بما یشعر بإعظام المهدی إلیه و توقیره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فیها الإیجاب و القبول و القبض؟ اختلف الأصحاب فی ذلک، فاختار المصنّف هنا الاشتراط؛ لأنّها نوع من الهبة، فیشترط فیها ما یشترط فی الهبة</w:t>
      </w:r>
      <w:r>
        <w:rPr>
          <w:rFonts w:eastAsia="IRNazanin" w:cs="IRNazanin"/>
          <w:color w:val="111111"/>
          <w:sz w:val="28"/>
          <w:szCs w:val="28"/>
          <w:rtl w:val="true"/>
          <w:lang w:bidi="fa-IR"/>
        </w:rPr>
        <w:t>»</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الهدیّة و لزومها و انتقال الملک فیها إلی المهدی إلیه الغائب فلیوکّل رسوله فی عقد الهدیّة معه، فإذا مضی و أوجب له و قبل</w:t>
      </w:r>
      <w:bookmarkStart w:id="761" w:name="pg11753_115103"/>
    </w:p>
    <w:p>
      <w:pPr>
        <w:pStyle w:val="BookText"/>
        <w:rPr/>
      </w:pPr>
      <w:bookmarkEnd w:id="761"/>
      <w:r>
        <w:rPr>
          <w:rFonts w:ascii="IRNazanin" w:hAnsi="IRNazanin" w:eastAsia="IRNazanin"/>
          <w:color w:val="111111"/>
          <w:sz w:val="28"/>
          <w:sz w:val="28"/>
          <w:szCs w:val="28"/>
          <w:rtl w:val="true"/>
          <w:lang w:bidi="fa-IR"/>
        </w:rPr>
        <w:t>المهدی إلیه و قبضه إیّاه، لزم العقد و ملک المهدی إلیه الهدیّة</w:t>
      </w:r>
      <w:r>
        <w:rPr>
          <w:rFonts w:eastAsia="IRNazanin" w:cs="IRNazanin"/>
          <w:color w:val="111111"/>
          <w:sz w:val="28"/>
          <w:szCs w:val="28"/>
          <w:rtl w:val="true"/>
          <w:lang w:bidi="fa-IR"/>
        </w:rPr>
        <w:t>»</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أنّ الهدیّة کالهبة لا تحتاج إلی العقد القولی؛ لأنّه لم یقم دلیل علی ذلک، بل الدلیل علی خلافه ثابت، کما یظهر من کلام العلاّمة فی التذکرة</w:t>
      </w:r>
      <w:r>
        <w:rPr>
          <w:rStyle w:val="FootnoteAnchor"/>
          <w:rtl w:val="true"/>
        </w:rPr>
        <w:footnoteReference w:id="2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فی جامع المقاصد</w:t>
      </w:r>
      <w:r>
        <w:rPr>
          <w:rStyle w:val="FootnoteAnchor"/>
          <w:rtl w:val="true"/>
        </w:rPr>
        <w:footnoteReference w:id="2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الریاض أیضاً، حیث استدلّ له بأنّ السیرة و استقامة الطریقة علی ذلک من عهد النبی صلی الله علیه و آله إلی الآن، و لذلک یبعثونها علی أیدی الصبیان الذین لا یعتدّ بعباراتهم، و ماریة القبطیّة کانت من الهدایا</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أهدی المختار لزین العابدین علیه السلام جاریة أولدها زیداً علیه الرحمة و الرضوان</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أنّ الهدیّة مبنیّة علی الحشمة و الإعظام، و ذلک یفوت مع اعتبار الإیجاب و القبول و ینقص موضعها من النفس، و أنّ ظاهر الأخبار أنّ المدار علی التراضی من الطرفین و أنّه العمدة فی البین، و قد ثبت فی محلّه أنّ بیع المعاطاة لا یشترط فیه أزید من رضا الطرفین بما یتفقان علیه، و جعل الهدیّة من المعاطاة یقتضی کونها کذلک</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2" w:name="__RefHeading___Toc9483038_73709187"/>
      <w:bookmarkStart w:id="763" w:name="_Toc288"/>
      <w:bookmarkEnd w:id="762"/>
      <w:r>
        <w:rPr>
          <w:rtl w:val="true"/>
        </w:rPr>
        <w:t>قبول الولیّ الهبة و الهدیة للصبی</w:t>
      </w:r>
      <w:bookmarkEnd w:id="76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إثبات اعتبار القبول فی الهبة و الهدیة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کونهما أعمّ من أن یکونا باللفظ أو بالفعل الدالّ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أو اهدی للصبیّ فللولیّ أن یقبلهما؛</w:t>
      </w:r>
    </w:p>
    <w:p>
      <w:pPr>
        <w:pStyle w:val="BookText"/>
        <w:rPr/>
      </w:pPr>
      <w:r>
        <w:rPr>
          <w:rFonts w:ascii="IRNazanin" w:hAnsi="IRNazanin" w:eastAsia="IRNazanin"/>
          <w:color w:val="111111"/>
          <w:sz w:val="28"/>
          <w:sz w:val="28"/>
          <w:szCs w:val="28"/>
          <w:rtl w:val="true"/>
          <w:lang w:bidi="fa-IR"/>
        </w:rPr>
        <w:t>لأنّ الصبیّ مسلوب العبارة و الأفعال و لا اعتبار بقوله و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وُهِبَ للصبیّ المولّی علیه شیءٌ،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الواهب غیر ولیّه قَبِلَ الولیّ؛ سواء کان بغیر تولیة مثل الأب و الجدّ، أو بتولیة کالوصیّ، و إن وهب الولیّ للصبی، فإن کان ولیّاً بغیر تولیة قبلها أیضاً، و یصحّ ذلک کما یصحّ منه فی البیع أن یکون موجباً و قابلاً، و هذا هو مذهبنا، و إن کان بتولیة لم یصحّ أن یقبلها کما لا یصحّ أن یبیع من الصبیّ شیئاً بنفسه أو یشتری منه، و ینصب الحاکم أمیناً یقبل منه هبته للصبیّ، فإذا قبلها صحّت الهبة</w:t>
      </w:r>
      <w:r>
        <w:rPr>
          <w:rFonts w:eastAsia="IRNazanin" w:cs="IRNazanin"/>
          <w:color w:val="111111"/>
          <w:sz w:val="28"/>
          <w:szCs w:val="28"/>
          <w:rtl w:val="true"/>
          <w:lang w:bidi="fa-IR"/>
        </w:rPr>
        <w:t>»</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الواهب الولیّ للصبی، فإن کان بغیر تولیة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کالأب 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الواهب أیضاً، و إن کان بتولیة،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یقبلها، کما لا یصحّ أن یبیع من الصبیّ شیئاً بنفسه أو یشتری منه، و ینصب الحاکم أمیناً یقبل منه هبته للصبی، فإذا قبلها صحّت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بینه و بین الأب؛ لأنّ له أن یقبل هبة غیره، فکذا یقبل هبة نفسه، لعموم ولایته، فلا وجه لاختصاصها بغیره</w:t>
      </w:r>
      <w:r>
        <w:rPr>
          <w:rFonts w:eastAsia="IRNazanin" w:cs="IRNazanin"/>
          <w:color w:val="111111"/>
          <w:sz w:val="28"/>
          <w:szCs w:val="28"/>
          <w:rtl w:val="true"/>
          <w:lang w:bidi="fa-IR"/>
        </w:rPr>
        <w:t>»</w:t>
      </w:r>
      <w:r>
        <w:rPr>
          <w:rStyle w:val="FootnoteAnchor"/>
          <w:rtl w:val="true"/>
        </w:rPr>
        <w:footnoteReference w:id="2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الحدائق</w:t>
      </w:r>
      <w:r>
        <w:rPr>
          <w:rStyle w:val="FootnoteAnchor"/>
          <w:rtl w:val="true"/>
        </w:rPr>
        <w:footnoteReference w:id="2300"/>
      </w:r>
    </w:p>
    <w:p>
      <w:pPr>
        <w:pStyle w:val="BookText"/>
        <w:rPr/>
      </w:pPr>
      <w:r>
        <w:rPr>
          <w:rFonts w:ascii="IRNazanin" w:hAnsi="IRNazanin" w:eastAsia="IRNazanin"/>
          <w:color w:val="111111"/>
          <w:sz w:val="28"/>
          <w:sz w:val="28"/>
          <w:szCs w:val="28"/>
          <w:rtl w:val="true"/>
          <w:lang w:bidi="fa-IR"/>
        </w:rPr>
        <w:t>و الجواهر</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قبول الولیّ عن المولّی علیه الموهوب له</w:t>
      </w:r>
      <w:r>
        <w:rPr>
          <w:rFonts w:eastAsia="IRNazanin" w:cs="IRNazanin"/>
          <w:color w:val="111111"/>
          <w:sz w:val="28"/>
          <w:szCs w:val="28"/>
          <w:rtl w:val="true"/>
          <w:lang w:bidi="fa-IR"/>
        </w:rPr>
        <w:t>»</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الموهوب له صغیراً کالولد جدید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 فی زماننا إهداء الهدایا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قبول الولیّ عن المولّی علیه،</w:t>
      </w:r>
      <w:bookmarkStart w:id="764" w:name="pg11753_115105"/>
    </w:p>
    <w:p>
      <w:pPr>
        <w:pStyle w:val="BookText"/>
        <w:rPr/>
      </w:pPr>
      <w:bookmarkEnd w:id="764"/>
      <w:r>
        <w:rPr>
          <w:rFonts w:ascii="IRNazanin" w:hAnsi="IRNazanin" w:eastAsia="IRNazanin"/>
          <w:color w:val="111111"/>
          <w:sz w:val="28"/>
          <w:sz w:val="28"/>
          <w:szCs w:val="28"/>
          <w:rtl w:val="true"/>
          <w:lang w:bidi="fa-IR"/>
        </w:rPr>
        <w:t>خصوصاً إذا کان غیر قابل للقبول، کأوائل ولادته</w:t>
      </w:r>
      <w:r>
        <w:rPr>
          <w:rFonts w:eastAsia="IRNazanin" w:cs="IRNazanin"/>
          <w:color w:val="111111"/>
          <w:sz w:val="28"/>
          <w:szCs w:val="28"/>
          <w:rtl w:val="true"/>
          <w:lang w:bidi="fa-IR"/>
        </w:rPr>
        <w:t>»</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 الحکم عموم أدلّة ولایة الولیّ، و کذا بعض النصوص التی سنذکرها فی البحث عن ولایة الولیّ علی قبض الهبة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و لا خلاف فی المسألة، و لعلّ ترک التصریح بها فی کلماتهم لوضوحها</w:t>
      </w:r>
      <w:r>
        <w:rPr>
          <w:rFonts w:eastAsia="IRNazanin" w:cs="IRNazanin"/>
          <w:color w:val="111111"/>
          <w:sz w:val="28"/>
          <w:szCs w:val="28"/>
          <w:rtl w:val="true"/>
          <w:lang w:bidi="fa-IR"/>
        </w:rPr>
        <w:t>.</w:t>
      </w:r>
    </w:p>
    <w:p>
      <w:pPr>
        <w:pStyle w:val="Heading6"/>
        <w:numPr>
          <w:ilvl w:val="5"/>
          <w:numId w:val="1"/>
        </w:numPr>
        <w:rPr/>
      </w:pPr>
      <w:bookmarkStart w:id="765" w:name="__RefHeading___Toc9483040_73709187"/>
      <w:bookmarkStart w:id="766" w:name="_Toc289"/>
      <w:bookmarkEnd w:id="765"/>
      <w:r>
        <w:rPr>
          <w:rtl w:val="true"/>
        </w:rPr>
        <w:t>فرع</w:t>
      </w:r>
      <w:bookmarkEnd w:id="766"/>
    </w:p>
    <w:p>
      <w:pPr>
        <w:pStyle w:val="BookText"/>
        <w:rPr/>
      </w:pPr>
      <w:r>
        <w:rPr>
          <w:rFonts w:ascii="IRNazanin" w:hAnsi="IRNazanin" w:eastAsia="IRNazanin"/>
          <w:color w:val="111111"/>
          <w:sz w:val="28"/>
          <w:sz w:val="28"/>
          <w:szCs w:val="28"/>
          <w:rtl w:val="true"/>
          <w:lang w:bidi="fa-IR"/>
        </w:rPr>
        <w:t>لو وهب شخص إلی صغیر و لم یقبل عنه ولیّه، بطلت الهبة طعاماً کان الموهوب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لو تصرّف فیه الصغیر فلا ضمان علیه فی الحال و لا بعد البلوغ، و لا ضمان علی ولیّه أیضاً؛ لأنّ دفع المالک المال الموهوب إلی الصغیر و تسلیطه علیه بسبب هبة باطلة، کان بمنزلة الإقدام منه علی إتلاف ماله، فتصرّف الصغیر لم یوجب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قاله الفقهاء فی اشتراء الصبیّ، 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اشتری الصبیّ و قبض أو استقرض و أتلف فلا ضمان علیه؛ لأنّ التضییع من الدافع، فإن کان المال باقیاً ردّه و علی الولیّ استرداد الثمن، و لا یبرأ البائع بالردّ إلی الصبیّ</w:t>
      </w:r>
      <w:r>
        <w:rPr>
          <w:rFonts w:eastAsia="IRNazanin" w:cs="IRNazanin"/>
          <w:color w:val="111111"/>
          <w:sz w:val="28"/>
          <w:szCs w:val="28"/>
          <w:rtl w:val="true"/>
          <w:lang w:bidi="fa-IR"/>
        </w:rPr>
        <w:t>»</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النهایة</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أهدی إلی صغیر و لم یقبل عنه ولیّه فهل تبطل الهدیّة، أو توجب إباحة التصرّف؟ أفتی الشیخ رحمه الله فی المبسوط بالثانی،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وصلت الهدیّة إلی المهدی إلیه لم یملکها بالوصول و لم تلزم، و یکون ذلک إباحةً من المُهدی، حتّی أنّه</w:t>
      </w:r>
      <w:bookmarkStart w:id="767" w:name="pg11753_115106"/>
    </w:p>
    <w:p>
      <w:pPr>
        <w:pStyle w:val="BookText"/>
        <w:rPr/>
      </w:pPr>
      <w:bookmarkEnd w:id="767"/>
      <w:r>
        <w:rPr>
          <w:rFonts w:ascii="IRNazanin" w:hAnsi="IRNazanin" w:eastAsia="IRNazanin"/>
          <w:color w:val="111111"/>
          <w:sz w:val="28"/>
          <w:sz w:val="28"/>
          <w:szCs w:val="28"/>
          <w:rtl w:val="true"/>
          <w:lang w:bidi="fa-IR"/>
        </w:rPr>
        <w:t>لو أهدی إلیه جاریة لم یجز أن یستمتع بها؛ لأنّ الإباحة لا تدخل فی الاستمتاع</w:t>
      </w:r>
      <w:r>
        <w:rPr>
          <w:rFonts w:eastAsia="IRNazanin" w:cs="IRNazanin"/>
          <w:color w:val="111111"/>
          <w:sz w:val="28"/>
          <w:szCs w:val="28"/>
          <w:rtl w:val="true"/>
          <w:lang w:bidi="fa-IR"/>
        </w:rPr>
        <w:t>»</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یستظهر هذا من کلام العلاّمة فی التذکرة أیضاً، حیث نقل عن قوم من أهل السنّة أنّه لا حاجة فی الهدیّة إلی الإیجاب و القبول،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اعتبرهما کما فی الهبة و الوصیّة، و اعتذروا عمّا تقدّم بأنّ ذلک کان إباحةً لا تملیکاً</w:t>
      </w:r>
      <w:r>
        <w:rPr>
          <w:rFonts w:eastAsia="IRNazanin" w:cs="IRNazanin"/>
          <w:color w:val="111111"/>
          <w:sz w:val="28"/>
          <w:szCs w:val="28"/>
          <w:rtl w:val="true"/>
          <w:lang w:bidi="fa-IR"/>
        </w:rPr>
        <w:t>»</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الأقوی، و الظاهر أنّ الهبة أیضاً کذلک؛ لأنّه لا فرق بینهما حقیقة، ففی فرض المذکور کانت الهبة الباطلة إباحةً من المُهدی للصغیر</w:t>
      </w:r>
      <w:r>
        <w:rPr>
          <w:rFonts w:eastAsia="IRNazanin" w:cs="IRNazanin"/>
          <w:color w:val="111111"/>
          <w:sz w:val="28"/>
          <w:szCs w:val="28"/>
          <w:rtl w:val="true"/>
          <w:lang w:bidi="fa-IR"/>
        </w:rPr>
        <w:t>.</w:t>
      </w:r>
    </w:p>
    <w:p>
      <w:pPr>
        <w:pStyle w:val="Heading6"/>
        <w:numPr>
          <w:ilvl w:val="5"/>
          <w:numId w:val="1"/>
        </w:numPr>
        <w:rPr/>
      </w:pPr>
      <w:bookmarkStart w:id="768" w:name="__RefHeading___Toc9483042_73709187"/>
      <w:bookmarkStart w:id="769" w:name="_Toc290"/>
      <w:bookmarkEnd w:id="768"/>
      <w:r>
        <w:rPr>
          <w:rtl w:val="true"/>
        </w:rPr>
        <w:t>آراء فقهاء أهل السنّة فی المسألة</w:t>
      </w:r>
      <w:bookmarkEnd w:id="769"/>
    </w:p>
    <w:p>
      <w:pPr>
        <w:pStyle w:val="BookText"/>
        <w:rPr/>
      </w:pPr>
      <w:r>
        <w:rPr>
          <w:rFonts w:ascii="IRNazanin" w:hAnsi="IRNazanin" w:eastAsia="IRNazanin"/>
          <w:color w:val="111111"/>
          <w:sz w:val="28"/>
          <w:sz w:val="28"/>
          <w:szCs w:val="28"/>
          <w:rtl w:val="true"/>
          <w:lang w:bidi="fa-IR"/>
        </w:rPr>
        <w:t>یستفاد من کلماتهم أنّه لا یشترط فی صحّة الهبة القبول اللفظی، بل تصحّ بالمعاطاة و الفعل الدالّ علی القبول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تحصل الهبة بما یتعارفه الناس هبة من الإیجاب و القبول و المعاطاة المقترنة بما یدلّ علیها</w:t>
      </w:r>
      <w:r>
        <w:rPr>
          <w:rFonts w:eastAsia="IRNazanin" w:cs="IRNazanin"/>
          <w:color w:val="111111"/>
          <w:sz w:val="28"/>
          <w:szCs w:val="28"/>
          <w:rtl w:val="true"/>
          <w:lang w:bidi="fa-IR"/>
        </w:rPr>
        <w:t>»</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 أنّ المعاطاة و الأفعال الدالّة علی الإیجاب و القبول کافیة و لا یحتاج إلی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اختیار ابن عقیل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النبیّ صلی الله علیه و آله و سلم کان یهدی و یُهدی إلیه و یعطی و یُعطی، و یفرّق الصدقات و یأمر سعاته بتفریقها و أخذها، و کان أصحابه یفعلون ذلک و لم ینقل عنهم فی ذلک إیجاب و لا قبول، و لا أمر به و لا تعلیمه لأحد، و لو کان ذلک شرطاً لنقل عنهم نقلاً</w:t>
      </w:r>
      <w:bookmarkStart w:id="770" w:name="pg11753_115107"/>
    </w:p>
    <w:p>
      <w:pPr>
        <w:pStyle w:val="BookText"/>
        <w:rPr/>
      </w:pPr>
      <w:bookmarkEnd w:id="770"/>
      <w:r>
        <w:rPr>
          <w:rFonts w:ascii="IRNazanin" w:hAnsi="IRNazanin" w:eastAsia="IRNazanin"/>
          <w:color w:val="111111"/>
          <w:sz w:val="28"/>
          <w:sz w:val="28"/>
          <w:szCs w:val="28"/>
          <w:rtl w:val="true"/>
          <w:lang w:bidi="fa-IR"/>
        </w:rPr>
        <w:t xml:space="preserve">مشهوراً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یشترط الإیجاب و القبول مع الإطلاق و عدم العرف القائم بین المعطی و المُعطی؛ لأنّه إذا لم یکن عرف یدلّ علی الرضا، فلا بدّ من قولٍ دالٍّ علیه، أمّا مع قرائن الأحوال و الدلائل، فلا وجه لتوقیفه علی اللفظ، أ لا تری أنّا اکتفینا بالمعاطاة و اکتفینا بدلالة الحال فی دخول الحمّام؛ و هو إجارة و بیع أعیان، فإذا اکتفینا فی المعاوضات مع تأکّدها بدلالة الحال و أنّها تنقل الملک من الجانبین فلأن نکتفی به فی الهبة أولی</w:t>
      </w:r>
      <w:r>
        <w:rPr>
          <w:rFonts w:eastAsia="IRNazanin" w:cs="IRNazanin"/>
          <w:color w:val="111111"/>
          <w:sz w:val="28"/>
          <w:szCs w:val="28"/>
          <w:rtl w:val="true"/>
          <w:lang w:bidi="fa-IR"/>
        </w:rPr>
        <w:t>»</w:t>
      </w:r>
      <w:r>
        <w:rPr>
          <w:rStyle w:val="FootnoteAnchor"/>
          <w:rtl w:val="true"/>
        </w:rPr>
        <w:footnoteReference w:id="2309"/>
      </w:r>
      <w:r>
        <w:rPr>
          <w:rFonts w:ascii="IRNazanin" w:hAnsi="IRNazanin" w:eastAsia="IRNazanin"/>
          <w:color w:val="111111"/>
          <w:sz w:val="28"/>
          <w:sz w:val="28"/>
          <w:szCs w:val="28"/>
          <w:rtl w:val="true"/>
          <w:lang w:bidi="fa-IR"/>
        </w:rPr>
        <w:t>و کذا فی الشرح الکبیر</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عندهم للأب و الجدّ و الوصیّ و الحاکم أو أمینه ولایة فی قبول الهبة عن الصغار، و سنذکر فی البحث عن قبض الهبة زیادة توضیح فی بیان آرائهم إن شاء اللّه</w:t>
      </w:r>
      <w:r>
        <w:rPr>
          <w:rFonts w:eastAsia="IRNazanin" w:cs="IRNazanin"/>
          <w:color w:val="111111"/>
          <w:sz w:val="28"/>
          <w:szCs w:val="28"/>
          <w:rtl w:val="true"/>
          <w:lang w:bidi="fa-IR"/>
        </w:rPr>
        <w:t>.</w:t>
      </w:r>
    </w:p>
    <w:p>
      <w:pPr>
        <w:pStyle w:val="Heading5"/>
        <w:numPr>
          <w:ilvl w:val="4"/>
          <w:numId w:val="1"/>
        </w:numPr>
        <w:rPr/>
      </w:pPr>
      <w:bookmarkStart w:id="771" w:name="__RefHeading___Toc9483044_73709187"/>
      <w:bookmarkStart w:id="772" w:name="_Toc291"/>
      <w:bookmarkEnd w:id="771"/>
      <w:r>
        <w:rPr>
          <w:rtl w:val="true"/>
        </w:rPr>
        <w:t>المطلب الثانی</w:t>
      </w:r>
      <w:r>
        <w:rPr>
          <w:rtl w:val="true"/>
        </w:rPr>
        <w:t xml:space="preserve">: </w:t>
      </w:r>
      <w:r>
        <w:rPr>
          <w:rtl w:val="true"/>
        </w:rPr>
        <w:t>الولایة علی قبض الهبة</w:t>
      </w:r>
      <w:bookmarkEnd w:id="772"/>
    </w:p>
    <w:p>
      <w:pPr>
        <w:pStyle w:val="Heading6"/>
        <w:numPr>
          <w:ilvl w:val="5"/>
          <w:numId w:val="1"/>
        </w:numPr>
        <w:rPr/>
      </w:pPr>
      <w:bookmarkStart w:id="773" w:name="__RefHeading___Toc9483046_73709187"/>
      <w:bookmarkStart w:id="774" w:name="_Toc292"/>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المشهور بین الفقهاء أنّه یشترط فی صحّة الهبة قبضها، و یتولّی ذلک الولیّ عن الصغار؛ سواء وهبه نفسه أو ذوو أرحامه أو غیرهم، فإن وهب الواهب للصغیر من ذوی أرحامه و قبّضها ولیّه لم یکن له بعد ذلک رجوع فیها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نحل الوالد ولده شیئاً و لم یقبضه الولد و کان کبیراً لم تستقرّ الهبة، و کان للأب الرجوع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القول فیما یهبه لذوی أرحامه کلّهم، فإن کان الولد صغیراً مضت الهبة و کان قبض الوالد قبضاً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وهب لصغیر من ذوی أرحامه شیئاً فلم یقبضه ولیّه له، کان له الرجوع فیه، فإن قبضه الولیّ مضت الهبة و لم یجز له الرجوع فیها</w:t>
      </w:r>
      <w:r>
        <w:rPr>
          <w:rFonts w:eastAsia="IRNazanin" w:cs="IRNazanin"/>
          <w:color w:val="111111"/>
          <w:sz w:val="28"/>
          <w:szCs w:val="28"/>
          <w:rtl w:val="true"/>
          <w:lang w:bidi="fa-IR"/>
        </w:rPr>
        <w:t>»</w:t>
      </w:r>
      <w:r>
        <w:rPr>
          <w:rStyle w:val="FootnoteAnchor"/>
          <w:rtl w:val="true"/>
        </w:rPr>
        <w:footnoteReference w:id="2311"/>
      </w:r>
    </w:p>
    <w:p>
      <w:pPr>
        <w:pStyle w:val="BookText"/>
        <w:rPr/>
      </w:pPr>
      <w:r>
        <w:rPr>
          <w:rFonts w:ascii="IRNazanin" w:hAnsi="IRNazanin" w:eastAsia="IRNazanin"/>
          <w:color w:val="111111"/>
          <w:sz w:val="28"/>
          <w:sz w:val="28"/>
          <w:szCs w:val="28"/>
          <w:rtl w:val="true"/>
          <w:lang w:bidi="fa-IR"/>
        </w:rPr>
        <w:t>و فی النهایة بعد تقسیم الهبة علی ضربین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 لیس له فیه رجوع، فهو کلّ هبةٍ وهبها الإنسان لذی رحمه، ولداً کان أو غیره إذا کان مقبوضاً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الهبة علی ولده و یکونوا صغاراً؛ فإنّه لا یکون له فیها رجوع علی حال؛ لأنّ قبضه قبضهم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وهب للصغیر من ذوی أرحامه و قبّضه ولیّه لم یکن له بعد ذلک رجوع فیها علی حالٍ</w:t>
      </w:r>
      <w:r>
        <w:rPr>
          <w:rFonts w:eastAsia="IRNazanin" w:cs="IRNazanin"/>
          <w:color w:val="111111"/>
          <w:sz w:val="28"/>
          <w:szCs w:val="28"/>
          <w:rtl w:val="true"/>
          <w:lang w:bidi="fa-IR"/>
        </w:rPr>
        <w:t>»</w:t>
      </w:r>
      <w:r>
        <w:rPr>
          <w:rStyle w:val="FootnoteAnchor"/>
          <w:rtl w:val="true"/>
        </w:rPr>
        <w:footnoteReference w:id="2312"/>
      </w:r>
      <w:r>
        <w:rPr>
          <w:rFonts w:ascii="IRNazanin" w:hAnsi="IRNazanin" w:eastAsia="IRNazanin"/>
          <w:color w:val="111111"/>
          <w:sz w:val="28"/>
          <w:sz w:val="28"/>
          <w:szCs w:val="28"/>
          <w:rtl w:val="true"/>
          <w:lang w:bidi="fa-IR"/>
        </w:rPr>
        <w:t>و کذا فی المبسوط‌</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وهب الوالد لولده و إن علا الوالد، أو الاُمّ لولدها و إن علت، و قبضوا إن کانوا کباراً أو کانوا صغاراً لم یکن لهما الرجوع فیه</w:t>
      </w:r>
      <w:r>
        <w:rPr>
          <w:rFonts w:eastAsia="IRNazanin" w:cs="IRNazanin"/>
          <w:color w:val="111111"/>
          <w:sz w:val="28"/>
          <w:szCs w:val="28"/>
          <w:rtl w:val="true"/>
          <w:lang w:bidi="fa-IR"/>
        </w:rPr>
        <w:t>»</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یقتضیه مذهبنا، أنّ هبة الوالد تکون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هبة الاُمّ للولد الکبیر البالغ، فإذا قبض فلیس لها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هبتها لولدها الصغیر، فلا بدّ من تقبیض ولیّه، فإذا قبض الولیّ الهبة إمّا أبوه، أو وصیّه، فلیس لها رجوع، فإذا لم یقبض فلها الرجوع بخلاف الأب؛ لأنّ قبض الأب قبضه</w:t>
      </w:r>
      <w:r>
        <w:rPr>
          <w:rFonts w:eastAsia="IRNazanin" w:cs="IRNazanin"/>
          <w:color w:val="111111"/>
          <w:sz w:val="28"/>
          <w:szCs w:val="28"/>
          <w:rtl w:val="true"/>
          <w:lang w:bidi="fa-IR"/>
        </w:rPr>
        <w:t>»</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مقصود الشیخ ذلک؛ للعلم به، فلهذا لم یفصّل؛ لظهوره و عدم خفائه</w:t>
      </w:r>
      <w:r>
        <w:rPr>
          <w:rFonts w:eastAsia="IRNazanin" w:cs="IRNazanin"/>
          <w:color w:val="111111"/>
          <w:sz w:val="28"/>
          <w:szCs w:val="28"/>
          <w:rtl w:val="true"/>
          <w:lang w:bidi="fa-IR"/>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القاضی فی المهذّب</w:t>
      </w:r>
      <w:r>
        <w:rPr>
          <w:rStyle w:val="FootnoteAnchor"/>
          <w:rtl w:val="true"/>
        </w:rPr>
        <w:footnoteReference w:id="2317"/>
      </w:r>
      <w:r>
        <w:rPr>
          <w:rFonts w:ascii="Amiri" w:hAnsi="Amiri" w:eastAsia="Amiri" w:cs="Amiri"/>
          <w:color w:val="111111"/>
          <w:sz w:val="28"/>
          <w:sz w:val="28"/>
          <w:szCs w:val="28"/>
          <w:rtl w:val="true"/>
          <w:lang w:bidi="ar-SA"/>
        </w:rPr>
        <w:t>و ابنا حمزة</w:t>
      </w:r>
      <w:r>
        <w:rPr>
          <w:rStyle w:val="FootnoteAnchor"/>
          <w:rtl w:val="true"/>
        </w:rPr>
        <w:footnoteReference w:id="2318"/>
      </w:r>
      <w:r>
        <w:rPr>
          <w:rFonts w:ascii="IRNazanin" w:hAnsi="IRNazanin" w:eastAsia="IRNazanin"/>
          <w:color w:val="111111"/>
          <w:sz w:val="28"/>
          <w:sz w:val="28"/>
          <w:szCs w:val="28"/>
          <w:rtl w:val="true"/>
          <w:lang w:bidi="fa-IR"/>
        </w:rPr>
        <w:t>و سعید</w:t>
      </w:r>
      <w:r>
        <w:rPr>
          <w:rStyle w:val="FootnoteAnchor"/>
          <w:rtl w:val="true"/>
        </w:rPr>
        <w:footnoteReference w:id="2319"/>
      </w:r>
      <w:r>
        <w:rPr>
          <w:rFonts w:ascii="Amiri" w:hAnsi="Amiri" w:eastAsia="Amiri" w:cs="Amiri"/>
          <w:color w:val="111111"/>
          <w:sz w:val="28"/>
          <w:sz w:val="28"/>
          <w:szCs w:val="28"/>
          <w:rtl w:val="true"/>
          <w:lang w:bidi="ar-SA"/>
        </w:rPr>
        <w:t>و سلاّر</w:t>
      </w:r>
      <w:r>
        <w:rPr>
          <w:rStyle w:val="FootnoteAnchor"/>
          <w:rtl w:val="true"/>
        </w:rPr>
        <w:footnoteReference w:id="2320"/>
      </w:r>
      <w:r>
        <w:rPr>
          <w:rFonts w:ascii="IRNazanin" w:hAnsi="IRNazanin" w:eastAsia="IRNazanin"/>
          <w:color w:val="111111"/>
          <w:sz w:val="28"/>
          <w:sz w:val="28"/>
          <w:szCs w:val="28"/>
          <w:rtl w:val="true"/>
          <w:lang w:bidi="fa-IR"/>
        </w:rPr>
        <w:t>و الحلبی</w:t>
      </w:r>
      <w:r>
        <w:rPr>
          <w:rStyle w:val="FootnoteAnchor"/>
          <w:rtl w:val="true"/>
        </w:rPr>
        <w:footnoteReference w:id="2321"/>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وهب الأب أو الجدّ للولد الصغیر، لزم بالعقد؛ لأنّ قبض الولیّ قبض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وهبه غیر الأب أو الجدّ، لم یکن له بُدٌّ من القبض عنه؛ سواء کان له ولایة أو لم تکن، و یتولّی ذلک الولیّ أو الحاکم</w:t>
      </w:r>
      <w:r>
        <w:rPr>
          <w:rFonts w:eastAsia="IRNazanin" w:cs="IRNazanin"/>
          <w:color w:val="111111"/>
          <w:sz w:val="28"/>
          <w:szCs w:val="28"/>
          <w:rtl w:val="true"/>
          <w:lang w:bidi="fa-IR"/>
        </w:rPr>
        <w:t>»</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جملة من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وهب الأب ولده الصغیر شیئاً فی یده صحّ و لم یحتجّ إلی قبولٍ و لا قبض مستأنف و لا مضیّ زمان له، و لا یجب علی الأب وضع الموهوب علی ید غیره</w:t>
      </w:r>
      <w:r>
        <w:rPr>
          <w:rFonts w:eastAsia="IRNazanin" w:cs="IRNazanin"/>
          <w:color w:val="111111"/>
          <w:sz w:val="28"/>
          <w:szCs w:val="28"/>
          <w:rtl w:val="true"/>
          <w:lang w:bidi="fa-IR"/>
        </w:rPr>
        <w:t>»</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الشهیدان</w:t>
      </w:r>
      <w:r>
        <w:rPr>
          <w:rStyle w:val="FootnoteAnchor"/>
          <w:rtl w:val="true"/>
        </w:rPr>
        <w:footnoteReference w:id="2324"/>
      </w:r>
      <w:r>
        <w:rPr>
          <w:rFonts w:ascii="IRNazanin" w:hAnsi="IRNazanin" w:eastAsia="IRNazanin"/>
          <w:color w:val="111111"/>
          <w:sz w:val="28"/>
          <w:sz w:val="28"/>
          <w:szCs w:val="28"/>
          <w:rtl w:val="true"/>
          <w:lang w:bidi="fa-IR"/>
        </w:rPr>
        <w:t>و جماعة من المتأخّرین</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و متأخّری المتأخّرین</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وهب الأب أو الجدّ للولد الصغیر الذی تولّیا علیه ما هو ملکهما و مقبوضهما قبل الهبة لزم بلا خلاف؛ لأنّه مقبوض بید الولیّ، فیکفی عن القبض الجدید</w:t>
      </w:r>
      <w:r>
        <w:rPr>
          <w:rFonts w:eastAsia="IRNazanin" w:cs="IRNazanin"/>
          <w:color w:val="111111"/>
          <w:sz w:val="28"/>
          <w:szCs w:val="28"/>
          <w:rtl w:val="true"/>
          <w:lang w:bidi="fa-IR"/>
        </w:rPr>
        <w:t>»</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الواهب ولیّاً علی الموهوب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کالأب و الجدّ للولد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وهبه ما فی یده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وهبه غیر الولیّ فلا بدّ من القبض و یتولاّه الولیّ</w:t>
      </w:r>
      <w:r>
        <w:rPr>
          <w:rFonts w:eastAsia="IRNazanin" w:cs="IRNazanin"/>
          <w:color w:val="111111"/>
          <w:sz w:val="28"/>
          <w:szCs w:val="28"/>
          <w:rtl w:val="true"/>
          <w:lang w:bidi="fa-IR"/>
        </w:rPr>
        <w:t>»</w:t>
      </w:r>
      <w:r>
        <w:rPr>
          <w:rStyle w:val="FootnoteAnchor"/>
          <w:rtl w:val="true"/>
        </w:rPr>
        <w:footnoteReference w:id="2328"/>
      </w:r>
      <w:bookmarkStart w:id="775" w:name="pg11753_115110"/>
    </w:p>
    <w:p>
      <w:pPr>
        <w:pStyle w:val="BookText"/>
        <w:rPr/>
      </w:pPr>
      <w:bookmarkEnd w:id="775"/>
      <w:r>
        <w:rPr>
          <w:rFonts w:ascii="IRNazanin" w:hAnsi="IRNazanin" w:eastAsia="IRNazanin"/>
          <w:color w:val="111111"/>
          <w:sz w:val="28"/>
          <w:sz w:val="28"/>
          <w:szCs w:val="28"/>
          <w:rtl w:val="true"/>
          <w:lang w:bidi="fa-IR"/>
        </w:rPr>
        <w:t>و کذا فی تفصیل الشریعة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لا معنی لاعتبار القبض هنا بعد کون اللاّزم قبض الولیّ، و هو حاصل</w:t>
      </w:r>
      <w:r>
        <w:rPr>
          <w:rFonts w:eastAsia="IRNazanin" w:cs="IRNazanin"/>
          <w:color w:val="111111"/>
          <w:sz w:val="28"/>
          <w:szCs w:val="28"/>
          <w:rtl w:val="true"/>
          <w:lang w:bidi="fa-IR"/>
        </w:rPr>
        <w:t>»</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6" w:name="__RefHeading___Toc9483048_73709187"/>
      <w:bookmarkStart w:id="777" w:name="_Toc293"/>
      <w:bookmarkEnd w:id="776"/>
      <w:r>
        <w:rPr>
          <w:rtl w:val="true"/>
        </w:rPr>
        <w:t>أدلّة قبض الولیّ الهبة للصبیّ‌</w:t>
      </w:r>
      <w:bookmarkEnd w:id="777"/>
    </w:p>
    <w:p>
      <w:pPr>
        <w:pStyle w:val="BookText"/>
        <w:rPr/>
      </w:pPr>
      <w:r>
        <w:rPr>
          <w:rFonts w:ascii="IRNazanin" w:hAnsi="IRNazanin" w:eastAsia="IRNazanin"/>
          <w:color w:val="111111"/>
          <w:sz w:val="28"/>
          <w:sz w:val="28"/>
          <w:szCs w:val="28"/>
          <w:rtl w:val="true"/>
          <w:lang w:bidi="fa-IR"/>
        </w:rPr>
        <w:t xml:space="preserve">و یمکن الاستدلال لهذا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عموم ولایة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بالنصوص، و هی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أو معتبرة</w:t>
      </w:r>
    </w:p>
    <w:p>
      <w:pPr>
        <w:pStyle w:val="BookText"/>
        <w:rPr/>
      </w:pPr>
      <w:r>
        <w:rPr>
          <w:rFonts w:ascii="IRNazanin" w:hAnsi="IRNazanin" w:eastAsia="IRNazanin"/>
          <w:color w:val="111111"/>
          <w:sz w:val="28"/>
          <w:sz w:val="28"/>
          <w:szCs w:val="28"/>
          <w:rtl w:val="true"/>
          <w:lang w:bidi="fa-IR"/>
        </w:rPr>
        <w:t>علیّ بن جعفر، عن أخیه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الصدقة إذا لم تقبض هل تجوز لصاحبها؟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أب تصدّق بها علی ولد صغیر، فإنّها جائزة؛ لأنّه یقبض لولده إذا کان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داود بن الحصین،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و النحلة ما لم تقبض حتّی یموت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میراث، فإن کانت لصبیّ فی حجره فأشهد علیه فهو جائز</w:t>
      </w:r>
      <w:r>
        <w:rPr>
          <w:rFonts w:eastAsia="IRNazanin" w:cs="IRNazanin"/>
          <w:color w:val="111111"/>
          <w:sz w:val="28"/>
          <w:szCs w:val="28"/>
          <w:rtl w:val="true"/>
          <w:lang w:bidi="fa-IR"/>
        </w:rPr>
        <w:t>»</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 xml:space="preserve">جمیل بن درّاج، عن أبی عبد اللّه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وهب لابنه شیئاً هل یصلح أن یرجع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أن یکون صغیراً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مرسلة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 و الهبة ما لم تقبض حتّی یموت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بمنزلة المیراث، و إن کان لصبیّ فی حجره و أشهد علیه فهو جائز</w:t>
      </w:r>
      <w:r>
        <w:rPr>
          <w:rFonts w:eastAsia="IRNazanin" w:cs="IRNazanin"/>
          <w:color w:val="111111"/>
          <w:sz w:val="28"/>
          <w:szCs w:val="28"/>
          <w:rtl w:val="true"/>
          <w:lang w:bidi="fa-IR"/>
        </w:rPr>
        <w:t>»</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أخبار الصدقة من أنّ قبض الأب و الجدّ کاف فی صحّة الصدقة و لا رجوع فیها بعد، کقوله علیه السلام فی صحیحة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تصدّق علی من لم یدرک من ولده فهو جائز؛ لأنّ والده هو الذی یلی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فی الصدقة إذا ابتغی بها وجه اللّه عزّ و 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و النحلة یرجع فیها إن شاء، حیزت أو لم تحز إلاّ لذی رحم؛ فإنّه لا یرجع فیه</w:t>
      </w:r>
      <w:r>
        <w:rPr>
          <w:rFonts w:eastAsia="IRNazanin" w:cs="IRNazanin"/>
          <w:color w:val="111111"/>
          <w:sz w:val="28"/>
          <w:szCs w:val="28"/>
          <w:rtl w:val="true"/>
          <w:lang w:bidi="fa-IR"/>
        </w:rPr>
        <w:t>»</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معتبرة عبید بن زرارة</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w:t>
      </w:r>
    </w:p>
    <w:p>
      <w:pPr>
        <w:pStyle w:val="BookText"/>
        <w:rPr/>
      </w:pPr>
      <w:r>
        <w:rPr>
          <w:rFonts w:ascii="IRNazanin" w:hAnsi="IRNazanin" w:eastAsia="IRNazanin"/>
          <w:color w:val="111111"/>
          <w:sz w:val="28"/>
          <w:sz w:val="28"/>
          <w:szCs w:val="28"/>
          <w:rtl w:val="true"/>
          <w:lang w:bidi="fa-IR"/>
        </w:rPr>
        <w:t>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یتصدّق علی ولده بصدقةٍ و هم صغارٌ، أ له أن یرجع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الصدقة للّه عزّ و جلّ</w:t>
      </w:r>
      <w:r>
        <w:rPr>
          <w:rFonts w:eastAsia="IRNazanin" w:cs="IRNazanin"/>
          <w:color w:val="111111"/>
          <w:sz w:val="28"/>
          <w:szCs w:val="28"/>
          <w:rtl w:val="true"/>
          <w:lang w:bidi="fa-IR"/>
        </w:rPr>
        <w:t>»</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لا إشکال فیه و لا خلاف نصّاً و فتوی فیما أعلم، فإنّ القبض السابق علی الهبة کاف عن القبض الطارئ بعدها، و أیّده بأنّ الید المستدامة أقوی من الید المبتدأة</w:t>
      </w:r>
      <w:r>
        <w:rPr>
          <w:rFonts w:eastAsia="IRNazanin" w:cs="IRNazanin"/>
          <w:color w:val="111111"/>
          <w:sz w:val="28"/>
          <w:szCs w:val="28"/>
          <w:rtl w:val="true"/>
          <w:lang w:bidi="fa-IR"/>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عدم جواز الرجوع فی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المتّهب صغیراً ذا رحم بعد إقباض الولیّ له بخصوصه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أیضاً، کما ادّعاه فی التذکرة</w:t>
      </w:r>
      <w:r>
        <w:rPr>
          <w:rStyle w:val="FootnoteAnchor"/>
          <w:rtl w:val="true"/>
        </w:rPr>
        <w:footnoteReference w:id="2337"/>
      </w:r>
      <w:r>
        <w:rPr>
          <w:rFonts w:ascii="IRNazanin" w:hAnsi="IRNazanin" w:eastAsia="IRNazanin"/>
          <w:color w:val="111111"/>
          <w:sz w:val="28"/>
          <w:sz w:val="28"/>
          <w:szCs w:val="28"/>
          <w:rtl w:val="true"/>
          <w:lang w:bidi="fa-IR"/>
        </w:rPr>
        <w:t>و جامع المقاصد</w:t>
      </w:r>
      <w:r>
        <w:rPr>
          <w:rStyle w:val="FootnoteAnchor"/>
          <w:rtl w:val="true"/>
        </w:rPr>
        <w:footnoteReference w:id="2338"/>
      </w:r>
      <w:bookmarkStart w:id="778" w:name="pg11753_115112"/>
    </w:p>
    <w:p>
      <w:pPr>
        <w:pStyle w:val="Heading6"/>
        <w:numPr>
          <w:ilvl w:val="5"/>
          <w:numId w:val="1"/>
        </w:numPr>
        <w:rPr/>
      </w:pPr>
      <w:bookmarkStart w:id="779" w:name="__RefHeading___Toc9483050_73709187"/>
      <w:bookmarkStart w:id="780" w:name="_Toc294"/>
      <w:bookmarkEnd w:id="778"/>
      <w:bookmarkEnd w:id="779"/>
      <w:r>
        <w:rPr>
          <w:rtl w:val="true"/>
        </w:rPr>
        <w:t>اشتراک الصدقة و الهبة فی القبض</w:t>
      </w:r>
      <w:bookmarkEnd w:id="780"/>
    </w:p>
    <w:p>
      <w:pPr>
        <w:pStyle w:val="BookText"/>
        <w:rPr/>
      </w:pPr>
      <w:r>
        <w:rPr>
          <w:rFonts w:ascii="IRNazanin" w:hAnsi="IRNazanin" w:eastAsia="IRNazanin"/>
          <w:color w:val="111111"/>
          <w:sz w:val="28"/>
          <w:sz w:val="28"/>
          <w:szCs w:val="28"/>
          <w:rtl w:val="true"/>
          <w:lang w:bidi="fa-IR"/>
        </w:rPr>
        <w:t>یشترط فی صحّة الصدقة أیضاً قبضها؛ لأنّ الهبة قد یعبّر عنها بالنحلة و العطیّة، و یطلق کلّ منهما علی مطلق الإعطاء المتبرّع به، فیشمل الوقف و الصدقة و الهدیة و الهبة، و الهبة أعمّ من الصدقة؛ لاشتراط الصدقة بالقربة دون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الهدیة أخصّ من الهبة؛ إذ یعتبر فی الهدیّة أن یحمل الموهوب من مکان الواهب إلی مکان الموهوب منه إکراماً له، و لذا لا یطلق الهدیّة علی العقارات الممتنع نقلها</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الهبة و الصدقة و الهدیة بمعنی واحد</w:t>
      </w:r>
      <w:r>
        <w:rPr>
          <w:rFonts w:eastAsia="IRNazanin" w:cs="IRNazanin"/>
          <w:color w:val="111111"/>
          <w:sz w:val="28"/>
          <w:szCs w:val="28"/>
          <w:rtl w:val="true"/>
          <w:lang w:bidi="fa-IR"/>
        </w:rPr>
        <w:t>»</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خلاف التحقیق، و کیف کان لا یلزم شیء من الصدقة و الهبة و الهدیة إلاّ بالقبض، و یتولّی الأب أو الجدّ ذلک عن الصغیر</w:t>
      </w:r>
      <w:r>
        <w:rPr>
          <w:rFonts w:eastAsia="IRNazanin" w:cs="IRNazanin"/>
          <w:color w:val="111111"/>
          <w:sz w:val="28"/>
          <w:szCs w:val="28"/>
          <w:rtl w:val="true"/>
          <w:lang w:bidi="fa-IR"/>
        </w:rPr>
        <w:t>.</w:t>
      </w:r>
    </w:p>
    <w:p>
      <w:pPr>
        <w:pStyle w:val="Heading6"/>
        <w:numPr>
          <w:ilvl w:val="5"/>
          <w:numId w:val="1"/>
        </w:numPr>
        <w:rPr/>
      </w:pPr>
      <w:bookmarkStart w:id="781" w:name="__RefHeading___Toc9483052_73709187"/>
      <w:bookmarkStart w:id="782" w:name="_Toc295"/>
      <w:bookmarkEnd w:id="781"/>
      <w:r>
        <w:rPr>
          <w:rtl w:val="true"/>
        </w:rPr>
        <w:t>فروع</w:t>
      </w:r>
      <w:bookmarkEnd w:id="782"/>
    </w:p>
    <w:p>
      <w:pPr>
        <w:pStyle w:val="Heading6"/>
        <w:numPr>
          <w:ilvl w:val="5"/>
          <w:numId w:val="1"/>
        </w:numPr>
        <w:rPr/>
      </w:pPr>
      <w:bookmarkStart w:id="783" w:name="__RefHeading___Toc9483054_73709187"/>
      <w:bookmarkStart w:id="784" w:name="_Toc296"/>
      <w:bookmarkEnd w:id="783"/>
      <w:r>
        <w:rPr>
          <w:rtl w:val="true"/>
        </w:rPr>
        <w:t>الأوّل</w:t>
      </w:r>
      <w:r>
        <w:rPr>
          <w:rtl w:val="true"/>
        </w:rPr>
        <w:t xml:space="preserve">: </w:t>
      </w:r>
      <w:r>
        <w:rPr>
          <w:rtl w:val="true"/>
        </w:rPr>
        <w:t>هل یعتبر قصد القبض عن الطفل بعد الهبة لیتمحّض القبض للهبة أو لا یعتبر؟ قولان</w:t>
      </w:r>
      <w:r>
        <w:rPr>
          <w:rtl w:val="true"/>
        </w:rPr>
        <w:t>:</w:t>
      </w:r>
      <w:bookmarkEnd w:id="78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ظاهر العلاّمة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ذلک، حیث قال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 إذن الواهب و إیقاع القبض للهبة، فلو قبض من غیر إذنه لم ینتقل الملک إلیه و إن کانا فی المجلس، و کذا لو أقبضه الواهب لا للهبة و یقبل قوله فی القصد</w:t>
      </w:r>
      <w:r>
        <w:rPr>
          <w:rFonts w:eastAsia="IRNazanin" w:cs="IRNazanin"/>
          <w:color w:val="111111"/>
          <w:sz w:val="28"/>
          <w:szCs w:val="28"/>
          <w:rtl w:val="true"/>
          <w:lang w:bidi="fa-IR"/>
        </w:rPr>
        <w:t>»</w:t>
      </w:r>
      <w:r>
        <w:rPr>
          <w:rStyle w:val="FootnoteAnchor"/>
          <w:rtl w:val="true"/>
        </w:rPr>
        <w:footnoteReference w:id="2341"/>
      </w:r>
      <w:r>
        <w:rPr>
          <w:rFonts w:ascii="IRNazanin" w:hAnsi="IRNazanin" w:eastAsia="IRNazanin"/>
          <w:color w:val="111111"/>
          <w:sz w:val="28"/>
          <w:sz w:val="28"/>
          <w:szCs w:val="28"/>
          <w:rtl w:val="true"/>
          <w:lang w:bidi="fa-IR"/>
        </w:rPr>
        <w:t>؛ لأنّ المال المقبوض فی ید الولیّ له، فلا ینصرف إلی الطفل إلاّ بصارف، و هو القصد</w:t>
      </w:r>
      <w:r>
        <w:rPr>
          <w:rFonts w:eastAsia="IRNazanin" w:cs="IRNazanin"/>
          <w:color w:val="111111"/>
          <w:sz w:val="28"/>
          <w:szCs w:val="28"/>
          <w:rtl w:val="true"/>
          <w:lang w:bidi="fa-IR"/>
        </w:rPr>
        <w:t>.</w:t>
      </w:r>
      <w:bookmarkStart w:id="785" w:name="pg11753_115113"/>
    </w:p>
    <w:p>
      <w:pPr>
        <w:pStyle w:val="BookText"/>
        <w:rPr/>
      </w:pPr>
      <w:bookmarkEnd w:id="78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الأقوی، ما یظهر من کلمات کثیر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إیقاع القبض للهبة و الاکتفاء بمطلق القبض، فلا یعتبر عندهم قصد القبض عن الطفل؛ لصدق اسم القبض علیه و صلاحیّته للهبة، و لم یدلّ دلیل علی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مطلق القبض السابق و لو خلّی حین العقد أو بعده عن نیّة القبض عن المتّهب له بالکلیّة</w:t>
      </w:r>
      <w:r>
        <w:rPr>
          <w:rFonts w:eastAsia="IRNazanin" w:cs="IRNazanin"/>
          <w:color w:val="111111"/>
          <w:sz w:val="28"/>
          <w:szCs w:val="28"/>
          <w:rtl w:val="true"/>
          <w:lang w:bidi="fa-IR"/>
        </w:rPr>
        <w:t>»</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قصد القبض لغیره یکفی</w:t>
      </w:r>
      <w:r>
        <w:rPr>
          <w:rFonts w:eastAsia="IRNazanin" w:cs="IRNazanin"/>
          <w:color w:val="111111"/>
          <w:sz w:val="28"/>
          <w:szCs w:val="28"/>
          <w:rtl w:val="true"/>
          <w:lang w:bidi="fa-IR"/>
        </w:rPr>
        <w:t>»</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کفایة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یفتقر إلی تجدید القبض و لا قصد القبض عن الطفل علی الأشهر الأقوی</w:t>
      </w:r>
      <w:r>
        <w:rPr>
          <w:rFonts w:eastAsia="IRNazanin" w:cs="IRNazanin"/>
          <w:color w:val="111111"/>
          <w:sz w:val="28"/>
          <w:szCs w:val="28"/>
          <w:rtl w:val="true"/>
          <w:lang w:bidi="fa-IR"/>
        </w:rPr>
        <w:t>»</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6" w:name="__RefHeading___Toc9483056_73709187"/>
      <w:bookmarkStart w:id="787" w:name="_Toc297"/>
      <w:bookmarkEnd w:id="786"/>
      <w:r>
        <w:rPr>
          <w:rtl w:val="true"/>
        </w:rPr>
        <w:t>الفرع الثانی</w:t>
      </w:r>
      <w:r>
        <w:rPr>
          <w:rtl w:val="true"/>
        </w:rPr>
        <w:t xml:space="preserve">: </w:t>
      </w:r>
      <w:r>
        <w:rPr>
          <w:rtl w:val="true"/>
        </w:rPr>
        <w:t>أنّه هل للوصیّ أن یتولّی القبض عن الطفل أم لا؟ قولان</w:t>
      </w:r>
      <w:r>
        <w:rPr>
          <w:rtl w:val="true"/>
        </w:rPr>
        <w:t>:</w:t>
      </w:r>
      <w:bookmarkEnd w:id="787"/>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وهب الولیّ للصبیّ، فإن کان ولیّاً بغیر تولیة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بتولیة لم یصحّ أن یقبلها کما لا یصحّ أن یبیع من الصبیّ شیئاً بنفسه أو یشتری منه، و ینصب الحاکم أمیناً یقبل منه هبةً للصبی؛ فإذا قبلها صحّت الهبة</w:t>
      </w:r>
      <w:r>
        <w:rPr>
          <w:rFonts w:eastAsia="IRNazanin" w:cs="IRNazanin"/>
          <w:color w:val="111111"/>
          <w:sz w:val="28"/>
          <w:szCs w:val="28"/>
          <w:rtl w:val="true"/>
          <w:lang w:bidi="fa-IR"/>
        </w:rPr>
        <w:t>»</w:t>
      </w:r>
      <w:r>
        <w:rPr>
          <w:rStyle w:val="FootnoteAnchor"/>
          <w:rtl w:val="true"/>
        </w:rPr>
        <w:footnoteReference w:id="2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المحقّق</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مقابله قول من قال بصحّة قبض الوصیّ أیضاً، و هذا هو الأقوی، کقول العلاّمة و غیره،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التسویة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الأب؛ لأنّ</w:t>
      </w:r>
      <w:bookmarkStart w:id="788" w:name="pg11753_115114"/>
    </w:p>
    <w:p>
      <w:pPr>
        <w:pStyle w:val="BookText"/>
        <w:rPr/>
      </w:pPr>
      <w:bookmarkEnd w:id="788"/>
      <w:r>
        <w:rPr>
          <w:rFonts w:ascii="IRNazanin" w:hAnsi="IRNazanin" w:eastAsia="IRNazanin"/>
          <w:color w:val="111111"/>
          <w:sz w:val="28"/>
          <w:sz w:val="28"/>
          <w:szCs w:val="28"/>
          <w:rtl w:val="true"/>
          <w:lang w:bidi="fa-IR"/>
        </w:rPr>
        <w:t>له أن یقبل هبة غیره فکذا یقبل هبة نفسه، لعموم ولایته؛ فلا وجه لاختصاصها بغیره</w:t>
      </w:r>
      <w:r>
        <w:rPr>
          <w:rFonts w:eastAsia="IRNazanin" w:cs="IRNazanin"/>
          <w:color w:val="111111"/>
          <w:sz w:val="28"/>
          <w:szCs w:val="28"/>
          <w:rtl w:val="true"/>
          <w:lang w:bidi="fa-IR"/>
        </w:rPr>
        <w:t>»</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الأصحّ أنّ حکم الوصیّ حکم الأب و الجدّ</w:t>
      </w:r>
      <w:r>
        <w:rPr>
          <w:rFonts w:eastAsia="IRNazanin" w:cs="IRNazanin"/>
          <w:color w:val="111111"/>
          <w:sz w:val="28"/>
          <w:szCs w:val="28"/>
          <w:rtl w:val="true"/>
          <w:lang w:bidi="fa-IR"/>
        </w:rPr>
        <w:t>»</w:t>
      </w:r>
      <w:r>
        <w:rPr>
          <w:rStyle w:val="FootnoteAnchor"/>
          <w:rtl w:val="true"/>
        </w:rPr>
        <w:footnoteReference w:id="2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أیضاً فی الحدائق</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ولایة الوصیّ فی الحقیقة من ولایة الأب و الجدّ، مع أنّ ولایة الحاکم هنا منتفیة؛ لأنّه ولیّ من لا ولیّ له، و فی الفرض المذکور وصیّ أحد الأبوین موجود</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العلاّمة عمّا استدلّ به الشیخ بالمنع من حکم الأصل؛ فإنّ له أن یبیع و یقبل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بوجود الفرق بینهما؛ فإنّ المعاوضة قد یحصل فیها التغابن، و أمّا الهبة؛ فإنّها عطیّة محضة، فکانت المصلحة فیها ظاهرةً‌</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9" w:name="__RefHeading___Toc9483058_73709187"/>
      <w:bookmarkStart w:id="790" w:name="_Toc298"/>
      <w:bookmarkEnd w:id="789"/>
      <w:r>
        <w:rPr>
          <w:rtl w:val="true"/>
        </w:rPr>
        <w:t>الفرع الثالث</w:t>
      </w:r>
      <w:r>
        <w:rPr>
          <w:rtl w:val="true"/>
        </w:rPr>
        <w:t xml:space="preserve">: </w:t>
      </w:r>
      <w:r>
        <w:rPr>
          <w:rtl w:val="true"/>
        </w:rPr>
        <w:t>قال العلاّمة</w:t>
      </w:r>
      <w:r>
        <w:rPr>
          <w:rtl w:val="true"/>
        </w:rPr>
        <w:t>: «</w:t>
      </w:r>
      <w:r>
        <w:rPr>
          <w:rtl w:val="true"/>
        </w:rPr>
        <w:t>و للولیّ أن یهب مال الطفل بشرط الثواب مع المصلحة</w:t>
      </w:r>
      <w:bookmarkEnd w:id="790"/>
    </w:p>
    <w:p>
      <w:pPr>
        <w:pStyle w:val="BookText"/>
        <w:rPr/>
      </w:pPr>
      <w:r>
        <w:rPr>
          <w:rFonts w:ascii="IRNazanin" w:hAnsi="IRNazanin" w:eastAsia="IRNazanin"/>
          <w:color w:val="111111"/>
          <w:sz w:val="28"/>
          <w:sz w:val="28"/>
          <w:szCs w:val="28"/>
          <w:rtl w:val="true"/>
          <w:lang w:bidi="fa-IR"/>
        </w:rPr>
        <w:t>، إمّا مع زیادة الثواب علی العین، أو مع تحصیل أمر من المتهب ینتفع به الطفل نفعاً یزید علی بقاء العین له</w:t>
      </w:r>
      <w:r>
        <w:rPr>
          <w:rFonts w:eastAsia="IRNazanin" w:cs="IRNazanin"/>
          <w:color w:val="111111"/>
          <w:sz w:val="28"/>
          <w:szCs w:val="28"/>
          <w:rtl w:val="true"/>
          <w:lang w:bidi="fa-IR"/>
        </w:rPr>
        <w:t>»</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1" w:name="__RefHeading___Toc9483060_73709187"/>
      <w:bookmarkStart w:id="792" w:name="_Toc299"/>
      <w:bookmarkEnd w:id="791"/>
      <w:r>
        <w:rPr>
          <w:rtl w:val="true"/>
        </w:rPr>
        <w:t>آراء فقهاء أهل السنّة فی الولایة علی قبض الهبة</w:t>
      </w:r>
      <w:bookmarkEnd w:id="79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قائلون بأنّ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 الجدّ و وصیّهما و الاُمّ فی بعض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یعول الصبیّ من الأخ و العمّ و غیرهما یتولّی فی قبول الهبة و قبضها عن</w:t>
      </w:r>
    </w:p>
    <w:p>
      <w:pPr>
        <w:pStyle w:val="BookText"/>
        <w:rPr/>
      </w:pP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شطراً من کلماتهم علی الترتیب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جاء فی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وهب الأب لابنه الصغیر هبةً ملکها الابن بالعقد؛ لأنّه فی قبض الأب فینوب عن قبض الهبة، و لا فرق بین ما إذا کان فی یده أو ید مودّعه؛ لأنّ یده کیده، بخلاف ما إذا کان مرهوناً أو مغصوباً أو مبیعاً بیعاً فاسداً؛ لأنّه فی ید غیره أو فی ملک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فی هذا مثل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وهبت امّه و هو فی عیالها و الأب میّتٌ و لا 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من یعوله</w:t>
      </w:r>
      <w:r>
        <w:rPr>
          <w:rFonts w:eastAsia="IRNazanin" w:cs="IRNazanin"/>
          <w:color w:val="111111"/>
          <w:sz w:val="28"/>
          <w:szCs w:val="28"/>
          <w:rtl w:val="true"/>
          <w:lang w:bidi="fa-IR"/>
        </w:rPr>
        <w:t>»</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الذی وهبه فی قبض الأب فینوب عن قبض الهبة، فلا یحتاج إلی قبض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الإشهاد، إلاّ أنّ فیه احتیاطاً للتحرّز عن جحود الورثة بعد موته، أو جحوده بعد إدراک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الفقهاء علی أنّ هبة الأب لابنه الصغیر فی حجره لا یحتاج إلی قبض جدید</w:t>
      </w:r>
      <w:r>
        <w:rPr>
          <w:rFonts w:eastAsia="IRNazanin" w:cs="IRNazanin"/>
          <w:color w:val="111111"/>
          <w:sz w:val="28"/>
          <w:szCs w:val="28"/>
          <w:rtl w:val="true"/>
          <w:lang w:bidi="fa-IR"/>
        </w:rPr>
        <w:t>»</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البحر الرائق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تتمّ الهبة بقبض الأُمّ أو الأجنبی بشرط أن یکون فی حجر القابض؛ لأنّ للاُمّ الولایة فیما یرجع إلی حفظه و حفظ ماله، و للأجنبیّ ید معتبرة</w:t>
      </w:r>
      <w:r>
        <w:rPr>
          <w:rFonts w:eastAsia="IRNazanin" w:cs="IRNazanin"/>
          <w:color w:val="111111"/>
          <w:sz w:val="28"/>
          <w:szCs w:val="28"/>
          <w:rtl w:val="true"/>
          <w:lang w:bidi="fa-IR"/>
        </w:rPr>
        <w:t>»</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الطحاوی</w:t>
      </w:r>
      <w:r>
        <w:rPr>
          <w:rStyle w:val="FootnoteAnchor"/>
          <w:rtl w:val="true"/>
        </w:rPr>
        <w:footnoteReference w:id="2356"/>
      </w:r>
      <w:r>
        <w:rPr>
          <w:rFonts w:ascii="IRNazanin" w:hAnsi="IRNazanin" w:eastAsia="IRNazanin"/>
          <w:color w:val="111111"/>
          <w:sz w:val="28"/>
          <w:sz w:val="28"/>
          <w:szCs w:val="28"/>
          <w:rtl w:val="true"/>
          <w:lang w:bidi="fa-IR"/>
        </w:rPr>
        <w:t>و السرخسی</w:t>
      </w:r>
      <w:r>
        <w:rPr>
          <w:rStyle w:val="FootnoteAnchor"/>
          <w:rtl w:val="true"/>
        </w:rPr>
        <w:footnoteReference w:id="2357"/>
      </w:r>
      <w:r>
        <w:rPr>
          <w:rFonts w:ascii="IRNazanin" w:hAnsi="IRNazanin" w:eastAsia="IRNazanin"/>
          <w:color w:val="111111"/>
          <w:sz w:val="28"/>
          <w:sz w:val="28"/>
          <w:szCs w:val="28"/>
          <w:rtl w:val="true"/>
          <w:lang w:bidi="fa-IR"/>
        </w:rPr>
        <w:t>و الأستروشنی</w:t>
      </w:r>
      <w:r>
        <w:rPr>
          <w:rStyle w:val="FootnoteAnchor"/>
          <w:rtl w:val="true"/>
        </w:rPr>
        <w:footnoteReference w:id="2358"/>
      </w:r>
      <w:r>
        <w:rPr>
          <w:rFonts w:ascii="IRNazanin" w:hAnsi="IRNazanin" w:eastAsia="IRNazanin"/>
          <w:color w:val="111111"/>
          <w:sz w:val="28"/>
          <w:sz w:val="28"/>
          <w:szCs w:val="28"/>
          <w:rtl w:val="true"/>
          <w:lang w:bidi="fa-IR"/>
        </w:rPr>
        <w:t>و ابن نجیم و السمرقندی</w:t>
      </w:r>
      <w:r>
        <w:rPr>
          <w:rStyle w:val="FootnoteAnchor"/>
          <w:rtl w:val="true"/>
        </w:rPr>
        <w:footnoteReference w:id="2359"/>
      </w:r>
      <w:r>
        <w:rPr>
          <w:rFonts w:ascii="IRNazanin" w:hAnsi="IRNazanin" w:eastAsia="IRNazanin"/>
          <w:color w:val="111111"/>
          <w:sz w:val="28"/>
          <w:sz w:val="28"/>
          <w:szCs w:val="28"/>
          <w:rtl w:val="true"/>
          <w:lang w:bidi="fa-IR"/>
        </w:rPr>
        <w:t>و ابن عابدین</w:t>
      </w:r>
      <w:r>
        <w:rPr>
          <w:rStyle w:val="FootnoteAnchor"/>
          <w:rtl w:val="true"/>
        </w:rPr>
        <w:footnoteReference w:id="2360"/>
      </w:r>
      <w:r>
        <w:rPr>
          <w:rFonts w:ascii="IRNazanin" w:hAnsi="IRNazanin" w:eastAsia="IRNazanin"/>
          <w:color w:val="111111"/>
          <w:sz w:val="28"/>
          <w:sz w:val="28"/>
          <w:szCs w:val="28"/>
          <w:rtl w:val="true"/>
          <w:lang w:bidi="fa-IR"/>
        </w:rPr>
        <w:t>و الشیخی زاده</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ففی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الموهوب له طفلاً أو مجنوناً لم یصحّ قبضه و لا قبوله؛ لأنّه من غیر أهل التصرّف، و یقبض له أبوه إن کان أمیناً؛ لأنّه أشفق علیه و أقرب إلیه، فإن لم یکن له أب قبض له وصی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الأب غیر مأمون، أو کان مجنوناً، أو مات عن غیر وصیّ، فأمینه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القبض من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یحتمل أن یصحّ القبول و القبض من غیرهم عند عدمهم؛ لأنّ الحاجة داعیة إلی ذلک؛ فإنّ الصبیّ قد یکون فی مکان لا حاکم فیه و لیس له أب و لا وصیّ، و یکون فقیراً لا غنی به عن الصدقات، فإن لم یصحّ قبض غیرهم له انسدّ باب وصولها إلیه فیضیع و یهلک، و مراعاة حفظه عن الهلاک أولی من مراعاة الولایة، فعلی هذا للاُمّ القبض له و کلّ من یلیه من أقاربه و غیرهم</w:t>
      </w:r>
      <w:r>
        <w:rPr>
          <w:rFonts w:eastAsia="IRNazanin" w:cs="IRNazanin"/>
          <w:color w:val="111111"/>
          <w:sz w:val="28"/>
          <w:szCs w:val="28"/>
          <w:rtl w:val="true"/>
          <w:lang w:bidi="fa-IR"/>
        </w:rPr>
        <w:t>»</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فی منتهی الإرادات</w:t>
      </w:r>
      <w:r>
        <w:rPr>
          <w:rStyle w:val="FootnoteAnchor"/>
          <w:rtl w:val="true"/>
        </w:rPr>
        <w:footnoteReference w:id="2363"/>
      </w:r>
      <w:r>
        <w:rPr>
          <w:rFonts w:ascii="IRNazanin" w:hAnsi="IRNazanin" w:eastAsia="IRNazanin"/>
          <w:color w:val="111111"/>
          <w:sz w:val="28"/>
          <w:sz w:val="28"/>
          <w:szCs w:val="28"/>
          <w:rtl w:val="true"/>
          <w:lang w:bidi="fa-IR"/>
        </w:rPr>
        <w:t>و کشّاف القناع</w:t>
      </w:r>
      <w:r>
        <w:rPr>
          <w:rStyle w:val="FootnoteAnchor"/>
          <w:rtl w:val="true"/>
        </w:rPr>
        <w:footnoteReference w:id="2364"/>
      </w:r>
      <w:r>
        <w:rPr>
          <w:rFonts w:ascii="IRNazanin" w:hAnsi="IRNazanin" w:eastAsia="IRNazanin"/>
          <w:color w:val="111111"/>
          <w:sz w:val="28"/>
          <w:sz w:val="28"/>
          <w:szCs w:val="28"/>
          <w:rtl w:val="true"/>
          <w:lang w:bidi="fa-IR"/>
        </w:rPr>
        <w:t>و الفروع</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قبض الممیّز و قبوله بلا إذن ولیّه</w:t>
      </w:r>
      <w:r>
        <w:rPr>
          <w:rFonts w:eastAsia="IRNazanin" w:cs="IRNazanin"/>
          <w:color w:val="111111"/>
          <w:sz w:val="28"/>
          <w:szCs w:val="28"/>
          <w:rtl w:val="true"/>
          <w:lang w:bidi="fa-IR"/>
        </w:rPr>
        <w:t>»</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فی الإقناع</w:t>
      </w:r>
      <w:r>
        <w:rPr>
          <w:rStyle w:val="FootnoteAnchor"/>
          <w:rtl w:val="true"/>
        </w:rPr>
        <w:footnoteReference w:id="2367"/>
      </w:r>
      <w:r>
        <w:rPr>
          <w:rFonts w:ascii="IRNazanin" w:hAnsi="IRNazanin" w:eastAsia="IRNazanin"/>
          <w:color w:val="111111"/>
          <w:sz w:val="28"/>
          <w:sz w:val="28"/>
          <w:szCs w:val="28"/>
          <w:rtl w:val="true"/>
          <w:lang w:bidi="fa-IR"/>
        </w:rPr>
        <w:t>و الإنصاف</w:t>
      </w:r>
      <w:r>
        <w:rPr>
          <w:rStyle w:val="FootnoteAnchor"/>
          <w:rtl w:val="true"/>
        </w:rPr>
        <w:footnoteReference w:id="2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قبض طفل و لو ممیّزاً، بل ولیّه الأمین یقوم مقامه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کلماتهم أنّه یجوز للأب و غیره أن یوجب و یقبل و یقبض؛ بأن کان هو نفسه واهباً للصبی و یقبل و یقبض عنه</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عندهم القبض من أرکان الهبة، فقد قال فی الوجیز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یحصل الملک، فإن مات الواهب قبل القبض تخیّر الوارث فی الإقباض</w:t>
      </w:r>
      <w:r>
        <w:rPr>
          <w:rFonts w:eastAsia="IRNazanin" w:cs="IRNazanin"/>
          <w:color w:val="111111"/>
          <w:sz w:val="28"/>
          <w:szCs w:val="28"/>
          <w:rtl w:val="true"/>
          <w:lang w:bidi="fa-IR"/>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منهاج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یملک موهوب إلاّ بقبض</w:t>
      </w:r>
      <w:r>
        <w:rPr>
          <w:rFonts w:eastAsia="IRNazanin" w:cs="IRNazanin"/>
          <w:color w:val="111111"/>
          <w:sz w:val="28"/>
          <w:szCs w:val="28"/>
          <w:rtl w:val="true"/>
          <w:lang w:bidi="fa-IR"/>
        </w:rPr>
        <w:t>»</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القبض، فهو من تمام الهبة لا تملک إلاّ به</w:t>
      </w:r>
      <w:r>
        <w:rPr>
          <w:rFonts w:eastAsia="IRNazanin" w:cs="IRNazanin"/>
          <w:color w:val="111111"/>
          <w:sz w:val="28"/>
          <w:szCs w:val="28"/>
          <w:rtl w:val="true"/>
          <w:lang w:bidi="fa-IR"/>
        </w:rPr>
        <w:t>»</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الموهوب له طفلاً لم یصحّ قبضه و لا قبوله؛ لأنّه من غیر أهل التصرّف، و لذا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یقبض للطفل أبوه</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الهبة لمن</w:t>
      </w:r>
      <w:r>
        <w:rPr>
          <w:rStyle w:val="FootnoteAnchor"/>
          <w:rtl w:val="true"/>
        </w:rPr>
        <w:footnoteReference w:id="2374"/>
      </w:r>
      <w:r>
        <w:rPr>
          <w:rFonts w:ascii="IRNazanin" w:hAnsi="IRNazanin" w:eastAsia="IRNazanin"/>
          <w:color w:val="111111"/>
          <w:sz w:val="28"/>
          <w:sz w:val="28"/>
          <w:szCs w:val="28"/>
          <w:rtl w:val="true"/>
          <w:lang w:bidi="fa-IR"/>
        </w:rPr>
        <w:t>لیس له أهلیّة القبول، کالطفل فینظر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الواهب أجنبیّاً قبل له من یلی أمره من ولیّ و وصیّ و قیّم، و إن کان الواهب من یلی أمره، فإن کان غیر الأب و الجدّ قبل له الحاکم أو من ینیبه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أباً أو جدّاً تولّی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بقبول المتعهّد الذی لا ولایة له علی الطفل</w:t>
      </w:r>
      <w:r>
        <w:rPr>
          <w:rFonts w:eastAsia="IRNazanin" w:cs="IRNazanin"/>
          <w:color w:val="111111"/>
          <w:sz w:val="28"/>
          <w:szCs w:val="28"/>
          <w:rtl w:val="true"/>
          <w:lang w:bidi="fa-IR"/>
        </w:rPr>
        <w:t>»</w:t>
      </w:r>
      <w:r>
        <w:rPr>
          <w:rStyle w:val="FootnoteAnchor"/>
          <w:rtl w:val="true"/>
        </w:rPr>
        <w:footnoteReference w:id="2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النووی</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الواهب للطفل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البذل و الإقباض نائباً عن نفسه و فی القبول و القبض نائباً عن ابنه، فأمّا أمین الحاکم فلا یصحّ ذلک منه إلاّ أن یقبله منه قابل و یقبضه منه قابض، و کذلک وصیّ الأب</w:t>
      </w:r>
      <w:r>
        <w:rPr>
          <w:rFonts w:eastAsia="IRNazanin" w:cs="IRNazanin"/>
          <w:color w:val="111111"/>
          <w:sz w:val="28"/>
          <w:szCs w:val="28"/>
          <w:rtl w:val="true"/>
          <w:lang w:bidi="fa-IR"/>
        </w:rPr>
        <w:t>»</w:t>
      </w:r>
      <w:r>
        <w:rPr>
          <w:rStyle w:val="FootnoteAnchor"/>
          <w:rtl w:val="true"/>
        </w:rPr>
        <w:footnoteReference w:id="2377"/>
      </w:r>
    </w:p>
    <w:p>
      <w:pPr>
        <w:pStyle w:val="BookText"/>
        <w:rPr/>
      </w:pPr>
      <w:r>
        <w:rPr>
          <w:rFonts w:ascii="IRNazanin" w:hAnsi="IRNazanin" w:eastAsia="IRNazanin"/>
          <w:color w:val="111111"/>
          <w:sz w:val="28"/>
          <w:sz w:val="28"/>
          <w:szCs w:val="28"/>
          <w:rtl w:val="true"/>
          <w:lang w:bidi="fa-IR"/>
        </w:rPr>
        <w:t>و جاء فی روضة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الصدقة کالهدیة بلا فرق بینهما؛ سواء کانت الهدیّة الأطعمة أو غیرها</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فقد خالفوا رأی الشافعیّة، و قالوا بلزوم الهبة بدون القبض، ففی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الهبة بالإیجاب و القبول من غیر قبض، فإن امتنع الواهب من الإقباض دفعه الموهوب له إلی الحاکم لیجبره علی الإقباض</w:t>
      </w:r>
      <w:r>
        <w:rPr>
          <w:rFonts w:eastAsia="IRNazanin" w:cs="IRNazanin"/>
          <w:color w:val="111111"/>
          <w:sz w:val="28"/>
          <w:szCs w:val="28"/>
          <w:rtl w:val="true"/>
          <w:lang w:bidi="fa-IR"/>
        </w:rPr>
        <w:t>»</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فی حلیة العلماء</w:t>
      </w:r>
      <w:r>
        <w:rPr>
          <w:rStyle w:val="FootnoteAnchor"/>
          <w:rtl w:val="true"/>
        </w:rPr>
        <w:footnoteReference w:id="2380"/>
      </w:r>
      <w:r>
        <w:rPr>
          <w:rFonts w:ascii="IRNazanin" w:hAnsi="IRNazanin" w:eastAsia="IRNazanin"/>
          <w:color w:val="111111"/>
          <w:sz w:val="28"/>
          <w:sz w:val="28"/>
          <w:szCs w:val="28"/>
          <w:rtl w:val="true"/>
          <w:lang w:bidi="fa-IR"/>
        </w:rPr>
        <w:t>و المغنی و الشرح</w:t>
      </w:r>
      <w:r>
        <w:rPr>
          <w:rStyle w:val="FootnoteAnchor"/>
          <w:rtl w:val="true"/>
        </w:rPr>
        <w:footnoteReference w:id="2381"/>
      </w:r>
      <w:r>
        <w:rPr>
          <w:rFonts w:ascii="IRNazanin" w:hAnsi="IRNazanin" w:eastAsia="IRNazanin"/>
          <w:color w:val="111111"/>
          <w:sz w:val="28"/>
          <w:sz w:val="28"/>
          <w:szCs w:val="28"/>
          <w:rtl w:val="true"/>
          <w:lang w:bidi="fa-IR"/>
        </w:rPr>
        <w:t>و التهذیب</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مالک و من تابعه أنّ الهبة تنعقد بالقول و تلزم به، و لا تتمّ إلاّ بالحیازة</w:t>
      </w:r>
      <w:r>
        <w:rPr>
          <w:rFonts w:eastAsia="IRNazanin" w:cs="IRNazanin"/>
          <w:color w:val="111111"/>
          <w:sz w:val="28"/>
          <w:szCs w:val="28"/>
          <w:rtl w:val="true"/>
          <w:lang w:bidi="fa-IR"/>
        </w:rPr>
        <w:t>»</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یجوز عندهم أن یحوز و یقبض الأب الهبة و الصدقة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المدوّنة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وهب الأب لولده و هم صغار ثمّ أشهد لهم، أ هو الجائز فی قول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الرجل لابنه الصغیر فلا حیازة علیه فیما وهب له إلاّ الإشهاد بالهبة و الإعلان بها؛ لأنّه هو الحائز له</w:t>
      </w:r>
      <w:r>
        <w:rPr>
          <w:rStyle w:val="FootnoteAnchor"/>
          <w:rtl w:val="true"/>
        </w:rPr>
        <w:footnoteReference w:id="2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w:t>
      </w:r>
      <w:r>
        <w:rPr>
          <w:rStyle w:val="FootnoteAnchor"/>
          <w:rtl w:val="true"/>
        </w:rPr>
        <w:footnoteReference w:id="2386"/>
      </w:r>
      <w:bookmarkStart w:id="793" w:name="pg11753_115119"/>
    </w:p>
    <w:p>
      <w:pPr>
        <w:pStyle w:val="Heading4"/>
        <w:numPr>
          <w:ilvl w:val="3"/>
          <w:numId w:val="1"/>
        </w:numPr>
        <w:rPr/>
      </w:pPr>
      <w:bookmarkStart w:id="794" w:name="__RefHeading___Toc9483062_73709187"/>
      <w:bookmarkStart w:id="795" w:name="_Toc300"/>
      <w:bookmarkEnd w:id="793"/>
      <w:bookmarkEnd w:id="794"/>
      <w:r>
        <w:rPr>
          <w:rtl w:val="true"/>
        </w:rPr>
        <w:t>المبحث الرابع</w:t>
      </w:r>
      <w:r>
        <w:rPr>
          <w:rtl w:val="true"/>
        </w:rPr>
        <w:t xml:space="preserve">: </w:t>
      </w:r>
      <w:r>
        <w:rPr>
          <w:rtl w:val="true"/>
        </w:rPr>
        <w:t>الولایة علی القبض فی الوقف علی الأطفال</w:t>
      </w:r>
      <w:bookmarkEnd w:id="795"/>
    </w:p>
    <w:p>
      <w:pPr>
        <w:pStyle w:val="Heading5"/>
        <w:numPr>
          <w:ilvl w:val="4"/>
          <w:numId w:val="1"/>
        </w:numPr>
        <w:rPr/>
      </w:pPr>
      <w:bookmarkStart w:id="796" w:name="__RefHeading___Toc9483064_73709187"/>
      <w:bookmarkStart w:id="797" w:name="_Toc301"/>
      <w:bookmarkEnd w:id="796"/>
      <w:r>
        <w:rPr>
          <w:rtl w:val="true"/>
        </w:rPr>
        <w:t>اشارة</w:t>
      </w:r>
      <w:bookmarkEnd w:id="797"/>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798" w:name="__RefHeading___Toc9483066_73709187"/>
      <w:bookmarkStart w:id="799" w:name="_Toc302"/>
      <w:bookmarkEnd w:id="798"/>
      <w:r>
        <w:rPr>
          <w:rtl w:val="true"/>
        </w:rPr>
        <w:t>المطلب الأوّل</w:t>
      </w:r>
      <w:r>
        <w:rPr>
          <w:rtl w:val="true"/>
        </w:rPr>
        <w:t xml:space="preserve">: </w:t>
      </w:r>
      <w:r>
        <w:rPr>
          <w:rtl w:val="true"/>
        </w:rPr>
        <w:t>أن یتولّی الأب أو الجدّ أو الوصیّ القبض عن الصغیر</w:t>
      </w:r>
      <w:bookmarkEnd w:id="799"/>
    </w:p>
    <w:p>
      <w:pPr>
        <w:pStyle w:val="Heading6"/>
        <w:numPr>
          <w:ilvl w:val="5"/>
          <w:numId w:val="1"/>
        </w:numPr>
        <w:rPr/>
      </w:pPr>
      <w:bookmarkStart w:id="800" w:name="__RefHeading___Toc9483068_73709187"/>
      <w:bookmarkStart w:id="801" w:name="_Toc303"/>
      <w:bookmarkEnd w:id="800"/>
      <w:r>
        <w:rPr>
          <w:rtl w:val="true"/>
        </w:rPr>
        <w:t>اشارة</w:t>
      </w:r>
      <w:bookmarkEnd w:id="801"/>
    </w:p>
    <w:p>
      <w:pPr>
        <w:pStyle w:val="BookText"/>
        <w:rPr/>
      </w:pPr>
      <w:r>
        <w:rPr>
          <w:rFonts w:ascii="IRNazanin" w:hAnsi="IRNazanin" w:eastAsia="IRNazanin"/>
          <w:color w:val="111111"/>
          <w:sz w:val="28"/>
          <w:sz w:val="28"/>
          <w:szCs w:val="28"/>
          <w:rtl w:val="true"/>
          <w:lang w:bidi="fa-IR"/>
        </w:rPr>
        <w:t>لا خلاف بین الفقهاء فی اشتراط صحّة الوقف</w:t>
      </w:r>
      <w:r>
        <w:rPr>
          <w:rStyle w:val="FootnoteAnchor"/>
          <w:rtl w:val="true"/>
        </w:rPr>
        <w:footnoteReference w:id="2387"/>
      </w:r>
      <w:r>
        <w:rPr>
          <w:rFonts w:ascii="IRNazanin" w:hAnsi="IRNazanin" w:eastAsia="IRNazanin"/>
          <w:color w:val="111111"/>
          <w:sz w:val="28"/>
          <w:sz w:val="28"/>
          <w:szCs w:val="28"/>
          <w:rtl w:val="true"/>
          <w:lang w:bidi="fa-IR"/>
        </w:rPr>
        <w:t>بالقبض، فلو وقف علی أولاده الأصاغر جاز، و یتولّی القبض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وقف ما یملک و لا یخرجه من یده و لم یُقَبّضه الموقوف علیه أو من یتولّی عنهم، لم یصحّ الوقف و کان باقیاً علی ما کان علیه من الملک، فإن مات و الحال ما ذکرناه کان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وقف علی ولده الکبار فلا بدّ من تقبیضهم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أولاده صغاراً، جاز الوقف و إن لم یُقَبِّضُهم إیّاه؛ لأنّه الذی یتولّی القبض عنهم</w:t>
      </w:r>
      <w:r>
        <w:rPr>
          <w:rFonts w:eastAsia="IRNazanin" w:cs="IRNazanin"/>
          <w:color w:val="111111"/>
          <w:sz w:val="28"/>
          <w:szCs w:val="28"/>
          <w:rtl w:val="true"/>
          <w:lang w:bidi="fa-IR"/>
        </w:rPr>
        <w:t>»</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المختصر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طفل قبضه الولیّ، کالأب و الجدّ للأب أو الوصیّ، و لو وقف علیه الأب أو الجدّ صحّ؛ لأنّه مقبوض بیده</w:t>
      </w:r>
      <w:r>
        <w:rPr>
          <w:rFonts w:eastAsia="IRNazanin" w:cs="IRNazanin"/>
          <w:color w:val="111111"/>
          <w:sz w:val="28"/>
          <w:szCs w:val="28"/>
          <w:rtl w:val="true"/>
          <w:lang w:bidi="fa-IR"/>
        </w:rPr>
        <w:t>»</w:t>
      </w:r>
      <w:r>
        <w:rPr>
          <w:rStyle w:val="FootnoteAnchor"/>
          <w:rtl w:val="true"/>
        </w:rPr>
        <w:footnoteReference w:id="2389"/>
      </w:r>
    </w:p>
    <w:p>
      <w:pPr>
        <w:pStyle w:val="BookText"/>
        <w:rPr/>
      </w:pPr>
      <w:r>
        <w:rPr>
          <w:rFonts w:ascii="IRNazanin" w:hAnsi="IRNazanin" w:eastAsia="IRNazanin"/>
          <w:color w:val="111111"/>
          <w:sz w:val="28"/>
          <w:sz w:val="28"/>
          <w:szCs w:val="28"/>
          <w:rtl w:val="true"/>
          <w:lang w:bidi="fa-IR"/>
        </w:rPr>
        <w:t>و به قال جماعة من المتقدِّمین</w:t>
      </w:r>
      <w:r>
        <w:rPr>
          <w:rStyle w:val="FootnoteAnchor"/>
          <w:rtl w:val="true"/>
        </w:rPr>
        <w:footnoteReference w:id="2390"/>
      </w:r>
      <w:r>
        <w:rPr>
          <w:rFonts w:ascii="Amiri" w:hAnsi="Amiri" w:eastAsia="Amiri" w:cs="Amiri"/>
          <w:color w:val="111111"/>
          <w:sz w:val="28"/>
          <w:sz w:val="28"/>
          <w:szCs w:val="28"/>
          <w:rtl w:val="true"/>
          <w:lang w:bidi="ar-SA"/>
        </w:rPr>
        <w:t>و المتأخِّرین</w:t>
      </w:r>
      <w:r>
        <w:rPr>
          <w:rStyle w:val="FootnoteAnchor"/>
          <w:rtl w:val="true"/>
        </w:rPr>
        <w:footnoteReference w:id="2391"/>
      </w:r>
      <w:r>
        <w:rPr>
          <w:rFonts w:ascii="IRNazanin" w:hAnsi="IRNazanin" w:eastAsia="IRNazanin"/>
          <w:color w:val="111111"/>
          <w:sz w:val="28"/>
          <w:sz w:val="28"/>
          <w:szCs w:val="28"/>
          <w:rtl w:val="true"/>
          <w:lang w:bidi="fa-IR"/>
        </w:rPr>
        <w:t>و بعض فقهاء العصر</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وقف الأب علی أولاده الصغار ما کان تحت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کلّ ولیّ إذا وقف علی المولّی علیه ما کان تحت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یحتجّ إلی قبض حادث جدید، لکن الأحوط أن یقصد کون قبضه عنه، بل لا یخلو من وجهٍ</w:t>
      </w:r>
      <w:r>
        <w:rPr>
          <w:rFonts w:eastAsia="IRNazanin" w:cs="IRNazanin"/>
          <w:color w:val="111111"/>
          <w:sz w:val="28"/>
          <w:szCs w:val="28"/>
          <w:rtl w:val="true"/>
          <w:lang w:bidi="fa-IR"/>
        </w:rPr>
        <w:t>»</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المعتبر من القبض رفع ید الواقف و وضع ید الموقوف علیه، و کانت ید الولیّ بمنزلة ید المولّی علیه، کان وقف الأب و الجدّ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له الولایة علی غیر الکامل لما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مولّی علیه متحقّقاً بالإیجاب و القبول؛ لأنّ القبض حاصل قبل الوقف</w:t>
      </w:r>
      <w:r>
        <w:rPr>
          <w:rFonts w:eastAsia="IRNazanin" w:cs="IRNazanin"/>
          <w:color w:val="111111"/>
          <w:sz w:val="28"/>
          <w:szCs w:val="28"/>
          <w:rtl w:val="true"/>
          <w:lang w:bidi="fa-IR"/>
        </w:rPr>
        <w:t>»</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فی الأب و الجدّ</w:t>
      </w:r>
      <w:r>
        <w:rPr>
          <w:rFonts w:eastAsia="IRNazanin" w:cs="IRNazanin"/>
          <w:color w:val="111111"/>
          <w:sz w:val="28"/>
          <w:szCs w:val="28"/>
          <w:rtl w:val="true"/>
          <w:lang w:bidi="fa-IR"/>
        </w:rPr>
        <w:t>»</w:t>
      </w:r>
      <w:r>
        <w:rPr>
          <w:rStyle w:val="FootnoteAnchor"/>
          <w:rtl w:val="true"/>
        </w:rPr>
        <w:footnoteReference w:id="2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2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الفاضل المقداد الإجماع علیه</w:t>
      </w:r>
      <w:r>
        <w:rPr>
          <w:rStyle w:val="FootnoteAnchor"/>
          <w:rtl w:val="true"/>
        </w:rPr>
        <w:footnoteReference w:id="2398"/>
      </w:r>
      <w:bookmarkStart w:id="802" w:name="pg11753_115121"/>
    </w:p>
    <w:p>
      <w:pPr>
        <w:pStyle w:val="Heading6"/>
        <w:numPr>
          <w:ilvl w:val="5"/>
          <w:numId w:val="1"/>
        </w:numPr>
        <w:rPr/>
      </w:pPr>
      <w:bookmarkStart w:id="803" w:name="__RefHeading___Toc9483070_73709187"/>
      <w:bookmarkStart w:id="804" w:name="_Toc304"/>
      <w:bookmarkEnd w:id="802"/>
      <w:bookmarkEnd w:id="803"/>
      <w:r>
        <w:rPr>
          <w:rtl w:val="true"/>
        </w:rPr>
        <w:t>أدلّة هذا الحکم</w:t>
      </w:r>
      <w:bookmarkEnd w:id="804"/>
    </w:p>
    <w:p>
      <w:pPr>
        <w:pStyle w:val="BookText"/>
        <w:rPr/>
      </w:pPr>
      <w:r>
        <w:rPr>
          <w:rFonts w:ascii="IRNazanin" w:hAnsi="IRNazanin" w:eastAsia="IRNazanin"/>
          <w:color w:val="111111"/>
          <w:sz w:val="28"/>
          <w:sz w:val="28"/>
          <w:szCs w:val="28"/>
          <w:rtl w:val="true"/>
          <w:lang w:bidi="fa-IR"/>
        </w:rPr>
        <w:t>و یمکن الاستدلال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عن أبی جعفر علیه السلام أنّه قال فی الرجل یتصدّق علی وُلده و قد أدرکوا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یقبضوا حتّی یموت فهو میراث، فإن تصدّق علی من لم یدرک من ولده فهو جائز؛ لأنّ والده هو الذی یلی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یتصدّق علی بعض ولده بصدقة و هم صغار، أ له أن یرجع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الصدقة للّه تعالی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عبید بن زرارة، عن أبی عبد اللّه علیه السلام أنّه قال فی رجل تصدّق علی وُلد له قد أدرکوا،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یقبضوا حتّی یموت فهو میراث، فإن تصدّق علی من لم یدرک من ولده فهو جائز؛ لأنّ الوالد هو الذی یلی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الصحیحة الثانیة لجمیل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صفوان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علی بن جعفر</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التعلیل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المقام، و المراد من التصدّق هو الوقف</w:t>
      </w:r>
      <w:r>
        <w:rPr>
          <w:rFonts w:eastAsia="IRNazanin" w:cs="IRNazanin"/>
          <w:color w:val="111111"/>
          <w:sz w:val="28"/>
          <w:szCs w:val="28"/>
          <w:rtl w:val="true"/>
          <w:lang w:bidi="fa-IR"/>
        </w:rPr>
        <w:t>.</w:t>
      </w:r>
    </w:p>
    <w:p>
      <w:pPr>
        <w:pStyle w:val="Heading5"/>
        <w:numPr>
          <w:ilvl w:val="4"/>
          <w:numId w:val="1"/>
        </w:numPr>
        <w:rPr/>
      </w:pPr>
      <w:bookmarkStart w:id="805" w:name="__RefHeading___Toc9483072_73709187"/>
      <w:bookmarkStart w:id="806" w:name="_Toc305"/>
      <w:bookmarkEnd w:id="805"/>
      <w:r>
        <w:rPr>
          <w:rtl w:val="true"/>
        </w:rPr>
        <w:t>المطلب الثانی</w:t>
      </w:r>
      <w:r>
        <w:rPr>
          <w:rtl w:val="true"/>
        </w:rPr>
        <w:t xml:space="preserve">: </w:t>
      </w:r>
      <w:r>
        <w:rPr>
          <w:rtl w:val="true"/>
        </w:rPr>
        <w:t>اعتبار قصد القبض أو عدمه عن الصبیّ‌</w:t>
      </w:r>
      <w:bookmarkEnd w:id="806"/>
    </w:p>
    <w:p>
      <w:pPr>
        <w:pStyle w:val="Heading6"/>
        <w:numPr>
          <w:ilvl w:val="5"/>
          <w:numId w:val="1"/>
        </w:numPr>
        <w:rPr/>
      </w:pPr>
      <w:bookmarkStart w:id="807" w:name="__RefHeading___Toc9483074_73709187"/>
      <w:bookmarkStart w:id="808" w:name="_Toc306"/>
      <w:bookmarkEnd w:id="807"/>
      <w:r>
        <w:rPr>
          <w:rtl w:val="true"/>
        </w:rPr>
        <w:t>اشارة</w:t>
      </w:r>
      <w:bookmarkEnd w:id="80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یعتبر قصد کون القبض فی الوقف عن المولّی علیه أم لا، بل یکفی نفس</w:t>
      </w:r>
    </w:p>
    <w:p>
      <w:pPr>
        <w:pStyle w:val="BookText"/>
        <w:rPr/>
      </w:pPr>
      <w:r>
        <w:rPr>
          <w:rFonts w:ascii="IRNazanin" w:hAnsi="IRNazanin" w:eastAsia="IRNazanin"/>
          <w:color w:val="111111"/>
          <w:sz w:val="28"/>
          <w:sz w:val="28"/>
          <w:szCs w:val="28"/>
          <w:rtl w:val="true"/>
          <w:lang w:bidi="fa-IR"/>
        </w:rPr>
        <w:t>کونه مقبوضاً له و إن تجرّد عن القصد و تجدید النیّة؟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القبض عن الصبیّ أن یقصد الولیّ کون القبض قبضاً عن الصبیّ، احتمله الشهید الثانی فی المسالک</w:t>
      </w:r>
      <w:r>
        <w:rPr>
          <w:rStyle w:val="FootnoteAnchor"/>
          <w:rtl w:val="true"/>
        </w:rPr>
        <w:footnoteReference w:id="2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جزم به فی موضع آخر منه،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وقف الأب أو الجدّ ما بیدهما علی المولّی علیه اعتبر قبضهما عن الطفل، و لا یکفی استصحاب یدهما؛ لأنّ القبض السابق محسوب لنفسه لا لغیره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إلیه المحقّق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قبضه قبضاً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کونه مقبوضاً فی یده کافٍ فی حصول القبض عنهم و إن لم یقصد القبض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القبض إنّما یحسب لذی الید ما لم یقصده لغیره ممّن له ولایة علیه و نحوه</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یعتدّ بالقبض من دون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الولیّ ما بیده و ذهل عن القبض للطفل؛ لأنّ القبض محسوب للواقف، فما لم یحصل قصد یقتضی صرفه إلی الطفل، لم ینصرف إلیه، و کذا القول فی الوکیل</w:t>
      </w:r>
      <w:r>
        <w:rPr>
          <w:rFonts w:eastAsia="IRNazanin" w:cs="IRNazanin"/>
          <w:color w:val="111111"/>
          <w:sz w:val="28"/>
          <w:szCs w:val="28"/>
          <w:rtl w:val="true"/>
          <w:lang w:bidi="fa-IR"/>
        </w:rPr>
        <w:t>»</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استظهره من الروایة فی مفتاح الکرامة،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فی صحیح صفوان ما یظهر منه اعتبار قصده القبض عنهم، حیث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صغاراً و قد شرط ولایتها لهم حتّی یبلغوا فیحوزها لهم</w:t>
      </w:r>
      <w:r>
        <w:rPr>
          <w:rStyle w:val="FootnoteAnchor"/>
          <w:rtl w:val="true"/>
        </w:rPr>
        <w:footnoteReference w:id="2405"/>
      </w:r>
      <w:r>
        <w:rPr>
          <w:rFonts w:ascii="IRNazanin" w:hAnsi="IRNazanin" w:eastAsia="IRNazanin"/>
          <w:color w:val="111111"/>
          <w:sz w:val="28"/>
          <w:sz w:val="28"/>
          <w:szCs w:val="28"/>
          <w:rtl w:val="true"/>
          <w:lang w:bidi="fa-IR"/>
        </w:rPr>
        <w:t>؛ لأنّ الظاهر من سیاق الخبر ظهور لا یکاد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قصد ولایتها لهم إلی أن یبلغوا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علیّ بن جعفر فی کتابه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أب تصدّق علی ولد صغیر فإنّها</w:t>
      </w:r>
    </w:p>
    <w:p>
      <w:pPr>
        <w:pStyle w:val="BookText"/>
        <w:rPr/>
      </w:pPr>
      <w:r>
        <w:rPr>
          <w:rFonts w:ascii="IRNazanin" w:hAnsi="IRNazanin" w:eastAsia="IRNazanin"/>
          <w:color w:val="111111"/>
          <w:sz w:val="28"/>
          <w:sz w:val="28"/>
          <w:szCs w:val="28"/>
          <w:rtl w:val="true"/>
          <w:lang w:bidi="fa-IR"/>
        </w:rPr>
        <w:t>جائزة؛ لأنّه یقبض لولده إذا کان صغیراً</w:t>
      </w:r>
      <w:r>
        <w:rPr>
          <w:rStyle w:val="FootnoteAnchor"/>
          <w:rtl w:val="true"/>
        </w:rPr>
        <w:footnoteReference w:id="2406"/>
      </w:r>
      <w:r>
        <w:rPr>
          <w:rFonts w:ascii="IRNazanin" w:hAnsi="IRNazanin" w:eastAsia="IRNazanin"/>
          <w:color w:val="111111"/>
          <w:sz w:val="28"/>
          <w:sz w:val="28"/>
          <w:szCs w:val="28"/>
          <w:rtl w:val="true"/>
          <w:lang w:bidi="fa-IR"/>
        </w:rPr>
        <w:t>، و هو کصحیح صفوان، و لعلّهم لو ظفروا به ما أطلق و لا اختلف اثنان</w:t>
      </w:r>
      <w:r>
        <w:rPr>
          <w:rFonts w:eastAsia="IRNazanin" w:cs="IRNazanin"/>
          <w:color w:val="111111"/>
          <w:sz w:val="28"/>
          <w:szCs w:val="28"/>
          <w:rtl w:val="true"/>
          <w:lang w:bidi="fa-IR"/>
        </w:rPr>
        <w:t>»</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وقف علی أولاده الأصاغر، سقط اعتبار القبض؛ لحصوله قبل الوقف فیستصحب، لکن الأولی أن یقصد بعد ذلک القبض عنهم للوقف</w:t>
      </w:r>
      <w:r>
        <w:rPr>
          <w:rFonts w:eastAsia="IRNazanin" w:cs="IRNazanin"/>
          <w:color w:val="111111"/>
          <w:sz w:val="28"/>
          <w:szCs w:val="28"/>
          <w:rtl w:val="true"/>
          <w:lang w:bidi="fa-IR"/>
        </w:rPr>
        <w:t>»</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إلاّ أن یُراد من نحو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عبارة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قبضه قبضاً عنهم شرعاً، و لکن فیه حینئذٍ أنّه خلاف ظاهر الأدلّة خصوصاً صحیح صفوان الظاهر فی اعتبار الحیازة لهم المتوقّف علی النیّة، بل لعلّ ذلک هو المراد من التعلیل، لا إرادة عدم الاحتیاج إلی قصد، کما هو واضح لمن أوهبه اللّه تعالی الانتقاد</w:t>
      </w:r>
      <w:r>
        <w:rPr>
          <w:rFonts w:eastAsia="IRNazanin" w:cs="IRNazanin"/>
          <w:color w:val="111111"/>
          <w:sz w:val="28"/>
          <w:szCs w:val="28"/>
          <w:rtl w:val="true"/>
          <w:lang w:bidi="fa-IR"/>
        </w:rPr>
        <w:t>»</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به أیضاً فی جامع المدارک</w:t>
      </w:r>
      <w:r>
        <w:rPr>
          <w:rStyle w:val="FootnoteAnchor"/>
          <w:rtl w:val="true"/>
        </w:rPr>
        <w:footnoteReference w:id="2410"/>
      </w:r>
      <w:r>
        <w:rPr>
          <w:rFonts w:ascii="IRNazanin" w:hAnsi="IRNazanin" w:eastAsia="IRNazanin"/>
          <w:color w:val="111111"/>
          <w:sz w:val="28"/>
          <w:sz w:val="28"/>
          <w:szCs w:val="28"/>
          <w:rtl w:val="true"/>
          <w:lang w:bidi="fa-IR"/>
        </w:rPr>
        <w:t>و تحریر الوسیلة</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قصد کون القبض عن الصبیّ، کما استظهره الشهید الثانی فی موضع من المسالک</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القمّی فی جامع شتاته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وقف لولده الصغیر یکفی قبض الولیّ له، و ظاهر الأحادیث المعتبرة و إطلاق کلمات أکثر العلماء عدم الافتقار إلی قصد جدید</w:t>
      </w:r>
      <w:r>
        <w:rPr>
          <w:rFonts w:eastAsia="IRNazanin" w:cs="IRNazanin"/>
          <w:color w:val="111111"/>
          <w:sz w:val="28"/>
          <w:szCs w:val="28"/>
          <w:rtl w:val="true"/>
          <w:lang w:bidi="fa-IR"/>
        </w:rPr>
        <w:t>»</w:t>
      </w:r>
      <w:r>
        <w:rPr>
          <w:rStyle w:val="FootnoteAnchor"/>
          <w:rtl w:val="true"/>
        </w:rPr>
        <w:footnoteReference w:id="2413"/>
      </w:r>
      <w:bookmarkStart w:id="809" w:name="pg11753_115124"/>
    </w:p>
    <w:p>
      <w:pPr>
        <w:pStyle w:val="BookText"/>
        <w:rPr/>
      </w:pPr>
      <w:bookmarkEnd w:id="809"/>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إطلاقهما </w:t>
      </w:r>
      <w:r>
        <w:rPr>
          <w:rStyle w:val="FootnoteAnchor"/>
          <w:rtl w:val="true"/>
        </w:rPr>
        <w:footnoteReference w:id="2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کالعبارة و کثیر من عبائر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الاکتفاء بقبضهما و إن تجرّد عن نیّة القبض عنهما</w:t>
      </w:r>
      <w:r>
        <w:rPr>
          <w:rFonts w:eastAsia="IRNazanin" w:cs="IRNazanin"/>
          <w:color w:val="111111"/>
          <w:sz w:val="28"/>
          <w:szCs w:val="28"/>
          <w:rtl w:val="true"/>
          <w:lang w:bidi="fa-IR"/>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کفایة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أنّه لا یفتقر إلی نیّة القبض عن المولّی علیه</w:t>
      </w:r>
      <w:r>
        <w:rPr>
          <w:rFonts w:eastAsia="IRNazanin" w:cs="IRNazanin"/>
          <w:color w:val="111111"/>
          <w:sz w:val="28"/>
          <w:szCs w:val="28"/>
          <w:rtl w:val="true"/>
          <w:lang w:bidi="fa-IR"/>
        </w:rPr>
        <w:t>»</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العین الموقوفة فی ید الوالد یکفی فی تحقّق القبض</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یکفی فی الجواز و المضی مجرّد کون الواقف هو الأب و الموقوف علیه ولده الصغیر أو أولاده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فالقبض و الإقباض حقیقة لا یعقل هنا؛ لاتّحاد الشّخص</w:t>
      </w:r>
      <w:r>
        <w:rPr>
          <w:rFonts w:eastAsia="IRNazanin" w:cs="IRNazanin"/>
          <w:color w:val="111111"/>
          <w:sz w:val="28"/>
          <w:szCs w:val="28"/>
          <w:rtl w:val="true"/>
          <w:lang w:bidi="fa-IR"/>
        </w:rPr>
        <w:t>»</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0" w:name="__RefHeading___Toc9483076_73709187"/>
      <w:bookmarkStart w:id="811" w:name="_Toc307"/>
      <w:bookmarkEnd w:id="810"/>
      <w:r>
        <w:rPr>
          <w:rtl w:val="true"/>
        </w:rPr>
        <w:t>أدلّة عدم اعتبار قصد القبض عن الصبیّ‌</w:t>
      </w:r>
      <w:bookmarkEnd w:id="811"/>
    </w:p>
    <w:p>
      <w:pPr>
        <w:pStyle w:val="BookText"/>
        <w:rPr/>
      </w:pPr>
      <w:r>
        <w:rPr>
          <w:rFonts w:ascii="IRNazanin" w:hAnsi="IRNazanin" w:eastAsia="IRNazanin"/>
          <w:color w:val="111111"/>
          <w:sz w:val="28"/>
          <w:sz w:val="28"/>
          <w:szCs w:val="28"/>
          <w:rtl w:val="true"/>
          <w:lang w:bidi="fa-IR"/>
        </w:rPr>
        <w:t>و یدلّ علی هذا الحکم إطلاق الأخبار الواردة المتقدّمة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المحدّث البحرانی بعدم الدلیل علیه،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تجدید النیّة و القصد فی کونه قبضاً عن المولّی علیه؛ لعدم الدلیل علیه، و إطلاق النصوص یقتضی العدم</w:t>
      </w:r>
      <w:r>
        <w:rPr>
          <w:rFonts w:eastAsia="IRNazanin" w:cs="IRNazanin"/>
          <w:color w:val="111111"/>
          <w:sz w:val="28"/>
          <w:szCs w:val="28"/>
          <w:rtl w:val="true"/>
          <w:lang w:bidi="fa-IR"/>
        </w:rPr>
        <w:t>»</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المسالک</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القائلون باعتبار القصد و النیّة من الاستدلال بصحیحة صفوان</w:t>
      </w:r>
    </w:p>
    <w:p>
      <w:pPr>
        <w:pStyle w:val="BookText"/>
        <w:rPr/>
      </w:pPr>
      <w:r>
        <w:rPr>
          <w:rFonts w:ascii="IRNazanin" w:hAnsi="IRNazanin" w:eastAsia="IRNazanin"/>
          <w:color w:val="111111"/>
          <w:sz w:val="28"/>
          <w:sz w:val="28"/>
          <w:szCs w:val="28"/>
          <w:rtl w:val="true"/>
          <w:lang w:bidi="fa-IR"/>
        </w:rPr>
        <w:t>و معتبرة علیّ بن جعفر،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تشعران بذلک؛ لأنّه یحتمل أن یکون المراد قصد ولایتهم و قصد القبض عنهم، فلا بدّ حینئذٍ من تجدید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بدّ من البحث فی حقیقة القبض؛ و أنّه بما ذا یتحقّق القبض الذی یترتّب علیه أحکام فی البیع و الوصیّة و الرهن و الهبة و الوقف و غیرها، و حیث لم یرد فیه نصٌّ کلّیٌ‌ّ حتّی نستفید منه الحکم الشرعی، فلا مناص من الرجوع إلی العرف؛ لأنّ من عادة الشرع ردّ الناس إلی ما هو متعارف و متداول من الاصطلاحات فیما لم ینصّ علی مقصوده باللفظ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فی 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جَمِیعاً قَبْضَتُهُ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ملکه،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الشیء فی قبضتک، أی فی ملکک</w:t>
      </w:r>
      <w:r>
        <w:rPr>
          <w:rFonts w:eastAsia="Amiri" w:cs="Amiri" w:ascii="Amiri" w:hAnsi="Amiri"/>
          <w:color w:val="111111"/>
          <w:sz w:val="28"/>
          <w:szCs w:val="28"/>
          <w:rtl w:val="true"/>
          <w:lang w:bidi="ar-SA"/>
        </w:rPr>
        <w:t>»</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تحویلک المتاع إلی حیّزک،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للشیء بیدک ملامسة، فی قبضی و قبضتی أی فی ملکی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جَمِیعاً قَبْضَتُهُ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فی قبضتی و یدی، أی فی ملکی</w:t>
      </w:r>
      <w:r>
        <w:rPr>
          <w:rFonts w:eastAsia="Amiri" w:cs="Amiri" w:ascii="Amiri" w:hAnsi="Amiri"/>
          <w:color w:val="111111"/>
          <w:sz w:val="28"/>
          <w:szCs w:val="28"/>
          <w:rtl w:val="true"/>
          <w:lang w:bidi="ar-SA"/>
        </w:rPr>
        <w:t>»</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هذا قال الشیخ فی المبسوط فی کیفیّة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فی المبیع، فإن کان ممّا لا ینقل و لا یحوّل، فالقبض فیه التخلیة مثل العقار</w:t>
      </w:r>
      <w:r>
        <w:rPr>
          <w:rFonts w:eastAsia="IRNazanin" w:cs="IRNazanin"/>
          <w:color w:val="111111"/>
          <w:sz w:val="28"/>
          <w:szCs w:val="28"/>
          <w:rtl w:val="true"/>
          <w:lang w:bidi="fa-IR"/>
        </w:rPr>
        <w:t>...»</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 فی غیر المنقول التخلیة بعد رفع الید</w:t>
      </w:r>
      <w:r>
        <w:rPr>
          <w:rFonts w:eastAsia="IRNazanin" w:cs="IRNazanin"/>
          <w:color w:val="111111"/>
          <w:sz w:val="28"/>
          <w:szCs w:val="28"/>
          <w:rtl w:val="true"/>
          <w:lang w:bidi="fa-IR"/>
        </w:rPr>
        <w:t>»</w:t>
      </w:r>
      <w:r>
        <w:rPr>
          <w:rStyle w:val="FootnoteAnchor"/>
          <w:rtl w:val="true"/>
        </w:rPr>
        <w:footnoteReference w:id="2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ذکر</w:t>
      </w:r>
    </w:p>
    <w:p>
      <w:pPr>
        <w:pStyle w:val="BookText"/>
        <w:rPr/>
      </w:pPr>
      <w:r>
        <w:rPr>
          <w:rFonts w:ascii="IRNazanin" w:hAnsi="IRNazanin" w:eastAsia="IRNazanin"/>
          <w:color w:val="111111"/>
          <w:sz w:val="28"/>
          <w:sz w:val="28"/>
          <w:szCs w:val="28"/>
          <w:rtl w:val="true"/>
          <w:lang w:bidi="fa-IR"/>
        </w:rPr>
        <w:t>هو مقتضی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بنو حمزة</w:t>
      </w:r>
      <w:r>
        <w:rPr>
          <w:rStyle w:val="FootnoteAnchor"/>
          <w:rtl w:val="true"/>
        </w:rPr>
        <w:footnoteReference w:id="2425"/>
      </w:r>
      <w:r>
        <w:rPr>
          <w:rFonts w:ascii="Amiri" w:hAnsi="Amiri" w:eastAsia="Amiri" w:cs="Amiri"/>
          <w:color w:val="111111"/>
          <w:sz w:val="28"/>
          <w:sz w:val="28"/>
          <w:szCs w:val="28"/>
          <w:rtl w:val="true"/>
          <w:lang w:bidi="ar-SA"/>
        </w:rPr>
        <w:t>و البرّاج</w:t>
      </w:r>
      <w:r>
        <w:rPr>
          <w:rStyle w:val="FootnoteAnchor"/>
          <w:rtl w:val="true"/>
        </w:rPr>
        <w:footnoteReference w:id="2426"/>
      </w:r>
      <w:r>
        <w:rPr>
          <w:rFonts w:ascii="Amiri" w:hAnsi="Amiri" w:eastAsia="Amiri" w:cs="Amiri"/>
          <w:color w:val="111111"/>
          <w:sz w:val="28"/>
          <w:sz w:val="28"/>
          <w:szCs w:val="28"/>
          <w:rtl w:val="true"/>
          <w:lang w:bidi="ar-SA"/>
        </w:rPr>
        <w:t>و زهرة</w:t>
      </w:r>
      <w:r>
        <w:rPr>
          <w:rStyle w:val="FootnoteAnchor"/>
          <w:rtl w:val="true"/>
        </w:rPr>
        <w:footnoteReference w:id="2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السیّد أبو المکارم الإجماع علی ذلک</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منقولاً، فالقبض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یقضی بما قلناه</w:t>
      </w:r>
      <w:r>
        <w:rPr>
          <w:rFonts w:eastAsia="IRNazanin" w:cs="IRNazanin"/>
          <w:color w:val="111111"/>
          <w:sz w:val="28"/>
          <w:szCs w:val="28"/>
          <w:rtl w:val="true"/>
          <w:lang w:bidi="fa-IR"/>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الأصحاب علی أنّ القبض هو التخلیة بینه و بینه بعد رفع الید عنه فیما لا ینقل خاصّة کالعقار و نحوه</w:t>
      </w:r>
      <w:r>
        <w:rPr>
          <w:rFonts w:eastAsia="IRNazanin" w:cs="IRNazanin"/>
          <w:color w:val="111111"/>
          <w:sz w:val="28"/>
          <w:szCs w:val="28"/>
          <w:rtl w:val="true"/>
          <w:lang w:bidi="fa-IR"/>
        </w:rPr>
        <w:t>»</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فالقبض فیما لا ینقل و لا یحوّل هو التخلیة، و معنی التخلیة کون الشیء تحت یده و فی سلطانه و استیلائه علی نحو المالک الذی لا إشکال فی کون ماله مقبوضاً له؛ بمعنی کونه فی قبضه و إن کان له شریک فیه، فمتی خلّی بینه و بینه و رفع المالک الید عنه فقد تحقّق القبض</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الضیعة الواردة فی صحیح صفوان ممّا لا ینقل و لا یحوّل، و معنی القبض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التخلیة کما حققناه، فحیازة الولیّ للأولاد أن تکون التخلیة بین الضیعة و بین الولیّ و رفع الواقف یده عنها، و تکون الضیعة فی ید الولیّ و تحت سلطانه و استیلائه، و قصد هذا المعنی للولیّ أمر قهریٌّ لا ینفکّ عنه الولیّ الواقف؛ لأنّه بحسب الطبیعة و الجبلّة من کان له ملک و أزال ذلک</w:t>
      </w:r>
    </w:p>
    <w:p>
      <w:pPr>
        <w:pStyle w:val="BookText"/>
        <w:rPr/>
      </w:pPr>
      <w:r>
        <w:rPr>
          <w:rFonts w:ascii="IRNazanin" w:hAnsi="IRNazanin" w:eastAsia="IRNazanin"/>
          <w:color w:val="111111"/>
          <w:sz w:val="28"/>
          <w:sz w:val="28"/>
          <w:szCs w:val="28"/>
          <w:rtl w:val="true"/>
          <w:lang w:bidi="fa-IR"/>
        </w:rPr>
        <w:t>الملک عن نفسه بنقله إلی الموقوف علیه ممّن له الولایة علیه؛ فإنّه لا بدّ من تغییر قصده، و نیّته فی وضع الید علیه من أنّه بالملک فی الأوّل و بالولایة فی الثانی، فاختلاف القصد بین الحالة الاُولی و الثانیة أمر جبلّی طبیعی، کما أشار إلیه فی الحدائق</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 أنّ المفید</w:t>
      </w:r>
      <w:r>
        <w:rPr>
          <w:rStyle w:val="FootnoteAnchor"/>
          <w:rtl w:val="true"/>
        </w:rPr>
        <w:footnoteReference w:id="2433"/>
      </w:r>
      <w:r>
        <w:rPr>
          <w:rFonts w:ascii="IRNazanin" w:hAnsi="IRNazanin" w:eastAsia="IRNazanin"/>
          <w:color w:val="111111"/>
          <w:sz w:val="28"/>
          <w:sz w:val="28"/>
          <w:szCs w:val="28"/>
          <w:rtl w:val="true"/>
          <w:lang w:bidi="fa-IR"/>
        </w:rPr>
        <w:t>و الشیخ</w:t>
      </w:r>
      <w:r>
        <w:rPr>
          <w:rStyle w:val="FootnoteAnchor"/>
          <w:rtl w:val="true"/>
        </w:rPr>
        <w:footnoteReference w:id="2434"/>
      </w:r>
      <w:r>
        <w:rPr>
          <w:rFonts w:ascii="IRNazanin" w:hAnsi="IRNazanin" w:eastAsia="IRNazanin"/>
          <w:color w:val="111111"/>
          <w:sz w:val="28"/>
          <w:sz w:val="28"/>
          <w:szCs w:val="28"/>
          <w:rtl w:val="true"/>
          <w:lang w:bidi="fa-IR"/>
        </w:rPr>
        <w:t>و القاضی ابن برّاج</w:t>
      </w:r>
      <w:r>
        <w:rPr>
          <w:rStyle w:val="FootnoteAnchor"/>
          <w:rtl w:val="true"/>
        </w:rPr>
        <w:footnoteReference w:id="2435"/>
      </w:r>
      <w:r>
        <w:rPr>
          <w:rFonts w:ascii="Amiri" w:hAnsi="Amiri" w:eastAsia="Amiri" w:cs="Amiri"/>
          <w:color w:val="111111"/>
          <w:sz w:val="28"/>
          <w:sz w:val="28"/>
          <w:szCs w:val="28"/>
          <w:rtl w:val="true"/>
          <w:lang w:bidi="ar-SA"/>
        </w:rPr>
        <w:t>و المحقّق</w:t>
      </w:r>
      <w:r>
        <w:rPr>
          <w:rStyle w:val="FootnoteAnchor"/>
          <w:rtl w:val="true"/>
        </w:rPr>
        <w:footnoteReference w:id="2436"/>
      </w:r>
      <w:r>
        <w:rPr>
          <w:rFonts w:ascii="Amiri" w:hAnsi="Amiri" w:eastAsia="Amiri" w:cs="Amiri"/>
          <w:color w:val="111111"/>
          <w:sz w:val="28"/>
          <w:sz w:val="28"/>
          <w:szCs w:val="28"/>
          <w:rtl w:val="true"/>
          <w:lang w:bidi="ar-SA"/>
        </w:rPr>
        <w:t>و العلاّمة</w:t>
      </w:r>
      <w:r>
        <w:rPr>
          <w:rStyle w:val="FootnoteAnchor"/>
          <w:rtl w:val="true"/>
        </w:rPr>
        <w:footnoteReference w:id="2437"/>
      </w:r>
    </w:p>
    <w:p>
      <w:pPr>
        <w:pStyle w:val="BookText"/>
        <w:rPr/>
      </w:pPr>
      <w:r>
        <w:rPr>
          <w:rFonts w:ascii="IRNazanin" w:hAnsi="IRNazanin" w:eastAsia="IRNazanin"/>
          <w:color w:val="111111"/>
          <w:sz w:val="28"/>
          <w:sz w:val="28"/>
          <w:szCs w:val="28"/>
          <w:rtl w:val="true"/>
          <w:lang w:bidi="fa-IR"/>
        </w:rPr>
        <w:t>عبّروا بأنّ قبض الوالد قبض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السیّد الفقیه السبزواری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تحقّق الاستیلاء الکافی فی القبض تکوینیّ، و تجدّد العنوان بعد تجدّد جهة القبض و الاستیلاء قهریٌّ، لا أن یکون قصدیّاً اختیاریّاً</w:t>
      </w:r>
      <w:r>
        <w:rPr>
          <w:rFonts w:eastAsia="IRNazanin" w:cs="IRNazanin"/>
          <w:color w:val="111111"/>
          <w:sz w:val="28"/>
          <w:szCs w:val="28"/>
          <w:rtl w:val="true"/>
          <w:lang w:bidi="fa-IR"/>
        </w:rPr>
        <w:t>»</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یجب تجدید النیّة و القصد فی کون القبض قبضاً عن الصبیّ، و لکنّ الأحوط أن یقصد کون قبضه عن الصبیّ؛ لأنّه حسن فی کلّ حال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احتاط فی هذه المسألة السادة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الیزدی</w:t>
      </w:r>
      <w:r>
        <w:rPr>
          <w:rStyle w:val="FootnoteAnchor"/>
          <w:rtl w:val="true"/>
        </w:rPr>
        <w:footnoteReference w:id="2439"/>
      </w:r>
      <w:r>
        <w:rPr>
          <w:rFonts w:ascii="IRNazanin" w:hAnsi="IRNazanin" w:eastAsia="IRNazanin"/>
          <w:color w:val="111111"/>
          <w:sz w:val="28"/>
          <w:sz w:val="28"/>
          <w:szCs w:val="28"/>
          <w:rtl w:val="true"/>
          <w:lang w:bidi="fa-IR"/>
        </w:rPr>
        <w:t>و الاصفهانی</w:t>
      </w:r>
      <w:r>
        <w:rPr>
          <w:rStyle w:val="FootnoteAnchor"/>
          <w:rtl w:val="true"/>
        </w:rPr>
        <w:footnoteReference w:id="2440"/>
      </w:r>
      <w:r>
        <w:rPr>
          <w:rFonts w:ascii="IRNazanin" w:hAnsi="IRNazanin" w:eastAsia="IRNazanin"/>
          <w:color w:val="111111"/>
          <w:sz w:val="28"/>
          <w:sz w:val="28"/>
          <w:szCs w:val="28"/>
          <w:rtl w:val="true"/>
          <w:lang w:bidi="fa-IR"/>
        </w:rPr>
        <w:t>و الإمام الخمینی</w:t>
      </w:r>
      <w:r>
        <w:rPr>
          <w:rStyle w:val="FootnoteAnchor"/>
          <w:rtl w:val="true"/>
        </w:rPr>
        <w:footnoteReference w:id="2441"/>
      </w:r>
      <w:r>
        <w:rPr>
          <w:rFonts w:ascii="IRNazanin" w:hAnsi="IRNazanin" w:eastAsia="IRNazanin"/>
          <w:color w:val="111111"/>
          <w:sz w:val="28"/>
          <w:sz w:val="28"/>
          <w:szCs w:val="28"/>
          <w:rtl w:val="true"/>
          <w:lang w:bidi="fa-IR"/>
        </w:rPr>
        <w:t>و الفاضل المامقانی</w:t>
      </w:r>
      <w:r>
        <w:rPr>
          <w:rStyle w:val="FootnoteAnchor"/>
          <w:rtl w:val="true"/>
        </w:rPr>
        <w:footnoteReference w:id="2442"/>
      </w:r>
      <w:bookmarkStart w:id="812" w:name="pg11753_115128"/>
    </w:p>
    <w:p>
      <w:pPr>
        <w:pStyle w:val="Heading6"/>
        <w:numPr>
          <w:ilvl w:val="5"/>
          <w:numId w:val="1"/>
        </w:numPr>
        <w:rPr/>
      </w:pPr>
      <w:bookmarkStart w:id="813" w:name="__RefHeading___Toc9483078_73709187"/>
      <w:bookmarkStart w:id="814" w:name="_Toc308"/>
      <w:bookmarkEnd w:id="812"/>
      <w:bookmarkEnd w:id="813"/>
      <w:r>
        <w:rPr>
          <w:rtl w:val="true"/>
        </w:rPr>
        <w:t>فرع</w:t>
      </w:r>
      <w:bookmarkEnd w:id="814"/>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فرق فی الاکتفاء بقبض الولیّ بین کون الولیّ أباً أو جدّاً أو وصیّهما أو حاکماً شرعیّاً و إن کان مورد الأخبار المتقدّمة الأب؛ فإنّها إنّما خرجت مخرج التمثیل لا الاختصاص، إذ العلّة مشترکة بین الجمیع، و تردّد بعض الأصحاب</w:t>
      </w:r>
      <w:r>
        <w:rPr>
          <w:rStyle w:val="FootnoteAnchor"/>
          <w:rtl w:val="true"/>
        </w:rPr>
        <w:footnoteReference w:id="2443"/>
      </w:r>
      <w:r>
        <w:rPr>
          <w:rFonts w:ascii="IRNazanin" w:hAnsi="IRNazanin" w:eastAsia="IRNazanin"/>
          <w:color w:val="111111"/>
          <w:sz w:val="28"/>
          <w:sz w:val="28"/>
          <w:szCs w:val="28"/>
          <w:rtl w:val="true"/>
          <w:lang w:bidi="fa-IR"/>
        </w:rPr>
        <w:t>فی إلحاق الوصیّ بالمذکورین، نظراً إلی ضعف یده و ولایته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 فی ردّ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للتردّد؛ فإنّ أصل الولایة کافٍ فی ذلک، و المعتبر هو تحقّق کونه تحت یدی الواقف، مضافاً إلی ولایته علی الموقوف علیه، فتکون یده کیده، و لا یظهر لضعف الید و قوّتها أثر فی ذلک</w:t>
      </w:r>
      <w:r>
        <w:rPr>
          <w:rStyle w:val="FootnoteAnchor"/>
          <w:rtl w:val="true"/>
        </w:rPr>
        <w:footnoteReference w:id="2444"/>
      </w:r>
      <w:r>
        <w:rPr>
          <w:rFonts w:ascii="Amiri" w:hAnsi="Amiri" w:eastAsia="Amiri" w:cs="Amiri"/>
          <w:color w:val="111111"/>
          <w:sz w:val="28"/>
          <w:sz w:val="28"/>
          <w:szCs w:val="28"/>
          <w:rtl w:val="true"/>
          <w:lang w:bidi="ar-SA"/>
        </w:rPr>
        <w:t>، انتهی و هو جیّدٌ</w:t>
      </w:r>
      <w:r>
        <w:rPr>
          <w:rFonts w:eastAsia="Amiri" w:cs="Amiri" w:ascii="Amiri" w:hAnsi="Amiri"/>
          <w:color w:val="111111"/>
          <w:sz w:val="28"/>
          <w:szCs w:val="28"/>
          <w:rtl w:val="true"/>
          <w:lang w:bidi="ar-SA"/>
        </w:rPr>
        <w:t>»</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قبض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علی ذلک الأخبار فی الأب، و لا فارق و لا وجه لتردّد بعضهم فی الوصیّ</w:t>
      </w:r>
      <w:r>
        <w:rPr>
          <w:rFonts w:eastAsia="IRNazanin" w:cs="IRNazanin"/>
          <w:color w:val="111111"/>
          <w:sz w:val="28"/>
          <w:szCs w:val="28"/>
          <w:rtl w:val="true"/>
          <w:lang w:bidi="fa-IR"/>
        </w:rPr>
        <w:t>»</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أجادوا فیما أفادوا رحمهم الله</w:t>
      </w:r>
      <w:r>
        <w:rPr>
          <w:rFonts w:eastAsia="IRNazanin" w:cs="IRNazanin"/>
          <w:color w:val="111111"/>
          <w:sz w:val="28"/>
          <w:szCs w:val="28"/>
          <w:rtl w:val="true"/>
          <w:lang w:bidi="fa-IR"/>
        </w:rPr>
        <w:t>.</w:t>
      </w:r>
    </w:p>
    <w:p>
      <w:pPr>
        <w:pStyle w:val="Heading6"/>
        <w:numPr>
          <w:ilvl w:val="5"/>
          <w:numId w:val="1"/>
        </w:numPr>
        <w:rPr/>
      </w:pPr>
      <w:bookmarkStart w:id="815" w:name="__RefHeading___Toc9483080_73709187"/>
      <w:bookmarkStart w:id="816" w:name="_Toc309"/>
      <w:bookmarkEnd w:id="815"/>
      <w:r>
        <w:rPr>
          <w:rtl w:val="true"/>
        </w:rPr>
        <w:t>الولایة علی القبول و القبض فی الوقف عند أهل السنّة</w:t>
      </w:r>
      <w:bookmarkEnd w:id="816"/>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القبول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الشافعیّة فی ماهیّة الوقف إذا کان علی آدمی معیّن،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عقد لا یتمّ إلاّ بالقبول کالوصیّة و الهبة،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إیقاع لا یحتاج لتمامه</w:t>
      </w:r>
    </w:p>
    <w:p>
      <w:pPr>
        <w:pStyle w:val="BookText"/>
        <w:rPr/>
      </w:pPr>
      <w:r>
        <w:rPr>
          <w:rFonts w:ascii="IRNazanin" w:hAnsi="IRNazanin" w:eastAsia="IRNazanin"/>
          <w:color w:val="111111"/>
          <w:sz w:val="28"/>
          <w:sz w:val="28"/>
          <w:szCs w:val="28"/>
          <w:rtl w:val="true"/>
          <w:lang w:bidi="fa-IR"/>
        </w:rPr>
        <w:t>أن وقع القبول من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علی آدمیّ معیّن ففی اشتراط القبول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 لأنّه تبرّع لآدمی معیّن، فکان من شرطه القبول کالهبة و الوصیّة، یحقّقه أنّ الوصیّة إذا کانت لآدمی معیّن وقفت علی قبوله، و إذا کانت لغیر معیّن أو لمسجد أو نحوه لم تفتقر إلی قبول، 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إزالة ملک یمنع البیع و الهبة و المیراث، فلم یعتبر فیه القبول، کالعتق</w:t>
      </w:r>
      <w:r>
        <w:rPr>
          <w:rFonts w:eastAsia="IRNazanin" w:cs="IRNazanin"/>
          <w:color w:val="111111"/>
          <w:sz w:val="28"/>
          <w:szCs w:val="28"/>
          <w:rtl w:val="true"/>
          <w:lang w:bidi="fa-IR"/>
        </w:rPr>
        <w:t>...»</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فی التهذیب</w:t>
      </w:r>
      <w:r>
        <w:rPr>
          <w:rStyle w:val="FootnoteAnchor"/>
          <w:rtl w:val="true"/>
        </w:rPr>
        <w:footnoteReference w:id="2448"/>
      </w:r>
      <w:r>
        <w:rPr>
          <w:rFonts w:ascii="IRNazanin" w:hAnsi="IRNazanin" w:eastAsia="IRNazanin"/>
          <w:color w:val="111111"/>
          <w:sz w:val="28"/>
          <w:sz w:val="28"/>
          <w:szCs w:val="28"/>
          <w:rtl w:val="true"/>
          <w:lang w:bidi="fa-IR"/>
        </w:rPr>
        <w:t>و نهایة المحتاج</w:t>
      </w:r>
      <w:r>
        <w:rPr>
          <w:rStyle w:val="FootnoteAnchor"/>
          <w:rtl w:val="true"/>
        </w:rPr>
        <w:footnoteReference w:id="2449"/>
      </w:r>
      <w:r>
        <w:rPr>
          <w:rFonts w:ascii="IRNazanin" w:hAnsi="IRNazanin" w:eastAsia="IRNazanin"/>
          <w:color w:val="111111"/>
          <w:sz w:val="28"/>
          <w:sz w:val="28"/>
          <w:szCs w:val="28"/>
          <w:rtl w:val="true"/>
          <w:lang w:bidi="fa-IR"/>
        </w:rPr>
        <w:t>و العزیز</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القول باشتراط القبول فی الوقف، لا بدّ فی الوقف علی الصبیّ أن یقبل ولیّه عنه؛ لأنّ الصبیّ لیس من أهل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الأصحّ أنّ الوقف علی معیّن یشترط فیه قبوله متّصلاً بالإیجاب إن کان من أهل القبول، و إلاّ فقبول ولیّه کالهبة و الوصیّة</w:t>
      </w:r>
      <w:r>
        <w:rPr>
          <w:rFonts w:eastAsia="IRNazanin" w:cs="IRNazanin"/>
          <w:color w:val="111111"/>
          <w:sz w:val="28"/>
          <w:szCs w:val="28"/>
          <w:rtl w:val="true"/>
          <w:lang w:bidi="fa-IR"/>
        </w:rPr>
        <w:t>»</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نهایة المحتاج</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بین المالکیّة أنّ الوقف علی معیّن إیقاع، و لیس القبول إلاّ شرط</w:t>
      </w:r>
    </w:p>
    <w:p>
      <w:pPr>
        <w:pStyle w:val="BookText"/>
        <w:rPr/>
      </w:pPr>
      <w:r>
        <w:rPr>
          <w:rFonts w:ascii="IRNazanin" w:hAnsi="IRNazanin" w:eastAsia="IRNazanin"/>
          <w:color w:val="111111"/>
          <w:sz w:val="28"/>
          <w:sz w:val="28"/>
          <w:szCs w:val="28"/>
          <w:rtl w:val="true"/>
          <w:lang w:bidi="fa-IR"/>
        </w:rPr>
        <w:t>للاستحقاق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لو کان الوقف علی معیّن کزید مثلاً، و هو أهل للردّ و القبول؛ فإنّه یشترط فی صحّة الوقف علیه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أهلاً لذلک کالمجنون و الصغیر، فإنّ ولیّه یقبل له، فإن لم یکن له ولیٌّ أُقیم له من یقبل عنه، کما فی الهبة، فإن ردّ الموقوف علیه المعیّن ما وقفه الغیر علیه فی حیاة الواقف أو بعد موته؛ فإنّ الوقف یرجع حبساً للفقراء و المساکین</w:t>
      </w:r>
      <w:r>
        <w:rPr>
          <w:rFonts w:eastAsia="IRNazanin" w:cs="IRNazanin"/>
          <w:color w:val="111111"/>
          <w:sz w:val="28"/>
          <w:szCs w:val="28"/>
          <w:rtl w:val="true"/>
          <w:lang w:bidi="fa-IR"/>
        </w:rPr>
        <w:t>»</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تبیین المسالک</w:t>
      </w:r>
      <w:r>
        <w:rPr>
          <w:rStyle w:val="FootnoteAnchor"/>
          <w:rtl w:val="true"/>
        </w:rPr>
        <w:footnoteReference w:id="2454"/>
      </w:r>
      <w:r>
        <w:rPr>
          <w:rFonts w:ascii="IRNazanin" w:hAnsi="IRNazanin" w:eastAsia="IRNazanin"/>
          <w:color w:val="111111"/>
          <w:sz w:val="28"/>
          <w:sz w:val="28"/>
          <w:szCs w:val="28"/>
          <w:rtl w:val="true"/>
          <w:lang w:bidi="fa-IR"/>
        </w:rPr>
        <w:t>و جواهر الإکلیل</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أیضاً فی الشرح الصغیر</w:t>
      </w:r>
      <w:r>
        <w:rPr>
          <w:rStyle w:val="FootnoteAnchor"/>
          <w:rtl w:val="true"/>
        </w:rPr>
        <w:footnoteReference w:id="2456"/>
      </w:r>
      <w:r>
        <w:rPr>
          <w:rFonts w:ascii="IRNazanin" w:hAnsi="IRNazanin" w:eastAsia="IRNazanin"/>
          <w:color w:val="111111"/>
          <w:sz w:val="28"/>
          <w:sz w:val="28"/>
          <w:szCs w:val="28"/>
          <w:rtl w:val="true"/>
          <w:lang w:bidi="fa-IR"/>
        </w:rPr>
        <w:t>و عقد الجواهر</w:t>
      </w:r>
      <w:r>
        <w:rPr>
          <w:rStyle w:val="FootnoteAnchor"/>
          <w:rtl w:val="true"/>
        </w:rPr>
        <w:footnoteReference w:id="2457"/>
      </w:r>
      <w:r>
        <w:rPr>
          <w:rFonts w:ascii="IRNazanin" w:hAnsi="IRNazanin" w:eastAsia="IRNazanin"/>
          <w:color w:val="111111"/>
          <w:sz w:val="28"/>
          <w:sz w:val="28"/>
          <w:szCs w:val="28"/>
          <w:rtl w:val="true"/>
          <w:lang w:bidi="fa-IR"/>
        </w:rPr>
        <w:t>و التاج و الإکلیل</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الوقف علی المعیّن عند الحنفیّة إیقاع، فلیس القبول شرطاً فی صحّته بل هو شرط للاستحقاق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وقفه علی ولد عبد اللّه و نسله فلم یقبلوا کانت الغلّة للفقراء، و لو حدثت الغلّة بعد ذلک فقبلوا کانت الغلّة لهم</w:t>
      </w:r>
      <w:r>
        <w:rPr>
          <w:rFonts w:eastAsia="IRNazanin" w:cs="IRNazanin"/>
          <w:color w:val="111111"/>
          <w:sz w:val="28"/>
          <w:szCs w:val="28"/>
          <w:rtl w:val="true"/>
          <w:lang w:bidi="fa-IR"/>
        </w:rPr>
        <w:t>»</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الإسعاف</w:t>
      </w:r>
      <w:r>
        <w:rPr>
          <w:rStyle w:val="FootnoteAnchor"/>
          <w:rtl w:val="true"/>
        </w:rPr>
        <w:footnoteReference w:id="2460"/>
      </w:r>
      <w:r>
        <w:rPr>
          <w:rFonts w:ascii="IRNazanin" w:hAnsi="IRNazanin" w:eastAsia="IRNazanin"/>
          <w:color w:val="111111"/>
          <w:sz w:val="28"/>
          <w:sz w:val="28"/>
          <w:szCs w:val="28"/>
          <w:rtl w:val="true"/>
          <w:lang w:bidi="fa-IR"/>
        </w:rPr>
        <w:t>و المبسوط‌</w:t>
      </w:r>
      <w:r>
        <w:rPr>
          <w:rStyle w:val="FootnoteAnchor"/>
          <w:rtl w:val="true"/>
        </w:rPr>
        <w:footnoteReference w:id="2461"/>
      </w:r>
      <w:r>
        <w:rPr>
          <w:rFonts w:ascii="IRNazanin" w:hAnsi="IRNazanin" w:eastAsia="IRNazanin"/>
          <w:color w:val="111111"/>
          <w:sz w:val="28"/>
          <w:sz w:val="28"/>
          <w:szCs w:val="28"/>
          <w:rtl w:val="true"/>
          <w:lang w:bidi="fa-IR"/>
        </w:rPr>
        <w:t>و البنایة</w:t>
      </w:r>
      <w:r>
        <w:rPr>
          <w:rStyle w:val="FootnoteAnchor"/>
          <w:rtl w:val="true"/>
        </w:rPr>
        <w:footnoteReference w:id="2462"/>
      </w:r>
      <w:r>
        <w:rPr>
          <w:rFonts w:ascii="IRNazanin" w:hAnsi="IRNazanin" w:eastAsia="IRNazanin"/>
          <w:color w:val="111111"/>
          <w:sz w:val="28"/>
          <w:sz w:val="28"/>
          <w:szCs w:val="28"/>
          <w:rtl w:val="true"/>
          <w:lang w:bidi="fa-IR"/>
        </w:rPr>
        <w:t>و غیرها</w:t>
      </w:r>
      <w:r>
        <w:rPr>
          <w:rStyle w:val="FootnoteAnchor"/>
          <w:rtl w:val="true"/>
        </w:rPr>
        <w:footnoteReference w:id="246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القبض</w:t>
      </w:r>
    </w:p>
    <w:p>
      <w:pPr>
        <w:pStyle w:val="BookText"/>
        <w:rPr/>
      </w:pPr>
      <w:r>
        <w:rPr>
          <w:rFonts w:ascii="IRNazanin" w:hAnsi="IRNazanin" w:eastAsia="IRNazanin"/>
          <w:color w:val="111111"/>
          <w:sz w:val="28"/>
          <w:sz w:val="28"/>
          <w:szCs w:val="28"/>
          <w:rtl w:val="true"/>
          <w:lang w:bidi="fa-IR"/>
        </w:rPr>
        <w:t>ذهب المالکیّة إلی أنّه یشترط الحیازة و القبض لتمام الوقف و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الحیازة رفع ید واقفه عنه و تسلیمه لغیره</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شرط تمامه القبض و الحیازة کالهبة و الصدقة، فإن لم یقبض عنه و لا خرج عن یده حتّی مات فهو باطل و یکون موروثاً عنه</w:t>
      </w:r>
      <w:r>
        <w:rPr>
          <w:rFonts w:eastAsia="IRNazanin" w:cs="IRNazanin"/>
          <w:color w:val="111111"/>
          <w:sz w:val="28"/>
          <w:szCs w:val="28"/>
          <w:rtl w:val="true"/>
          <w:lang w:bidi="fa-IR"/>
        </w:rPr>
        <w:t>»</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الحوز شرط فی کلّ التبرّعات و منها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تتمّ هبة و لا صدقة و لا حبس إلاّ بالحیازة، فإن مات قبل أن تحاز عنه فهی میراث</w:t>
      </w:r>
      <w:r>
        <w:rPr>
          <w:rFonts w:eastAsia="IRNazanin" w:cs="IRNazanin"/>
          <w:color w:val="111111"/>
          <w:sz w:val="28"/>
          <w:szCs w:val="28"/>
          <w:rtl w:val="true"/>
          <w:lang w:bidi="fa-IR"/>
        </w:rPr>
        <w:t>»</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حاشیة الدسوقی</w:t>
      </w:r>
      <w:r>
        <w:rPr>
          <w:rStyle w:val="FootnoteAnchor"/>
          <w:rtl w:val="true"/>
        </w:rPr>
        <w:footnoteReference w:id="2467"/>
      </w:r>
      <w:r>
        <w:rPr>
          <w:rFonts w:ascii="IRNazanin" w:hAnsi="IRNazanin" w:eastAsia="IRNazanin"/>
          <w:color w:val="111111"/>
          <w:sz w:val="28"/>
          <w:sz w:val="28"/>
          <w:szCs w:val="28"/>
          <w:rtl w:val="true"/>
          <w:lang w:bidi="fa-IR"/>
        </w:rPr>
        <w:t>و الذخیرة</w:t>
      </w:r>
      <w:r>
        <w:rPr>
          <w:rStyle w:val="FootnoteAnchor"/>
          <w:rtl w:val="true"/>
        </w:rPr>
        <w:footnoteReference w:id="2468"/>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إذا وقف للصبی فلأجل أنّ الصبیّ لیس من أهل التصرّف فلا یعتبر قبضه بل یقبض عنه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القوانین 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یقبض الوالد لولده الصغیر و الوصیّ لمحجوره</w:t>
      </w:r>
      <w:r>
        <w:rPr>
          <w:rFonts w:eastAsia="IRNazanin" w:cs="IRNazanin"/>
          <w:color w:val="111111"/>
          <w:sz w:val="28"/>
          <w:szCs w:val="28"/>
          <w:rtl w:val="true"/>
          <w:lang w:bidi="fa-IR"/>
        </w:rPr>
        <w:t>»</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جواهر الإکلیل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وقف علی من هو فی حجره من ابنه الصغیر أو المجنون أو السفیه، فلا یبطل ببقاء ید واقفه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حازه ولیّ الصغیر و قبل فلا یبطل</w:t>
      </w:r>
      <w:r>
        <w:rPr>
          <w:rFonts w:eastAsia="IRNazanin" w:cs="IRNazanin"/>
          <w:color w:val="111111"/>
          <w:sz w:val="28"/>
          <w:szCs w:val="28"/>
          <w:rtl w:val="true"/>
          <w:lang w:bidi="fa-IR"/>
        </w:rPr>
        <w:t>»</w:t>
      </w:r>
      <w:r>
        <w:rPr>
          <w:rStyle w:val="FootnoteAnchor"/>
          <w:rtl w:val="true"/>
        </w:rPr>
        <w:footnoteReference w:id="2471"/>
      </w:r>
    </w:p>
    <w:p>
      <w:pPr>
        <w:pStyle w:val="BookText"/>
        <w:rPr/>
      </w:pPr>
      <w:r>
        <w:rPr>
          <w:rFonts w:ascii="IRNazanin" w:hAnsi="IRNazanin" w:eastAsia="IRNazanin"/>
          <w:color w:val="111111"/>
          <w:sz w:val="28"/>
          <w:sz w:val="28"/>
          <w:szCs w:val="28"/>
          <w:rtl w:val="true"/>
          <w:lang w:bidi="fa-IR"/>
        </w:rPr>
        <w:t>و قال الحطّاب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وقف علی صغار ولده أو من فی حجره، فهو الذی یتولّی حیازة وقفهم و النظر لهم</w:t>
      </w:r>
      <w:r>
        <w:rPr>
          <w:rFonts w:eastAsia="IRNazanin" w:cs="IRNazanin"/>
          <w:color w:val="111111"/>
          <w:sz w:val="28"/>
          <w:szCs w:val="28"/>
          <w:rtl w:val="true"/>
          <w:lang w:bidi="fa-IR"/>
        </w:rPr>
        <w:t>»</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التاج و الإکلیل</w:t>
      </w:r>
      <w:r>
        <w:rPr>
          <w:rStyle w:val="FootnoteAnchor"/>
          <w:rtl w:val="true"/>
        </w:rPr>
        <w:footnoteReference w:id="2473"/>
      </w:r>
      <w:r>
        <w:rPr>
          <w:rFonts w:ascii="IRNazanin" w:hAnsi="IRNazanin" w:eastAsia="IRNazanin"/>
          <w:color w:val="111111"/>
          <w:sz w:val="28"/>
          <w:sz w:val="28"/>
          <w:szCs w:val="28"/>
          <w:rtl w:val="true"/>
          <w:lang w:bidi="fa-IR"/>
        </w:rPr>
        <w:t>و الشرح الصغیر</w:t>
      </w:r>
      <w:r>
        <w:rPr>
          <w:rStyle w:val="FootnoteAnchor"/>
          <w:rtl w:val="true"/>
        </w:rPr>
        <w:footnoteReference w:id="2474"/>
      </w:r>
      <w:r>
        <w:rPr>
          <w:rFonts w:ascii="IRNazanin" w:hAnsi="IRNazanin" w:eastAsia="IRNazanin"/>
          <w:color w:val="111111"/>
          <w:sz w:val="28"/>
          <w:sz w:val="28"/>
          <w:szCs w:val="28"/>
          <w:rtl w:val="true"/>
          <w:lang w:bidi="fa-IR"/>
        </w:rPr>
        <w:t>و تبیین المسالک</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جمهور الحنابلة و الشافعیّة إلی أنّه لا یشترط للزوم الوقف و صحّته إخراج الموقوف عن ید الواقف، فلا یعتبر قبض الموقوف علیه و حیازته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إخراج الوقف عن یده فی إحدی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المذهب، و علیه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 القاضی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جزم به فی الخلاصة و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 فی المحرّر و الفروع و الرعایتین، و الحاوی الصغیر و الفائق و غیرهم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و المختار المعمول به من الروایتین</w:t>
      </w:r>
      <w:r>
        <w:rPr>
          <w:rFonts w:eastAsia="IRNazanin" w:cs="IRNazanin"/>
          <w:color w:val="111111"/>
          <w:sz w:val="28"/>
          <w:szCs w:val="28"/>
          <w:rtl w:val="true"/>
          <w:lang w:bidi="fa-IR"/>
        </w:rPr>
        <w:t>»</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مطالب أُولی النّهی</w:t>
      </w:r>
      <w:r>
        <w:rPr>
          <w:rStyle w:val="FootnoteAnchor"/>
          <w:rtl w:val="true"/>
        </w:rPr>
        <w:footnoteReference w:id="2477"/>
      </w:r>
      <w:r>
        <w:rPr>
          <w:rFonts w:ascii="IRNazanin" w:hAnsi="IRNazanin" w:eastAsia="IRNazanin"/>
          <w:color w:val="111111"/>
          <w:sz w:val="28"/>
          <w:sz w:val="28"/>
          <w:szCs w:val="28"/>
          <w:rtl w:val="true"/>
          <w:lang w:bidi="fa-IR"/>
        </w:rPr>
        <w:t>و منتهی الإرادات</w:t>
      </w:r>
      <w:r>
        <w:rPr>
          <w:rStyle w:val="FootnoteAnchor"/>
          <w:rtl w:val="true"/>
        </w:rPr>
        <w:footnoteReference w:id="2478"/>
      </w:r>
      <w:r>
        <w:rPr>
          <w:rFonts w:ascii="IRNazanin" w:hAnsi="IRNazanin" w:eastAsia="IRNazanin"/>
          <w:color w:val="111111"/>
          <w:sz w:val="28"/>
          <w:sz w:val="28"/>
          <w:szCs w:val="28"/>
          <w:rtl w:val="true"/>
          <w:lang w:bidi="fa-IR"/>
        </w:rPr>
        <w:t>و الحاوی الکبیر</w:t>
      </w:r>
      <w:r>
        <w:rPr>
          <w:rStyle w:val="FootnoteAnchor"/>
          <w:rtl w:val="true"/>
        </w:rPr>
        <w:footnoteReference w:id="2479"/>
      </w:r>
    </w:p>
    <w:p>
      <w:pPr>
        <w:pStyle w:val="BookText"/>
        <w:rPr/>
      </w:pPr>
      <w:r>
        <w:rPr>
          <w:rFonts w:ascii="IRNazanin" w:hAnsi="IRNazanin" w:eastAsia="IRNazanin"/>
          <w:color w:val="111111"/>
          <w:sz w:val="28"/>
          <w:sz w:val="28"/>
          <w:szCs w:val="28"/>
          <w:rtl w:val="true"/>
          <w:lang w:bidi="fa-IR"/>
        </w:rPr>
        <w:t>و روی عن أحمد أنّه یشترط أن یخرجه عن یده</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الحنفیّة، ففی هذه المسألة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القبض و التسلیم</w:t>
      </w:r>
    </w:p>
    <w:p>
      <w:pPr>
        <w:pStyle w:val="BookText"/>
        <w:rPr/>
      </w:pPr>
      <w:r>
        <w:rPr>
          <w:rFonts w:ascii="IRNazanin" w:hAnsi="IRNazanin" w:eastAsia="IRNazanin"/>
          <w:color w:val="111111"/>
          <w:sz w:val="28"/>
          <w:sz w:val="28"/>
          <w:szCs w:val="28"/>
          <w:rtl w:val="true"/>
          <w:lang w:bidi="fa-IR"/>
        </w:rPr>
        <w:t>قال السرخسی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جعل أرضاً له مسجداً لعامّة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 یوسف یصیر مسجداً إذا أبانه عن ملکه و أذن للناس بالصلاة فیه و إن لم یصلِّ فیه أحد، کما فی الوقف علی مذهبه؛ لأنّ الوقف یتمّ بفعل الواقف من غیر تسلیم إلی المتولّی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إزالة ملکٍ لا تتضمّن التملیک فتتمّ بدون القبض کالعتق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القبض إنّما یعتبر من المتملّک أو من نائبه لیتأکّد به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الصدقة الموقوفة لا یتملّکها أحد، فلا معنی لاشتراط القبض فیها</w:t>
      </w:r>
      <w:r>
        <w:rPr>
          <w:rFonts w:eastAsia="IRNazanin" w:cs="IRNazanin"/>
          <w:color w:val="111111"/>
          <w:sz w:val="28"/>
          <w:szCs w:val="28"/>
          <w:rtl w:val="true"/>
          <w:lang w:bidi="fa-IR"/>
        </w:rPr>
        <w:t>»</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الهدایة</w:t>
      </w:r>
      <w:r>
        <w:rPr>
          <w:rStyle w:val="FootnoteAnchor"/>
          <w:rtl w:val="true"/>
        </w:rPr>
        <w:footnoteReference w:id="2482"/>
      </w:r>
      <w:r>
        <w:rPr>
          <w:rFonts w:ascii="IRNazanin" w:hAnsi="IRNazanin" w:eastAsia="IRNazanin"/>
          <w:color w:val="111111"/>
          <w:sz w:val="28"/>
          <w:sz w:val="28"/>
          <w:szCs w:val="28"/>
          <w:rtl w:val="true"/>
          <w:lang w:bidi="fa-IR"/>
        </w:rPr>
        <w:t>و مختصر اختلاف العلماء</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القبض و التسلیم</w:t>
      </w:r>
    </w:p>
    <w:p>
      <w:pPr>
        <w:pStyle w:val="BookText"/>
        <w:rPr/>
      </w:pPr>
      <w:r>
        <w:rPr>
          <w:rFonts w:ascii="IRNazanin" w:hAnsi="IRNazanin" w:eastAsia="IRNazanin"/>
          <w:color w:val="111111"/>
          <w:sz w:val="28"/>
          <w:sz w:val="28"/>
          <w:szCs w:val="28"/>
          <w:rtl w:val="true"/>
          <w:lang w:bidi="fa-IR"/>
        </w:rPr>
        <w:t>قال به محمّد بن الحسن الشیبانی و ابن أبی لیلی و مشایخ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قول محمّد لا یتمّ إلاّ بالإخراج من یده و التسلیم إلی المتولّی، و هو قول ابن أبی لیلی، و حجّته فی ذلک أنّ إزالة الملک بطریق التبرّع، فتمامه بالتسلیم کما فی الصدقة المنفذة</w:t>
      </w:r>
      <w:r>
        <w:rPr>
          <w:rFonts w:eastAsia="IRNazanin" w:cs="IRNazanin"/>
          <w:color w:val="111111"/>
          <w:sz w:val="28"/>
          <w:szCs w:val="28"/>
          <w:rtl w:val="true"/>
          <w:lang w:bidi="fa-IR"/>
        </w:rPr>
        <w:t>»</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البنایة</w:t>
      </w:r>
      <w:r>
        <w:rPr>
          <w:rStyle w:val="FootnoteAnchor"/>
          <w:rtl w:val="true"/>
        </w:rPr>
        <w:footnoteReference w:id="2485"/>
      </w:r>
      <w:r>
        <w:rPr>
          <w:rFonts w:ascii="IRNazanin" w:hAnsi="IRNazanin" w:eastAsia="IRNazanin"/>
          <w:color w:val="111111"/>
          <w:sz w:val="28"/>
          <w:sz w:val="28"/>
          <w:szCs w:val="28"/>
          <w:rtl w:val="true"/>
          <w:lang w:bidi="fa-IR"/>
        </w:rPr>
        <w:t>و مجمع الأنهر</w:t>
      </w:r>
      <w:r>
        <w:rPr>
          <w:rStyle w:val="FootnoteAnchor"/>
          <w:rtl w:val="true"/>
        </w:rPr>
        <w:footnoteReference w:id="2486"/>
      </w:r>
      <w:r>
        <w:rPr>
          <w:rFonts w:ascii="IRNazanin" w:hAnsi="IRNazanin" w:eastAsia="IRNazanin"/>
          <w:color w:val="111111"/>
          <w:sz w:val="28"/>
          <w:sz w:val="28"/>
          <w:szCs w:val="28"/>
          <w:rtl w:val="true"/>
          <w:lang w:bidi="fa-IR"/>
        </w:rPr>
        <w:t>و البحر الرائق</w:t>
      </w:r>
      <w:r>
        <w:rPr>
          <w:rStyle w:val="FootnoteAnchor"/>
          <w:rtl w:val="true"/>
        </w:rPr>
        <w:footnoteReference w:id="2487"/>
      </w:r>
      <w:r>
        <w:rPr>
          <w:rFonts w:ascii="IRNazanin" w:hAnsi="IRNazanin" w:eastAsia="IRNazanin"/>
          <w:color w:val="111111"/>
          <w:sz w:val="28"/>
          <w:sz w:val="28"/>
          <w:szCs w:val="28"/>
          <w:rtl w:val="true"/>
          <w:lang w:bidi="fa-IR"/>
        </w:rPr>
        <w:t>و فتح القدیر</w:t>
      </w:r>
      <w:r>
        <w:rPr>
          <w:rStyle w:val="FootnoteAnchor"/>
          <w:rtl w:val="true"/>
        </w:rPr>
        <w:footnoteReference w:id="2488"/>
      </w:r>
      <w:bookmarkStart w:id="817" w:name="pg11753_115134"/>
    </w:p>
    <w:p>
      <w:pPr>
        <w:pStyle w:val="Heading4"/>
        <w:numPr>
          <w:ilvl w:val="3"/>
          <w:numId w:val="1"/>
        </w:numPr>
        <w:rPr/>
      </w:pPr>
      <w:bookmarkStart w:id="818" w:name="__RefHeading___Toc9483082_73709187"/>
      <w:bookmarkStart w:id="819" w:name="_Toc310"/>
      <w:bookmarkEnd w:id="817"/>
      <w:bookmarkEnd w:id="818"/>
      <w:r>
        <w:rPr>
          <w:rtl w:val="true"/>
        </w:rPr>
        <w:t>المبحث الخامس</w:t>
      </w:r>
      <w:r>
        <w:rPr>
          <w:rtl w:val="true"/>
        </w:rPr>
        <w:t xml:space="preserve">: </w:t>
      </w:r>
      <w:r>
        <w:rPr>
          <w:rtl w:val="true"/>
        </w:rPr>
        <w:t>الولایة علی قبول الوصیّة للصغیر</w:t>
      </w:r>
      <w:bookmarkEnd w:id="819"/>
    </w:p>
    <w:p>
      <w:pPr>
        <w:pStyle w:val="Heading5"/>
        <w:numPr>
          <w:ilvl w:val="4"/>
          <w:numId w:val="1"/>
        </w:numPr>
        <w:rPr/>
      </w:pPr>
      <w:bookmarkStart w:id="820" w:name="__RefHeading___Toc9483084_73709187"/>
      <w:bookmarkStart w:id="821" w:name="_Toc311"/>
      <w:bookmarkEnd w:id="820"/>
      <w:r>
        <w:rPr>
          <w:rtl w:val="true"/>
        </w:rPr>
        <w:t>اشارة</w:t>
      </w:r>
      <w:bookmarkEnd w:id="821"/>
    </w:p>
    <w:p>
      <w:pPr>
        <w:pStyle w:val="BookText"/>
        <w:rPr/>
      </w:pPr>
      <w:r>
        <w:rPr>
          <w:rStyle w:val="FootnoteAnchor"/>
          <w:rtl w:val="true"/>
        </w:rPr>
        <w:footnoteReference w:id="2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الفقهاء فی لزوم القبول للموصی له و عدمه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ینتقل الملک إلی الموصی له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بوفاة الموصی و قبول الموصی له، فإذا وجد الشرطان انتقل الملک عقیب القبول</w:t>
      </w:r>
      <w:r>
        <w:rPr>
          <w:rFonts w:eastAsia="IRNazanin" w:cs="IRNazanin"/>
          <w:color w:val="111111"/>
          <w:sz w:val="28"/>
          <w:szCs w:val="28"/>
          <w:rtl w:val="true"/>
          <w:lang w:bidi="fa-IR"/>
        </w:rPr>
        <w:t>»</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الأقوال فی المسألة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القبول تمام السبب الناقل کباقی العقود،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شرطاً فی الملک کاشفاً،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شرطاً فی اللزوم، و قد یحتمل عدم مدخلیّته أصلاً فی ملک و لا لزوم، و إنّما الردّ مانع، بل قد یحتمل عدم مانعیّة الردّ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کلام الأصحاب کأنّه متّفق علی خلاف الأخیرین، بل قد سمعت ضعف الثالث عندهم، و أنّ المعتدّ به القولان الأوّلان، کما أنّ المشهور منهما الثانی الذی قد عرفت کونه أقواهما</w:t>
      </w:r>
      <w:r>
        <w:rPr>
          <w:rFonts w:eastAsia="IRNazanin" w:cs="IRNazanin"/>
          <w:color w:val="111111"/>
          <w:sz w:val="28"/>
          <w:szCs w:val="28"/>
          <w:rtl w:val="true"/>
          <w:lang w:bidi="fa-IR"/>
        </w:rPr>
        <w:t>»</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اشتراط القبول علی القول به مختصّ بالوصیّة التملیکیّة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الوصیّة العهدیّة فلا تحتاج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أنّ الوصیّة العهدیّة لا تحتاج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الوصیّة التملیکیّة، فإن کانت تملیکاً للنوع کالوصیّة للفقراء و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یعتبر فیها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تملیکاً للشخص، فالمشهور علی أنّه یعتبر فیها القبول من الموصی له، و الظاهر أنّ تحقّق الوصیّة و ترتّب أحکامها من حرمة التبدیل و نحوها لا یتوقّف علی القبول، لکن تملّک الموصی له متوقّف علیه، فلا یتملّک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فالوصیّة من الإیقاعات لکنّها جزء سبب للملکیّة فی الفرض</w:t>
      </w:r>
      <w:r>
        <w:rPr>
          <w:rFonts w:eastAsia="IRNazanin" w:cs="IRNazanin"/>
          <w:color w:val="111111"/>
          <w:sz w:val="28"/>
          <w:szCs w:val="28"/>
          <w:rtl w:val="true"/>
          <w:lang w:bidi="fa-IR"/>
        </w:rPr>
        <w:t>»</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تفصیل الشریعة،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الملکیّة للموصی له یتوقّف علی عدم الرّد بحیث یکون الردّ مانعاً؛ لظهور الإجماع</w:t>
      </w:r>
      <w:r>
        <w:rPr>
          <w:rStyle w:val="FootnoteAnchor"/>
          <w:rtl w:val="true"/>
        </w:rPr>
        <w:footnoteReference w:id="2493"/>
      </w:r>
      <w:r>
        <w:rPr>
          <w:rFonts w:ascii="IRNazanin" w:hAnsi="IRNazanin" w:eastAsia="IRNazanin"/>
          <w:color w:val="111111"/>
          <w:sz w:val="28"/>
          <w:sz w:val="28"/>
          <w:szCs w:val="28"/>
          <w:rtl w:val="true"/>
          <w:lang w:bidi="fa-IR"/>
        </w:rPr>
        <w:t>، و لولاه لم یتوقّف علیه أیضاً</w:t>
      </w:r>
      <w:r>
        <w:rPr>
          <w:rFonts w:eastAsia="IRNazanin" w:cs="IRNazanin"/>
          <w:color w:val="111111"/>
          <w:sz w:val="28"/>
          <w:szCs w:val="28"/>
          <w:rtl w:val="true"/>
          <w:lang w:bidi="fa-IR"/>
        </w:rPr>
        <w:t>»</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اعتبار القبول فی الوصیّة فالولیّ یتولّی القبول للصبیّ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للحمل صحّت، و کان القابل للوصیّة أبوه أو جدّه أو من یلی اموره بعد خروجه حیّاً، و لو قَبِلَ قبل انفصاله حیّاً ثمّ انفصل حیّاً ففی الاعتداد بذلک القبول إشکال</w:t>
      </w:r>
      <w:r>
        <w:rPr>
          <w:rFonts w:eastAsia="IRNazanin" w:cs="IRNazanin"/>
          <w:color w:val="111111"/>
          <w:sz w:val="28"/>
          <w:szCs w:val="28"/>
          <w:rtl w:val="true"/>
          <w:lang w:bidi="fa-IR"/>
        </w:rPr>
        <w:t>»</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علیه، قام ولیّه مقامه فی القبول و الردّ، و إنّما یفعل ما للمولّی علیه الحظّ فیه، فلو کان الحظّ فی القبول فردّ لم یصحّ، فکان له القبول بعد ذلک، و لو کان الحظّ فی الردّ فقبل لم یصحّ</w:t>
      </w:r>
      <w:r>
        <w:rPr>
          <w:rFonts w:eastAsia="IRNazanin" w:cs="IRNazanin"/>
          <w:color w:val="111111"/>
          <w:sz w:val="28"/>
          <w:szCs w:val="28"/>
          <w:rtl w:val="true"/>
          <w:lang w:bidi="fa-IR"/>
        </w:rPr>
        <w:t>»</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المتّجه اعتبار القبول فی الوصیّة للحمل مطلقاً، فیقبله</w:t>
      </w:r>
    </w:p>
    <w:p>
      <w:pPr>
        <w:pStyle w:val="BookText"/>
        <w:rPr/>
      </w:pPr>
      <w:r>
        <w:rPr>
          <w:rFonts w:ascii="IRNazanin" w:hAnsi="IRNazanin" w:eastAsia="IRNazanin"/>
          <w:color w:val="111111"/>
          <w:sz w:val="28"/>
          <w:sz w:val="28"/>
          <w:szCs w:val="28"/>
          <w:rtl w:val="true"/>
          <w:lang w:bidi="fa-IR"/>
        </w:rPr>
        <w:t>ولیّه ابتداءً و وارثه هنا</w:t>
      </w:r>
      <w:r>
        <w:rPr>
          <w:rFonts w:eastAsia="IRNazanin" w:cs="IRNazanin"/>
          <w:color w:val="111111"/>
          <w:sz w:val="28"/>
          <w:szCs w:val="28"/>
          <w:rtl w:val="true"/>
          <w:lang w:bidi="fa-IR"/>
        </w:rPr>
        <w:t>»</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قبول ولیّه</w:t>
      </w:r>
      <w:r>
        <w:rPr>
          <w:rFonts w:eastAsia="IRNazanin" w:cs="IRNazanin"/>
          <w:color w:val="111111"/>
          <w:sz w:val="28"/>
          <w:szCs w:val="28"/>
          <w:rtl w:val="true"/>
          <w:lang w:bidi="fa-IR"/>
        </w:rPr>
        <w:t>»</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لولایة الولیّ علی قبول الوصیّة للصغیر عموم ولایته، کما تقدّم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قبض الموصی به، فلا یعتبر فی صحّة الوصیّة؛ لعدم الدلیل علی اعتباره</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مقتضی کلام الشیخ أنّ القبض شرط فی اللزوم أو الصحّة،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یردّها بعد القبول و القبض؛ فإنّه لا یصحّ الردّ؛ لأنّ بالقبول تمّ علیه ملکه، و بالقبض استقرّ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یردّها بعد القبول و قبل القبض؛ فإنّه یجوز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الصحیح أنّ ذلک یصحّ، لأنّه و إن کان قد ملکه بالقبول لم یستقرّ ملکه علیه ما لم یقبضه</w:t>
      </w:r>
      <w:r>
        <w:rPr>
          <w:rFonts w:eastAsia="IRNazanin" w:cs="IRNazanin"/>
          <w:color w:val="111111"/>
          <w:sz w:val="28"/>
          <w:szCs w:val="28"/>
          <w:rtl w:val="true"/>
          <w:lang w:bidi="fa-IR"/>
        </w:rPr>
        <w:t>»</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 الردّ علی هذا القول فی مفتاح الکرامة،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إطباق الأصحاب علی الاقتصار علی اعتبار الإیجابین و الموت و عدم الردّ فی البین یقضی بعدم اعتبار القبض، مضافاً إلی الأصل المستفاد من عمومات الباب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الصحیح الذی رواه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أوصی له بوصیّة فمات قبل أن یقبضها، و لم یترک عقباً؟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له وارثاً أو مولی فادفعها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أعلم له ولیّاً،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اجهد علی أن تقدر له علی ولیّ، فإن لم تجد و علم اللّه منک الجدّ فتصدّق بها</w:t>
      </w:r>
      <w:r>
        <w:rPr>
          <w:rStyle w:val="FootnoteAnchor"/>
          <w:rtl w:val="true"/>
        </w:rPr>
        <w:footnoteReference w:id="2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مضمرٌ، لکن رواه</w:t>
      </w:r>
      <w:bookmarkStart w:id="822" w:name="pg11753_115137"/>
    </w:p>
    <w:p>
      <w:pPr>
        <w:pStyle w:val="BookText"/>
        <w:rPr/>
      </w:pPr>
      <w:bookmarkEnd w:id="822"/>
      <w:r>
        <w:rPr>
          <w:rFonts w:ascii="Amiri" w:hAnsi="Amiri" w:eastAsia="Amiri" w:cs="Amiri"/>
          <w:color w:val="111111"/>
          <w:sz w:val="28"/>
          <w:sz w:val="28"/>
          <w:szCs w:val="28"/>
          <w:rtl w:val="true"/>
          <w:lang w:bidi="ar-SA"/>
        </w:rPr>
        <w:t>العیّاشی</w:t>
      </w:r>
      <w:r>
        <w:rPr>
          <w:rStyle w:val="FootnoteAnchor"/>
          <w:rtl w:val="true"/>
        </w:rPr>
        <w:footnoteReference w:id="2502"/>
      </w:r>
      <w:r>
        <w:rPr>
          <w:rFonts w:ascii="IRNazanin" w:hAnsi="IRNazanin" w:eastAsia="IRNazanin"/>
          <w:color w:val="111111"/>
          <w:sz w:val="28"/>
          <w:sz w:val="28"/>
          <w:szCs w:val="28"/>
          <w:rtl w:val="true"/>
          <w:lang w:bidi="fa-IR"/>
        </w:rPr>
        <w:t>و الصدوق</w:t>
      </w:r>
      <w:r>
        <w:rPr>
          <w:rStyle w:val="FootnoteAnchor"/>
          <w:rtl w:val="true"/>
        </w:rPr>
        <w:footnoteReference w:id="2503"/>
      </w:r>
      <w:r>
        <w:rPr>
          <w:rFonts w:ascii="IRNazanin" w:hAnsi="IRNazanin" w:eastAsia="IRNazanin"/>
          <w:color w:val="111111"/>
          <w:sz w:val="28"/>
          <w:sz w:val="28"/>
          <w:szCs w:val="28"/>
          <w:rtl w:val="true"/>
          <w:lang w:bidi="fa-IR"/>
        </w:rPr>
        <w:t>مسنداً إلی أبی عبد اللّه علیه السلام، و مثله خبر محمّد بن عمر الباهلی و غیره</w:t>
      </w:r>
      <w:r>
        <w:rPr>
          <w:rStyle w:val="FootnoteAnchor"/>
          <w:rtl w:val="true"/>
        </w:rPr>
        <w:footnoteReference w:id="2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عقد له و لمسألة أُخری فی الوسائل باباً سرد فیه أخباراً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خالف أو توقّف، غفل عنها؛ إذ لیس لمن ظفر بها أن یعدل عنها مع عدم المعارض لها، فالمسألة من القطعیّات</w:t>
      </w:r>
      <w:r>
        <w:rPr>
          <w:rFonts w:eastAsia="IRNazanin" w:cs="IRNazanin"/>
          <w:color w:val="111111"/>
          <w:sz w:val="28"/>
          <w:szCs w:val="28"/>
          <w:rtl w:val="true"/>
          <w:lang w:bidi="fa-IR"/>
        </w:rPr>
        <w:t>»</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مضی فی الباب الأوّل فی البحث عن حقوق الحمل ما یرتبط بالمقام،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الولایة علی قطع الدعاوی و استیفاء القصاص عن الصغیر فسنذکرها فی الباب الذی نبحث فیه عن جنایات الصغار و الجنایة علیهم إن شاء اللّه</w:t>
      </w:r>
      <w:r>
        <w:rPr>
          <w:rFonts w:eastAsia="IRNazanin" w:cs="IRNazanin"/>
          <w:color w:val="111111"/>
          <w:sz w:val="28"/>
          <w:szCs w:val="28"/>
          <w:rtl w:val="true"/>
          <w:lang w:bidi="fa-IR"/>
        </w:rPr>
        <w:t>.</w:t>
      </w:r>
    </w:p>
    <w:p>
      <w:pPr>
        <w:pStyle w:val="Heading5"/>
        <w:numPr>
          <w:ilvl w:val="4"/>
          <w:numId w:val="1"/>
        </w:numPr>
        <w:rPr/>
      </w:pPr>
      <w:bookmarkStart w:id="823" w:name="__RefHeading___Toc9483086_73709187"/>
      <w:bookmarkStart w:id="824" w:name="_Toc312"/>
      <w:bookmarkEnd w:id="823"/>
      <w:r>
        <w:rPr>
          <w:rtl w:val="true"/>
        </w:rPr>
        <w:t>الولایة علی القبول فی الوصیّة للصغیر عند فقهاء أهل السنّة</w:t>
      </w:r>
      <w:bookmarkEnd w:id="82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یشترط عندهم فی صحّة الوصیّة و لزومها قبض الموصی به کما فی الحاوی الکبیر</w:t>
      </w:r>
      <w:r>
        <w:rPr>
          <w:rStyle w:val="FootnoteAnchor"/>
          <w:rtl w:val="true"/>
        </w:rPr>
        <w:footnoteReference w:id="2506"/>
      </w:r>
      <w:r>
        <w:rPr>
          <w:rFonts w:ascii="IRNazanin" w:hAnsi="IRNazanin" w:eastAsia="IRNazanin"/>
          <w:color w:val="111111"/>
          <w:sz w:val="28"/>
          <w:sz w:val="28"/>
          <w:szCs w:val="28"/>
          <w:rtl w:val="true"/>
          <w:lang w:bidi="fa-IR"/>
        </w:rPr>
        <w:t>و المبسوط‌</w:t>
      </w:r>
      <w:r>
        <w:rPr>
          <w:rStyle w:val="FootnoteAnchor"/>
          <w:rtl w:val="true"/>
        </w:rPr>
        <w:footnoteReference w:id="2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فصّلوا بین الوصیّة لغیر معیّنٍ، کالوصیّة للفقراء و المساکین فقالوا بعدم اشتراط القبول فیها، و بین الوصیّة لمعیّن، کالوصیّة لرجلٍ مسمّیً أو قومٍ محصورین، فلا بدّ من القبول عن الموصی له</w:t>
      </w:r>
      <w:r>
        <w:rPr>
          <w:rStyle w:val="FootnoteAnchor"/>
          <w:rtl w:val="true"/>
        </w:rPr>
        <w:footnoteReference w:id="2508"/>
      </w:r>
    </w:p>
    <w:p>
      <w:pPr>
        <w:pStyle w:val="BookText"/>
        <w:rPr/>
      </w:pPr>
      <w:r>
        <w:rPr>
          <w:rFonts w:ascii="IRNazanin" w:hAnsi="IRNazanin" w:eastAsia="IRNazanin"/>
          <w:color w:val="111111"/>
          <w:sz w:val="28"/>
          <w:sz w:val="28"/>
          <w:szCs w:val="28"/>
          <w:rtl w:val="true"/>
          <w:lang w:bidi="fa-IR"/>
        </w:rPr>
        <w:t>و حیث إنّ الصبیّ لیس من أهل التصرّف یتولّی عنه ولیّه، و لنذکر شطراً من کلماتهم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منهاج الطالبین فی مذهب الشافعیّة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 لغیر معیّن کالفقراء لزمت بالموت بلا قبول أو لمعیّن اشترط القبول</w:t>
      </w:r>
      <w:r>
        <w:rPr>
          <w:rFonts w:eastAsia="IRNazanin" w:cs="IRNazanin"/>
          <w:color w:val="111111"/>
          <w:sz w:val="28"/>
          <w:szCs w:val="28"/>
          <w:rtl w:val="true"/>
          <w:lang w:bidi="fa-IR"/>
        </w:rPr>
        <w:t>»</w:t>
      </w:r>
      <w:r>
        <w:rPr>
          <w:rStyle w:val="FootnoteAnchor"/>
          <w:rtl w:val="true"/>
        </w:rPr>
        <w:footnoteReference w:id="2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الوجیز</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أوصی لصبیّ أو مجنون یصحّ و یقبله ولیّه</w:t>
      </w:r>
      <w:r>
        <w:rPr>
          <w:rFonts w:eastAsia="IRNazanin" w:cs="IRNazanin"/>
          <w:color w:val="111111"/>
          <w:sz w:val="28"/>
          <w:szCs w:val="28"/>
          <w:rtl w:val="true"/>
          <w:lang w:bidi="fa-IR"/>
        </w:rPr>
        <w:t>»</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أوصی 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القبول منه إن 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فمن ولیّه</w:t>
      </w:r>
      <w:r>
        <w:rPr>
          <w:rFonts w:eastAsia="IRNazanin" w:cs="IRNazanin"/>
          <w:color w:val="111111"/>
          <w:sz w:val="28"/>
          <w:szCs w:val="28"/>
          <w:rtl w:val="true"/>
          <w:lang w:bidi="fa-IR"/>
        </w:rPr>
        <w:t>»</w:t>
      </w:r>
      <w:r>
        <w:rPr>
          <w:rStyle w:val="FootnoteAnchor"/>
          <w:rtl w:val="true"/>
        </w:rPr>
        <w:footnoteReference w:id="2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حاشیة الخرشی</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قدامة فی الفقه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یملک الموصی له الوصیّة إلاّ بالقبول فی قول جمهور الفقهاء إذا کانت لمعیّن یمکن القبول منه؛ لأنّها تملیک مال لمن هو من أهل الملک متعیّن، فاعتبر قبوله کالهبة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و الوصیّة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لغیر معیّن کالفقراء و المساکین و من لا یملک حصرهم کبنی هاشم و تمیم، أو علی مصلحة کمسجد أو حجّ، لم یفتقر إلی قبول و لزمت بمجرّد الموت</w:t>
      </w:r>
      <w:r>
        <w:rPr>
          <w:rFonts w:eastAsia="IRNazanin" w:cs="IRNazanin"/>
          <w:color w:val="111111"/>
          <w:sz w:val="28"/>
          <w:szCs w:val="28"/>
          <w:rtl w:val="true"/>
          <w:lang w:bidi="fa-IR"/>
        </w:rPr>
        <w:t>»</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الفقیه المالکی فی حاشیته علی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قبول الموصی له البالغ الرشید المعیّن شرط فی وجوب الوصیّة و تنفیذها بعد الموت</w:t>
      </w:r>
      <w:r>
        <w:rPr>
          <w:rFonts w:eastAsia="IRNazanin" w:cs="IRNazanin"/>
          <w:color w:val="111111"/>
          <w:sz w:val="28"/>
          <w:szCs w:val="28"/>
          <w:rtl w:val="true"/>
          <w:lang w:bidi="fa-IR"/>
        </w:rPr>
        <w:t>»</w:t>
      </w:r>
      <w:r>
        <w:rPr>
          <w:rStyle w:val="FootnoteAnchor"/>
          <w:rtl w:val="true"/>
        </w:rPr>
        <w:footnoteReference w:id="2515"/>
      </w:r>
    </w:p>
    <w:p>
      <w:pPr>
        <w:pStyle w:val="BookText"/>
        <w:rPr/>
      </w:pPr>
      <w:r>
        <w:rPr>
          <w:rFonts w:ascii="IRNazanin" w:hAnsi="IRNazanin" w:eastAsia="IRNazanin"/>
          <w:color w:val="111111"/>
          <w:sz w:val="28"/>
          <w:sz w:val="28"/>
          <w:szCs w:val="28"/>
          <w:rtl w:val="true"/>
          <w:lang w:bidi="fa-IR"/>
        </w:rPr>
        <w:t>و فی بدائع الصنائع فی الفقه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 الهبة و الصدقة و الوصیّة؛ لأنّ ذلک نفع محض فیملکه الولیّ</w:t>
      </w:r>
      <w:r>
        <w:rPr>
          <w:rFonts w:eastAsia="IRNazanin" w:cs="IRNazanin"/>
          <w:color w:val="111111"/>
          <w:sz w:val="28"/>
          <w:szCs w:val="28"/>
          <w:rtl w:val="true"/>
          <w:lang w:bidi="fa-IR"/>
        </w:rPr>
        <w:t>»</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قول جمهور الفقهاء، إلاّ أنّه خالف فی ذلک بعض الحنابلة، فقالوا بعدم اشتراط القبول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فی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الإمام أحمد فی مواضع علی أنّه لا یعتبر للوصیّة قبول فیملکه قهراً کالمیراث، و هو وجه للأصحاب، حکاه غیر واحد، و ذکر الحلوانی عن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یملک الوصیّة بلا قبوله کالمیراث</w:t>
      </w:r>
      <w:r>
        <w:rPr>
          <w:rFonts w:eastAsia="IRNazanin" w:cs="IRNazanin"/>
          <w:color w:val="111111"/>
          <w:sz w:val="28"/>
          <w:szCs w:val="28"/>
          <w:rtl w:val="true"/>
          <w:lang w:bidi="fa-IR"/>
        </w:rPr>
        <w:t>»</w:t>
      </w:r>
      <w:r>
        <w:rPr>
          <w:rStyle w:val="FootnoteAnchor"/>
          <w:rtl w:val="true"/>
        </w:rPr>
        <w:footnoteReference w:id="2517"/>
      </w:r>
      <w:bookmarkStart w:id="825" w:name="pg11753_115141"/>
    </w:p>
    <w:p>
      <w:pPr>
        <w:pStyle w:val="Heading3"/>
        <w:numPr>
          <w:ilvl w:val="2"/>
          <w:numId w:val="1"/>
        </w:numPr>
        <w:rPr/>
      </w:pPr>
      <w:bookmarkStart w:id="826" w:name="__RefHeading___Toc9483088_73709187"/>
      <w:bookmarkStart w:id="827" w:name="_Toc313"/>
      <w:bookmarkEnd w:id="825"/>
      <w:bookmarkEnd w:id="826"/>
      <w:r>
        <w:rPr>
          <w:rtl w:val="true"/>
        </w:rPr>
        <w:t>الفصل الخامس فی الوصیة بالولایة</w:t>
      </w:r>
      <w:bookmarkEnd w:id="827"/>
    </w:p>
    <w:p>
      <w:pPr>
        <w:pStyle w:val="Heading4"/>
        <w:numPr>
          <w:ilvl w:val="3"/>
          <w:numId w:val="1"/>
        </w:numPr>
        <w:rPr/>
      </w:pPr>
      <w:bookmarkStart w:id="828" w:name="__RefHeading___Toc9483090_73709187"/>
      <w:bookmarkStart w:id="829" w:name="_Toc314"/>
      <w:bookmarkEnd w:id="828"/>
      <w:r>
        <w:rPr>
          <w:rtl w:val="true"/>
        </w:rPr>
        <w:t>تمهید</w:t>
      </w:r>
      <w:bookmarkEnd w:id="829"/>
    </w:p>
    <w:p>
      <w:pPr>
        <w:pStyle w:val="BookText"/>
        <w:rPr/>
      </w:pPr>
      <w:r>
        <w:rPr>
          <w:rFonts w:ascii="IRNazanin" w:hAnsi="IRNazanin" w:eastAsia="IRNazanin"/>
          <w:color w:val="111111"/>
          <w:sz w:val="28"/>
          <w:sz w:val="28"/>
          <w:szCs w:val="28"/>
          <w:rtl w:val="true"/>
          <w:lang w:bidi="fa-IR"/>
        </w:rPr>
        <w:t xml:space="preserve">من جملة التصرّفات التی یجوز فیها للولیّ أن یوصی إلی شخص أن یتولّی امور الصغار بعد موته، و یعبّر عنها فی کلمات الفقهاء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الحکم مطلق؛ بمعنی أنّه یجوز للأب الوصیّة بالولایة حتّی مع وجود الجدّ، أو یشترط فی صحّتها فقد الجدّ و کذا من طرف الجدّ؟ و أیضاً هل یصحّ هذا من غیر الأب و الجدّ، مثل الوصی و الحاکم و غیرهما من الأولیاء، أم یشترط صدورها من الأب و الجدّ فقط، و هکذا هل تصحّ هذه الوصیّة من الاُمّ أیضاً، أم مختصّة بالأب و الجدّ؟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یشترط فی صحّتها وجود شرائط خاصّة فی الولیّ، و ما هی هذه الشرائط، أم لا یشترط فیها شیء؟</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للبحث عن المسائل التی أُشیر إلیها و غیرها المرتبطة بها، عقدنا هذا الفصل، و فیه مباحث</w:t>
      </w:r>
      <w:r>
        <w:rPr>
          <w:rFonts w:eastAsia="IRNazanin" w:cs="IRNazanin"/>
          <w:color w:val="111111"/>
          <w:sz w:val="28"/>
          <w:szCs w:val="28"/>
          <w:rtl w:val="true"/>
          <w:lang w:bidi="fa-IR"/>
        </w:rPr>
        <w:t>:</w:t>
      </w:r>
      <w:bookmarkStart w:id="830" w:name="pg11753_115142"/>
    </w:p>
    <w:p>
      <w:pPr>
        <w:pStyle w:val="Heading4"/>
        <w:numPr>
          <w:ilvl w:val="3"/>
          <w:numId w:val="1"/>
        </w:numPr>
        <w:rPr/>
      </w:pPr>
      <w:bookmarkStart w:id="831" w:name="__RefHeading___Toc9483092_73709187"/>
      <w:bookmarkStart w:id="832" w:name="_Toc315"/>
      <w:bookmarkEnd w:id="830"/>
      <w:bookmarkEnd w:id="831"/>
      <w:r>
        <w:rPr>
          <w:rtl w:val="true"/>
        </w:rPr>
        <w:t>المبحث الأوّل</w:t>
      </w:r>
      <w:r>
        <w:rPr>
          <w:rtl w:val="true"/>
        </w:rPr>
        <w:t xml:space="preserve">: </w:t>
      </w:r>
      <w:r>
        <w:rPr>
          <w:rtl w:val="true"/>
        </w:rPr>
        <w:t>تعریفها و أرکانها</w:t>
      </w:r>
      <w:bookmarkEnd w:id="832"/>
    </w:p>
    <w:p>
      <w:pPr>
        <w:pStyle w:val="Heading5"/>
        <w:numPr>
          <w:ilvl w:val="4"/>
          <w:numId w:val="1"/>
        </w:numPr>
        <w:rPr/>
      </w:pPr>
      <w:bookmarkStart w:id="833" w:name="__RefHeading___Toc9483094_73709187"/>
      <w:bookmarkStart w:id="834" w:name="_Toc316"/>
      <w:bookmarkEnd w:id="833"/>
      <w:r>
        <w:rPr>
          <w:rtl w:val="true"/>
        </w:rPr>
        <w:t xml:space="preserve">أ </w:t>
      </w:r>
      <w:r>
        <w:rPr>
          <w:rtl w:val="true"/>
        </w:rPr>
        <w:t xml:space="preserve">- </w:t>
      </w:r>
      <w:r>
        <w:rPr>
          <w:rtl w:val="true"/>
        </w:rPr>
        <w:t>تعریفها</w:t>
      </w:r>
      <w:bookmarkEnd w:id="834"/>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استنابةٌ بعد الموت فی التصرّف فیما کان له التصرّف فیه؛ من قضاء دیونه و استیفائها، و ردّ الودائع و استرجاعها، و الولایة علی أولاده الذین له الولایة علیهم من الصبیان و المجانین، و النظر فی أموالهم و التصرّف فیها بما لهم الحظّ فیه</w:t>
      </w:r>
      <w:r>
        <w:rPr>
          <w:rFonts w:eastAsia="IRNazanin" w:cs="IRNazanin"/>
          <w:color w:val="111111"/>
          <w:sz w:val="28"/>
          <w:szCs w:val="28"/>
          <w:rtl w:val="true"/>
          <w:lang w:bidi="fa-IR"/>
        </w:rPr>
        <w:t>»</w:t>
      </w:r>
      <w:r>
        <w:rPr>
          <w:rStyle w:val="FootnoteAnchor"/>
          <w:rtl w:val="true"/>
        </w:rPr>
        <w:footnoteReference w:id="2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الروضة</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المحقّق الثانی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علی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یُراد بالأولاد ما یعمّ أولاد الأولاد، لیندرج فی الوصیّة بالولایة وصیّة الجدّ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له الولایة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العبارة قصوراً، من حیث إنّه لم یذکر السفهاء، مع أنّ الولایة ثابتةٌ علیهم للأب و الجدّ له إذا کان السفه متّصلاً بما قبل البلوغ، استصحاباً لما کان و استدامةً للحجر الثابت المستمرّ</w:t>
      </w:r>
      <w:r>
        <w:rPr>
          <w:rFonts w:eastAsia="IRNazanin" w:cs="IRNazanin"/>
          <w:color w:val="111111"/>
          <w:sz w:val="28"/>
          <w:szCs w:val="28"/>
          <w:rtl w:val="true"/>
          <w:lang w:bidi="fa-IR"/>
        </w:rPr>
        <w:t>»</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بالولایة علی أولاده الذین له الولایة علیهم من الصبیان و المجانین و السفهاء ثابتةٌ ظاهراً</w:t>
      </w:r>
      <w:r>
        <w:rPr>
          <w:rFonts w:eastAsia="IRNazanin" w:cs="IRNazanin"/>
          <w:color w:val="111111"/>
          <w:sz w:val="28"/>
          <w:szCs w:val="28"/>
          <w:rtl w:val="true"/>
          <w:lang w:bidi="fa-IR"/>
        </w:rPr>
        <w:t>.</w:t>
      </w:r>
    </w:p>
    <w:p>
      <w:pPr>
        <w:pStyle w:val="Heading5"/>
        <w:numPr>
          <w:ilvl w:val="4"/>
          <w:numId w:val="1"/>
        </w:numPr>
        <w:rPr/>
      </w:pPr>
      <w:bookmarkStart w:id="835" w:name="__RefHeading___Toc9483096_73709187"/>
      <w:bookmarkStart w:id="836" w:name="_Toc317"/>
      <w:bookmarkEnd w:id="835"/>
      <w:r>
        <w:rPr>
          <w:rtl w:val="true"/>
        </w:rPr>
        <w:t xml:space="preserve">ب </w:t>
      </w:r>
      <w:r>
        <w:rPr>
          <w:rtl w:val="true"/>
        </w:rPr>
        <w:t xml:space="preserve">- </w:t>
      </w:r>
      <w:r>
        <w:rPr>
          <w:rtl w:val="true"/>
        </w:rPr>
        <w:t>أرکانها</w:t>
      </w:r>
      <w:bookmarkEnd w:id="836"/>
    </w:p>
    <w:p>
      <w:pPr>
        <w:pStyle w:val="Heading6"/>
        <w:numPr>
          <w:ilvl w:val="5"/>
          <w:numId w:val="1"/>
        </w:numPr>
        <w:rPr/>
      </w:pPr>
      <w:bookmarkStart w:id="837" w:name="__RefHeading___Toc9483098_73709187"/>
      <w:bookmarkStart w:id="838" w:name="_Toc318"/>
      <w:bookmarkEnd w:id="837"/>
      <w:r>
        <w:rPr>
          <w:rtl w:val="true"/>
        </w:rPr>
        <w:t>اشارة</w:t>
      </w:r>
      <w:bookmarkEnd w:id="838"/>
    </w:p>
    <w:p>
      <w:p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و الوصیّ، و الموصی فیه، و الصیغة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الموصی، فهو کلّ من له ولایةٌ علی مالٍ أو علی أطفال أو مجانین أو سفهاء،</w:t>
      </w:r>
    </w:p>
    <w:p>
      <w:pPr>
        <w:pStyle w:val="BookText"/>
        <w:rPr/>
      </w:pPr>
      <w:r>
        <w:rPr>
          <w:rFonts w:ascii="Amiri" w:hAnsi="Amiri" w:eastAsia="Amiri" w:cs="Amiri"/>
          <w:color w:val="111111"/>
          <w:sz w:val="28"/>
          <w:sz w:val="28"/>
          <w:szCs w:val="28"/>
          <w:rtl w:val="true"/>
          <w:lang w:bidi="ar-SA"/>
        </w:rPr>
        <w:t>شرعاً کالأب و الجدّ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یشترط فی الموصی بالولایة أن تکون ولایته علی الموصی علیه ثابتة بأصل الشرع، لامتناع الاستنابة و إثبات الولایة ممّن لا ولایة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تکون ولایته علی الأطفال ابتداءً من الشارع لا بالتفویض من الآخر؛ بأن یکون أباً أو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 بالولایة إنّما تصحّ من الأب أو الجدّ و إن علا، و لا ولایة لغیرهم من أخ، أو عمّ، أو خالٍ، أو جدٍّ لاُمّ؛ لأنّ هؤلاء لا یکون أمر الأطفال إلیهم، فکیف یثبت لهم ولایة؛ فإنّ الوصیّ نائبٌ عن</w:t>
      </w:r>
      <w:r>
        <w:rPr>
          <w:rStyle w:val="FootnoteAnchor"/>
          <w:rtl w:val="true"/>
        </w:rPr>
        <w:footnoteReference w:id="2521"/>
      </w:r>
      <w:r>
        <w:rPr>
          <w:rFonts w:ascii="IRNazanin" w:hAnsi="IRNazanin" w:eastAsia="IRNazanin"/>
          <w:color w:val="111111"/>
          <w:sz w:val="28"/>
          <w:sz w:val="28"/>
          <w:szCs w:val="28"/>
          <w:rtl w:val="true"/>
          <w:lang w:bidi="fa-IR"/>
        </w:rPr>
        <w:t>الموصی، فإذا کان الموصی لا ولایة له، فالموصی إلیه أولی بذلک، و أمّا الاُمّ فلا ولایة لها عندنا</w:t>
      </w:r>
      <w:r>
        <w:rPr>
          <w:rFonts w:eastAsia="IRNazanin" w:cs="IRNazanin"/>
          <w:color w:val="111111"/>
          <w:sz w:val="28"/>
          <w:szCs w:val="28"/>
          <w:rtl w:val="true"/>
          <w:lang w:bidi="fa-IR"/>
        </w:rPr>
        <w:t>»</w:t>
      </w:r>
      <w:r>
        <w:rPr>
          <w:rStyle w:val="FootnoteAnchor"/>
          <w:rtl w:val="true"/>
        </w:rPr>
        <w:footnoteReference w:id="2522"/>
      </w:r>
    </w:p>
    <w:p>
      <w:pPr>
        <w:pStyle w:val="BookText"/>
        <w:rPr/>
      </w:pPr>
      <w:r>
        <w:rPr>
          <w:rFonts w:ascii="IRNazanin" w:hAnsi="IRNazanin" w:eastAsia="IRNazanin"/>
          <w:color w:val="111111"/>
          <w:sz w:val="28"/>
          <w:sz w:val="28"/>
          <w:szCs w:val="28"/>
          <w:rtl w:val="true"/>
          <w:lang w:bidi="fa-IR"/>
        </w:rPr>
        <w:t>و کذا فی غیرها</w:t>
      </w:r>
      <w:r>
        <w:rPr>
          <w:rFonts w:eastAsia="IRNazanin" w:cs="IRNazanin"/>
          <w:color w:val="111111"/>
          <w:sz w:val="28"/>
          <w:szCs w:val="28"/>
          <w:rtl w:val="true"/>
          <w:lang w:bidi="fa-IR"/>
        </w:rPr>
        <w:t>»</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الوصیّ، فهو واضحٌ لا یحتاج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الموصی فیه، فهو متعلّق الوصیة بالولایة من التصرّف فیما کان للموصی التصرّف فیه، و منه الولایة علی أولاده و النظر فی أموالهم و التصرّف فیها بما لهم من المصلحة و الغبطة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الوصیّة بالولایة علی تزویج الصغار، فاختلف فیها الأصحاب رضوان اللّه علیهم، و قد تقدّم التحقیق فیها فی باب الولایة علی النکاح،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الصیغة؛ فلا بدّ فیها من إیجاب و قبول، و الإیجاب أن یقول الموصی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أوصیتُ إلیک، أو فوّضت إلیک امور أولادی، أو أنت وصیّی فی التصرّف فی أموال أطفالی و القیام بمصالحهم</w:t>
      </w:r>
      <w:r>
        <w:rPr>
          <w:rFonts w:eastAsia="IRNazanin" w:cs="IRNazanin"/>
          <w:color w:val="111111"/>
          <w:sz w:val="28"/>
          <w:szCs w:val="28"/>
          <w:rtl w:val="true"/>
          <w:lang w:bidi="fa-IR"/>
        </w:rPr>
        <w:t>.</w:t>
      </w:r>
      <w:bookmarkStart w:id="839" w:name="pg11753_115144"/>
    </w:p>
    <w:p>
      <w:pPr>
        <w:pStyle w:val="BookText"/>
        <w:rPr/>
      </w:pPr>
      <w:bookmarkEnd w:id="839"/>
      <w:r>
        <w:rPr>
          <w:rFonts w:ascii="IRNazanin" w:hAnsi="IRNazanin" w:eastAsia="IRNazanin"/>
          <w:color w:val="111111"/>
          <w:sz w:val="28"/>
          <w:sz w:val="28"/>
          <w:szCs w:val="28"/>
          <w:rtl w:val="true"/>
          <w:lang w:bidi="fa-IR"/>
        </w:rPr>
        <w:t>و أمّا القبول، فلا یشترط أن یکون بالنطق، بل لو فعل بعده ما أوصی به إلیه کان قبولاً، و لا یشترط وقوعه فی حیاة الموصی کما فی التذکرة</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یری جمهور الفقهاء من أهل السنّة أنّ هذه الاُمور الأربعة تُعدُّ أرکاناً کلّها</w:t>
      </w:r>
      <w:r>
        <w:rPr>
          <w:rStyle w:val="FootnoteAnchor"/>
          <w:rtl w:val="true"/>
        </w:rPr>
        <w:footnoteReference w:id="2525"/>
      </w:r>
      <w:r>
        <w:rPr>
          <w:rFonts w:ascii="IRNazanin" w:hAnsi="IRNazanin" w:eastAsia="IRNazanin"/>
          <w:color w:val="111111"/>
          <w:sz w:val="28"/>
          <w:sz w:val="28"/>
          <w:szCs w:val="28"/>
          <w:rtl w:val="true"/>
          <w:lang w:bidi="fa-IR"/>
        </w:rPr>
        <w:t>، إلاّ أنّ الأحناف یقصرون الرکن فی الصیغة، و ما عداه لوازم لها</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0" w:name="__RefHeading___Toc9483100_73709187"/>
      <w:bookmarkStart w:id="841" w:name="_Toc319"/>
      <w:bookmarkEnd w:id="840"/>
      <w:r>
        <w:rPr>
          <w:rtl w:val="true"/>
        </w:rPr>
        <w:t>إیضاح</w:t>
      </w:r>
      <w:bookmarkEnd w:id="841"/>
    </w:p>
    <w:p>
      <w:pPr>
        <w:pStyle w:val="BookText"/>
        <w:rPr/>
      </w:pPr>
      <w:r>
        <w:rPr>
          <w:rFonts w:ascii="IRNazanin" w:hAnsi="IRNazanin" w:eastAsia="IRNazanin"/>
          <w:color w:val="111111"/>
          <w:sz w:val="28"/>
          <w:sz w:val="28"/>
          <w:szCs w:val="28"/>
          <w:rtl w:val="true"/>
          <w:lang w:bidi="fa-IR"/>
        </w:rPr>
        <w:t>لا بدّ فی الإیجاب من تفصیل متعلّق الوصیّة و بیان عمومها أو خصوصها، کأن یقول الموصی 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و قیّمٌ علی أولادی القاصرین فی جمیع الشئون المتعلّقة بهم و جمیع التصرّفات فی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الوصیّة عامّة و مطلقة فی المسائل التی یتصرّف فیها عادةً لرعایة أُمور الصبیّ؛ من حفظ نفوسهم و تربیتهم، و حفظ أموالهم و الإنفاق علیهم، و استیفاء دیونهم و وفاء ما علیهم من نفقات أو ضمانات أو غیر ذلک من الجهات، جریاً علی مقتضی عموم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قیّد الولایة لجهة دون جهة؛ بأن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علی ولدی فی إدارة أمواله، أو فی إدارة شئونه التربویّة، أو إدارة شئونه الصحیّة أو غیرها، فإنّ علی الولیّ الاقتصار علی محلّ الإذن دون غیرها من الجهات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جعل له النظر و التصرّف فی المال الموجود للطفل، لم یکن له النظر</w:t>
      </w:r>
    </w:p>
    <w:p>
      <w:pPr>
        <w:pStyle w:val="BookText"/>
        <w:rPr/>
      </w:pPr>
      <w:r>
        <w:rPr>
          <w:rFonts w:ascii="IRNazanin" w:hAnsi="IRNazanin" w:eastAsia="IRNazanin"/>
          <w:color w:val="111111"/>
          <w:sz w:val="28"/>
          <w:sz w:val="28"/>
          <w:szCs w:val="28"/>
          <w:rtl w:val="true"/>
          <w:lang w:bidi="fa-IR"/>
        </w:rPr>
        <w:t>فی متجدّدات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له النظر فی ماله، دخل فیه المتجدّد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إلیک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لتتصرّف فی أموال الأطفال احتمل الاقتصار علی مجرّد الحفظ و التصرّف</w:t>
      </w:r>
      <w:r>
        <w:rPr>
          <w:rFonts w:eastAsia="IRNazanin" w:cs="IRNazanin"/>
          <w:color w:val="111111"/>
          <w:sz w:val="28"/>
          <w:szCs w:val="28"/>
          <w:rtl w:val="true"/>
          <w:lang w:bidi="fa-IR"/>
        </w:rPr>
        <w:t>»</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إلیک أو أقمتک مقامی فی أمر أطفالی و لم یذکر التصرّفات، اقتضی العرف انصرافه إلی الحفظ لأموالهم و التصرّف</w:t>
      </w:r>
      <w:r>
        <w:rPr>
          <w:rFonts w:eastAsia="IRNazanin" w:cs="IRNazanin"/>
          <w:color w:val="111111"/>
          <w:sz w:val="28"/>
          <w:szCs w:val="28"/>
          <w:rtl w:val="true"/>
          <w:lang w:bidi="fa-IR"/>
        </w:rPr>
        <w:t>»</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أطلق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قیّم علی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یعیّن جهة خاصة و تصرّفاً مخصوصاً، فظاهره ثبوت الولایة للقیّم فی جمیع ما کان للموصی الولایة علیه فی حال الحیاة بالإضافة إلی أولاده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إیفاء ما علیهم، کأرش ما أتلفوا من أموال الناس، نظراً إلی عدم اختصاص الأحکام الوضعیّة التی منها ضمان ما أتلفه من مال الغیر بالبالغین،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الحقوق المتعلّقة بأموالهم کالخمس؛ لأنّه لیس مجرّد تکلیف، بل أمر وضعی ثابت بنحو الإشاعة، أو الکُلّی فی المعیّن، أو غیرهما</w:t>
      </w:r>
      <w:r>
        <w:rPr>
          <w:rFonts w:eastAsia="IRNazanin" w:cs="IRNazanin"/>
          <w:color w:val="111111"/>
          <w:sz w:val="28"/>
          <w:szCs w:val="28"/>
          <w:rtl w:val="true"/>
          <w:lang w:bidi="fa-IR"/>
        </w:rPr>
        <w:t>»</w:t>
      </w:r>
      <w:r>
        <w:rPr>
          <w:rStyle w:val="FootnoteAnchor"/>
          <w:rtl w:val="true"/>
        </w:rPr>
        <w:footnoteReference w:id="2529"/>
      </w:r>
      <w:bookmarkStart w:id="842" w:name="pg11753_115146"/>
    </w:p>
    <w:p>
      <w:pPr>
        <w:pStyle w:val="Heading4"/>
        <w:numPr>
          <w:ilvl w:val="3"/>
          <w:numId w:val="1"/>
        </w:numPr>
        <w:rPr/>
      </w:pPr>
      <w:bookmarkStart w:id="843" w:name="__RefHeading___Toc9483102_73709187"/>
      <w:bookmarkStart w:id="844" w:name="_Toc320"/>
      <w:bookmarkEnd w:id="842"/>
      <w:bookmarkEnd w:id="843"/>
      <w:r>
        <w:rPr>
          <w:rtl w:val="true"/>
        </w:rPr>
        <w:t>المبحث الثانی</w:t>
      </w:r>
      <w:r>
        <w:rPr>
          <w:rtl w:val="true"/>
        </w:rPr>
        <w:t xml:space="preserve">: </w:t>
      </w:r>
      <w:r>
        <w:rPr>
          <w:rtl w:val="true"/>
        </w:rPr>
        <w:t>ولایة الأب و الجدّ فی الوصیّة بأُمور أولادهم</w:t>
      </w:r>
      <w:bookmarkEnd w:id="844"/>
    </w:p>
    <w:p>
      <w:pPr>
        <w:pStyle w:val="Heading5"/>
        <w:numPr>
          <w:ilvl w:val="4"/>
          <w:numId w:val="1"/>
        </w:numPr>
        <w:rPr/>
      </w:pPr>
      <w:bookmarkStart w:id="845" w:name="__RefHeading___Toc9483104_73709187"/>
      <w:bookmarkStart w:id="846" w:name="_Toc321"/>
      <w:bookmarkEnd w:id="845"/>
      <w:r>
        <w:rPr>
          <w:rtl w:val="true"/>
        </w:rPr>
        <w:t>اشارة</w:t>
      </w:r>
      <w:bookmarkEnd w:id="846"/>
    </w:p>
    <w:p>
      <w:pPr>
        <w:pStyle w:val="BookText"/>
        <w:rPr/>
      </w:pPr>
      <w:r>
        <w:rPr>
          <w:rFonts w:ascii="IRNazanin" w:hAnsi="IRNazanin" w:eastAsia="IRNazanin"/>
          <w:color w:val="111111"/>
          <w:sz w:val="28"/>
          <w:sz w:val="28"/>
          <w:szCs w:val="28"/>
          <w:rtl w:val="true"/>
          <w:lang w:bidi="fa-IR"/>
        </w:rPr>
        <w:t>لا خلاف بین الفقهاء فی أنّه یصحّ للأب و کذا الجدّ أن یوصی إلی شخص بأن یتولّی امور أولاده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 الموصی الوصیَّ أن یتصرّف فی ترکته لورثته و یتّجر لهم بها و یأخذ نصف الربح، کان ذلک جائزاً، و حلال له نصف الربح</w:t>
      </w:r>
      <w:r>
        <w:rPr>
          <w:rFonts w:eastAsia="IRNazanin" w:cs="IRNazanin"/>
          <w:color w:val="111111"/>
          <w:sz w:val="28"/>
          <w:szCs w:val="28"/>
          <w:rtl w:val="true"/>
          <w:lang w:bidi="fa-IR"/>
        </w:rPr>
        <w:t>»</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الأولاد صغاراً؛ فإنّه یصحّ أن یوصی إلی من یلی علیهم؛ لأنّه یملک التولیة فی حال الحیاة، و کذلک له أن یستنیب من ینوب عنه بعد وفاته</w:t>
      </w:r>
      <w:r>
        <w:rPr>
          <w:rFonts w:eastAsia="IRNazanin" w:cs="IRNazanin"/>
          <w:color w:val="111111"/>
          <w:sz w:val="28"/>
          <w:szCs w:val="28"/>
          <w:rtl w:val="true"/>
          <w:lang w:bidi="fa-IR"/>
        </w:rPr>
        <w:t>»</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القاضی ابن البرّاج</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 الوصیّة بالولایة علی الأطفال، إلاّ من الأب أو الجدّ للأب خاصّة، و لا ولایة للاُمّ، و لا تصحّ منها الوصیّة علیهم، و لو أوصت لهم بمالٍ و نَصَبَتْ وصیّاً، صحّ تصرّفه فی ثلث ترکتها و فی إخراج ما علیها من الحقوق، و لم تمض علی الأولاد</w:t>
      </w:r>
      <w:r>
        <w:rPr>
          <w:rFonts w:eastAsia="IRNazanin" w:cs="IRNazanin"/>
          <w:color w:val="111111"/>
          <w:sz w:val="28"/>
          <w:szCs w:val="28"/>
          <w:rtl w:val="true"/>
          <w:lang w:bidi="fa-IR"/>
        </w:rPr>
        <w:t>»</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 العلاّمة</w:t>
      </w:r>
      <w:r>
        <w:rPr>
          <w:rStyle w:val="FootnoteAnchor"/>
          <w:rtl w:val="true"/>
        </w:rPr>
        <w:footnoteReference w:id="2534"/>
      </w:r>
      <w:r>
        <w:rPr>
          <w:rFonts w:ascii="IRNazanin" w:hAnsi="IRNazanin" w:eastAsia="IRNazanin"/>
          <w:color w:val="111111"/>
          <w:sz w:val="28"/>
          <w:sz w:val="28"/>
          <w:szCs w:val="28"/>
          <w:rtl w:val="true"/>
          <w:lang w:bidi="fa-IR"/>
        </w:rPr>
        <w:t>و الشهیدان</w:t>
      </w:r>
      <w:r>
        <w:rPr>
          <w:rStyle w:val="FootnoteAnchor"/>
          <w:rtl w:val="true"/>
        </w:rPr>
        <w:footnoteReference w:id="2535"/>
      </w:r>
    </w:p>
    <w:p>
      <w:pPr>
        <w:pStyle w:val="BookText"/>
        <w:rPr/>
      </w:pPr>
      <w:r>
        <w:rPr>
          <w:rFonts w:ascii="IRNazanin" w:hAnsi="IRNazanin" w:eastAsia="IRNazanin"/>
          <w:color w:val="111111"/>
          <w:sz w:val="28"/>
          <w:sz w:val="28"/>
          <w:szCs w:val="28"/>
          <w:rtl w:val="true"/>
          <w:lang w:bidi="fa-IR"/>
        </w:rPr>
        <w:t>ففی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الولایة علی الغیر من الأحکام المخالفة للأصل؛ إذ الأصل عدم جواز تصرّف الإنسان فی مال غیره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الاقتصار فی نصب الولیّ علی الأطفال علی محلّ النصّ أو الوفاق، و هو نصب الأب و الجدّ له</w:t>
      </w:r>
      <w:r>
        <w:rPr>
          <w:rFonts w:eastAsia="IRNazanin" w:cs="IRNazanin"/>
          <w:color w:val="111111"/>
          <w:sz w:val="28"/>
          <w:szCs w:val="28"/>
          <w:rtl w:val="true"/>
          <w:lang w:bidi="fa-IR"/>
        </w:rPr>
        <w:t>»</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أیضاً المحقّق الثانی</w:t>
      </w:r>
      <w:r>
        <w:rPr>
          <w:rStyle w:val="FootnoteAnchor"/>
          <w:rtl w:val="true"/>
        </w:rPr>
        <w:footnoteReference w:id="2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2538"/>
      </w:r>
      <w:r>
        <w:rPr>
          <w:rFonts w:ascii="IRNazanin" w:hAnsi="IRNazanin" w:eastAsia="IRNazanin"/>
          <w:color w:val="111111"/>
          <w:sz w:val="28"/>
          <w:sz w:val="28"/>
          <w:szCs w:val="28"/>
          <w:rtl w:val="true"/>
          <w:lang w:bidi="fa-IR"/>
        </w:rPr>
        <w:t>و الجواهر</w:t>
      </w:r>
      <w:r>
        <w:rPr>
          <w:rStyle w:val="FootnoteAnchor"/>
          <w:rtl w:val="true"/>
        </w:rPr>
        <w:footnoteReference w:id="2539"/>
      </w:r>
      <w:r>
        <w:rPr>
          <w:rFonts w:ascii="IRNazanin" w:hAnsi="IRNazanin" w:eastAsia="IRNazanin"/>
          <w:color w:val="111111"/>
          <w:sz w:val="28"/>
          <w:sz w:val="28"/>
          <w:szCs w:val="28"/>
          <w:rtl w:val="true"/>
          <w:lang w:bidi="fa-IR"/>
        </w:rPr>
        <w:t>و العروة مع تعلیقات عدّة من الفقهاء</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للأب مع عدم الجدّ و للجدّ للأب مع فقد الأب، جعل القیّم علی الصغار، و معه لا ولایة للحاکم، و لیس لغیرهما أن ینصب القیّم علیهم حتی الاُمّ</w:t>
      </w:r>
      <w:r>
        <w:rPr>
          <w:rFonts w:eastAsia="IRNazanin" w:cs="IRNazanin"/>
          <w:color w:val="111111"/>
          <w:sz w:val="28"/>
          <w:szCs w:val="28"/>
          <w:rtl w:val="true"/>
          <w:lang w:bidi="fa-IR"/>
        </w:rPr>
        <w:t>»</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تفصیل الشریعة، و 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لأنّه علی تقدیر وجود الآخر تکون الولایة الشرعیّة له، و لا تصل النوبة إلی الحاکم فضلاً عن غیره</w:t>
      </w:r>
      <w:r>
        <w:rPr>
          <w:rFonts w:eastAsia="IRNazanin" w:cs="IRNazanin"/>
          <w:color w:val="111111"/>
          <w:sz w:val="28"/>
          <w:szCs w:val="28"/>
          <w:rtl w:val="true"/>
          <w:lang w:bidi="fa-IR"/>
        </w:rPr>
        <w:t>»</w:t>
      </w:r>
      <w:r>
        <w:rPr>
          <w:rStyle w:val="FootnoteAnchor"/>
          <w:rtl w:val="true"/>
        </w:rPr>
        <w:footnoteReference w:id="2542"/>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 المستفیضة و سائر الأدلّة أنّ للأب و الجدّ التصرّف فی جمیع شئون الأطفال الصالحة لهم، سواء کانت تلک الاُمور صالحة لهم فی حال حیاة الأب و الجدّ أو فی حال مماتهما</w:t>
      </w:r>
      <w:r>
        <w:rPr>
          <w:rFonts w:eastAsia="IRNazanin" w:cs="IRNazanin"/>
          <w:color w:val="111111"/>
          <w:sz w:val="28"/>
          <w:szCs w:val="28"/>
          <w:rtl w:val="true"/>
          <w:lang w:bidi="fa-IR"/>
        </w:rPr>
        <w:t>.</w:t>
      </w:r>
      <w:bookmarkStart w:id="847" w:name="pg11753_115148"/>
    </w:p>
    <w:p>
      <w:pPr>
        <w:pStyle w:val="BookText"/>
        <w:rPr/>
      </w:pPr>
      <w:bookmarkEnd w:id="847"/>
      <w:r>
        <w:rPr>
          <w:rFonts w:ascii="IRNazanin" w:hAnsi="IRNazanin" w:eastAsia="IRNazanin"/>
          <w:color w:val="111111"/>
          <w:sz w:val="28"/>
          <w:sz w:val="28"/>
          <w:szCs w:val="28"/>
          <w:rtl w:val="true"/>
          <w:lang w:bidi="fa-IR"/>
        </w:rPr>
        <w:t>و لا شکّ فی أنّ نصب القیّم الثقة لإصلاح امورهم و تدبیر شئونهم بعد موتهما من التصرّفات الصالحة لهم، فلذلک یصحّ للأب و الجدّ من طرف الأب الوصیّة بذلک و تکون نافذة</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9483106_73709187"/>
      <w:bookmarkStart w:id="849" w:name="_Toc322"/>
      <w:bookmarkEnd w:id="848"/>
      <w:r>
        <w:rPr>
          <w:rtl w:val="true"/>
        </w:rPr>
        <w:t>أدلّة جواز الوصیّة بالولایة</w:t>
      </w:r>
      <w:bookmarkEnd w:id="849"/>
    </w:p>
    <w:p>
      <w:pPr>
        <w:pStyle w:val="BookText"/>
        <w:rPr/>
      </w:pPr>
      <w:r>
        <w:rPr>
          <w:rFonts w:ascii="IRNazanin" w:hAnsi="IRNazanin" w:eastAsia="IRNazanin"/>
          <w:color w:val="111111"/>
          <w:sz w:val="28"/>
          <w:sz w:val="28"/>
          <w:szCs w:val="28"/>
          <w:rtl w:val="true"/>
          <w:lang w:bidi="fa-IR"/>
        </w:rPr>
        <w:t>و یمکن الاستدلال لجواز الوصیّة بالولایة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تصحّ الوصیّة بالولایة علی الأطفال إلاّ من الأب أو من الجدّ للأب خاصّةً، الثابتة ولایتهما علیهم زمن الحیاة علی وجهٍ لهما الوصیّة بها نصّاً و فتوی، بل إجماعاً بقسمیه</w:t>
      </w:r>
      <w:r>
        <w:rPr>
          <w:rFonts w:eastAsia="IRNazanin" w:cs="IRNazanin"/>
          <w:color w:val="111111"/>
          <w:sz w:val="28"/>
          <w:szCs w:val="28"/>
          <w:rtl w:val="true"/>
          <w:lang w:bidi="fa-IR"/>
        </w:rPr>
        <w:t>»</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حکاه عنه فی المستمسک</w:t>
      </w:r>
      <w:r>
        <w:rPr>
          <w:rStyle w:val="FootnoteAnchor"/>
          <w:rtl w:val="true"/>
        </w:rPr>
        <w:footnoteReference w:id="2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ادّعاه فی المهذّب</w:t>
      </w:r>
      <w:r>
        <w:rPr>
          <w:rStyle w:val="FootnoteAnchor"/>
          <w:rtl w:val="true"/>
        </w:rPr>
        <w:footnoteReference w:id="2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مبانی المنهاج</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محلّ النصّ أو الوفاق</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متسالم علیه، و لم ینسب الخلاف إلی أحد</w:t>
      </w:r>
      <w:r>
        <w:rPr>
          <w:rFonts w:eastAsia="IRNazanin" w:cs="IRNazanin"/>
          <w:color w:val="111111"/>
          <w:sz w:val="28"/>
          <w:szCs w:val="28"/>
          <w:rtl w:val="true"/>
          <w:lang w:bidi="fa-IR"/>
        </w:rPr>
        <w:t>»</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قال السیّد الفقیه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هو الذی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المتشرّعة، و تدلّ علیه السیرة المستمرّة قدیماً و حدیثاً</w:t>
      </w:r>
      <w:r>
        <w:rPr>
          <w:rFonts w:eastAsia="IRNazanin" w:cs="IRNazanin"/>
          <w:color w:val="111111"/>
          <w:sz w:val="28"/>
          <w:szCs w:val="28"/>
          <w:rtl w:val="true"/>
          <w:lang w:bidi="fa-IR"/>
        </w:rPr>
        <w:t>»</w:t>
      </w:r>
      <w:r>
        <w:rPr>
          <w:rStyle w:val="FootnoteAnchor"/>
          <w:rtl w:val="true"/>
        </w:rPr>
        <w:footnoteReference w:id="2551"/>
      </w:r>
    </w:p>
    <w:p>
      <w:pPr>
        <w:pStyle w:val="BookText"/>
        <w:rPr/>
      </w:pPr>
      <w:r>
        <w:rPr>
          <w:rFonts w:ascii="IRNazanin" w:hAnsi="IRNazanin" w:eastAsia="IRNazanin"/>
          <w:color w:val="111111"/>
          <w:sz w:val="28"/>
          <w:sz w:val="28"/>
          <w:szCs w:val="28"/>
          <w:rtl w:val="true"/>
          <w:lang w:bidi="fa-IR"/>
        </w:rPr>
        <w:t>و فی مبانی منهاج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السیرة جاریة علی الوصیّة علی الیتیم و جعل القیّم له بلا إنکار من المتشرّعة، و هذا آیة الجواز</w:t>
      </w:r>
      <w:r>
        <w:rPr>
          <w:rFonts w:eastAsia="IRNazanin" w:cs="IRNazanin"/>
          <w:color w:val="111111"/>
          <w:sz w:val="28"/>
          <w:szCs w:val="28"/>
          <w:rtl w:val="true"/>
          <w:lang w:bidi="fa-IR"/>
        </w:rPr>
        <w:t>»</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الکثیرة و هی العمدة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 xml:space="preserve">محمّد بن مسلم، و قد یعبّر عنها بالصحیحة </w:t>
      </w:r>
      <w:r>
        <w:rPr>
          <w:rStyle w:val="FootnoteAnchor"/>
          <w:rtl w:val="true"/>
        </w:rPr>
        <w:footnoteReference w:id="2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سُئل عن رجل أوصی إلی رجلٍ بولده و بمال لهم، و أذن له عند الوصیّة أن یعمل بالمال، و أن یکون الربح بینه و بینهم،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من أجل أنّ أباه قد أذن له فی ذلک و هو حیٌّ</w:t>
      </w:r>
      <w:r>
        <w:rPr>
          <w:rFonts w:eastAsia="IRNazanin" w:cs="IRNazanin"/>
          <w:color w:val="111111"/>
          <w:sz w:val="28"/>
          <w:szCs w:val="28"/>
          <w:rtl w:val="true"/>
          <w:lang w:bidi="fa-IR"/>
        </w:rPr>
        <w:t>»</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أوضح تعبیر فی الولایة الشرعیّة بالنسبة إلی الصغیر من جهة وصیّة الأب؛ لأنّ مقتضی عموم التعلیل عدم اختصاص الحکم بالمضاربة، و شموله لکلّ ما کان له التصرّف فیه فی حیاته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بتعلیلها علی أنّ إذن الأب موجب لصحّة المعاملات الواقعة علی مال الصغیر؛ سواء کان فی حال حیاته؛ بأن یوکّل من یعمل ذلک؛ أو کان بعد مماته بالإیصاء و الإجازة، فیظهر منها أنّ له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ولیّ الطفل، و أنّ تصرّفاته نافذة؛ سواء کانت فیما ملکه الطفل حال حیاته، أو فیما انتقل</w:t>
      </w:r>
    </w:p>
    <w:p>
      <w:pPr>
        <w:pStyle w:val="BookText"/>
        <w:rPr/>
      </w:pPr>
      <w:r>
        <w:rPr>
          <w:rFonts w:ascii="IRNazanin" w:hAnsi="IRNazanin" w:eastAsia="IRNazanin"/>
          <w:color w:val="111111"/>
          <w:sz w:val="28"/>
          <w:sz w:val="28"/>
          <w:szCs w:val="28"/>
          <w:rtl w:val="true"/>
          <w:lang w:bidi="fa-IR"/>
        </w:rPr>
        <w:t>إلیه بعد مماته</w:t>
      </w:r>
      <w:r>
        <w:rPr>
          <w:rFonts w:eastAsia="IRNazanin" w:cs="IRNazanin"/>
          <w:color w:val="111111"/>
          <w:sz w:val="28"/>
          <w:szCs w:val="28"/>
          <w:rtl w:val="true"/>
          <w:lang w:bidi="fa-IR"/>
        </w:rPr>
        <w:t>»</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w:t>
      </w:r>
    </w:p>
    <w:p>
      <w:pPr>
        <w:pStyle w:val="BookText"/>
        <w:rPr/>
      </w:pPr>
      <w:r>
        <w:rPr>
          <w:rFonts w:ascii="IRNazanin" w:hAnsi="IRNazanin" w:eastAsia="IRNazanin"/>
          <w:color w:val="111111"/>
          <w:sz w:val="28"/>
          <w:sz w:val="28"/>
          <w:szCs w:val="28"/>
          <w:rtl w:val="true"/>
          <w:lang w:bidi="fa-IR"/>
        </w:rPr>
        <w:t xml:space="preserve">خالد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أیضاً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أبی حین حضرته الوفاة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اقبض مال إخوتک الصغار و اعمل به، و خذ نصف الربح و أعطهم النصف، و لیس علیک ضمان، فقدّمتنی امّ ولد أبی بعد وفاة أبی إلی ابن أبی لیلی،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یأکل أموال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فاقتصصت علیه ما أمرنی به أبی، فقال لی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أبوک أمرک بالباطل لم أجزه، ثمّ أشهد عَلَیَّ ابن أبی لیلی إن أنا حرّکته فأنا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أبی عبد اللّه علیه السلام فقصصت علیه قصّتی،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قول ابن أبی لیلی فلا أستطیع ردّه، و أمّا فیما بینک و 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فلیس علیک ضمان</w:t>
      </w:r>
      <w:r>
        <w:rPr>
          <w:rFonts w:eastAsia="IRNazanin" w:cs="IRNazanin"/>
          <w:color w:val="111111"/>
          <w:sz w:val="28"/>
          <w:szCs w:val="28"/>
          <w:rtl w:val="true"/>
          <w:lang w:bidi="fa-IR"/>
        </w:rPr>
        <w:t>»</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من جهة الدلالة صریحة فی الوصیّة علی الولایة فی مال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سنداً، فقد استشکل علیه من جهة أنّ خالد بن بکیر مجهول الحال، و لکنّ الأظهر أنّ فی السند ابن أبی عمیر و هو ممّن اجمع علی تصحیح ما یصحّ عنه، قال الشیخ 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عمیر و صفوان بن یحیی و أحمد بن محمّد بن أبی نصر و غیرهم من الثقات الذین عُرِفوا بأنّهم لا یروون و لا یرسلون إلاّ ممّن یوثق به</w:t>
      </w:r>
      <w:r>
        <w:rPr>
          <w:rFonts w:eastAsia="IRNazanin" w:cs="IRNazanin"/>
          <w:color w:val="111111"/>
          <w:sz w:val="28"/>
          <w:szCs w:val="28"/>
          <w:rtl w:val="true"/>
          <w:lang w:bidi="fa-IR"/>
        </w:rPr>
        <w:t>»</w:t>
      </w:r>
      <w:r>
        <w:rPr>
          <w:rStyle w:val="FootnoteAnchor"/>
          <w:rtl w:val="true"/>
        </w:rPr>
        <w:footnoteReference w:id="2557"/>
      </w:r>
      <w:r>
        <w:rPr>
          <w:rFonts w:ascii="IRNazanin" w:hAnsi="IRNazanin" w:eastAsia="IRNazanin"/>
          <w:color w:val="111111"/>
          <w:sz w:val="28"/>
          <w:sz w:val="28"/>
          <w:szCs w:val="28"/>
          <w:rtl w:val="true"/>
          <w:lang w:bidi="fa-IR"/>
        </w:rPr>
        <w:t>و أیضاً قصور سندها لو فرض کونها مجهولة مجبور بالشهرة العظیمة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الیتیمة</w:t>
      </w:r>
      <w:bookmarkStart w:id="850" w:name="pg11753_115151"/>
    </w:p>
    <w:p>
      <w:pPr>
        <w:pStyle w:val="BookText"/>
        <w:rPr/>
      </w:pPr>
      <w:bookmarkEnd w:id="850"/>
      <w:r>
        <w:rPr>
          <w:rFonts w:ascii="IRNazanin" w:hAnsi="IRNazanin" w:eastAsia="IRNazanin"/>
          <w:color w:val="111111"/>
          <w:sz w:val="28"/>
          <w:sz w:val="28"/>
          <w:szCs w:val="28"/>
          <w:rtl w:val="true"/>
          <w:lang w:bidi="fa-IR"/>
        </w:rPr>
        <w:t>متی یُدفع إلیها مالها؟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لا تفسد و لا تُضیّع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فسألته إن کانت قد تزوّجت؟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تزوّجت فقد انقطع ملک الوصی عنها</w:t>
      </w:r>
      <w:r>
        <w:rPr>
          <w:rFonts w:eastAsia="IRNazanin" w:cs="IRNazanin"/>
          <w:color w:val="111111"/>
          <w:sz w:val="28"/>
          <w:szCs w:val="28"/>
          <w:rtl w:val="true"/>
          <w:lang w:bidi="fa-IR"/>
        </w:rPr>
        <w:t>»</w:t>
      </w:r>
      <w:r>
        <w:rPr>
          <w:rStyle w:val="FootnoteAnchor"/>
          <w:rtl w:val="true"/>
        </w:rPr>
        <w:footnoteReference w:id="2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مرسلة محمّد بن عیسی</w:t>
      </w:r>
      <w:r>
        <w:rPr>
          <w:rStyle w:val="FootnoteAnchor"/>
          <w:rtl w:val="true"/>
        </w:rPr>
        <w:footnoteReference w:id="2559"/>
      </w:r>
      <w:r>
        <w:rPr>
          <w:rFonts w:ascii="IRNazanin" w:hAnsi="IRNazanin" w:eastAsia="IRNazanin"/>
          <w:color w:val="111111"/>
          <w:sz w:val="28"/>
          <w:sz w:val="28"/>
          <w:szCs w:val="28"/>
          <w:rtl w:val="true"/>
          <w:lang w:bidi="fa-IR"/>
        </w:rPr>
        <w:t>، و خبر سعد بن إسماعیل</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رحمه الله</w:t>
      </w:r>
      <w:r>
        <w:rPr>
          <w:rStyle w:val="FootnoteAnchor"/>
          <w:rtl w:val="true"/>
        </w:rPr>
        <w:footnoteReference w:id="25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مکاتبة الصفّار للعسکری علیه السلام</w:t>
      </w:r>
      <w:r>
        <w:rPr>
          <w:rStyle w:val="FootnoteAnchor"/>
          <w:rtl w:val="true"/>
        </w:rPr>
        <w:footnoteReference w:id="2562"/>
      </w:r>
      <w:r>
        <w:rPr>
          <w:rFonts w:ascii="IRNazanin" w:hAnsi="IRNazanin" w:eastAsia="IRNazanin"/>
          <w:color w:val="111111"/>
          <w:sz w:val="28"/>
          <w:sz w:val="28"/>
          <w:szCs w:val="28"/>
          <w:rtl w:val="true"/>
          <w:lang w:bidi="fa-IR"/>
        </w:rPr>
        <w:t>دلالةٌ ما علی الجواز</w:t>
      </w:r>
      <w:r>
        <w:rPr>
          <w:rFonts w:eastAsia="IRNazanin" w:cs="IRNazanin"/>
          <w:color w:val="111111"/>
          <w:sz w:val="28"/>
          <w:szCs w:val="28"/>
          <w:rtl w:val="true"/>
          <w:lang w:bidi="fa-IR"/>
        </w:rPr>
        <w:t>».</w:t>
      </w:r>
    </w:p>
    <w:p>
      <w:pPr>
        <w:pStyle w:val="Heading5"/>
        <w:numPr>
          <w:ilvl w:val="4"/>
          <w:numId w:val="1"/>
        </w:numPr>
        <w:rPr/>
      </w:pPr>
      <w:bookmarkStart w:id="851" w:name="__RefHeading___Toc9483108_73709187"/>
      <w:bookmarkStart w:id="852" w:name="_Toc323"/>
      <w:bookmarkEnd w:id="851"/>
      <w:r>
        <w:rPr>
          <w:rtl w:val="true"/>
        </w:rPr>
        <w:t>فرع</w:t>
      </w:r>
      <w:bookmarkEnd w:id="852"/>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جعل الولایة علی الأطفال لاثنین فما زاد بالاستقلال و الاشتراک، و جعل الناظر علی الوصیّ کالوصیّة بالمال</w:t>
      </w:r>
      <w:r>
        <w:rPr>
          <w:rFonts w:eastAsia="IRNazanin" w:cs="IRNazanin"/>
          <w:color w:val="111111"/>
          <w:sz w:val="28"/>
          <w:szCs w:val="28"/>
          <w:rtl w:val="true"/>
          <w:lang w:bidi="fa-IR"/>
        </w:rPr>
        <w:t>»</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تفصیل الشریعة،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الأنسب التعبیر بالقیّم مکان الوصیّ</w:t>
      </w:r>
      <w:r>
        <w:rPr>
          <w:rFonts w:eastAsia="IRNazanin" w:cs="IRNazanin"/>
          <w:color w:val="111111"/>
          <w:sz w:val="28"/>
          <w:szCs w:val="28"/>
          <w:rtl w:val="true"/>
          <w:lang w:bidi="fa-IR"/>
        </w:rPr>
        <w:t>»</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9483110_73709187"/>
      <w:bookmarkStart w:id="854" w:name="_Toc324"/>
      <w:bookmarkEnd w:id="853"/>
      <w:r>
        <w:rPr>
          <w:rtl w:val="true"/>
        </w:rPr>
        <w:t>آراء فقهاء أهل السنّة فی الوصیّة بالولایة</w:t>
      </w:r>
      <w:bookmarkEnd w:id="85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pStyle w:val="BookText"/>
        <w:rPr/>
      </w:pPr>
      <w:r>
        <w:rPr>
          <w:rFonts w:ascii="IRNazanin" w:hAnsi="IRNazanin" w:eastAsia="IRNazanin"/>
          <w:color w:val="111111"/>
          <w:sz w:val="28"/>
          <w:sz w:val="28"/>
          <w:szCs w:val="28"/>
          <w:rtl w:val="true"/>
          <w:lang w:bidi="fa-IR"/>
        </w:rPr>
        <w:t>یشترط عندهم فی الوصیّة بالولایة علی الأطفال أن تکون الولایة من جهة الشرع</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المهذّب للشیرازی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تثبت له الولایة فی مال ولده و لم یکن له ولیّ</w:t>
      </w:r>
    </w:p>
    <w:p>
      <w:pPr>
        <w:pStyle w:val="BookText"/>
        <w:rPr/>
      </w:pPr>
      <w:r>
        <w:rPr>
          <w:rFonts w:ascii="IRNazanin" w:hAnsi="IRNazanin" w:eastAsia="IRNazanin"/>
          <w:color w:val="111111"/>
          <w:sz w:val="28"/>
          <w:sz w:val="28"/>
          <w:szCs w:val="28"/>
          <w:rtl w:val="true"/>
          <w:lang w:bidi="fa-IR"/>
        </w:rPr>
        <w:t>بعده جاز له أن یوصی إلی من ینظر فی ماله</w:t>
      </w:r>
      <w:r>
        <w:rPr>
          <w:rFonts w:eastAsia="IRNazanin" w:cs="IRNazanin"/>
          <w:color w:val="111111"/>
          <w:sz w:val="28"/>
          <w:szCs w:val="28"/>
          <w:rtl w:val="true"/>
          <w:lang w:bidi="fa-IR"/>
        </w:rPr>
        <w:t>»</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2566"/>
      </w:r>
      <w:r>
        <w:rPr>
          <w:rFonts w:ascii="IRNazanin" w:hAnsi="IRNazanin" w:eastAsia="IRNazanin"/>
          <w:color w:val="111111"/>
          <w:sz w:val="28"/>
          <w:sz w:val="28"/>
          <w:szCs w:val="28"/>
          <w:rtl w:val="true"/>
          <w:lang w:bidi="fa-IR"/>
        </w:rPr>
        <w:t>و البیان</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الوصیّة بالولایة علی أطفال، اعتبر فی الموصی بها ستّة شروط، لا تصحّ الوصیّة منه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یلی علی الطفل فی حیاته بنفسه؛ لأنّه یقیم الوصیّ مقام نفسه، فلم تصحّ إلاّ ممّن قد استحقّ الولایة بنفسه، و ذلک فی الوالدین دون غیرهم من الإخوة و الأعمام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هکذا فالذی یستحقّ الولایة فی حیاته و یوصی بها عند وفاته هو الأب و آبائه</w:t>
      </w:r>
      <w:r>
        <w:rPr>
          <w:rFonts w:eastAsia="IRNazanin" w:cs="IRNazanin"/>
          <w:color w:val="111111"/>
          <w:sz w:val="28"/>
          <w:szCs w:val="28"/>
          <w:rtl w:val="true"/>
          <w:lang w:bidi="fa-IR"/>
        </w:rPr>
        <w:t>»</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الوصایة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امور الأطفال، فیشترط مع ذلک أن یکون للموصی ولایة علی الأطفال ابتداء من الشرع، لا بتفویضٍ و شرط</w:t>
      </w:r>
      <w:r>
        <w:rPr>
          <w:rFonts w:eastAsia="IRNazanin" w:cs="IRNazanin"/>
          <w:color w:val="111111"/>
          <w:sz w:val="28"/>
          <w:szCs w:val="28"/>
          <w:rtl w:val="true"/>
          <w:lang w:bidi="fa-IR"/>
        </w:rPr>
        <w:t>»</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النووی</w:t>
      </w:r>
      <w:r>
        <w:rPr>
          <w:rStyle w:val="FootnoteAnchor"/>
          <w:rtl w:val="true"/>
        </w:rPr>
        <w:footnoteReference w:id="2570"/>
      </w:r>
      <w:r>
        <w:rPr>
          <w:rFonts w:ascii="IRNazanin" w:hAnsi="IRNazanin" w:eastAsia="IRNazanin"/>
          <w:color w:val="111111"/>
          <w:sz w:val="28"/>
          <w:sz w:val="28"/>
          <w:szCs w:val="28"/>
          <w:rtl w:val="true"/>
          <w:lang w:bidi="fa-IR"/>
        </w:rPr>
        <w:t>و الخطیب الشربینی</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حاشیة ردّ المحتار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الولایة فی مال الصغیر للأب ثمّ وصیّه، ثمّ وصیّ وصیّه و لو بعد، فلو مات الأب و لم یوص فالولایة لأبی الأب، ثمّ وصیّه، ثمّ وصیّ وصیّه، فإن لم یکن فللقاضی و منصوبه، و لو أوصی إلی رجلٍ و الأولاد صغار و کبار فمات بعضهم و ترک ابناً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فوصیّ الجدّ وصیّ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بیعه علیه، کما</w:t>
      </w:r>
    </w:p>
    <w:p>
      <w:pPr>
        <w:pStyle w:val="BookText"/>
        <w:rPr/>
      </w:pPr>
      <w:r>
        <w:rPr>
          <w:rFonts w:ascii="IRNazanin" w:hAnsi="IRNazanin" w:eastAsia="IRNazanin"/>
          <w:color w:val="111111"/>
          <w:sz w:val="28"/>
          <w:sz w:val="28"/>
          <w:szCs w:val="28"/>
          <w:rtl w:val="true"/>
          <w:lang w:bidi="fa-IR"/>
        </w:rPr>
        <w:t>صحّ علی أبیه فی غیر العقار</w:t>
      </w:r>
      <w:r>
        <w:rPr>
          <w:rFonts w:eastAsia="IRNazanin" w:cs="IRNazanin"/>
          <w:color w:val="111111"/>
          <w:sz w:val="28"/>
          <w:szCs w:val="28"/>
          <w:rtl w:val="true"/>
          <w:lang w:bidi="fa-IR"/>
        </w:rPr>
        <w:t>»</w:t>
      </w:r>
      <w:r>
        <w:rPr>
          <w:rStyle w:val="FootnoteAnchor"/>
          <w:rtl w:val="true"/>
        </w:rPr>
        <w:footnoteReference w:id="2572"/>
      </w:r>
      <w:r>
        <w:rPr>
          <w:rFonts w:ascii="IRNazanin" w:hAnsi="IRNazanin" w:eastAsia="IRNazanin"/>
          <w:color w:val="111111"/>
          <w:sz w:val="28"/>
          <w:sz w:val="28"/>
          <w:szCs w:val="28"/>
          <w:rtl w:val="true"/>
          <w:lang w:bidi="fa-IR"/>
        </w:rPr>
        <w:t>، و کذا فی تبیین الحقائق</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السمرقندی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وصیّ الأب أولی من الجدّ، فإن لم یکن فالجدّ، ثمّ وصیّ الجد، فإن لم یکن فالقاضی و وصیّ القاضی</w:t>
      </w:r>
      <w:r>
        <w:rPr>
          <w:rFonts w:eastAsia="IRNazanin" w:cs="IRNazanin"/>
          <w:color w:val="111111"/>
          <w:sz w:val="28"/>
          <w:szCs w:val="28"/>
          <w:rtl w:val="true"/>
          <w:lang w:bidi="fa-IR"/>
        </w:rPr>
        <w:t>»</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إلی رجلٍ بماله فهو وصیّ فی ماله و ولده و سائر أسبابه عندنا</w:t>
      </w:r>
      <w:r>
        <w:rPr>
          <w:rFonts w:eastAsia="IRNazanin" w:cs="IRNazanin"/>
          <w:color w:val="111111"/>
          <w:sz w:val="28"/>
          <w:szCs w:val="28"/>
          <w:rtl w:val="true"/>
          <w:lang w:bidi="fa-IR"/>
        </w:rPr>
        <w:t>»</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مختصر اختلاف العلماء</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تصحّ عندهم الوصیّة بالولایة علی الأطفال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الوصیّة بالنظر إلی ورثته فی أموالهم، فإن کان الموصی ذا ولایةٍ علیهم فی المال کأولاده الصغار و المجانین و من لم یعلم رشده منهم، فله أن یوصی إلی من ینظر فی أموالهم بحفظها و یتصرّف لهم فیها بما لهم الحظّ فیه، لقیام وصیّه مقامه</w:t>
      </w:r>
      <w:r>
        <w:rPr>
          <w:rFonts w:eastAsia="IRNazanin" w:cs="IRNazanin"/>
          <w:color w:val="111111"/>
          <w:sz w:val="28"/>
          <w:szCs w:val="28"/>
          <w:rtl w:val="true"/>
          <w:lang w:bidi="fa-IR"/>
        </w:rPr>
        <w:t>»</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ولایة علی أموال الصغار عند الحنابلة إلاّ للأب و وصیّه، و إذا سقطت الولایة من جهة القرابة فتثبت للسلطان و لا ولایة لغیرهم، و من تثبت له الولایة علی مال ولده فله أن یوصی إلی من ینظر فیه، کما فی الکافی فی فقه أحمد</w:t>
      </w:r>
      <w:r>
        <w:rPr>
          <w:rStyle w:val="FootnoteAnchor"/>
          <w:rtl w:val="true"/>
        </w:rPr>
        <w:footnoteReference w:id="2578"/>
      </w:r>
      <w:bookmarkStart w:id="855" w:name="pg11753_115154"/>
    </w:p>
    <w:p>
      <w:pPr>
        <w:pStyle w:val="BookText"/>
        <w:rPr/>
      </w:pPr>
      <w:bookmarkEnd w:id="855"/>
      <w:r>
        <w:rPr>
          <w:rFonts w:ascii="IRNazanin" w:hAnsi="IRNazanin" w:eastAsia="IRNazanin"/>
          <w:color w:val="111111"/>
          <w:sz w:val="28"/>
          <w:sz w:val="28"/>
          <w:szCs w:val="28"/>
          <w:rtl w:val="true"/>
          <w:lang w:bidi="fa-IR"/>
        </w:rPr>
        <w:t>و کذا فی المقنع</w:t>
      </w:r>
      <w:r>
        <w:rPr>
          <w:rStyle w:val="FootnoteAnchor"/>
          <w:rtl w:val="true"/>
        </w:rPr>
        <w:footnoteReference w:id="2579"/>
      </w:r>
      <w:r>
        <w:rPr>
          <w:rFonts w:ascii="IRNazanin" w:hAnsi="IRNazanin" w:eastAsia="IRNazanin"/>
          <w:color w:val="111111"/>
          <w:sz w:val="28"/>
          <w:sz w:val="28"/>
          <w:szCs w:val="28"/>
          <w:rtl w:val="true"/>
          <w:lang w:bidi="fa-IR"/>
        </w:rPr>
        <w:t>و المبدع</w:t>
      </w:r>
      <w:r>
        <w:rPr>
          <w:rStyle w:val="FootnoteAnchor"/>
          <w:rtl w:val="true"/>
        </w:rPr>
        <w:footnoteReference w:id="2580"/>
      </w:r>
      <w:r>
        <w:rPr>
          <w:rFonts w:ascii="IRNazanin" w:hAnsi="IRNazanin" w:eastAsia="IRNazanin"/>
          <w:color w:val="111111"/>
          <w:sz w:val="28"/>
          <w:sz w:val="28"/>
          <w:szCs w:val="28"/>
          <w:rtl w:val="true"/>
          <w:lang w:bidi="fa-IR"/>
        </w:rPr>
        <w:t>و الإقناع</w:t>
      </w:r>
      <w:r>
        <w:rPr>
          <w:rStyle w:val="FootnoteAnchor"/>
          <w:rtl w:val="true"/>
        </w:rPr>
        <w:footnoteReference w:id="2581"/>
      </w:r>
      <w:r>
        <w:rPr>
          <w:rFonts w:ascii="IRNazanin" w:hAnsi="IRNazanin" w:eastAsia="IRNazanin"/>
          <w:color w:val="111111"/>
          <w:sz w:val="28"/>
          <w:sz w:val="28"/>
          <w:szCs w:val="28"/>
          <w:rtl w:val="true"/>
          <w:lang w:bidi="fa-IR"/>
        </w:rPr>
        <w:t>و الفروع</w:t>
      </w:r>
      <w:r>
        <w:rPr>
          <w:rStyle w:val="FootnoteAnchor"/>
          <w:rtl w:val="true"/>
        </w:rPr>
        <w:footnoteReference w:id="2582"/>
      </w:r>
      <w:r>
        <w:rPr>
          <w:rFonts w:ascii="IRNazanin" w:hAnsi="IRNazanin" w:eastAsia="IRNazanin"/>
          <w:color w:val="111111"/>
          <w:sz w:val="28"/>
          <w:sz w:val="28"/>
          <w:szCs w:val="28"/>
          <w:rtl w:val="true"/>
          <w:lang w:bidi="fa-IR"/>
        </w:rPr>
        <w:t>و منتهی الإرادات</w:t>
      </w:r>
      <w:r>
        <w:rPr>
          <w:rStyle w:val="FootnoteAnchor"/>
          <w:rtl w:val="true"/>
        </w:rPr>
        <w:footnoteReference w:id="2583"/>
      </w:r>
    </w:p>
    <w:p>
      <w:pPr>
        <w:pStyle w:val="BookText"/>
        <w:rPr/>
      </w:pPr>
      <w:r>
        <w:rPr>
          <w:rFonts w:ascii="IRNazanin" w:hAnsi="IRNazanin" w:eastAsia="IRNazanin"/>
          <w:color w:val="111111"/>
          <w:sz w:val="28"/>
          <w:sz w:val="28"/>
          <w:szCs w:val="28"/>
          <w:rtl w:val="true"/>
          <w:lang w:bidi="fa-IR"/>
        </w:rPr>
        <w:t>و الإنصاف</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جاء فی حاشیة الخرشی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علی الأولاد و إقامة من ینظر فی حالهم مختصّ بالآباء لا بغیرهم من الأقارب من الأجداد و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بشرط أن یکون الأب رشیداً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الأب المحجور علیه؛ فإنّه لا یوصی علی ولده؛ إذ لا نظر له علیه، و کذا لو بلغ الصبیّ رشیداً ثمّ حصل له السفه، فلیس للأب الإیصاء علیه و إنّما الناظر له هو الحاکم</w:t>
      </w:r>
      <w:r>
        <w:rPr>
          <w:rStyle w:val="FootnoteAnchor"/>
          <w:rtl w:val="true"/>
        </w:rPr>
        <w:footnoteReference w:id="2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المدوّنة الکبری</w:t>
      </w:r>
      <w:r>
        <w:rPr>
          <w:rStyle w:val="FootnoteAnchor"/>
          <w:rtl w:val="true"/>
        </w:rPr>
        <w:footnoteReference w:id="2586"/>
      </w:r>
      <w:r>
        <w:rPr>
          <w:rFonts w:ascii="IRNazanin" w:hAnsi="IRNazanin" w:eastAsia="IRNazanin"/>
          <w:color w:val="111111"/>
          <w:sz w:val="28"/>
          <w:sz w:val="28"/>
          <w:szCs w:val="28"/>
          <w:rtl w:val="true"/>
          <w:lang w:bidi="fa-IR"/>
        </w:rPr>
        <w:t>و بلغة السالک</w:t>
      </w:r>
      <w:r>
        <w:rPr>
          <w:rStyle w:val="FootnoteAnchor"/>
          <w:rtl w:val="true"/>
        </w:rPr>
        <w:footnoteReference w:id="2587"/>
      </w:r>
      <w:r>
        <w:rPr>
          <w:rFonts w:ascii="IRNazanin" w:hAnsi="IRNazanin" w:eastAsia="IRNazanin"/>
          <w:color w:val="111111"/>
          <w:sz w:val="28"/>
          <w:sz w:val="28"/>
          <w:szCs w:val="28"/>
          <w:rtl w:val="true"/>
          <w:lang w:bidi="fa-IR"/>
        </w:rPr>
        <w:t>و حاشیة الدسوقی</w:t>
      </w:r>
      <w:r>
        <w:rPr>
          <w:rStyle w:val="FootnoteAnchor"/>
          <w:rtl w:val="true"/>
        </w:rPr>
        <w:footnoteReference w:id="2588"/>
      </w:r>
      <w:r>
        <w:rPr>
          <w:rFonts w:ascii="IRNazanin" w:hAnsi="IRNazanin" w:eastAsia="IRNazanin"/>
          <w:color w:val="111111"/>
          <w:sz w:val="28"/>
          <w:sz w:val="28"/>
          <w:szCs w:val="28"/>
          <w:rtl w:val="true"/>
          <w:lang w:bidi="fa-IR"/>
        </w:rPr>
        <w:t>و مواهب الجلیل</w:t>
      </w:r>
      <w:r>
        <w:rPr>
          <w:rStyle w:val="FootnoteAnchor"/>
          <w:rtl w:val="true"/>
        </w:rPr>
        <w:footnoteReference w:id="2589"/>
      </w:r>
      <w:r>
        <w:rPr>
          <w:rFonts w:ascii="IRNazanin" w:hAnsi="IRNazanin" w:eastAsia="IRNazanin"/>
          <w:color w:val="111111"/>
          <w:sz w:val="28"/>
          <w:sz w:val="28"/>
          <w:szCs w:val="28"/>
          <w:rtl w:val="true"/>
          <w:lang w:bidi="fa-IR"/>
        </w:rPr>
        <w:t>و غیرها</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9483112_73709187"/>
      <w:bookmarkStart w:id="857" w:name="_Toc325"/>
      <w:bookmarkEnd w:id="856"/>
      <w:r>
        <w:rPr>
          <w:rtl w:val="true"/>
        </w:rPr>
        <w:t>إیضاح</w:t>
      </w:r>
      <w:bookmarkEnd w:id="85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القیّم علی الأطفال ما اشترط فی الوصیّ علی المال، و الأحوط اعتبار العدالة، و إن کان الاکتفاء بالأمانة و وجود المصلحة</w:t>
      </w:r>
    </w:p>
    <w:p>
      <w:pPr>
        <w:pStyle w:val="BookText"/>
        <w:rPr/>
      </w:pPr>
      <w:r>
        <w:rPr>
          <w:rFonts w:ascii="IRNazanin" w:hAnsi="IRNazanin" w:eastAsia="IRNazanin"/>
          <w:color w:val="111111"/>
          <w:sz w:val="28"/>
          <w:sz w:val="28"/>
          <w:szCs w:val="28"/>
          <w:rtl w:val="true"/>
          <w:lang w:bidi="fa-IR"/>
        </w:rPr>
        <w:t>لیس ببعید</w:t>
      </w:r>
      <w:r>
        <w:rPr>
          <w:rFonts w:eastAsia="IRNazanin" w:cs="IRNazanin"/>
          <w:color w:val="111111"/>
          <w:sz w:val="28"/>
          <w:szCs w:val="28"/>
          <w:rtl w:val="true"/>
          <w:lang w:bidi="fa-IR"/>
        </w:rPr>
        <w:t>»</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أوضحه فی تفصیل الشریعة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مرجع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اعتبار ما اشترط فی الوصیّ علی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کون النصب من قبل الأب أو الجدّ للأب مع انتفاء الآخر إلی نوع وصیّة؛ لأنّ القیمومة هی الوصایة علی الأطفال فی مقابل الوصیّ علی المال، فلا معنی لاحتمال کونه أهون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 عدم اشتراط العدالة أنّ اعتبار العدالة التی هی مرتبة تالیة من العصمة فی الوصیّ و القیّم یوجب الوقوع فی الحرج الشدید، و عدم تحقق الوصیّ و القیّم فی کثیر من الموارد؛ لقلّة من کان واجداً لصفة العدالة، و کثرة الافتقار إلی الوصیّ أو القیّم، فاللازم التوسعة بمقدار الوثاقة کما لا یخفی، مضافاً إلی أنّه لا دلیل علی اعتبار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نفی البعد عن الاکتفاء بالوثاقة فی الوصیّ و الأمانة و وجود المصلحة فی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یؤیّده أنّه ربما لا یکون العادل حاضراً بقبول الوصایة أو القیمومة</w:t>
      </w:r>
      <w:r>
        <w:rPr>
          <w:rFonts w:eastAsia="IRNazanin" w:cs="IRNazanin"/>
          <w:color w:val="111111"/>
          <w:sz w:val="28"/>
          <w:szCs w:val="28"/>
          <w:rtl w:val="true"/>
          <w:lang w:bidi="fa-IR"/>
        </w:rPr>
        <w:t>»</w:t>
      </w:r>
      <w:r>
        <w:rPr>
          <w:rStyle w:val="FootnoteAnchor"/>
          <w:rtl w:val="true"/>
        </w:rPr>
        <w:footnoteReference w:id="2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هذا الفرع زیادة توضیح فی المبحث العاشر من هذا الفصل</w:t>
      </w:r>
      <w:r>
        <w:rPr>
          <w:rFonts w:eastAsia="IRNazanin" w:cs="IRNazanin"/>
          <w:color w:val="111111"/>
          <w:sz w:val="28"/>
          <w:szCs w:val="28"/>
          <w:rtl w:val="true"/>
          <w:lang w:bidi="fa-IR"/>
        </w:rPr>
        <w:t>.</w:t>
      </w:r>
      <w:bookmarkStart w:id="858" w:name="pg11753_115156"/>
    </w:p>
    <w:p>
      <w:pPr>
        <w:pStyle w:val="Heading4"/>
        <w:numPr>
          <w:ilvl w:val="3"/>
          <w:numId w:val="1"/>
        </w:numPr>
        <w:rPr/>
      </w:pPr>
      <w:bookmarkStart w:id="859" w:name="__RefHeading___Toc9483114_73709187"/>
      <w:bookmarkStart w:id="860" w:name="_Toc326"/>
      <w:bookmarkEnd w:id="858"/>
      <w:bookmarkEnd w:id="859"/>
      <w:r>
        <w:rPr>
          <w:rtl w:val="true"/>
        </w:rPr>
        <w:t>المبحث الثالث</w:t>
      </w:r>
      <w:r>
        <w:rPr>
          <w:rtl w:val="true"/>
        </w:rPr>
        <w:t xml:space="preserve">: </w:t>
      </w:r>
      <w:r>
        <w:rPr>
          <w:rtl w:val="true"/>
        </w:rPr>
        <w:t>ولایة الوصیّ فی المقام</w:t>
      </w:r>
      <w:bookmarkEnd w:id="860"/>
    </w:p>
    <w:p>
      <w:pPr>
        <w:pStyle w:val="Heading5"/>
        <w:numPr>
          <w:ilvl w:val="4"/>
          <w:numId w:val="1"/>
        </w:numPr>
        <w:rPr/>
      </w:pPr>
      <w:bookmarkStart w:id="861" w:name="__RefHeading___Toc9483116_73709187"/>
      <w:bookmarkStart w:id="862" w:name="_Toc327"/>
      <w:bookmarkEnd w:id="861"/>
      <w:r>
        <w:rPr>
          <w:rtl w:val="true"/>
        </w:rPr>
        <w:t>اشارة</w:t>
      </w:r>
      <w:bookmarkEnd w:id="862"/>
    </w:p>
    <w:p>
      <w:pPr>
        <w:pStyle w:val="BookText"/>
        <w:rPr/>
      </w:pPr>
      <w:r>
        <w:rPr>
          <w:rFonts w:ascii="IRNazanin" w:hAnsi="IRNazanin" w:eastAsia="IRNazanin"/>
          <w:color w:val="111111"/>
          <w:sz w:val="28"/>
          <w:sz w:val="28"/>
          <w:szCs w:val="28"/>
          <w:rtl w:val="true"/>
          <w:lang w:bidi="fa-IR"/>
        </w:rPr>
        <w:t>من لم تکن ولایته ثابتة بأصل الشرع</w:t>
      </w:r>
      <w:r>
        <w:rPr>
          <w:rStyle w:val="FootnoteAnchor"/>
          <w:rtl w:val="true"/>
        </w:rPr>
        <w:footnoteReference w:id="2593"/>
      </w:r>
      <w:r>
        <w:rPr>
          <w:rFonts w:ascii="IRNazanin" w:hAnsi="IRNazanin" w:eastAsia="IRNazanin"/>
          <w:color w:val="111111"/>
          <w:sz w:val="28"/>
          <w:sz w:val="28"/>
          <w:szCs w:val="28"/>
          <w:rtl w:val="true"/>
          <w:lang w:bidi="fa-IR"/>
        </w:rPr>
        <w:t>کوصیّ الأب أو الجدّ، هل یجوز إذا حضرته الوفاة أن یوصی إلی غیره بالولایة علی الأطفال و أموالهم أم لا؟</w:t>
      </w:r>
    </w:p>
    <w:p>
      <w:pPr>
        <w:pStyle w:val="BookText"/>
        <w:rPr/>
      </w:pPr>
      <w:r>
        <w:rPr>
          <w:rFonts w:ascii="IRNazanin" w:hAnsi="IRNazanin" w:eastAsia="IRNazanin"/>
          <w:color w:val="111111"/>
          <w:sz w:val="28"/>
          <w:sz w:val="28"/>
          <w:szCs w:val="28"/>
          <w:rtl w:val="true"/>
          <w:lang w:bidi="fa-IR"/>
        </w:rPr>
        <w:t>یتصوّر فی المسألة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أذِن الموصی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أو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للوصیّ أن یوصی إلی غیره أو أمره بذلک، فتصحّ هذه الصورة بلا خلافٍ، بل إجماعاً کما فی الشرائع</w:t>
      </w:r>
      <w:r>
        <w:rPr>
          <w:rStyle w:val="FootnoteAnchor"/>
          <w:rtl w:val="true"/>
        </w:rPr>
        <w:footnoteReference w:id="2594"/>
      </w:r>
    </w:p>
    <w:p>
      <w:pPr>
        <w:pStyle w:val="BookText"/>
        <w:rPr/>
      </w:pPr>
      <w:r>
        <w:rPr>
          <w:rFonts w:ascii="IRNazanin" w:hAnsi="IRNazanin" w:eastAsia="IRNazanin"/>
          <w:color w:val="111111"/>
          <w:sz w:val="28"/>
          <w:sz w:val="28"/>
          <w:szCs w:val="28"/>
          <w:rtl w:val="true"/>
          <w:lang w:bidi="fa-IR"/>
        </w:rPr>
        <w:t>و التحریر</w:t>
      </w:r>
      <w:r>
        <w:rPr>
          <w:rStyle w:val="FootnoteAnchor"/>
          <w:rtl w:val="true"/>
        </w:rPr>
        <w:footnoteReference w:id="2595"/>
      </w:r>
      <w:r>
        <w:rPr>
          <w:rFonts w:ascii="IRNazanin" w:hAnsi="IRNazanin" w:eastAsia="IRNazanin"/>
          <w:color w:val="111111"/>
          <w:sz w:val="28"/>
          <w:sz w:val="28"/>
          <w:szCs w:val="28"/>
          <w:rtl w:val="true"/>
          <w:lang w:bidi="fa-IR"/>
        </w:rPr>
        <w:t>و الجواهر</w:t>
      </w:r>
      <w:r>
        <w:rPr>
          <w:rStyle w:val="FootnoteAnchor"/>
          <w:rtl w:val="true"/>
        </w:rPr>
        <w:footnoteReference w:id="2596"/>
      </w:r>
      <w:r>
        <w:rPr>
          <w:rFonts w:ascii="IRNazanin" w:hAnsi="IRNazanin" w:eastAsia="IRNazanin"/>
          <w:color w:val="111111"/>
          <w:sz w:val="28"/>
          <w:sz w:val="28"/>
          <w:szCs w:val="28"/>
          <w:rtl w:val="true"/>
          <w:lang w:bidi="fa-IR"/>
        </w:rPr>
        <w:t>و الحدائق</w:t>
      </w:r>
      <w:r>
        <w:rPr>
          <w:rStyle w:val="FootnoteAnchor"/>
          <w:rtl w:val="true"/>
        </w:rPr>
        <w:footnoteReference w:id="2597"/>
      </w:r>
      <w:r>
        <w:rPr>
          <w:rFonts w:ascii="IRNazanin" w:hAnsi="IRNazanin" w:eastAsia="IRNazanin"/>
          <w:color w:val="111111"/>
          <w:sz w:val="28"/>
          <w:sz w:val="28"/>
          <w:szCs w:val="28"/>
          <w:rtl w:val="true"/>
          <w:lang w:bidi="fa-IR"/>
        </w:rPr>
        <w:t>و غایة المراد</w:t>
      </w:r>
      <w:r>
        <w:rPr>
          <w:rStyle w:val="FootnoteAnchor"/>
          <w:rtl w:val="true"/>
        </w:rPr>
        <w:footnoteReference w:id="2598"/>
      </w:r>
      <w:r>
        <w:rPr>
          <w:rFonts w:ascii="IRNazanin" w:hAnsi="IRNazanin" w:eastAsia="IRNazanin"/>
          <w:color w:val="111111"/>
          <w:sz w:val="28"/>
          <w:sz w:val="28"/>
          <w:szCs w:val="28"/>
          <w:rtl w:val="true"/>
          <w:lang w:bidi="fa-IR"/>
        </w:rPr>
        <w:t>و الریاض</w:t>
      </w:r>
      <w:r>
        <w:rPr>
          <w:rStyle w:val="FootnoteAnchor"/>
          <w:rtl w:val="true"/>
        </w:rPr>
        <w:footnoteReference w:id="2599"/>
      </w:r>
      <w:r>
        <w:rPr>
          <w:rFonts w:ascii="IRNazanin" w:hAnsi="IRNazanin" w:eastAsia="IRNazanin"/>
          <w:color w:val="111111"/>
          <w:sz w:val="28"/>
          <w:sz w:val="28"/>
          <w:szCs w:val="28"/>
          <w:rtl w:val="true"/>
          <w:lang w:bidi="fa-IR"/>
        </w:rPr>
        <w:t>، و ادّعاه أیضاً الشیخ الأعظم</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9483118_73709187"/>
      <w:bookmarkStart w:id="864" w:name="_Toc328"/>
      <w:bookmarkEnd w:id="863"/>
      <w:r>
        <w:rPr>
          <w:rtl w:val="true"/>
        </w:rPr>
        <w:t>أدلّة الصورة الاُولی</w:t>
      </w:r>
      <w:bookmarkEnd w:id="864"/>
    </w:p>
    <w:p>
      <w:pPr>
        <w:pStyle w:val="BookText"/>
        <w:rPr/>
      </w:pPr>
      <w:r>
        <w:rPr>
          <w:rFonts w:ascii="IRNazanin" w:hAnsi="IRNazanin" w:eastAsia="IRNazanin"/>
          <w:color w:val="111111"/>
          <w:sz w:val="28"/>
          <w:sz w:val="28"/>
          <w:szCs w:val="28"/>
          <w:rtl w:val="true"/>
          <w:lang w:bidi="fa-IR"/>
        </w:rPr>
        <w:t>و یمکن أن یستدلّ لحکم الصورة الأولی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عنهم علیهم السلام فی باب وجوب إنفاذ الوصیّة الشرعیّة علی وجهها و عدم جواز تبدیلها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رواها المشایخ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أوصی بماله فی سبیل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أعطه لمن أوصی له به و إن کان یهودیّاً أو نصرانیّاً،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xml:space="preserve">)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بالصحیحة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علّل إنفاذ الوصیّة و عدم جواز تغییرها بقول اللّه عزّ و جلّ، و مقتضی عموم هذه العلّة أنّ الوصیّ لو لم یوصِ بعد موته إلی الغیر، و قد أمره الموصی بذلک، فقد بدّل الوصیّة فإنّما إثمه علیه</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علیه السلام إلی جعفر و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فیما أمرتکما من الإشهاد بکذا و کذا نجاةٌ لکما فی آخرتکما، و إنفاذ لما أوصی به أبواکُما، و بَرٌّ منکما لهما، و احذرا أن لا تکونا بدّلتما وصیّتهما، و لا غیّرتماها عن حالها؛ لأنّهما قد خرجا عن ذلک رضی اللّه عنهما، و صار ذلک فی رقابکما، 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فی الوصیّة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 إِنَّ اللّهَ سَمِیعٌ عَلِیمٌ</w:t>
      </w:r>
      <w:r>
        <w:rPr>
          <w:rFonts w:eastAsia="Amiri" w:cs="Amiri" w:ascii="Amiri" w:hAnsi="Amiri"/>
          <w:color w:val="111111"/>
          <w:sz w:val="28"/>
          <w:szCs w:val="28"/>
          <w:rtl w:val="true"/>
          <w:lang w:bidi="ar-SA"/>
        </w:rPr>
        <w:t xml:space="preserve">)»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لا تری أنّ الإمام علیه السلام حذّرهما من أن یُبدِّلا وصیّة أبواهما، و أن یُغیّرا من حالها، و استشهد بقول اللّه عزّ و جلّ، و هذه العلّة موجودة فی مسألتنا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أیضاً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أوصی إلی امرأةٍ و شرّک فی الوصیّة معها صبیّاً؟ فقال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و تمضی المرأة الوصیّة، و لا تنتظر بلوغ الصبیّ، فإذا بلغ الصبیّ</w:t>
      </w:r>
      <w:bookmarkStart w:id="865" w:name="pg11753_115158"/>
    </w:p>
    <w:p>
      <w:pPr>
        <w:pStyle w:val="BookText"/>
        <w:rPr/>
      </w:pPr>
      <w:bookmarkEnd w:id="865"/>
      <w:r>
        <w:rPr>
          <w:rFonts w:ascii="IRNazanin" w:hAnsi="IRNazanin" w:eastAsia="IRNazanin"/>
          <w:color w:val="111111"/>
          <w:sz w:val="28"/>
          <w:sz w:val="28"/>
          <w:szCs w:val="28"/>
          <w:rtl w:val="true"/>
          <w:lang w:bidi="fa-IR"/>
        </w:rPr>
        <w:t>فلیس له أن لا یرضی إلاّ ما کان من تبدیل أو تغییرٍ؛ فإنّ له أن یردّه إلی ما أوصی به المیّت</w:t>
      </w:r>
      <w:r>
        <w:rPr>
          <w:rFonts w:eastAsia="IRNazanin" w:cs="IRNazanin"/>
          <w:color w:val="111111"/>
          <w:sz w:val="28"/>
          <w:szCs w:val="28"/>
          <w:rtl w:val="true"/>
          <w:lang w:bidi="fa-IR"/>
        </w:rPr>
        <w:t>»</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أیضاً تدلّ علی عدم جواز تبدیل الوصیّة و تغییرها عمّا أوصی به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یشعر بذلک إطلاق نصوصٍ وردت فی باب جواز الوصیّة للوارث</w:t>
      </w:r>
      <w:r>
        <w:rPr>
          <w:rStyle w:val="FootnoteAnchor"/>
          <w:rtl w:val="true"/>
        </w:rPr>
        <w:footnoteReference w:id="2606"/>
      </w:r>
      <w:r>
        <w:rPr>
          <w:rFonts w:ascii="IRNazanin" w:hAnsi="IRNazanin" w:eastAsia="IRNazanin"/>
          <w:color w:val="111111"/>
          <w:sz w:val="28"/>
          <w:sz w:val="28"/>
          <w:szCs w:val="28"/>
          <w:rtl w:val="true"/>
          <w:lang w:bidi="fa-IR"/>
        </w:rPr>
        <w:t>؛ فإنّ إطلاقها یشمل وصیّة الأب أو الجدّ للوصیّ أن یوصی إلی غیره حین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ورود هذه الأحادیث لبیان حکم جواز الوصیّة بالمال للوارث، فتکون هذه النصوص بالنسبة إلی مورد النزاع من جواز وصیّة الوصیّ إلی الغیر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الصفّار الآتیة فحویً أو منطوقاً علی ما فهمه جماعة</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9483120_73709187"/>
      <w:bookmarkStart w:id="867" w:name="_Toc329"/>
      <w:bookmarkEnd w:id="866"/>
      <w:r>
        <w:rPr>
          <w:rtl w:val="true"/>
        </w:rPr>
        <w:t>عدم جواز الوصیّة بالولایة</w:t>
      </w:r>
      <w:r>
        <w:rPr>
          <w:rtl w:val="true"/>
        </w:rPr>
        <w:t>:</w:t>
      </w:r>
      <w:bookmarkEnd w:id="867"/>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نهی الموصی الوصیَّ و منعه أن یوصی إلی الغیر بالولایة علی أولاده، فالمشهور بین المتقدِّمین و المتأخِّرین شهرة عظیمة کادت أن تکون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ادّعاه فی غایة المراد</w:t>
      </w:r>
      <w:r>
        <w:rPr>
          <w:rStyle w:val="FootnoteAnchor"/>
          <w:rtl w:val="true"/>
        </w:rPr>
        <w:footnoteReference w:id="2608"/>
      </w:r>
      <w:r>
        <w:rPr>
          <w:rFonts w:ascii="IRNazanin" w:hAnsi="IRNazanin" w:eastAsia="IRNazanin"/>
          <w:color w:val="111111"/>
          <w:sz w:val="28"/>
          <w:sz w:val="28"/>
          <w:szCs w:val="28"/>
          <w:rtl w:val="true"/>
          <w:lang w:bidi="fa-IR"/>
        </w:rPr>
        <w:t xml:space="preserve">و الریاض </w:t>
      </w:r>
      <w:r>
        <w:rPr>
          <w:rStyle w:val="FootnoteAnchor"/>
          <w:rtl w:val="true"/>
        </w:rPr>
        <w:footnoteReference w:id="2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الوصیّة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للوصیّ أن یوصی إلی غیره إلاّ أن یشترط له ذلک الموصی، فإن لم یشترط له ذلک لم یکن الإیصاء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فإن مات کان الناظر فی امور المسلمین یتولّی إنفاذ الوصیّة علی حسب ما کان یجب</w:t>
      </w:r>
    </w:p>
    <w:p>
      <w:pPr>
        <w:pStyle w:val="BookText"/>
        <w:rPr/>
      </w:pPr>
      <w:r>
        <w:rPr>
          <w:rFonts w:ascii="IRNazanin" w:hAnsi="IRNazanin" w:eastAsia="IRNazanin"/>
          <w:color w:val="111111"/>
          <w:sz w:val="28"/>
          <w:sz w:val="28"/>
          <w:szCs w:val="28"/>
          <w:rtl w:val="true"/>
          <w:lang w:bidi="fa-IR"/>
        </w:rPr>
        <w:t>علی الوصیّ أن ینفذها، و لیس للورثة أن یتولّوا ذلک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عدم السلطان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ذکرناه من هذه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لفقهاء أهل الحقّ العدول من ذوی الرأی و العقل و الفضل أن یتولّوا ما تولاّه السلطان، فإن لم یتمکّنوا من ذلک فلا تبعة علیهم فیه</w:t>
      </w:r>
      <w:r>
        <w:rPr>
          <w:rFonts w:eastAsia="IRNazanin" w:cs="IRNazanin"/>
          <w:color w:val="111111"/>
          <w:sz w:val="28"/>
          <w:szCs w:val="28"/>
          <w:rtl w:val="true"/>
          <w:lang w:bidi="fa-IR"/>
        </w:rPr>
        <w:t>»</w:t>
      </w:r>
      <w:r>
        <w:rPr>
          <w:rStyle w:val="FootnoteAnchor"/>
          <w:rtl w:val="true"/>
        </w:rPr>
        <w:footnoteReference w:id="2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أبو الصلاح</w:t>
      </w:r>
      <w:r>
        <w:rPr>
          <w:rStyle w:val="FootnoteAnchor"/>
          <w:rtl w:val="true"/>
        </w:rPr>
        <w:footnoteReference w:id="2611"/>
      </w:r>
      <w:r>
        <w:rPr>
          <w:rFonts w:ascii="IRNazanin" w:hAnsi="IRNazanin" w:eastAsia="IRNazanin"/>
          <w:color w:val="111111"/>
          <w:sz w:val="28"/>
          <w:sz w:val="28"/>
          <w:szCs w:val="28"/>
          <w:rtl w:val="true"/>
          <w:lang w:bidi="fa-IR"/>
        </w:rPr>
        <w:t>و ابن إدریس</w:t>
      </w:r>
      <w:r>
        <w:rPr>
          <w:rStyle w:val="FootnoteAnchor"/>
          <w:rtl w:val="true"/>
        </w:rPr>
        <w:footnoteReference w:id="2612"/>
      </w:r>
      <w:r>
        <w:rPr>
          <w:rFonts w:ascii="IRNazanin" w:hAnsi="IRNazanin" w:eastAsia="IRNazanin"/>
          <w:color w:val="111111"/>
          <w:sz w:val="28"/>
          <w:sz w:val="28"/>
          <w:szCs w:val="28"/>
          <w:rtl w:val="true"/>
          <w:lang w:bidi="fa-IR"/>
        </w:rPr>
        <w:t>و اعتمد علیه العلاّمة</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غایة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الموصی إمّا أن یمنع الوصیّ من الإیصاء، فلا یجوز إجماعاً، أو یأمره به، فیجوز إجماعاً</w:t>
      </w:r>
      <w:r>
        <w:rPr>
          <w:rFonts w:eastAsia="IRNazanin" w:cs="IRNazanin"/>
          <w:color w:val="111111"/>
          <w:sz w:val="28"/>
          <w:szCs w:val="28"/>
          <w:rtl w:val="true"/>
          <w:lang w:bidi="fa-IR"/>
        </w:rPr>
        <w:t>»</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سلاّر</w:t>
      </w:r>
      <w:r>
        <w:rPr>
          <w:rStyle w:val="FootnoteAnchor"/>
          <w:rtl w:val="true"/>
        </w:rPr>
        <w:footnoteReference w:id="2615"/>
      </w:r>
      <w:r>
        <w:rPr>
          <w:rFonts w:ascii="Amiri" w:hAnsi="Amiri" w:eastAsia="Amiri" w:cs="Amiri"/>
          <w:color w:val="111111"/>
          <w:sz w:val="28"/>
          <w:sz w:val="28"/>
          <w:szCs w:val="28"/>
          <w:rtl w:val="true"/>
          <w:lang w:bidi="ar-SA"/>
        </w:rPr>
        <w:t>و ابنا زهرة</w:t>
      </w:r>
      <w:r>
        <w:rPr>
          <w:rStyle w:val="FootnoteAnchor"/>
          <w:rtl w:val="true"/>
        </w:rPr>
        <w:footnoteReference w:id="2616"/>
      </w:r>
      <w:r>
        <w:rPr>
          <w:rFonts w:ascii="Amiri" w:hAnsi="Amiri" w:eastAsia="Amiri" w:cs="Amiri"/>
          <w:color w:val="111111"/>
          <w:sz w:val="28"/>
          <w:sz w:val="28"/>
          <w:szCs w:val="28"/>
          <w:rtl w:val="true"/>
          <w:lang w:bidi="ar-SA"/>
        </w:rPr>
        <w:t>و حمزة</w:t>
      </w:r>
      <w:r>
        <w:rPr>
          <w:rStyle w:val="FootnoteAnchor"/>
          <w:rtl w:val="true"/>
        </w:rPr>
        <w:footnoteReference w:id="2617"/>
      </w:r>
      <w:r>
        <w:rPr>
          <w:rFonts w:ascii="IRNazanin" w:hAnsi="IRNazanin" w:eastAsia="IRNazanin"/>
          <w:color w:val="111111"/>
          <w:sz w:val="28"/>
          <w:sz w:val="28"/>
          <w:szCs w:val="28"/>
          <w:rtl w:val="true"/>
          <w:lang w:bidi="fa-IR"/>
        </w:rPr>
        <w:t>و الفاضلان</w:t>
      </w:r>
      <w:r>
        <w:rPr>
          <w:rStyle w:val="FootnoteAnchor"/>
          <w:rtl w:val="true"/>
        </w:rPr>
        <w:footnoteReference w:id="2618"/>
      </w:r>
      <w:r>
        <w:rPr>
          <w:rFonts w:ascii="IRNazanin" w:hAnsi="IRNazanin" w:eastAsia="IRNazanin"/>
          <w:color w:val="111111"/>
          <w:sz w:val="28"/>
          <w:sz w:val="28"/>
          <w:szCs w:val="28"/>
          <w:rtl w:val="true"/>
          <w:lang w:bidi="fa-IR"/>
        </w:rPr>
        <w:t>و الشهیدان</w:t>
      </w:r>
      <w:r>
        <w:rPr>
          <w:rStyle w:val="FootnoteAnchor"/>
          <w:rtl w:val="true"/>
        </w:rPr>
        <w:footnoteReference w:id="2619"/>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المهذّب البارع</w:t>
      </w:r>
      <w:r>
        <w:rPr>
          <w:rStyle w:val="FootnoteAnchor"/>
          <w:rtl w:val="true"/>
        </w:rPr>
        <w:footnoteReference w:id="2620"/>
      </w:r>
      <w:r>
        <w:rPr>
          <w:rFonts w:ascii="IRNazanin" w:hAnsi="IRNazanin" w:eastAsia="IRNazanin"/>
          <w:color w:val="111111"/>
          <w:sz w:val="28"/>
          <w:sz w:val="28"/>
          <w:szCs w:val="28"/>
          <w:rtl w:val="true"/>
          <w:lang w:bidi="fa-IR"/>
        </w:rPr>
        <w:t>و جامع المقاصد</w:t>
      </w:r>
      <w:r>
        <w:rPr>
          <w:rStyle w:val="FootnoteAnchor"/>
          <w:rtl w:val="true"/>
        </w:rPr>
        <w:footnoteReference w:id="2621"/>
      </w:r>
      <w:r>
        <w:rPr>
          <w:rFonts w:ascii="IRNazanin" w:hAnsi="IRNazanin" w:eastAsia="IRNazanin"/>
          <w:color w:val="111111"/>
          <w:sz w:val="28"/>
          <w:sz w:val="28"/>
          <w:szCs w:val="28"/>
          <w:rtl w:val="true"/>
          <w:lang w:bidi="fa-IR"/>
        </w:rPr>
        <w:t>و الحدائق</w:t>
      </w:r>
      <w:r>
        <w:rPr>
          <w:rStyle w:val="FootnoteAnchor"/>
          <w:rtl w:val="true"/>
        </w:rPr>
        <w:footnoteReference w:id="2622"/>
      </w:r>
      <w:r>
        <w:rPr>
          <w:rFonts w:ascii="IRNazanin" w:hAnsi="IRNazanin" w:eastAsia="IRNazanin"/>
          <w:color w:val="111111"/>
          <w:sz w:val="28"/>
          <w:sz w:val="28"/>
          <w:szCs w:val="28"/>
          <w:rtl w:val="true"/>
          <w:lang w:bidi="fa-IR"/>
        </w:rPr>
        <w:t>و الجواهر</w:t>
      </w:r>
      <w:r>
        <w:rPr>
          <w:rStyle w:val="FootnoteAnchor"/>
          <w:rtl w:val="true"/>
        </w:rPr>
        <w:footnoteReference w:id="2623"/>
      </w:r>
      <w:r>
        <w:rPr>
          <w:rFonts w:ascii="IRNazanin" w:hAnsi="IRNazanin" w:eastAsia="IRNazanin"/>
          <w:color w:val="111111"/>
          <w:sz w:val="28"/>
          <w:sz w:val="28"/>
          <w:szCs w:val="28"/>
          <w:rtl w:val="true"/>
          <w:lang w:bidi="fa-IR"/>
        </w:rPr>
        <w:t>و مستمسک العروة</w:t>
      </w:r>
      <w:r>
        <w:rPr>
          <w:rStyle w:val="FootnoteAnchor"/>
          <w:rtl w:val="true"/>
        </w:rPr>
        <w:footnoteReference w:id="2624"/>
      </w:r>
      <w:r>
        <w:rPr>
          <w:rFonts w:ascii="IRNazanin" w:hAnsi="IRNazanin" w:eastAsia="IRNazanin"/>
          <w:color w:val="111111"/>
          <w:sz w:val="28"/>
          <w:sz w:val="28"/>
          <w:szCs w:val="28"/>
          <w:rtl w:val="true"/>
          <w:lang w:bidi="fa-IR"/>
        </w:rPr>
        <w:t>و غیرها</w:t>
      </w:r>
      <w:r>
        <w:rPr>
          <w:rStyle w:val="FootnoteAnchor"/>
          <w:rtl w:val="true"/>
        </w:rPr>
        <w:footnoteReference w:id="2625"/>
      </w:r>
      <w:bookmarkStart w:id="868" w:name="pg11753_115160"/>
    </w:p>
    <w:p>
      <w:pPr>
        <w:pStyle w:val="BookText"/>
        <w:rPr/>
      </w:pPr>
      <w:bookmarkEnd w:id="868"/>
      <w:r>
        <w:rPr>
          <w:rFonts w:ascii="IRNazanin" w:hAnsi="IRNazanin" w:eastAsia="IRNazanin"/>
          <w:color w:val="111111"/>
          <w:sz w:val="28"/>
          <w:sz w:val="28"/>
          <w:szCs w:val="28"/>
          <w:rtl w:val="true"/>
          <w:lang w:bidi="fa-IR"/>
        </w:rPr>
        <w:t>و یمکن أن یستدلّ علی إثبات هذا الحکم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ولایة الوصیّ تابعة لاختیار الموصی، و المفروض أنّه نهاه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عدم جواز تسلیط الغیر علی الأطفال و أموالهم إلاّ ما خرج بالدلیل، و المفروض عدم وجود دلیل فی المقام</w:t>
      </w:r>
      <w:r>
        <w:rPr>
          <w:rFonts w:eastAsia="IRNazanin" w:cs="IRNazanin"/>
          <w:color w:val="111111"/>
          <w:sz w:val="28"/>
          <w:szCs w:val="28"/>
          <w:rtl w:val="true"/>
          <w:lang w:bidi="fa-IR"/>
        </w:rPr>
        <w:t>.</w:t>
      </w:r>
    </w:p>
    <w:p>
      <w:pPr>
        <w:pStyle w:val="Heading5"/>
        <w:numPr>
          <w:ilvl w:val="4"/>
          <w:numId w:val="1"/>
        </w:numPr>
        <w:rPr/>
      </w:pPr>
      <w:bookmarkStart w:id="869" w:name="__RefHeading___Toc9483122_73709187"/>
      <w:bookmarkStart w:id="870" w:name="_Toc330"/>
      <w:bookmarkEnd w:id="869"/>
      <w:r>
        <w:rPr>
          <w:rtl w:val="true"/>
        </w:rPr>
        <w:t>إطلاق الوصیّة</w:t>
      </w:r>
      <w:bookmarkEnd w:id="870"/>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 الموصی الوصیّة؛ بأن لم یأذن للوصیّ أن یوصی إلی غیره بعد موته و لم یمنعه بل سکت عن ذلک، فهل یجوز للوصیّ فی هذا الفرض أن یوصی بالولایة علی الأطفال أم لا؟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و علیه أکثر أصحابنا المتأخّرین بل 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للوصیّ أن یوصی إلی غیره إلاّ أن یشترط له ذلک الموصی، فإن لم یشترط له ذلک لم یکن له الإیصاء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w:t>
      </w:r>
      <w:r>
        <w:rPr>
          <w:rFonts w:eastAsia="IRNazanin" w:cs="IRNazanin"/>
          <w:color w:val="111111"/>
          <w:sz w:val="28"/>
          <w:szCs w:val="28"/>
          <w:rtl w:val="true"/>
          <w:lang w:bidi="fa-IR"/>
        </w:rPr>
        <w:t>»</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أبو الصلاح</w:t>
      </w:r>
      <w:r>
        <w:rPr>
          <w:rStyle w:val="FootnoteAnchor"/>
          <w:rtl w:val="true"/>
        </w:rPr>
        <w:footnoteReference w:id="2627"/>
      </w:r>
      <w:r>
        <w:rPr>
          <w:rFonts w:ascii="IRNazanin" w:hAnsi="IRNazanin" w:eastAsia="IRNazanin"/>
          <w:color w:val="111111"/>
          <w:sz w:val="28"/>
          <w:sz w:val="28"/>
          <w:szCs w:val="28"/>
          <w:rtl w:val="true"/>
          <w:lang w:bidi="fa-IR"/>
        </w:rPr>
        <w:t>و ابن إدریس</w:t>
      </w:r>
      <w:r>
        <w:rPr>
          <w:rStyle w:val="FootnoteAnchor"/>
          <w:rtl w:val="true"/>
        </w:rPr>
        <w:footnoteReference w:id="2628"/>
      </w:r>
      <w:r>
        <w:rPr>
          <w:rFonts w:ascii="IRNazanin" w:hAnsi="IRNazanin" w:eastAsia="IRNazanin"/>
          <w:color w:val="111111"/>
          <w:sz w:val="28"/>
          <w:sz w:val="28"/>
          <w:szCs w:val="28"/>
          <w:rtl w:val="true"/>
          <w:lang w:bidi="fa-IR"/>
        </w:rPr>
        <w:t>و اختاره الفاضلان</w:t>
      </w:r>
      <w:r>
        <w:rPr>
          <w:rStyle w:val="FootnoteAnchor"/>
          <w:rtl w:val="true"/>
        </w:rPr>
        <w:footnoteReference w:id="2629"/>
      </w:r>
      <w:r>
        <w:rPr>
          <w:rFonts w:ascii="IRNazanin" w:hAnsi="IRNazanin" w:eastAsia="IRNazanin"/>
          <w:color w:val="111111"/>
          <w:sz w:val="28"/>
          <w:sz w:val="28"/>
          <w:szCs w:val="28"/>
          <w:rtl w:val="true"/>
          <w:lang w:bidi="fa-IR"/>
        </w:rPr>
        <w:t>و المحقّق و الشهید الثانیان</w:t>
      </w:r>
      <w:r>
        <w:rPr>
          <w:rStyle w:val="FootnoteAnchor"/>
          <w:rtl w:val="true"/>
        </w:rPr>
        <w:footnoteReference w:id="2630"/>
      </w:r>
      <w:r>
        <w:rPr>
          <w:rFonts w:ascii="IRNazanin" w:hAnsi="IRNazanin" w:eastAsia="IRNazanin"/>
          <w:color w:val="111111"/>
          <w:sz w:val="28"/>
          <w:sz w:val="28"/>
          <w:szCs w:val="28"/>
          <w:rtl w:val="true"/>
          <w:lang w:bidi="fa-IR"/>
        </w:rPr>
        <w:t>و الشیخ الأعظم</w:t>
      </w:r>
      <w:r>
        <w:rPr>
          <w:rStyle w:val="FootnoteAnchor"/>
          <w:rtl w:val="true"/>
        </w:rPr>
        <w:footnoteReference w:id="2631"/>
      </w:r>
    </w:p>
    <w:p>
      <w:pPr>
        <w:pStyle w:val="BookText"/>
        <w:rPr/>
      </w:pPr>
      <w:r>
        <w:rPr>
          <w:rFonts w:ascii="IRNazanin" w:hAnsi="IRNazanin" w:eastAsia="IRNazanin"/>
          <w:color w:val="111111"/>
          <w:sz w:val="28"/>
          <w:sz w:val="28"/>
          <w:szCs w:val="28"/>
          <w:rtl w:val="true"/>
          <w:lang w:bidi="fa-IR"/>
        </w:rPr>
        <w:t>و کذا فی الحدائق</w:t>
      </w:r>
      <w:r>
        <w:rPr>
          <w:rStyle w:val="FootnoteAnchor"/>
          <w:rtl w:val="true"/>
        </w:rPr>
        <w:footnoteReference w:id="2632"/>
      </w:r>
      <w:r>
        <w:rPr>
          <w:rFonts w:ascii="IRNazanin" w:hAnsi="IRNazanin" w:eastAsia="IRNazanin"/>
          <w:color w:val="111111"/>
          <w:sz w:val="28"/>
          <w:sz w:val="28"/>
          <w:szCs w:val="28"/>
          <w:rtl w:val="true"/>
          <w:lang w:bidi="fa-IR"/>
        </w:rPr>
        <w:t>و الریاض</w:t>
      </w:r>
      <w:r>
        <w:rPr>
          <w:rStyle w:val="FootnoteAnchor"/>
          <w:rtl w:val="true"/>
        </w:rPr>
        <w:footnoteReference w:id="2633"/>
      </w:r>
      <w:r>
        <w:rPr>
          <w:rFonts w:ascii="Amiri" w:hAnsi="Amiri" w:eastAsia="Amiri" w:cs="Amiri"/>
          <w:color w:val="111111"/>
          <w:sz w:val="28"/>
          <w:sz w:val="28"/>
          <w:szCs w:val="28"/>
          <w:rtl w:val="true"/>
          <w:lang w:bidi="ar-SA"/>
        </w:rPr>
        <w:t>و العروة</w:t>
      </w:r>
      <w:r>
        <w:rPr>
          <w:rStyle w:val="FootnoteAnchor"/>
          <w:rtl w:val="true"/>
        </w:rPr>
        <w:footnoteReference w:id="2634"/>
      </w:r>
      <w:r>
        <w:rPr>
          <w:rFonts w:ascii="IRNazanin" w:hAnsi="IRNazanin" w:eastAsia="IRNazanin"/>
          <w:color w:val="111111"/>
          <w:sz w:val="28"/>
          <w:sz w:val="28"/>
          <w:szCs w:val="28"/>
          <w:rtl w:val="true"/>
          <w:lang w:bidi="fa-IR"/>
        </w:rPr>
        <w:t>و المستمسک</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الاستدلال لهذا القول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الشرعی لولایة الوصیّ علی الأطفال بعد الموت، فکیف یصحّ له جعلها لغیره؟ إذ الفرض عدم ظهور عبارة الموصی فی ذلک کما فی الجواهر</w:t>
      </w:r>
      <w:r>
        <w:rPr>
          <w:rStyle w:val="FootnoteAnchor"/>
          <w:rtl w:val="true"/>
        </w:rPr>
        <w:footnoteReference w:id="2636"/>
      </w:r>
      <w:r>
        <w:rPr>
          <w:rFonts w:ascii="IRNazanin" w:hAnsi="IRNazanin" w:eastAsia="IRNazanin"/>
          <w:color w:val="111111"/>
          <w:sz w:val="28"/>
          <w:sz w:val="28"/>
          <w:szCs w:val="28"/>
          <w:rtl w:val="true"/>
          <w:lang w:bidi="fa-IR"/>
        </w:rPr>
        <w:t>و المستمسک</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الاستنابة فی التصرّف، و هو تصرّف الوصی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تفویض التصرّف إلی غیره فلا دلیل علیه</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فی التصرّف فی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الممنوع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مورد الإذن کما فی الریاض</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سقوط ولایته بعد موته، و عدم جواز تسلیط الغیر علی الأطفال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ولایته تتبع اختیار الموصی، و هو مقصور علیه، إذ التقدیر ذلک، فالتخطّی منافٍ لمقتضی الوصیّة</w:t>
      </w:r>
      <w:r>
        <w:rPr>
          <w:rFonts w:eastAsia="IRNazanin" w:cs="IRNazanin"/>
          <w:color w:val="111111"/>
          <w:sz w:val="28"/>
          <w:szCs w:val="28"/>
          <w:rtl w:val="true"/>
          <w:lang w:bidi="fa-IR"/>
        </w:rPr>
        <w:t>»</w:t>
      </w:r>
      <w:r>
        <w:rPr>
          <w:rStyle w:val="FootnoteAnchor"/>
          <w:rtl w:val="true"/>
        </w:rPr>
        <w:footnoteReference w:id="2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غایة المراد</w:t>
      </w:r>
      <w:r>
        <w:rPr>
          <w:rStyle w:val="FootnoteAnchor"/>
          <w:rtl w:val="true"/>
        </w:rPr>
        <w:footnoteReference w:id="2641"/>
      </w:r>
      <w:bookmarkStart w:id="871" w:name="pg11753_115162"/>
    </w:p>
    <w:p>
      <w:pPr>
        <w:pStyle w:val="Heading5"/>
        <w:numPr>
          <w:ilvl w:val="4"/>
          <w:numId w:val="1"/>
        </w:numPr>
        <w:rPr/>
      </w:pPr>
      <w:bookmarkStart w:id="872" w:name="__RefHeading___Toc9483124_73709187"/>
      <w:bookmarkStart w:id="873" w:name="_Toc331"/>
      <w:bookmarkEnd w:id="871"/>
      <w:bookmarkEnd w:id="872"/>
      <w:r>
        <w:rPr>
          <w:rtl w:val="true"/>
        </w:rPr>
        <w:t>جواز الوصیّة بالولایة</w:t>
      </w:r>
      <w:bookmarkEnd w:id="873"/>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للوصیّ أن یوصی إلی الغیر بالولایة علی الأطفال و النظر فی أموالهم و إن لم یأذن له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اختاره الشیخ فی النهایة</w:t>
      </w:r>
      <w:r>
        <w:rPr>
          <w:rStyle w:val="FootnoteAnchor"/>
          <w:rtl w:val="true"/>
        </w:rPr>
        <w:footnoteReference w:id="2642"/>
      </w:r>
      <w:r>
        <w:rPr>
          <w:rFonts w:ascii="IRNazanin" w:hAnsi="IRNazanin" w:eastAsia="IRNazanin"/>
          <w:color w:val="111111"/>
          <w:sz w:val="28"/>
          <w:sz w:val="28"/>
          <w:szCs w:val="28"/>
          <w:rtl w:val="true"/>
          <w:lang w:bidi="fa-IR"/>
        </w:rPr>
        <w:t>و الخلاف</w:t>
      </w:r>
      <w:r>
        <w:rPr>
          <w:rStyle w:val="FootnoteAnchor"/>
          <w:rtl w:val="true"/>
        </w:rPr>
        <w:footnoteReference w:id="2643"/>
      </w:r>
      <w:r>
        <w:rPr>
          <w:rFonts w:ascii="IRNazanin" w:hAnsi="IRNazanin" w:eastAsia="IRNazanin"/>
          <w:color w:val="111111"/>
          <w:sz w:val="28"/>
          <w:sz w:val="28"/>
          <w:szCs w:val="28"/>
          <w:rtl w:val="true"/>
          <w:lang w:bidi="fa-IR"/>
        </w:rPr>
        <w:t>و تبعه ابن البرّاج</w:t>
      </w:r>
      <w:r>
        <w:rPr>
          <w:rStyle w:val="FootnoteAnchor"/>
          <w:rtl w:val="true"/>
        </w:rPr>
        <w:footnoteReference w:id="2644"/>
      </w:r>
      <w:r>
        <w:rPr>
          <w:rFonts w:ascii="IRNazanin" w:hAnsi="IRNazanin" w:eastAsia="IRNazanin"/>
          <w:color w:val="111111"/>
          <w:sz w:val="28"/>
          <w:sz w:val="28"/>
          <w:szCs w:val="28"/>
          <w:rtl w:val="true"/>
          <w:lang w:bidi="fa-IR"/>
        </w:rPr>
        <w:t>، و به قال أیضاً ابن الجنید علی ما حکی عنه فی المختلف</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لهذا القول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الموصی لمّا أقام الوصیّ مقام نفسه</w:t>
      </w:r>
      <w:r>
        <w:rPr>
          <w:rStyle w:val="FootnoteAnchor"/>
          <w:rtl w:val="true"/>
        </w:rPr>
        <w:footnoteReference w:id="2646"/>
      </w:r>
      <w:r>
        <w:rPr>
          <w:rFonts w:ascii="IRNazanin" w:hAnsi="IRNazanin" w:eastAsia="IRNazanin"/>
          <w:color w:val="111111"/>
          <w:sz w:val="28"/>
          <w:sz w:val="28"/>
          <w:szCs w:val="28"/>
          <w:rtl w:val="true"/>
          <w:lang w:bidi="fa-IR"/>
        </w:rPr>
        <w:t>فیثبت للوصیّ من الولایة ما ثبت له، و من ذلک الاستنابة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الاستنابة من جملة التصرّفات التی یملکها حیّاً بالعموم کما یملکها بالخصوص، فکذا الاستنابة بعد الموت</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بمنع کون الاستنابة بعد الوفاة ممّا یملکها الوصیّ، و هل هو إلاّ عین المتنازع فیه، فیکون مصادرةً، فإنّ رضا الموصی بتولیة الوصیّ مباشرةً لا یقتضی رضاه بفعل غیره؛ لاختلاف الأنظار و الأغراض فی ذلک، و لأنّه لا یتبادر من إطلاق الوصیّة إلاّ تصرّف الوصیّ بنفسه، و أنّ الموصی لم یقم الوصی مقام نفسه مطلقاً حتّی فی نصب ولیّ بعده علی الطفل، بل أقامه فی التصدّی لأفعال الطفل مباشرةً، من دون أن یکون له حقّ نصب ولیّ بعده، و إنّما یحمل اللفظ عند إطلاقه</w:t>
      </w:r>
    </w:p>
    <w:p>
      <w:pPr>
        <w:pStyle w:val="BookText"/>
        <w:rPr/>
      </w:pPr>
      <w:r>
        <w:rPr>
          <w:rFonts w:ascii="IRNazanin" w:hAnsi="IRNazanin" w:eastAsia="IRNazanin"/>
          <w:color w:val="111111"/>
          <w:sz w:val="28"/>
          <w:sz w:val="28"/>
          <w:szCs w:val="28"/>
          <w:rtl w:val="true"/>
          <w:lang w:bidi="fa-IR"/>
        </w:rPr>
        <w:t>علی المتبادر منه، و بموته یسقط التصرّف بالمباشرة، و تفویض التصرّف إلی غیره یحتاج إلی دلیلٍ‌</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غایة المراد فی بیان الاستدلال 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للوصیّ أن یوکّل غیره فی التصرّف فی أموال الطفل و شئونه، فکذا 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الوصیّ ملک ما ملکه الجدّ من التصرّف، فکما جاز للجدّ الإیصاء فکذا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بأنّا لا نسلّم أنّه ملک ما ملکه الجدّ، سلّمنا، لکن ملکه فی الحیاة فلِمَ قلتم ببقائه مع انقطاعه بالوفاة</w:t>
      </w:r>
      <w:r>
        <w:rPr>
          <w:rFonts w:eastAsia="IRNazanin" w:cs="IRNazanin"/>
          <w:color w:val="111111"/>
          <w:sz w:val="28"/>
          <w:szCs w:val="28"/>
          <w:rtl w:val="true"/>
          <w:lang w:bidi="fa-IR"/>
        </w:rPr>
        <w:t>»</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w:t>
      </w:r>
    </w:p>
    <w:p>
      <w:pPr>
        <w:pStyle w:val="BookText"/>
        <w:rPr/>
      </w:pPr>
      <w:r>
        <w:rPr>
          <w:rFonts w:ascii="IRNazanin" w:hAnsi="IRNazanin" w:eastAsia="IRNazanin"/>
          <w:color w:val="111111"/>
          <w:sz w:val="28"/>
          <w:sz w:val="28"/>
          <w:szCs w:val="28"/>
          <w:rtl w:val="true"/>
          <w:lang w:bidi="fa-IR"/>
        </w:rPr>
        <w:t>بما رواه الصدوق و الشیخ رحمهما الله فی الصحیح، عن محمّد بن الحسن الصفّار، عن أبی محمّد علیه السلام أنّه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وصیّ رجل فمات و أوصی إلی رجل، هل یلزم الوصیّ وصیّة الرجل الذی کان هذا وصیّه؟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یلزمه بحقّه إن کان له قبله حقّ إن شاء اللّه</w:t>
      </w:r>
      <w:r>
        <w:rPr>
          <w:rFonts w:eastAsia="IRNazanin" w:cs="IRNazanin"/>
          <w:color w:val="111111"/>
          <w:sz w:val="28"/>
          <w:szCs w:val="28"/>
          <w:rtl w:val="true"/>
          <w:lang w:bidi="fa-IR"/>
        </w:rPr>
        <w:t>»</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بالحقّ هنا حقّ الإیمان</w:t>
      </w:r>
      <w:r>
        <w:rPr>
          <w:rStyle w:val="FootnoteAnchor"/>
          <w:rtl w:val="true"/>
        </w:rPr>
        <w:footnoteReference w:id="2651"/>
      </w:r>
      <w:r>
        <w:rPr>
          <w:rFonts w:ascii="IRNazanin" w:hAnsi="IRNazanin" w:eastAsia="IRNazanin"/>
          <w:color w:val="111111"/>
          <w:sz w:val="28"/>
          <w:sz w:val="28"/>
          <w:szCs w:val="28"/>
          <w:rtl w:val="true"/>
          <w:lang w:bidi="fa-IR"/>
        </w:rPr>
        <w:t>،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إن کان مؤمناً وفاءً لحقّه علیه بسبب الإیمان؛ فإنّه یقتضی معونة المؤمن و قضاء حوائجه، و من أهمّها إنفاذ وصیّته</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مکاتبة الصفّار للعسکری علیه السلام دلالة ما علی الجواز</w:t>
      </w:r>
      <w:r>
        <w:rPr>
          <w:rFonts w:eastAsia="IRNazanin" w:cs="IRNazanin"/>
          <w:color w:val="111111"/>
          <w:sz w:val="28"/>
          <w:szCs w:val="28"/>
          <w:rtl w:val="true"/>
          <w:lang w:bidi="fa-IR"/>
        </w:rPr>
        <w:t>»</w:t>
      </w:r>
      <w:r>
        <w:rPr>
          <w:rStyle w:val="FootnoteAnchor"/>
          <w:rtl w:val="true"/>
        </w:rPr>
        <w:footnoteReference w:id="2653"/>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أنّ المراد، یلزم الوصیّ الثانی أن ینفذ وصیّة الموصی الأوّل بسبب حقّه الذی علی الوصیّ الثانی؛ لأنّه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للأوّل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الوصیّ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حیث الوصیّة، فیجب علی الثانی إنفاذ کلّ حقّ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قراءة</w:t>
      </w:r>
      <w:r>
        <w:rPr>
          <w:rStyle w:val="FootnoteAnchor"/>
          <w:rtl w:val="true"/>
        </w:rPr>
        <w:footnoteReference w:id="2654"/>
      </w:r>
      <w:r>
        <w:rPr>
          <w:rFonts w:ascii="IRNazanin" w:hAnsi="IRNazanin" w:eastAsia="IRNazanin"/>
          <w:color w:val="111111"/>
          <w:sz w:val="28"/>
          <w:sz w:val="28"/>
          <w:szCs w:val="28"/>
          <w:rtl w:val="true"/>
          <w:lang w:bidi="fa-IR"/>
        </w:rPr>
        <w:t>أن بفتح الهمزة حتّی یکون منصوباً بنزع الخافض علی الوجه الذی ذکرناه</w:t>
      </w:r>
      <w:r>
        <w:rPr>
          <w:rFonts w:eastAsia="IRNazanin" w:cs="IRNazanin"/>
          <w:color w:val="111111"/>
          <w:sz w:val="28"/>
          <w:szCs w:val="28"/>
          <w:rtl w:val="true"/>
          <w:lang w:bidi="fa-IR"/>
        </w:rPr>
        <w:t>»</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حمل الحقّ فیها علی حقّ الوصیّة إلی وصیّ الأوّل، کما فی المختلف</w:t>
      </w:r>
      <w:r>
        <w:rPr>
          <w:rStyle w:val="FootnoteAnchor"/>
          <w:rtl w:val="true"/>
        </w:rPr>
        <w:footnoteReference w:id="2656"/>
      </w:r>
      <w:r>
        <w:rPr>
          <w:rFonts w:ascii="IRNazanin" w:hAnsi="IRNazanin" w:eastAsia="IRNazanin"/>
          <w:color w:val="111111"/>
          <w:sz w:val="28"/>
          <w:sz w:val="28"/>
          <w:szCs w:val="28"/>
          <w:rtl w:val="true"/>
          <w:lang w:bidi="fa-IR"/>
        </w:rPr>
        <w:t>و جامع المقاصد</w:t>
      </w:r>
      <w:r>
        <w:rPr>
          <w:rStyle w:val="FootnoteAnchor"/>
          <w:rtl w:val="true"/>
        </w:rPr>
        <w:footnoteReference w:id="2657"/>
      </w:r>
      <w:r>
        <w:rPr>
          <w:rFonts w:ascii="IRNazanin" w:hAnsi="IRNazanin" w:eastAsia="IRNazanin"/>
          <w:color w:val="111111"/>
          <w:sz w:val="28"/>
          <w:sz w:val="28"/>
          <w:szCs w:val="28"/>
          <w:rtl w:val="true"/>
          <w:lang w:bidi="fa-IR"/>
        </w:rPr>
        <w:t>و المسالک</w:t>
      </w:r>
      <w:r>
        <w:rPr>
          <w:rStyle w:val="FootnoteAnchor"/>
          <w:rtl w:val="true"/>
        </w:rPr>
        <w:footnoteReference w:id="2658"/>
      </w:r>
      <w:r>
        <w:rPr>
          <w:rFonts w:ascii="IRNazanin" w:hAnsi="IRNazanin" w:eastAsia="IRNazanin"/>
          <w:color w:val="111111"/>
          <w:sz w:val="28"/>
          <w:sz w:val="28"/>
          <w:szCs w:val="28"/>
          <w:rtl w:val="true"/>
          <w:lang w:bidi="fa-IR"/>
        </w:rPr>
        <w:t>و غیرها</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بمعنی أنّ الوصیّة تلزم الوصی الثانی بحقّ الأوّل</w:t>
      </w:r>
      <w:r>
        <w:rPr>
          <w:rStyle w:val="FootnoteAnchor"/>
          <w:rtl w:val="true"/>
        </w:rPr>
        <w:footnoteReference w:id="2660"/>
      </w:r>
      <w:r>
        <w:rPr>
          <w:rFonts w:ascii="IRNazanin" w:hAnsi="IRNazanin" w:eastAsia="IRNazanin"/>
          <w:color w:val="111111"/>
          <w:sz w:val="28"/>
          <w:sz w:val="28"/>
          <w:szCs w:val="28"/>
          <w:rtl w:val="true"/>
          <w:lang w:bidi="fa-IR"/>
        </w:rPr>
        <w:t>، إن کان له أی للأوّل قبله، یعنی قبل الوصیّ الأوّل حقٌّ؛ بأن یکونَ قد أوصی إلیه و أذن له أن یوصی، فقد صار له قبله حقّ الوصیّة، فإذا أوصی بها لزمت الثانی، و هذا الاحتمال إن لم یکن أرجح فلا أقلّ یکون مساویاً، و مع هذا التردّد فی المراد و تعدّد الاحتمال تکون الروایة فی غایة الإجمال، یُرَدُّ علمها إلی أهلها، و به یسقط الاستدلال بها فی هذا المجال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یظهر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تعمّق النظر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w:t>
      </w:r>
      <w:bookmarkStart w:id="874" w:name="pg11753_115165"/>
    </w:p>
    <w:p>
      <w:pPr>
        <w:pStyle w:val="BookText"/>
        <w:rPr/>
      </w:pPr>
      <w:bookmarkEnd w:id="874"/>
      <w:r>
        <w:rPr>
          <w:rFonts w:ascii="IRNazanin" w:hAnsi="IRNazanin" w:eastAsia="IRNazanin"/>
          <w:color w:val="111111"/>
          <w:sz w:val="28"/>
          <w:sz w:val="28"/>
          <w:szCs w:val="28"/>
          <w:rtl w:val="true"/>
          <w:lang w:bidi="fa-IR"/>
        </w:rPr>
        <w:t>بالسؤال أنّ الوصیّ أوصی إلی الغیر فیما یتعلّق به و جعله وصیّاً لنفسه، فهل تدخل فی هذه الوصیّة وصیّة الموصی الأوّل، فیلزم الوصی الثانی العمل بها أیضاً، أم لا؟</w:t>
      </w:r>
    </w:p>
    <w:p>
      <w:pPr>
        <w:pStyle w:val="BookText"/>
        <w:rPr/>
      </w:pPr>
      <w:r>
        <w:rPr>
          <w:rFonts w:ascii="IRNazanin" w:hAnsi="IRNazanin" w:eastAsia="IRNazanin"/>
          <w:color w:val="111111"/>
          <w:sz w:val="28"/>
          <w:sz w:val="28"/>
          <w:szCs w:val="28"/>
          <w:rtl w:val="true"/>
          <w:lang w:bidi="fa-IR"/>
        </w:rPr>
        <w:t xml:space="preserve">فکتب علیه السلام الجواب بما مضی، فلا وجه للاستدلال بها أیضاً؛ لکونها علی هذا التقدیر مجملة، و مقتضاها حینئذٍ أنّه إن کان للموصی الأوّل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الموصی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جهة وصیّته إلیه بالإیصاء لزمه الوفاء به، و إلاّ فلا، و یکون المراد بالحقّ حقّ التوصیة إلی الوصیّ الثانی؛ بأن صرّح له بالوصیّة فیرجع حاصل الجواب إلی أنّ وصیّة الأوّل لا تدخل فی إطلاق وصیّة الموصی الثانی إلاّ أن یصرّح به، و هو کما تری غیر مورد النزاع</w:t>
      </w:r>
      <w:r>
        <w:rPr>
          <w:rFonts w:eastAsia="IRNazanin" w:cs="IRNazanin"/>
          <w:color w:val="111111"/>
          <w:sz w:val="28"/>
          <w:szCs w:val="28"/>
          <w:rtl w:val="true"/>
          <w:lang w:bidi="fa-IR"/>
        </w:rPr>
        <w:t>»</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لا بدّ من الأخذ بمقالة المشهور من عدم جواز إیصاء الموصی الثانی إلاّ بإذن صریح من الموصی الأوّل</w:t>
      </w:r>
      <w:r>
        <w:rPr>
          <w:rFonts w:eastAsia="IRNazanin" w:cs="IRNazanin"/>
          <w:color w:val="111111"/>
          <w:sz w:val="28"/>
          <w:szCs w:val="28"/>
          <w:rtl w:val="true"/>
          <w:lang w:bidi="fa-IR"/>
        </w:rPr>
        <w:t>.</w:t>
      </w:r>
    </w:p>
    <w:p>
      <w:pPr>
        <w:pStyle w:val="Heading5"/>
        <w:numPr>
          <w:ilvl w:val="4"/>
          <w:numId w:val="1"/>
        </w:numPr>
        <w:rPr/>
      </w:pPr>
      <w:bookmarkStart w:id="875" w:name="__RefHeading___Toc9483126_73709187"/>
      <w:bookmarkStart w:id="876" w:name="_Toc332"/>
      <w:bookmarkEnd w:id="875"/>
      <w:r>
        <w:rPr>
          <w:rtl w:val="true"/>
        </w:rPr>
        <w:t>آراء فقهاء أهل السنّة فی الوصیة بالولایة من الوصیّ‌</w:t>
      </w:r>
      <w:bookmarkEnd w:id="876"/>
    </w:p>
    <w:p>
      <w:pPr>
        <w:pStyle w:val="BookText"/>
        <w:rPr/>
      </w:pPr>
      <w:r>
        <w:rPr>
          <w:rFonts w:ascii="IRNazanin" w:hAnsi="IRNazanin" w:eastAsia="IRNazanin"/>
          <w:color w:val="111111"/>
          <w:sz w:val="28"/>
          <w:sz w:val="28"/>
          <w:szCs w:val="28"/>
          <w:rtl w:val="true"/>
          <w:lang w:bidi="fa-IR"/>
        </w:rPr>
        <w:t>الظاهر أنّه لا خلاف بینهم فی أنّه إذا أوصی الأب إلی رجلٍ، و أذن له أن یوصی إلی من یشاء، صحّ له أن یوصی إلی من شاء؛ لأنّه رضی باجتهاده و اجتهاد من یراه، فصحّ کما وصّی إلیهما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أوصی إلیه و أطلق، فعندهم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 و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له أن یوصی إلی من یشاء، بأن یتولّی امور الصغار، و لکنّ الشافعیّة و الحنابلة قالوا بأنّه لیس له الإیصاء إلاّ أن یؤذن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 نصّ کلماتهم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للوصی أن یوصی إلاّ أن یجعل ذلک إلیه</w:t>
      </w:r>
      <w:r>
        <w:rPr>
          <w:rFonts w:eastAsia="IRNazanin" w:cs="IRNazanin"/>
          <w:color w:val="111111"/>
          <w:sz w:val="28"/>
          <w:szCs w:val="28"/>
          <w:rtl w:val="true"/>
          <w:lang w:bidi="fa-IR"/>
        </w:rPr>
        <w:t>»</w:t>
      </w:r>
      <w:r>
        <w:rPr>
          <w:rStyle w:val="FootnoteAnchor"/>
          <w:rtl w:val="true"/>
        </w:rPr>
        <w:footnoteReference w:id="2662"/>
      </w:r>
    </w:p>
    <w:p>
      <w:pPr>
        <w:pStyle w:val="BookText"/>
        <w:rPr/>
      </w:pPr>
      <w:r>
        <w:rPr>
          <w:rFonts w:ascii="IRNazanin" w:hAnsi="IRNazanin" w:eastAsia="IRNazanin"/>
          <w:color w:val="111111"/>
          <w:sz w:val="28"/>
          <w:sz w:val="28"/>
          <w:szCs w:val="28"/>
          <w:rtl w:val="true"/>
          <w:lang w:bidi="fa-IR"/>
        </w:rPr>
        <w:t>و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إلی رجلٍ و أذن له أن یوصی إلی من یشاء نحو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إلی أن توصی إلی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أکثر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الشافعی فی أحد قولیه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یوصی؛ لأنّه یلی بتولّیه، فلا یصحّ أن یوصی کالوکیل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مأذون فی الإذن فی التصرّف، فجاز له أن یأذن لغیره کالوکیل إذا أمر بالتوکیل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أوصی إلیه و أطلق فلم یأذن له و لم ینهه عنه، ففیه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یوصی إلی غیره، و هو قول مالک و أبی حنیفة و الثوری و أبی یوسف، لأنّ الأب أقامه مقام نفسه، فکان له الوصیّة کالأب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 الشافعی و إسحاق</w:t>
      </w:r>
      <w:r>
        <w:rPr>
          <w:rFonts w:eastAsia="IRNazanin" w:cs="IRNazanin"/>
          <w:color w:val="111111"/>
          <w:sz w:val="28"/>
          <w:szCs w:val="28"/>
          <w:rtl w:val="true"/>
          <w:lang w:bidi="fa-IR"/>
        </w:rPr>
        <w:t>...»</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إلی رجلٍ و جعل له أن یوصی إلی من شاء جاز، و له أن یوصی إلی من شاء من أهل الوصیّة، لأنّه رضی باجتهاده و ولایة من ولاّه، و إن نهاه عن الإیصاء لم یکن له أن یوصی، کما لو نهی الوکیل عن التوکیل، و إن أطلق ففیه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یوصی؛ لأنّه قائم مقام الأب فملک ذلک کالأب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یتصرّف بالتولیة، فلم یکن له التفویض من غیر إذن فیه کالتوکیل</w:t>
      </w:r>
      <w:r>
        <w:rPr>
          <w:rFonts w:eastAsia="IRNazanin" w:cs="IRNazanin"/>
          <w:color w:val="111111"/>
          <w:sz w:val="28"/>
          <w:szCs w:val="28"/>
          <w:rtl w:val="true"/>
          <w:lang w:bidi="fa-IR"/>
        </w:rPr>
        <w:t>»</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الماتن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للوصی أن یوصی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علی المذهب؛ لأنّه قصر فی تولیته فلم یکن له التفویض کالوکیل، إلاّ أن یجعل ذلک إلیه</w:t>
      </w:r>
      <w:r>
        <w:rPr>
          <w:rFonts w:eastAsia="IRNazanin" w:cs="IRNazanin"/>
          <w:color w:val="111111"/>
          <w:sz w:val="28"/>
          <w:szCs w:val="28"/>
          <w:rtl w:val="true"/>
          <w:lang w:bidi="fa-IR"/>
        </w:rPr>
        <w:t>»</w:t>
      </w:r>
      <w:r>
        <w:rPr>
          <w:rStyle w:val="FootnoteAnchor"/>
          <w:rtl w:val="true"/>
        </w:rPr>
        <w:footnoteReference w:id="2665"/>
      </w:r>
      <w:r>
        <w:rPr>
          <w:rFonts w:ascii="IRNazanin" w:hAnsi="IRNazanin" w:eastAsia="IRNazanin"/>
          <w:color w:val="111111"/>
          <w:sz w:val="28"/>
          <w:sz w:val="28"/>
          <w:szCs w:val="28"/>
          <w:rtl w:val="true"/>
          <w:lang w:bidi="fa-IR"/>
        </w:rPr>
        <w:t>و مثّل بما مرّ فی کلام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فی منتهی الإرادات</w:t>
      </w:r>
      <w:r>
        <w:rPr>
          <w:rStyle w:val="FootnoteAnchor"/>
          <w:rtl w:val="true"/>
        </w:rPr>
        <w:footnoteReference w:id="2666"/>
      </w:r>
    </w:p>
    <w:p>
      <w:pPr>
        <w:pStyle w:val="BookText"/>
        <w:rPr/>
      </w:pPr>
      <w:r>
        <w:rPr>
          <w:rFonts w:ascii="IRNazanin" w:hAnsi="IRNazanin" w:eastAsia="IRNazanin"/>
          <w:color w:val="111111"/>
          <w:sz w:val="28"/>
          <w:sz w:val="28"/>
          <w:szCs w:val="28"/>
          <w:rtl w:val="true"/>
          <w:lang w:bidi="fa-IR"/>
        </w:rPr>
        <w:t>و الإنصاف</w:t>
      </w:r>
      <w:r>
        <w:rPr>
          <w:rStyle w:val="FootnoteAnchor"/>
          <w:rtl w:val="true"/>
        </w:rPr>
        <w:footnoteReference w:id="2667"/>
      </w:r>
      <w:r>
        <w:rPr>
          <w:rFonts w:ascii="IRNazanin" w:hAnsi="IRNazanin" w:eastAsia="IRNazanin"/>
          <w:color w:val="111111"/>
          <w:sz w:val="28"/>
          <w:sz w:val="28"/>
          <w:szCs w:val="28"/>
          <w:rtl w:val="true"/>
          <w:lang w:bidi="fa-IR"/>
        </w:rPr>
        <w:t>و کشّاف القناع</w:t>
      </w:r>
      <w:r>
        <w:rPr>
          <w:rStyle w:val="FootnoteAnchor"/>
          <w:rtl w:val="true"/>
        </w:rPr>
        <w:footnoteReference w:id="2668"/>
      </w:r>
      <w:r>
        <w:rPr>
          <w:rFonts w:ascii="IRNazanin" w:hAnsi="IRNazanin" w:eastAsia="IRNazanin"/>
          <w:color w:val="111111"/>
          <w:sz w:val="28"/>
          <w:sz w:val="28"/>
          <w:szCs w:val="28"/>
          <w:rtl w:val="true"/>
          <w:lang w:bidi="fa-IR"/>
        </w:rPr>
        <w:t>و الإقناع</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یوصی إلی غیره؛ لأنّه یتصرّف بالإذن فلم یملک الوصیّة کالوکیل</w:t>
      </w:r>
      <w:r>
        <w:rPr>
          <w:rFonts w:eastAsia="IRNazanin" w:cs="IRNazanin"/>
          <w:color w:val="111111"/>
          <w:sz w:val="28"/>
          <w:szCs w:val="28"/>
          <w:rtl w:val="true"/>
          <w:lang w:bidi="fa-IR"/>
        </w:rPr>
        <w:t>»</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أوصی إلی رجل و لم یأذن الموصی للوصیّ أن یوصی، فللوصیّ أن یتصرّف ما عاش، و لیس له أن یوصی إلی غیره به، و به قال الأوزاعی و أحمد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الثوریّ و مالک و أبو حنیفة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للوصیّ أن یوصی</w:t>
      </w:r>
      <w:r>
        <w:rPr>
          <w:rFonts w:eastAsia="IRNazanin" w:cs="IRNazanin"/>
          <w:color w:val="111111"/>
          <w:sz w:val="28"/>
          <w:szCs w:val="28"/>
          <w:rtl w:val="true"/>
          <w:lang w:bidi="fa-IR"/>
        </w:rPr>
        <w:t>...»</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الوجیز</w:t>
      </w:r>
      <w:r>
        <w:rPr>
          <w:rStyle w:val="FootnoteAnchor"/>
          <w:rtl w:val="true"/>
        </w:rPr>
        <w:footnoteReference w:id="2672"/>
      </w:r>
      <w:r>
        <w:rPr>
          <w:rFonts w:ascii="IRNazanin" w:hAnsi="IRNazanin" w:eastAsia="IRNazanin"/>
          <w:color w:val="111111"/>
          <w:sz w:val="28"/>
          <w:sz w:val="28"/>
          <w:szCs w:val="28"/>
          <w:rtl w:val="true"/>
          <w:lang w:bidi="fa-IR"/>
        </w:rPr>
        <w:t>و مغنی المحتاج</w:t>
      </w:r>
      <w:r>
        <w:rPr>
          <w:rStyle w:val="FootnoteAnchor"/>
          <w:rtl w:val="true"/>
        </w:rPr>
        <w:footnoteReference w:id="2673"/>
      </w:r>
      <w:r>
        <w:rPr>
          <w:rFonts w:ascii="IRNazanin" w:hAnsi="IRNazanin" w:eastAsia="IRNazanin"/>
          <w:color w:val="111111"/>
          <w:sz w:val="28"/>
          <w:sz w:val="28"/>
          <w:szCs w:val="28"/>
          <w:rtl w:val="true"/>
          <w:lang w:bidi="fa-IR"/>
        </w:rPr>
        <w:t>و منهاج الطالبین</w:t>
      </w:r>
      <w:r>
        <w:rPr>
          <w:rStyle w:val="FootnoteAnchor"/>
          <w:rtl w:val="true"/>
        </w:rPr>
        <w:footnoteReference w:id="2674"/>
      </w:r>
      <w:r>
        <w:rPr>
          <w:rFonts w:ascii="IRNazanin" w:hAnsi="IRNazanin" w:eastAsia="IRNazanin"/>
          <w:color w:val="111111"/>
          <w:sz w:val="28"/>
          <w:sz w:val="28"/>
          <w:szCs w:val="28"/>
          <w:rtl w:val="true"/>
          <w:lang w:bidi="fa-IR"/>
        </w:rPr>
        <w:t>و غیرها</w:t>
      </w:r>
      <w:r>
        <w:rPr>
          <w:rStyle w:val="FootnoteAnchor"/>
          <w:rtl w:val="true"/>
        </w:rPr>
        <w:footnoteReference w:id="2675"/>
      </w:r>
      <w:bookmarkStart w:id="877" w:name="pg11753_115168"/>
    </w:p>
    <w:p>
      <w:pPr>
        <w:pStyle w:val="Heading4"/>
        <w:numPr>
          <w:ilvl w:val="3"/>
          <w:numId w:val="1"/>
        </w:numPr>
        <w:rPr/>
      </w:pPr>
      <w:bookmarkStart w:id="878" w:name="__RefHeading___Toc9483128_73709187"/>
      <w:bookmarkStart w:id="879" w:name="_Toc333"/>
      <w:bookmarkEnd w:id="877"/>
      <w:bookmarkEnd w:id="878"/>
      <w:r>
        <w:rPr>
          <w:rtl w:val="true"/>
        </w:rPr>
        <w:t>المبحث الرابع</w:t>
      </w:r>
      <w:r>
        <w:rPr>
          <w:rtl w:val="true"/>
        </w:rPr>
        <w:t xml:space="preserve">: </w:t>
      </w:r>
      <w:r>
        <w:rPr>
          <w:rtl w:val="true"/>
        </w:rPr>
        <w:t>عدم ولایة الحاکم علی الوصیة بالولایة</w:t>
      </w:r>
      <w:bookmarkEnd w:id="879"/>
    </w:p>
    <w:p>
      <w:pPr>
        <w:pStyle w:val="Heading5"/>
        <w:numPr>
          <w:ilvl w:val="4"/>
          <w:numId w:val="1"/>
        </w:numPr>
        <w:rPr/>
      </w:pPr>
      <w:bookmarkStart w:id="880" w:name="__RefHeading___Toc9483130_73709187"/>
      <w:bookmarkStart w:id="881" w:name="_Toc334"/>
      <w:bookmarkEnd w:id="880"/>
      <w:r>
        <w:rPr>
          <w:rtl w:val="true"/>
        </w:rPr>
        <w:t>اشارة</w:t>
      </w:r>
      <w:bookmarkEnd w:id="881"/>
    </w:p>
    <w:p>
      <w:pPr>
        <w:pStyle w:val="BookText"/>
        <w:rPr/>
      </w:pPr>
      <w:r>
        <w:rPr>
          <w:rFonts w:ascii="IRNazanin" w:hAnsi="IRNazanin" w:eastAsia="IRNazanin"/>
          <w:color w:val="111111"/>
          <w:sz w:val="28"/>
          <w:sz w:val="28"/>
          <w:szCs w:val="28"/>
          <w:rtl w:val="true"/>
          <w:lang w:bidi="fa-IR"/>
        </w:rPr>
        <w:t>الظاهر أنّه لا خلاف بین الفقهاء فی أنّه لا ولایة للحاکم علی الوصیّة بالولایة علی الأطفال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 الوصیّة بالولایة علی الأطفال إلاّ من الأب و الجدّ للأب خاصّة</w:t>
      </w:r>
      <w:r>
        <w:rPr>
          <w:rFonts w:eastAsia="IRNazanin" w:cs="IRNazanin"/>
          <w:color w:val="111111"/>
          <w:sz w:val="28"/>
          <w:szCs w:val="28"/>
          <w:rtl w:val="true"/>
          <w:lang w:bidi="fa-IR"/>
        </w:rPr>
        <w:t>»</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الولایة علی الغیر من الأحکام المخالفة للأصل، إذ الأصل عدم جواز تصرّف الإنسان فی مال غیره بغیر إذنه أو فی معناه</w:t>
      </w:r>
      <w:r>
        <w:rPr>
          <w:rStyle w:val="FootnoteAnchor"/>
          <w:rtl w:val="true"/>
        </w:rPr>
        <w:footnoteReference w:id="2677"/>
      </w:r>
      <w:r>
        <w:rPr>
          <w:rFonts w:ascii="IRNazanin" w:hAnsi="IRNazanin" w:eastAsia="IRNazanin"/>
          <w:color w:val="111111"/>
          <w:sz w:val="28"/>
          <w:sz w:val="28"/>
          <w:szCs w:val="28"/>
          <w:rtl w:val="true"/>
          <w:lang w:bidi="fa-IR"/>
        </w:rPr>
        <w:t xml:space="preserve">، وجب الاقتصار فی نصب الولیّ علی الأطفال علی محلّ النصّ أو الوفاق؛ و هو نصب الأب و الجدّ له، فلا یجوز للحاکم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ولیّاً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ینصب بعده علیهم ولیّاً؛ لأنّ ولایته مقصورة علیه حیّاً، و إذا مات ارتفع حکمه و إن جاز له أن یوکّل حیّاً علیهم؛ لأنّ له الولایة حینئذٍ</w:t>
      </w:r>
      <w:r>
        <w:rPr>
          <w:rFonts w:eastAsia="IRNazanin" w:cs="IRNazanin"/>
          <w:color w:val="111111"/>
          <w:sz w:val="28"/>
          <w:szCs w:val="28"/>
          <w:rtl w:val="true"/>
          <w:lang w:bidi="fa-IR"/>
        </w:rPr>
        <w:t>»</w:t>
      </w:r>
      <w:r>
        <w:rPr>
          <w:rStyle w:val="FootnoteAnchor"/>
          <w:rtl w:val="true"/>
        </w:rPr>
        <w:footnoteReference w:id="2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الوصیّة بالولایة علی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 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الحاکم الشرعی؛ فإنّه بعد فقدهما له الولایة علیهم ما دام حیّاً،</w:t>
      </w:r>
      <w:bookmarkStart w:id="882" w:name="pg11753_115169"/>
    </w:p>
    <w:p>
      <w:pPr>
        <w:pStyle w:val="BookText"/>
        <w:rPr/>
      </w:pPr>
      <w:bookmarkEnd w:id="882"/>
      <w:r>
        <w:rPr>
          <w:rFonts w:ascii="IRNazanin" w:hAnsi="IRNazanin" w:eastAsia="IRNazanin"/>
          <w:color w:val="111111"/>
          <w:sz w:val="28"/>
          <w:sz w:val="28"/>
          <w:szCs w:val="28"/>
          <w:rtl w:val="true"/>
          <w:lang w:bidi="fa-IR"/>
        </w:rPr>
        <w:t>و لیس له أن یوصی بها لغیره بعد موته، فیرجع الأمر بعد موته إلی الحاکم الآخر</w:t>
      </w:r>
      <w:r>
        <w:rPr>
          <w:rFonts w:eastAsia="IRNazanin" w:cs="IRNazanin"/>
          <w:color w:val="111111"/>
          <w:sz w:val="28"/>
          <w:szCs w:val="28"/>
          <w:rtl w:val="true"/>
          <w:lang w:bidi="fa-IR"/>
        </w:rPr>
        <w:t>»</w:t>
      </w:r>
      <w:r>
        <w:rPr>
          <w:rStyle w:val="FootnoteAnchor"/>
          <w:rtl w:val="true"/>
        </w:rPr>
        <w:footnoteReference w:id="2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ظاهر</w:t>
      </w:r>
      <w:r>
        <w:rPr>
          <w:rFonts w:eastAsia="IRNazanin" w:cs="IRNazanin"/>
          <w:color w:val="111111"/>
          <w:sz w:val="28"/>
          <w:szCs w:val="28"/>
          <w:rtl w:val="true"/>
          <w:lang w:bidi="fa-IR"/>
        </w:rPr>
        <w:t>»</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9483132_73709187"/>
      <w:bookmarkStart w:id="884" w:name="_Toc335"/>
      <w:bookmarkEnd w:id="883"/>
      <w:r>
        <w:rPr>
          <w:rtl w:val="true"/>
        </w:rPr>
        <w:t>أدلّة عدم جواز الوصیّة بالولایة للحاکم</w:t>
      </w:r>
      <w:bookmarkEnd w:id="884"/>
    </w:p>
    <w:p>
      <w:pPr>
        <w:pStyle w:val="BookText"/>
        <w:rPr/>
      </w:pPr>
      <w:r>
        <w:rPr>
          <w:rFonts w:ascii="IRNazanin" w:hAnsi="IRNazanin" w:eastAsia="IRNazanin"/>
          <w:color w:val="111111"/>
          <w:sz w:val="28"/>
          <w:sz w:val="28"/>
          <w:szCs w:val="28"/>
          <w:rtl w:val="true"/>
          <w:lang w:bidi="fa-IR"/>
        </w:rPr>
        <w:t>و یمکن الاستدلال لهذا الحکم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تصحّ الوصیّة بالولایة علی الأطفال من الحاکم؛ لأنّه تثبت ولایته علیهم من حیث الحکومة منهم علیهم السلام المقیّدة بزمن الحیاة، فهو شبیه الوکیل عن الإمام علیهم السلام بالنسبة إلی ذلک، فینعزل بالموت</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ولایة الحاکم بعد الموت، فکیف یصحّ له جعلها لغیره؟ لأنّ العمدة فی الأدلّة علی ولایة الحاکم مقبولة ابن حنظلة</w:t>
      </w:r>
      <w:r>
        <w:rPr>
          <w:rStyle w:val="FootnoteAnchor"/>
          <w:rtl w:val="true"/>
        </w:rPr>
        <w:footnoteReference w:id="2683"/>
      </w:r>
      <w:r>
        <w:rPr>
          <w:rFonts w:ascii="IRNazanin" w:hAnsi="IRNazanin" w:eastAsia="IRNazanin"/>
          <w:color w:val="111111"/>
          <w:sz w:val="28"/>
          <w:sz w:val="28"/>
          <w:szCs w:val="28"/>
          <w:rtl w:val="true"/>
          <w:lang w:bidi="fa-IR"/>
        </w:rPr>
        <w:t>المتضمّنة جعل الحاکم الشرعی حاکماً، الموجبة لثبوت أحکام الحکّام له، و منها تولّی الأیتام و شئونهم، و لم یثبت أنّ للحاکم ولایة نصب الولیّ بعده، فالمرجع أصالة عدم ترتیب الأثر، کما أشار إلیه فی المستمسک</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أدلّة ولایة الحاکم الشرعی عن إثبات ولایته علی الوصیّة إلی غیره بالولایة بعد وفاته؛ لأنّها إنّما تثبت له من باب کون الفعل ممّا لا بدّ من تحقّقه فی الخارج و یرغب الشارع فی حصوله، و هو یحتاج إلی من یقوم به، و القدر</w:t>
      </w:r>
      <w:bookmarkStart w:id="885" w:name="pg11753_115170"/>
    </w:p>
    <w:p>
      <w:pPr>
        <w:pStyle w:val="BookText"/>
        <w:rPr/>
      </w:pPr>
      <w:bookmarkEnd w:id="885"/>
      <w:r>
        <w:rPr>
          <w:rFonts w:ascii="IRNazanin" w:hAnsi="IRNazanin" w:eastAsia="IRNazanin"/>
          <w:color w:val="111111"/>
          <w:sz w:val="28"/>
          <w:sz w:val="28"/>
          <w:szCs w:val="28"/>
          <w:rtl w:val="true"/>
          <w:lang w:bidi="fa-IR"/>
        </w:rPr>
        <w:t>المتیقّن منه هو الحاکم الشرعی؛ فإنّه یختصّ بحال حیاته، و ما دام حاکماً شرعیّاً، فلا یشمل إیصاءه لغیره بالولایة بعد مماته</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الفقیه السبزواری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وجود حاکم شرعی آخر لا یتحقّق موضوع الوصایة أصلاً؛ لأنّ ولایة حکّام الشرع نوعیّة صنفیّة، لا أن تکون فردیّة شخصیّة، و حینئذٍ تکون وصایة من مات من الحاکم الشرعی مع وجود الآخر کوصایة کلّ واحدٍ من الأب و الجدّ مع وجود الآخر، حیث إنّه لا أثر لها</w:t>
      </w:r>
      <w:r>
        <w:rPr>
          <w:rFonts w:eastAsia="IRNazanin" w:cs="IRNazanin"/>
          <w:color w:val="111111"/>
          <w:sz w:val="28"/>
          <w:szCs w:val="28"/>
          <w:rtl w:val="true"/>
          <w:lang w:bidi="fa-IR"/>
        </w:rPr>
        <w:t>»</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کان نصب القیّم للصنف الذی ثبت فی حقّ الشخص باعتبار اندراجه فیه، فإذا انعدم فرد قام مقامه فرد آخر ممّا حلّ فیه طبیعة الصنف الذی قد نصبه إمام الأصل، و لنحو ذلک لم یصحّ الوصیّة من الأب و الجدّ له بالولایة مع وجود الآخر</w:t>
      </w:r>
      <w:r>
        <w:rPr>
          <w:rFonts w:eastAsia="IRNazanin" w:cs="IRNazanin"/>
          <w:color w:val="111111"/>
          <w:sz w:val="28"/>
          <w:szCs w:val="28"/>
          <w:rtl w:val="true"/>
          <w:lang w:bidi="fa-IR"/>
        </w:rPr>
        <w:t>»</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9483134_73709187"/>
      <w:bookmarkStart w:id="887" w:name="_Toc336"/>
      <w:bookmarkEnd w:id="886"/>
      <w:r>
        <w:rPr>
          <w:rtl w:val="true"/>
        </w:rPr>
        <w:t>فرع</w:t>
      </w:r>
      <w:bookmarkEnd w:id="887"/>
    </w:p>
    <w:p>
      <w:pPr>
        <w:pStyle w:val="BookText"/>
        <w:rPr/>
      </w:pPr>
      <w:r>
        <w:rPr>
          <w:rFonts w:ascii="IRNazanin" w:hAnsi="IRNazanin" w:eastAsia="IRNazanin"/>
          <w:color w:val="111111"/>
          <w:sz w:val="28"/>
          <w:sz w:val="28"/>
          <w:szCs w:val="28"/>
          <w:rtl w:val="true"/>
          <w:lang w:bidi="fa-IR"/>
        </w:rPr>
        <w:t>جاء فی تعلیقة الشیخ محمّد حسین کاشف الغطاء علی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نصب الحاکم قیّماً علی الأطفال تبقی ولایته علیهم و لو بعد موت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نصب وکیلاً سقطت وکالته بموت موکّله</w:t>
      </w:r>
      <w:r>
        <w:rPr>
          <w:rFonts w:eastAsia="IRNazanin" w:cs="IRNazanin"/>
          <w:color w:val="111111"/>
          <w:sz w:val="28"/>
          <w:szCs w:val="28"/>
          <w:rtl w:val="true"/>
          <w:lang w:bidi="fa-IR"/>
        </w:rPr>
        <w:t>»</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9483136_73709187"/>
      <w:bookmarkStart w:id="889" w:name="_Toc337"/>
      <w:bookmarkEnd w:id="888"/>
      <w:r>
        <w:rPr>
          <w:rtl w:val="true"/>
        </w:rPr>
        <w:t>إیضاح</w:t>
      </w:r>
      <w:bookmarkEnd w:id="88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تتبّعنا لم نظفر فی کلمات فقهاء أهل السنّة علی رأی صریح فی هذه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و إن استفید من إطلاق بعض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 للحاکم الوصیّة بالولایة فی امور الأیتام، مثل قوله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صحّ تصرّفه فی المال صحّت وصیّته؛ لأنّها نوع تصرّف</w:t>
      </w:r>
      <w:r>
        <w:rPr>
          <w:rFonts w:eastAsia="IRNazanin" w:cs="IRNazanin"/>
          <w:color w:val="111111"/>
          <w:sz w:val="28"/>
          <w:szCs w:val="28"/>
          <w:rtl w:val="true"/>
          <w:lang w:bidi="fa-IR"/>
        </w:rPr>
        <w:t>»</w:t>
      </w:r>
      <w:r>
        <w:rPr>
          <w:rStyle w:val="FootnoteAnchor"/>
          <w:rtl w:val="true"/>
        </w:rPr>
        <w:footnoteReference w:id="2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یحتمل قویّاً انصرافه عن الحاکم، و المقصود منه هو الأب و الجدّ و الاُمّ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مقدّمون فی الولایة علی الحاکم</w:t>
      </w:r>
      <w:r>
        <w:rPr>
          <w:rFonts w:eastAsia="IRNazanin" w:cs="IRNazanin"/>
          <w:color w:val="111111"/>
          <w:sz w:val="28"/>
          <w:szCs w:val="28"/>
          <w:rtl w:val="true"/>
          <w:lang w:bidi="fa-IR"/>
        </w:rPr>
        <w:t>.</w:t>
      </w:r>
      <w:bookmarkStart w:id="890" w:name="pg11753_115172"/>
    </w:p>
    <w:p>
      <w:pPr>
        <w:pStyle w:val="Heading4"/>
        <w:numPr>
          <w:ilvl w:val="3"/>
          <w:numId w:val="1"/>
        </w:numPr>
        <w:rPr/>
      </w:pPr>
      <w:bookmarkStart w:id="891" w:name="__RefHeading___Toc9483138_73709187"/>
      <w:bookmarkStart w:id="892" w:name="_Toc338"/>
      <w:bookmarkEnd w:id="890"/>
      <w:bookmarkEnd w:id="891"/>
      <w:r>
        <w:rPr>
          <w:rtl w:val="true"/>
        </w:rPr>
        <w:t>المبحث الخامس</w:t>
      </w:r>
      <w:r>
        <w:rPr>
          <w:rtl w:val="true"/>
        </w:rPr>
        <w:t xml:space="preserve">: </w:t>
      </w:r>
      <w:r>
        <w:rPr>
          <w:rtl w:val="true"/>
        </w:rPr>
        <w:t>عدم تولّی الاُمّ الوصیّة بالولایة</w:t>
      </w:r>
      <w:bookmarkEnd w:id="892"/>
    </w:p>
    <w:p>
      <w:pPr>
        <w:pStyle w:val="Heading5"/>
        <w:numPr>
          <w:ilvl w:val="4"/>
          <w:numId w:val="1"/>
        </w:numPr>
        <w:rPr/>
      </w:pPr>
      <w:bookmarkStart w:id="893" w:name="__RefHeading___Toc9483140_73709187"/>
      <w:bookmarkStart w:id="894" w:name="_Toc339"/>
      <w:bookmarkEnd w:id="893"/>
      <w:r>
        <w:rPr>
          <w:rtl w:val="true"/>
        </w:rPr>
        <w:t>اشارة</w:t>
      </w:r>
      <w:bookmarkEnd w:id="894"/>
    </w:p>
    <w:p>
      <w:pPr>
        <w:pStyle w:val="BookText"/>
        <w:rPr/>
      </w:pPr>
      <w:r>
        <w:rPr>
          <w:rFonts w:ascii="IRNazanin" w:hAnsi="IRNazanin" w:eastAsia="IRNazanin"/>
          <w:color w:val="111111"/>
          <w:sz w:val="28"/>
          <w:sz w:val="28"/>
          <w:szCs w:val="28"/>
          <w:rtl w:val="true"/>
          <w:lang w:bidi="fa-IR"/>
        </w:rPr>
        <w:t xml:space="preserve">لا خلاف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الإجماع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تلی الاُمّ للوصیّة بالولایة علی الأطفال و إن لم یکن لهم أب و لا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لها أطفالٌ، فأوصتْ إلی رجلٍ بالنظر فی أموال أطفالها،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الولایة بنفسها،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 إلی الأجنبی صحیحةٌ؛ لأنّها تلی بنفسها کما لو أوصی الأب إلی رجل، کذلک هی مثله، و عندنا أنّ الوصیّة تبطل؛ لأنّها لا تَملِکُ شیئاً</w:t>
      </w:r>
      <w:r>
        <w:rPr>
          <w:rFonts w:eastAsia="IRNazanin" w:cs="IRNazanin"/>
          <w:color w:val="111111"/>
          <w:sz w:val="28"/>
          <w:szCs w:val="28"/>
          <w:rtl w:val="true"/>
          <w:lang w:bidi="fa-IR"/>
        </w:rPr>
        <w:t>»</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أشار إلی ذلک أیضاً فی الخلاف</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 الوصیة بالولایة علی الأطفال إلاّ من الأب أو الجدّ للأب خاصّة، و لا ولایة للاُمّ و لا تصحّ منها الوصیّة علیهم</w:t>
      </w:r>
      <w:r>
        <w:rPr>
          <w:rFonts w:eastAsia="IRNazanin" w:cs="IRNazanin"/>
          <w:color w:val="111111"/>
          <w:sz w:val="28"/>
          <w:szCs w:val="28"/>
          <w:rtl w:val="true"/>
          <w:lang w:bidi="fa-IR"/>
        </w:rPr>
        <w:t>»</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للاُمّ أن توصی علی أولادها و إن لم یکن لهم أب و لا جدّ</w:t>
      </w:r>
      <w:r>
        <w:rPr>
          <w:rFonts w:eastAsia="IRNazanin" w:cs="IRNazanin"/>
          <w:color w:val="111111"/>
          <w:sz w:val="28"/>
          <w:szCs w:val="28"/>
          <w:rtl w:val="true"/>
          <w:lang w:bidi="fa-IR"/>
        </w:rPr>
        <w:t>»</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الوصیّة بالولایة إنّما تصحُّ من الأب أو الجدّ للأب و إن علا، و لا ولایة لغیرهم من أخ أو عمّ أو خال أو جدّ لاُمّ؛ لأنّ هؤلاء لا یکون أمر الأطفال إلیهم فکیف یثبت لهم ولایة، فإنّ الوصی نائب عن الموصی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الموصی خ ل</w:t>
      </w:r>
      <w:r>
        <w:rPr>
          <w:rFonts w:eastAsia="IRNazanin" w:cs="IRNazanin"/>
          <w:color w:val="111111"/>
          <w:sz w:val="28"/>
          <w:szCs w:val="28"/>
          <w:rtl w:val="true"/>
          <w:lang w:bidi="fa-IR"/>
        </w:rPr>
        <w:t>)</w:t>
      </w:r>
      <w:r>
        <w:rPr>
          <w:rStyle w:val="FootnoteAnchor"/>
          <w:rtl w:val="true"/>
        </w:rPr>
        <w:footnoteReference w:id="2694"/>
      </w:r>
      <w:r>
        <w:rPr>
          <w:rFonts w:ascii="IRNazanin" w:hAnsi="IRNazanin" w:eastAsia="IRNazanin"/>
          <w:color w:val="111111"/>
          <w:sz w:val="28"/>
          <w:sz w:val="28"/>
          <w:szCs w:val="28"/>
          <w:rtl w:val="true"/>
          <w:lang w:bidi="fa-IR"/>
        </w:rPr>
        <w:t>فإذا کان الموصی لا ولایة له فالموصی إلیه أولی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الاُمّ فلا ولایة</w:t>
      </w:r>
    </w:p>
    <w:p>
      <w:pPr>
        <w:pStyle w:val="BookText"/>
        <w:rPr/>
      </w:pPr>
      <w:r>
        <w:rPr>
          <w:rFonts w:ascii="IRNazanin" w:hAnsi="IRNazanin" w:eastAsia="IRNazanin"/>
          <w:color w:val="111111"/>
          <w:sz w:val="28"/>
          <w:sz w:val="28"/>
          <w:szCs w:val="28"/>
          <w:rtl w:val="true"/>
          <w:lang w:bidi="fa-IR"/>
        </w:rPr>
        <w:t>لها عندنا أیضاً</w:t>
      </w:r>
      <w:r>
        <w:rPr>
          <w:rFonts w:eastAsia="IRNazanin" w:cs="IRNazanin"/>
          <w:color w:val="111111"/>
          <w:sz w:val="28"/>
          <w:szCs w:val="28"/>
          <w:rtl w:val="true"/>
          <w:lang w:bidi="fa-IR"/>
        </w:rPr>
        <w:t>»</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التحریر</w:t>
      </w:r>
      <w:r>
        <w:rPr>
          <w:rStyle w:val="FootnoteAnchor"/>
          <w:rtl w:val="true"/>
        </w:rPr>
        <w:footnoteReference w:id="2696"/>
      </w:r>
      <w:r>
        <w:rPr>
          <w:rFonts w:ascii="IRNazanin" w:hAnsi="IRNazanin" w:eastAsia="IRNazanin"/>
          <w:color w:val="111111"/>
          <w:sz w:val="28"/>
          <w:sz w:val="28"/>
          <w:szCs w:val="28"/>
          <w:rtl w:val="true"/>
          <w:lang w:bidi="fa-IR"/>
        </w:rPr>
        <w:t>و المختلف</w:t>
      </w:r>
      <w:r>
        <w:rPr>
          <w:rStyle w:val="FootnoteAnchor"/>
          <w:rtl w:val="true"/>
        </w:rPr>
        <w:footnoteReference w:id="2697"/>
      </w:r>
      <w:r>
        <w:rPr>
          <w:rFonts w:ascii="IRNazanin" w:hAnsi="IRNazanin" w:eastAsia="IRNazanin"/>
          <w:color w:val="111111"/>
          <w:sz w:val="28"/>
          <w:sz w:val="28"/>
          <w:szCs w:val="28"/>
          <w:rtl w:val="true"/>
          <w:lang w:bidi="fa-IR"/>
        </w:rPr>
        <w:t>و الإرشاد</w:t>
      </w:r>
      <w:r>
        <w:rPr>
          <w:rStyle w:val="FootnoteAnchor"/>
          <w:rtl w:val="true"/>
        </w:rPr>
        <w:footnoteReference w:id="2698"/>
      </w:r>
      <w:r>
        <w:rPr>
          <w:rFonts w:ascii="IRNazanin" w:hAnsi="IRNazanin" w:eastAsia="IRNazanin"/>
          <w:color w:val="111111"/>
          <w:sz w:val="28"/>
          <w:sz w:val="28"/>
          <w:szCs w:val="28"/>
          <w:rtl w:val="true"/>
          <w:lang w:bidi="fa-IR"/>
        </w:rPr>
        <w:t>و الدروس</w:t>
      </w:r>
      <w:r>
        <w:rPr>
          <w:rStyle w:val="FootnoteAnchor"/>
          <w:rtl w:val="true"/>
        </w:rPr>
        <w:footnoteReference w:id="2699"/>
      </w:r>
      <w:r>
        <w:rPr>
          <w:rFonts w:ascii="IRNazanin" w:hAnsi="IRNazanin" w:eastAsia="IRNazanin"/>
          <w:color w:val="111111"/>
          <w:sz w:val="28"/>
          <w:sz w:val="28"/>
          <w:szCs w:val="28"/>
          <w:rtl w:val="true"/>
          <w:lang w:bidi="fa-IR"/>
        </w:rPr>
        <w:t>و جامع المقاصد</w:t>
      </w:r>
      <w:r>
        <w:rPr>
          <w:rStyle w:val="FootnoteAnchor"/>
          <w:rtl w:val="true"/>
        </w:rPr>
        <w:footnoteReference w:id="2700"/>
      </w:r>
    </w:p>
    <w:p>
      <w:pPr>
        <w:pStyle w:val="BookText"/>
        <w:rPr/>
      </w:pPr>
      <w:r>
        <w:rPr>
          <w:rFonts w:ascii="IRNazanin" w:hAnsi="IRNazanin" w:eastAsia="IRNazanin"/>
          <w:color w:val="111111"/>
          <w:sz w:val="28"/>
          <w:sz w:val="28"/>
          <w:szCs w:val="28"/>
          <w:rtl w:val="true"/>
          <w:lang w:bidi="fa-IR"/>
        </w:rPr>
        <w:t>و الجواهر</w:t>
      </w:r>
      <w:r>
        <w:rPr>
          <w:rStyle w:val="FootnoteAnchor"/>
          <w:rtl w:val="true"/>
        </w:rPr>
        <w:footnoteReference w:id="2701"/>
      </w:r>
      <w:r>
        <w:rPr>
          <w:rFonts w:ascii="Amiri" w:hAnsi="Amiri" w:eastAsia="Amiri" w:cs="Amiri"/>
          <w:color w:val="111111"/>
          <w:sz w:val="28"/>
          <w:sz w:val="28"/>
          <w:szCs w:val="28"/>
          <w:rtl w:val="true"/>
          <w:lang w:bidi="ar-SA"/>
        </w:rPr>
        <w:t>و العروة</w:t>
      </w:r>
      <w:r>
        <w:rPr>
          <w:rStyle w:val="FootnoteAnchor"/>
          <w:rtl w:val="true"/>
        </w:rPr>
        <w:footnoteReference w:id="2702"/>
      </w:r>
      <w:r>
        <w:rPr>
          <w:rFonts w:ascii="IRNazanin" w:hAnsi="IRNazanin" w:eastAsia="IRNazanin"/>
          <w:color w:val="111111"/>
          <w:sz w:val="28"/>
          <w:sz w:val="28"/>
          <w:szCs w:val="28"/>
          <w:rtl w:val="true"/>
          <w:lang w:bidi="fa-IR"/>
        </w:rPr>
        <w:t>و به قال أیضاً الشیخ الأعظم</w:t>
      </w:r>
      <w:r>
        <w:rPr>
          <w:rStyle w:val="FootnoteAnchor"/>
          <w:rtl w:val="true"/>
        </w:rPr>
        <w:footnoteReference w:id="2703"/>
      </w:r>
      <w:r>
        <w:rPr>
          <w:rFonts w:ascii="IRNazanin" w:hAnsi="IRNazanin" w:eastAsia="IRNazanin"/>
          <w:color w:val="111111"/>
          <w:sz w:val="28"/>
          <w:sz w:val="28"/>
          <w:szCs w:val="28"/>
          <w:rtl w:val="true"/>
          <w:lang w:bidi="fa-IR"/>
        </w:rPr>
        <w:t>وسادة الفقهاء الحکیم</w:t>
      </w:r>
      <w:r>
        <w:rPr>
          <w:rStyle w:val="FootnoteAnchor"/>
          <w:rtl w:val="true"/>
        </w:rPr>
        <w:footnoteReference w:id="2704"/>
      </w:r>
    </w:p>
    <w:p>
      <w:pPr>
        <w:pStyle w:val="BookText"/>
        <w:rPr/>
      </w:pPr>
      <w:r>
        <w:rPr>
          <w:rFonts w:ascii="IRNazanin" w:hAnsi="IRNazanin" w:eastAsia="IRNazanin"/>
          <w:color w:val="111111"/>
          <w:sz w:val="28"/>
          <w:sz w:val="28"/>
          <w:szCs w:val="28"/>
          <w:rtl w:val="true"/>
          <w:lang w:bidi="fa-IR"/>
        </w:rPr>
        <w:t>و الخوئی</w:t>
      </w:r>
      <w:r>
        <w:rPr>
          <w:rStyle w:val="FootnoteAnchor"/>
          <w:rtl w:val="true"/>
        </w:rPr>
        <w:footnoteReference w:id="2705"/>
      </w:r>
      <w:r>
        <w:rPr>
          <w:rFonts w:ascii="IRNazanin" w:hAnsi="IRNazanin" w:eastAsia="IRNazanin"/>
          <w:color w:val="111111"/>
          <w:sz w:val="28"/>
          <w:sz w:val="28"/>
          <w:szCs w:val="28"/>
          <w:rtl w:val="true"/>
          <w:lang w:bidi="fa-IR"/>
        </w:rPr>
        <w:t>و السبزواری</w:t>
      </w:r>
      <w:r>
        <w:rPr>
          <w:rStyle w:val="FootnoteAnchor"/>
          <w:rtl w:val="true"/>
        </w:rPr>
        <w:footnoteReference w:id="2706"/>
      </w:r>
      <w:r>
        <w:rPr>
          <w:rFonts w:ascii="IRNazanin" w:hAnsi="IRNazanin" w:eastAsia="IRNazanin"/>
          <w:color w:val="111111"/>
          <w:sz w:val="28"/>
          <w:sz w:val="28"/>
          <w:szCs w:val="28"/>
          <w:rtl w:val="true"/>
          <w:lang w:bidi="fa-IR"/>
        </w:rPr>
        <w:t>و کذا فی الوسیلة</w:t>
      </w:r>
      <w:r>
        <w:rPr>
          <w:rStyle w:val="FootnoteAnchor"/>
          <w:rtl w:val="true"/>
        </w:rPr>
        <w:footnoteReference w:id="2707"/>
      </w:r>
      <w:r>
        <w:rPr>
          <w:rFonts w:ascii="IRNazanin" w:hAnsi="IRNazanin" w:eastAsia="IRNazanin"/>
          <w:color w:val="111111"/>
          <w:sz w:val="28"/>
          <w:sz w:val="28"/>
          <w:szCs w:val="28"/>
          <w:rtl w:val="true"/>
          <w:lang w:bidi="fa-IR"/>
        </w:rPr>
        <w:t>و تحریرها</w:t>
      </w:r>
      <w:r>
        <w:rPr>
          <w:rStyle w:val="FootnoteAnchor"/>
          <w:rtl w:val="true"/>
        </w:rPr>
        <w:footnoteReference w:id="2708"/>
      </w:r>
      <w:r>
        <w:rPr>
          <w:rFonts w:ascii="IRNazanin" w:hAnsi="IRNazanin" w:eastAsia="IRNazanin"/>
          <w:color w:val="111111"/>
          <w:sz w:val="28"/>
          <w:sz w:val="28"/>
          <w:szCs w:val="28"/>
          <w:rtl w:val="true"/>
          <w:lang w:bidi="fa-IR"/>
        </w:rPr>
        <w:t>و تفصیل الشریعة</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 فی شرح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داخل فی السابق الدالّ علی عدم صحّة الوصیّة علیهم لغیر الأب و الجدّ له، و إنّما خُصّ الاُمّ بالذکر بعد دخولها لإثبات ابن الجنید</w:t>
      </w:r>
      <w:r>
        <w:rPr>
          <w:rStyle w:val="FootnoteAnchor"/>
          <w:rtl w:val="true"/>
        </w:rPr>
        <w:footnoteReference w:id="2710"/>
      </w:r>
      <w:r>
        <w:rPr>
          <w:rFonts w:ascii="IRNazanin" w:hAnsi="IRNazanin" w:eastAsia="IRNazanin"/>
          <w:color w:val="111111"/>
          <w:sz w:val="28"/>
          <w:sz w:val="28"/>
          <w:szCs w:val="28"/>
          <w:rtl w:val="true"/>
          <w:lang w:bidi="fa-IR"/>
        </w:rPr>
        <w:t>الولایة لها مع رُشدها بعد الأب، و هو شاذّ</w:t>
      </w:r>
      <w:r>
        <w:rPr>
          <w:rFonts w:eastAsia="IRNazanin" w:cs="IRNazanin"/>
          <w:color w:val="111111"/>
          <w:sz w:val="28"/>
          <w:szCs w:val="28"/>
          <w:rtl w:val="true"/>
          <w:lang w:bidi="fa-IR"/>
        </w:rPr>
        <w:t>»</w:t>
      </w:r>
      <w:r>
        <w:rPr>
          <w:rStyle w:val="FootnoteAnchor"/>
          <w:rtl w:val="true"/>
        </w:rPr>
        <w:footnoteReference w:id="2711"/>
      </w:r>
      <w:bookmarkStart w:id="895" w:name="pg11753_115174"/>
    </w:p>
    <w:p>
      <w:pPr>
        <w:pStyle w:val="BookText"/>
        <w:rPr/>
      </w:pPr>
      <w:bookmarkEnd w:id="895"/>
      <w:r>
        <w:rPr>
          <w:rFonts w:ascii="IRNazanin" w:hAnsi="IRNazanin" w:eastAsia="IRNazanin"/>
          <w:color w:val="111111"/>
          <w:sz w:val="28"/>
          <w:sz w:val="28"/>
          <w:szCs w:val="28"/>
          <w:rtl w:val="true"/>
          <w:lang w:bidi="fa-IR"/>
        </w:rPr>
        <w:t>و یدلّ علی هذا الحکم الإجماع کما هو ظاهر کلام الشیخ</w:t>
      </w:r>
      <w:r>
        <w:rPr>
          <w:rStyle w:val="FootnoteAnchor"/>
          <w:rtl w:val="true"/>
        </w:rPr>
        <w:footnoteReference w:id="2712"/>
      </w:r>
      <w:r>
        <w:rPr>
          <w:rFonts w:ascii="Amiri" w:hAnsi="Amiri" w:eastAsia="Amiri" w:cs="Amiri"/>
          <w:color w:val="111111"/>
          <w:sz w:val="28"/>
          <w:sz w:val="28"/>
          <w:szCs w:val="28"/>
          <w:rtl w:val="true"/>
          <w:lang w:bidi="ar-SA"/>
        </w:rPr>
        <w:t>و العلاّمة</w:t>
      </w:r>
      <w:r>
        <w:rPr>
          <w:rStyle w:val="FootnoteAnchor"/>
          <w:rtl w:val="true"/>
        </w:rPr>
        <w:footnoteReference w:id="2713"/>
      </w:r>
    </w:p>
    <w:p>
      <w:pPr>
        <w:pStyle w:val="BookText"/>
        <w:rPr/>
      </w:pPr>
      <w:r>
        <w:rPr>
          <w:rFonts w:ascii="IRNazanin" w:hAnsi="IRNazanin" w:eastAsia="IRNazanin"/>
          <w:color w:val="111111"/>
          <w:sz w:val="28"/>
          <w:sz w:val="28"/>
          <w:szCs w:val="28"/>
          <w:rtl w:val="true"/>
          <w:lang w:bidi="fa-IR"/>
        </w:rPr>
        <w:t>و کذا الأصل بعد عدم دلیل علی ثبوت الولایة لها فی عرض الأب و الجدّ أو فی طولها</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9483142_73709187"/>
      <w:bookmarkStart w:id="897" w:name="_Toc340"/>
      <w:bookmarkEnd w:id="896"/>
      <w:r>
        <w:rPr>
          <w:rtl w:val="true"/>
        </w:rPr>
        <w:t>فرع</w:t>
      </w:r>
      <w:bookmarkEnd w:id="897"/>
    </w:p>
    <w:p>
      <w:pPr>
        <w:pStyle w:val="BookText"/>
        <w:rPr/>
      </w:pPr>
      <w:r>
        <w:rPr>
          <w:rFonts w:ascii="Amiri" w:hAnsi="Amiri" w:eastAsia="Amiri" w:cs="Amiri"/>
          <w:color w:val="111111"/>
          <w:sz w:val="28"/>
          <w:sz w:val="28"/>
          <w:szCs w:val="28"/>
          <w:rtl w:val="true"/>
          <w:lang w:bidi="ar-SA"/>
        </w:rPr>
        <w:t>جاء فی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أوْصَت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و نَصَبَتْ وصیّاً، صحَّ تصرّفه فی ثلث ترکتها و فی إخراج ما علیها من الحقوق، و لم تُمضَ علی الأولاد</w:t>
      </w:r>
      <w:r>
        <w:rPr>
          <w:rFonts w:eastAsia="Amiri" w:cs="Amiri" w:ascii="Amiri" w:hAnsi="Amiri"/>
          <w:color w:val="111111"/>
          <w:sz w:val="28"/>
          <w:szCs w:val="28"/>
          <w:rtl w:val="true"/>
          <w:lang w:bidi="ar-SA"/>
        </w:rPr>
        <w:t>»</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أوصت لهم بمالٍ و نَصَبَتْ وصیّاً صحّت الوصیة بالمال من ثلث ترکتها، و بطلت الولایة علی الأولاد</w:t>
      </w:r>
      <w:r>
        <w:rPr>
          <w:rFonts w:eastAsia="IRNazanin" w:cs="IRNazanin"/>
          <w:color w:val="111111"/>
          <w:sz w:val="28"/>
          <w:szCs w:val="28"/>
          <w:rtl w:val="true"/>
          <w:lang w:bidi="fa-IR"/>
        </w:rPr>
        <w:t>»</w:t>
      </w:r>
      <w:r>
        <w:rPr>
          <w:rStyle w:val="FootnoteAnchor"/>
          <w:rtl w:val="true"/>
        </w:rPr>
        <w:footnoteReference w:id="2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الدروس</w:t>
      </w:r>
      <w:r>
        <w:rPr>
          <w:rStyle w:val="FootnoteAnchor"/>
          <w:rtl w:val="true"/>
        </w:rPr>
        <w:footnoteReference w:id="2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الشیخ الأعظم</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واضح بعد ما سَلَفَ من عدم ولایتها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 بتخصیصه علی أنّ تبعّض وصیّتها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اشتملت علی امور بعضها سائغ و بعضها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مانع من نفوذ المشروع منها، و حینئذٍ فتصحُّ وصیّتها لهم بالمال و لا یصحّ إیصاؤها، بل یبقی حکم المال الموصی به کسائر أموالهم یرجع فیه إلی ولیّهم الخاصّ أو العامّ</w:t>
      </w:r>
      <w:r>
        <w:rPr>
          <w:rFonts w:eastAsia="IRNazanin" w:cs="IRNazanin"/>
          <w:color w:val="111111"/>
          <w:sz w:val="28"/>
          <w:szCs w:val="28"/>
          <w:rtl w:val="true"/>
          <w:lang w:bidi="fa-IR"/>
        </w:rPr>
        <w:t>»</w:t>
      </w:r>
      <w:r>
        <w:rPr>
          <w:rStyle w:val="FootnoteAnchor"/>
          <w:rtl w:val="true"/>
        </w:rPr>
        <w:footnoteReference w:id="2719"/>
      </w:r>
      <w:bookmarkStart w:id="898" w:name="pg11753_115175"/>
    </w:p>
    <w:p>
      <w:pPr>
        <w:pStyle w:val="Heading5"/>
        <w:numPr>
          <w:ilvl w:val="4"/>
          <w:numId w:val="1"/>
        </w:numPr>
        <w:rPr/>
      </w:pPr>
      <w:bookmarkStart w:id="899" w:name="__RefHeading___Toc9483144_73709187"/>
      <w:bookmarkStart w:id="900" w:name="_Toc341"/>
      <w:bookmarkEnd w:id="898"/>
      <w:bookmarkEnd w:id="899"/>
      <w:r>
        <w:rPr>
          <w:rtl w:val="true"/>
        </w:rPr>
        <w:t>آراء فقهاء أهل السنّة فی الوصیة بالولایة للاُمّ‌</w:t>
      </w:r>
      <w:bookmarkEnd w:id="900"/>
    </w:p>
    <w:p>
      <w:pPr>
        <w:pStyle w:val="BookText"/>
        <w:rPr/>
      </w:pPr>
      <w:r>
        <w:rPr>
          <w:rFonts w:ascii="IRNazanin" w:hAnsi="IRNazanin" w:eastAsia="IRNazanin"/>
          <w:color w:val="111111"/>
          <w:sz w:val="28"/>
          <w:sz w:val="28"/>
          <w:szCs w:val="28"/>
          <w:rtl w:val="true"/>
          <w:lang w:bidi="fa-IR"/>
        </w:rPr>
        <w:t>إنّهم فی هذه المسألة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جمهور الفقهاء من الشافعیّة و الحنابلة و الحنفیّة من أنّه لا تصحّ الوصایة فی أمر الأطفال 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لغیر الأب و الجدّ الوصایة فی أمر الأطفال و لا للاُمّ</w:t>
      </w:r>
      <w:r>
        <w:rPr>
          <w:rFonts w:eastAsia="IRNazanin" w:cs="IRNazanin"/>
          <w:color w:val="111111"/>
          <w:sz w:val="28"/>
          <w:szCs w:val="28"/>
          <w:rtl w:val="true"/>
          <w:lang w:bidi="fa-IR"/>
        </w:rPr>
        <w:t>»</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اختلاف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لم یکن للاُمّ و الأخ ولایة فی مال الصغیر کذلک وصیّهما، و قد اتّفقوا علی أنّ وصیّهما لا یتصرّف فیما لم یرثه الصغیر عنهما</w:t>
      </w:r>
      <w:r>
        <w:rPr>
          <w:rFonts w:eastAsia="IRNazanin" w:cs="IRNazanin"/>
          <w:color w:val="111111"/>
          <w:sz w:val="28"/>
          <w:szCs w:val="28"/>
          <w:rtl w:val="true"/>
          <w:lang w:bidi="fa-IR"/>
        </w:rPr>
        <w:t>»</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صرّح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 لا ولایة لها بالنظر فی مال ولدها</w:t>
      </w:r>
      <w:r>
        <w:rPr>
          <w:rFonts w:eastAsia="IRNazanin" w:cs="IRNazanin"/>
          <w:color w:val="111111"/>
          <w:sz w:val="28"/>
          <w:szCs w:val="28"/>
          <w:rtl w:val="true"/>
          <w:lang w:bidi="fa-IR"/>
        </w:rPr>
        <w:t>»</w:t>
      </w:r>
      <w:r>
        <w:rPr>
          <w:rStyle w:val="FootnoteAnchor"/>
          <w:rtl w:val="true"/>
        </w:rPr>
        <w:footnoteReference w:id="2722"/>
      </w:r>
    </w:p>
    <w:p>
      <w:pPr>
        <w:pStyle w:val="BookText"/>
        <w:rPr/>
      </w:pPr>
      <w:r>
        <w:rPr>
          <w:rFonts w:ascii="IRNazanin" w:hAnsi="IRNazanin" w:eastAsia="IRNazanin"/>
          <w:color w:val="111111"/>
          <w:sz w:val="28"/>
          <w:sz w:val="28"/>
          <w:szCs w:val="28"/>
          <w:rtl w:val="true"/>
          <w:lang w:bidi="fa-IR"/>
        </w:rPr>
        <w:t>و کذا فی مغنی المحتاج</w:t>
      </w:r>
      <w:r>
        <w:rPr>
          <w:rStyle w:val="FootnoteAnchor"/>
          <w:rtl w:val="true"/>
        </w:rPr>
        <w:footnoteReference w:id="2723"/>
      </w:r>
      <w:r>
        <w:rPr>
          <w:rFonts w:ascii="IRNazanin" w:hAnsi="IRNazanin" w:eastAsia="IRNazanin"/>
          <w:color w:val="111111"/>
          <w:sz w:val="28"/>
          <w:sz w:val="28"/>
          <w:szCs w:val="28"/>
          <w:rtl w:val="true"/>
          <w:lang w:bidi="fa-IR"/>
        </w:rPr>
        <w:t>و کشّاف القناع</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وصیّ الأخ و الاُمّ و العمّ و سائر ذوی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بیع ترکة المیّت لدینه أو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بیع عقار الصغار؛ إذ لیس لهم إلاّ حفظ المال و لا الشراء للتجارة و لا التصرّف فیما یملکه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لأنّهم بالنظر إلیه أجانب</w:t>
      </w:r>
      <w:r>
        <w:rPr>
          <w:rFonts w:eastAsia="IRNazanin" w:cs="IRNazanin"/>
          <w:color w:val="111111"/>
          <w:sz w:val="28"/>
          <w:szCs w:val="28"/>
          <w:rtl w:val="true"/>
          <w:lang w:bidi="fa-IR"/>
        </w:rPr>
        <w:t>»</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ذهبت إلیه المالکیّة، فإنّهم قالوا بصحّة الوصایة فی أمر الأطفال للاُمّ بشروطٍ ثلاثة ذکرت فی کلماتهم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حاشیة الخرشی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 یجوز لها أن توصی علی الصغیر بشروط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الموصی فیه قلیلاً کستّین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للصغیر ولیّ و لا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موروثاً عن الاُمّ</w:t>
      </w:r>
      <w:r>
        <w:rPr>
          <w:rFonts w:eastAsia="IRNazanin" w:cs="IRNazanin"/>
          <w:color w:val="111111"/>
          <w:sz w:val="28"/>
          <w:szCs w:val="28"/>
          <w:rtl w:val="true"/>
          <w:lang w:bidi="fa-IR"/>
        </w:rPr>
        <w:t>»</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حاشیة الدسوقی</w:t>
      </w:r>
      <w:r>
        <w:rPr>
          <w:rStyle w:val="FootnoteAnchor"/>
          <w:rtl w:val="true"/>
        </w:rPr>
        <w:footnoteReference w:id="2727"/>
      </w:r>
      <w:r>
        <w:rPr>
          <w:rFonts w:ascii="IRNazanin" w:hAnsi="IRNazanin" w:eastAsia="IRNazanin"/>
          <w:color w:val="111111"/>
          <w:sz w:val="28"/>
          <w:sz w:val="28"/>
          <w:szCs w:val="28"/>
          <w:rtl w:val="true"/>
          <w:lang w:bidi="fa-IR"/>
        </w:rPr>
        <w:t>و بلغة السالک</w:t>
      </w:r>
      <w:r>
        <w:rPr>
          <w:rStyle w:val="FootnoteAnchor"/>
          <w:rtl w:val="true"/>
        </w:rPr>
        <w:footnoteReference w:id="2728"/>
      </w:r>
      <w:r>
        <w:rPr>
          <w:rFonts w:ascii="IRNazanin" w:hAnsi="IRNazanin" w:eastAsia="IRNazanin"/>
          <w:color w:val="111111"/>
          <w:sz w:val="28"/>
          <w:sz w:val="28"/>
          <w:szCs w:val="28"/>
          <w:rtl w:val="true"/>
          <w:lang w:bidi="fa-IR"/>
        </w:rPr>
        <w:t>و مواهب الجلیل</w:t>
      </w:r>
      <w:r>
        <w:rPr>
          <w:rStyle w:val="FootnoteAnchor"/>
          <w:rtl w:val="true"/>
        </w:rPr>
        <w:footnoteReference w:id="2729"/>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المدوّنة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وصیّتها فی مال ولدها إذا کانوا صغاراً و لهم أبٌ، فإن لم یکن لهم والد جازت وصیّتها فی مال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مالکاً یخفّف ذلک و یجعله وصیّاً فی الشیء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الشیء الکثیر فلا، و ینظر السلطان له فی ذلک</w:t>
      </w:r>
      <w:r>
        <w:rPr>
          <w:rFonts w:eastAsia="IRNazanin" w:cs="IRNazanin"/>
          <w:color w:val="111111"/>
          <w:sz w:val="28"/>
          <w:szCs w:val="28"/>
          <w:rtl w:val="true"/>
          <w:lang w:bidi="fa-IR"/>
        </w:rPr>
        <w:t>»</w:t>
      </w:r>
      <w:r>
        <w:rPr>
          <w:rStyle w:val="FootnoteAnchor"/>
          <w:rtl w:val="true"/>
        </w:rPr>
        <w:footnoteReference w:id="2731"/>
      </w:r>
      <w:bookmarkStart w:id="901" w:name="pg11753_115177"/>
    </w:p>
    <w:p>
      <w:pPr>
        <w:pStyle w:val="Heading4"/>
        <w:numPr>
          <w:ilvl w:val="3"/>
          <w:numId w:val="1"/>
        </w:numPr>
        <w:rPr/>
      </w:pPr>
      <w:bookmarkStart w:id="902" w:name="__RefHeading___Toc9483146_73709187"/>
      <w:bookmarkStart w:id="903" w:name="_Toc342"/>
      <w:bookmarkEnd w:id="901"/>
      <w:bookmarkEnd w:id="902"/>
      <w:r>
        <w:rPr>
          <w:rtl w:val="true"/>
        </w:rPr>
        <w:t>المبحث السادس</w:t>
      </w:r>
      <w:r>
        <w:rPr>
          <w:rtl w:val="true"/>
        </w:rPr>
        <w:t xml:space="preserve">: </w:t>
      </w:r>
      <w:r>
        <w:rPr>
          <w:rtl w:val="true"/>
        </w:rPr>
        <w:t>نصب القیّم مع وجود الجدّ</w:t>
      </w:r>
      <w:bookmarkEnd w:id="903"/>
    </w:p>
    <w:p>
      <w:pPr>
        <w:pStyle w:val="Heading5"/>
        <w:numPr>
          <w:ilvl w:val="4"/>
          <w:numId w:val="1"/>
        </w:numPr>
        <w:rPr/>
      </w:pPr>
      <w:bookmarkStart w:id="904" w:name="__RefHeading___Toc9483148_73709187"/>
      <w:bookmarkStart w:id="905" w:name="_Toc343"/>
      <w:bookmarkEnd w:id="904"/>
      <w:r>
        <w:rPr>
          <w:rtl w:val="true"/>
        </w:rPr>
        <w:t>اشارة</w:t>
      </w:r>
      <w:bookmarkEnd w:id="905"/>
    </w:p>
    <w:p>
      <w:pPr>
        <w:pStyle w:val="BookText"/>
        <w:rPr/>
      </w:pPr>
      <w:r>
        <w:rPr>
          <w:rFonts w:ascii="IRNazanin" w:hAnsi="IRNazanin" w:eastAsia="IRNazanin"/>
          <w:color w:val="111111"/>
          <w:sz w:val="28"/>
          <w:sz w:val="28"/>
          <w:szCs w:val="28"/>
          <w:rtl w:val="true"/>
          <w:lang w:bidi="fa-IR"/>
        </w:rPr>
        <w:t>هل یجوز للأب نصب الوصیّ و القیّم علی ولده الصغیر مع وجود الجدّ أم لا؟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الوصیّة مطلقا؛ بمعنی أنّه إذا أوصی الأب إلی الأجنبی تبطل وصیّته بالنسبة إلی زمان کون الجدّ موجوداً و بعد موته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یوصی إلی أجنبیٍّ، بأن یتولّی أمر أولاده مع وجود أبیه، و متی فعل لم تصحّ الوصیّة؛ لأنّ الجدّ أولی به</w:t>
      </w:r>
      <w:r>
        <w:rPr>
          <w:rFonts w:eastAsia="IRNazanin" w:cs="IRNazanin"/>
          <w:color w:val="111111"/>
          <w:sz w:val="28"/>
          <w:szCs w:val="28"/>
          <w:rtl w:val="true"/>
          <w:lang w:bidi="fa-IR"/>
        </w:rPr>
        <w:t>»</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المبسوط‌</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أوصی بالنظر فی مال ولده إلی أجنبیّ و له أب، لم یصحّ، و کانت الولایة إلی جدّ الیتیم دون الوصیّ،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ذلک فی قدر الثلث ممّا ترک و فی أداء الحقوق</w:t>
      </w:r>
      <w:r>
        <w:rPr>
          <w:rFonts w:eastAsia="IRNazanin" w:cs="IRNazanin"/>
          <w:color w:val="111111"/>
          <w:sz w:val="28"/>
          <w:szCs w:val="28"/>
          <w:rtl w:val="true"/>
          <w:lang w:bidi="fa-IR"/>
        </w:rPr>
        <w:t>»</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التذکرة</w:t>
      </w:r>
      <w:r>
        <w:rPr>
          <w:rStyle w:val="FootnoteAnchor"/>
          <w:rtl w:val="true"/>
        </w:rPr>
        <w:footnoteReference w:id="2735"/>
      </w:r>
      <w:r>
        <w:rPr>
          <w:rFonts w:ascii="IRNazanin" w:hAnsi="IRNazanin" w:eastAsia="IRNazanin"/>
          <w:color w:val="111111"/>
          <w:sz w:val="28"/>
          <w:sz w:val="28"/>
          <w:szCs w:val="28"/>
          <w:rtl w:val="true"/>
          <w:lang w:bidi="fa-IR"/>
        </w:rPr>
        <w:t>و التحریر</w:t>
      </w:r>
      <w:r>
        <w:rPr>
          <w:rStyle w:val="FootnoteAnchor"/>
          <w:rtl w:val="true"/>
        </w:rPr>
        <w:footnoteReference w:id="2736"/>
      </w:r>
      <w:r>
        <w:rPr>
          <w:rFonts w:ascii="IRNazanin" w:hAnsi="IRNazanin" w:eastAsia="IRNazanin"/>
          <w:color w:val="111111"/>
          <w:sz w:val="28"/>
          <w:sz w:val="28"/>
          <w:szCs w:val="28"/>
          <w:rtl w:val="true"/>
          <w:lang w:bidi="fa-IR"/>
        </w:rPr>
        <w:t>و جعله أحد الاحتمالین فی الدروس</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ولایة الجدّ و إن علا علی الولد مقدّمة علی ولایة وصیّ الأب، فإذا نصب الأب وصیّاً علی ولده المولّی علیه مع وجود جدّه للأب و إن علا لم یصحّ؛ لأنّ ولایة الجدّ ثابتةٌ له بأصل الشرع، فلیس للأب نقلها عنه و لا إثبات</w:t>
      </w:r>
      <w:bookmarkStart w:id="906" w:name="pg11753_115178"/>
    </w:p>
    <w:p>
      <w:pPr>
        <w:pStyle w:val="BookText"/>
        <w:rPr/>
      </w:pPr>
      <w:bookmarkEnd w:id="906"/>
      <w:r>
        <w:rPr>
          <w:rFonts w:ascii="IRNazanin" w:hAnsi="IRNazanin" w:eastAsia="IRNazanin"/>
          <w:color w:val="111111"/>
          <w:sz w:val="28"/>
          <w:sz w:val="28"/>
          <w:szCs w:val="28"/>
          <w:rtl w:val="true"/>
          <w:lang w:bidi="fa-IR"/>
        </w:rPr>
        <w:t>شریک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عدم صحّتها أنّها لا تقع ماضیة مطلقاً</w:t>
      </w:r>
      <w:r>
        <w:rPr>
          <w:rFonts w:eastAsia="IRNazanin" w:cs="IRNazanin"/>
          <w:color w:val="111111"/>
          <w:sz w:val="28"/>
          <w:szCs w:val="28"/>
          <w:rtl w:val="true"/>
          <w:lang w:bidi="fa-IR"/>
        </w:rPr>
        <w:t>»</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جامع المقاصد</w:t>
      </w:r>
      <w:r>
        <w:rPr>
          <w:rStyle w:val="FootnoteAnchor"/>
          <w:rtl w:val="true"/>
        </w:rPr>
        <w:footnoteReference w:id="2739"/>
      </w:r>
      <w:r>
        <w:rPr>
          <w:rFonts w:ascii="IRNazanin" w:hAnsi="IRNazanin" w:eastAsia="IRNazanin"/>
          <w:color w:val="111111"/>
          <w:sz w:val="28"/>
          <w:sz w:val="28"/>
          <w:szCs w:val="28"/>
          <w:rtl w:val="true"/>
          <w:lang w:bidi="fa-IR"/>
        </w:rPr>
        <w:t>و الحدائق</w:t>
      </w:r>
      <w:r>
        <w:rPr>
          <w:rStyle w:val="FootnoteAnchor"/>
          <w:rtl w:val="true"/>
        </w:rPr>
        <w:footnoteReference w:id="2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فی الجواهر الإجماع علیه</w:t>
      </w:r>
      <w:r>
        <w:rPr>
          <w:rStyle w:val="FootnoteAnchor"/>
          <w:rtl w:val="true"/>
        </w:rPr>
        <w:footnoteReference w:id="2741"/>
      </w:r>
    </w:p>
    <w:p>
      <w:pPr>
        <w:pStyle w:val="BookText"/>
        <w:rPr/>
      </w:pPr>
      <w:r>
        <w:rPr>
          <w:rFonts w:ascii="IRNazanin" w:hAnsi="IRNazanin" w:eastAsia="IRNazanin"/>
          <w:color w:val="111111"/>
          <w:sz w:val="28"/>
          <w:sz w:val="28"/>
          <w:szCs w:val="28"/>
          <w:rtl w:val="true"/>
          <w:lang w:bidi="fa-IR"/>
        </w:rPr>
        <w:t>و اختاره فی العروة و کذا فی التعلیقات علیها</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استظهره فی المستمسک من کلمات الأصحاب،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 یظهر منهم المفروغیّة عن عدم صحّة الوصایة للأجنبی مع معارضتها لولایة الجدّ</w:t>
      </w:r>
      <w:r>
        <w:rPr>
          <w:rFonts w:eastAsia="IRNazanin" w:cs="IRNazanin"/>
          <w:color w:val="111111"/>
          <w:sz w:val="28"/>
          <w:szCs w:val="28"/>
          <w:rtl w:val="true"/>
          <w:lang w:bidi="fa-IR"/>
        </w:rPr>
        <w:t>»</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الوسیلة</w:t>
      </w:r>
      <w:r>
        <w:rPr>
          <w:rStyle w:val="FootnoteAnchor"/>
          <w:rtl w:val="true"/>
        </w:rPr>
        <w:footnoteReference w:id="2744"/>
      </w:r>
      <w:r>
        <w:rPr>
          <w:rFonts w:ascii="IRNazanin" w:hAnsi="IRNazanin" w:eastAsia="IRNazanin"/>
          <w:color w:val="111111"/>
          <w:sz w:val="28"/>
          <w:sz w:val="28"/>
          <w:szCs w:val="28"/>
          <w:rtl w:val="true"/>
          <w:lang w:bidi="fa-IR"/>
        </w:rPr>
        <w:t>و تحریرها</w:t>
      </w:r>
      <w:r>
        <w:rPr>
          <w:rStyle w:val="FootnoteAnchor"/>
          <w:rtl w:val="true"/>
        </w:rPr>
        <w:footnoteReference w:id="2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9483150_73709187"/>
      <w:bookmarkStart w:id="908" w:name="_Toc344"/>
      <w:bookmarkEnd w:id="907"/>
      <w:r>
        <w:rPr>
          <w:rtl w:val="true"/>
        </w:rPr>
        <w:t>أدلّة هذا الحکم</w:t>
      </w:r>
      <w:bookmarkEnd w:id="908"/>
    </w:p>
    <w:p>
      <w:pPr>
        <w:pStyle w:val="BookText"/>
        <w:rPr/>
      </w:pPr>
      <w:r>
        <w:rPr>
          <w:rFonts w:ascii="Amiri" w:hAnsi="Amiri" w:eastAsia="Amiri" w:cs="Amiri"/>
          <w:color w:val="111111"/>
          <w:sz w:val="28"/>
          <w:sz w:val="28"/>
          <w:szCs w:val="28"/>
          <w:rtl w:val="true"/>
          <w:lang w:bidi="ar-SA"/>
        </w:rPr>
        <w:t>و یمکن أن یستدلّ علی هذا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الخلاف</w:t>
      </w:r>
      <w:r>
        <w:rPr>
          <w:rStyle w:val="FootnoteAnchor"/>
          <w:rtl w:val="true"/>
        </w:rPr>
        <w:footnoteReference w:id="2747"/>
      </w:r>
      <w:r>
        <w:rPr>
          <w:rFonts w:ascii="IRNazanin" w:hAnsi="IRNazanin" w:eastAsia="IRNazanin"/>
          <w:color w:val="111111"/>
          <w:sz w:val="28"/>
          <w:sz w:val="28"/>
          <w:szCs w:val="28"/>
          <w:rtl w:val="true"/>
          <w:lang w:bidi="fa-IR"/>
        </w:rPr>
        <w:t>و المبسوط‌</w:t>
      </w:r>
      <w:r>
        <w:rPr>
          <w:rStyle w:val="FootnoteAnchor"/>
          <w:rtl w:val="true"/>
        </w:rPr>
        <w:footnoteReference w:id="2748"/>
      </w:r>
      <w:r>
        <w:rPr>
          <w:rFonts w:ascii="IRNazanin" w:hAnsi="IRNazanin" w:eastAsia="IRNazanin"/>
          <w:color w:val="111111"/>
          <w:sz w:val="28"/>
          <w:sz w:val="28"/>
          <w:szCs w:val="28"/>
          <w:rtl w:val="true"/>
          <w:lang w:bidi="fa-IR"/>
        </w:rPr>
        <w:t>و الجواهر</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مقتضی الأصل بعد قصور النصوص عن الإطلاق الشامل للصورة المذکورة، بل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مبحث الولایة الإشکال فی وجود إطلاق فی دلیل ولایة الأب فی حال حیاته فضلاً عن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للتأمّل فی عدم الوصیّة بالولایة من الأب علی الولد مع وجود الجدّ</w:t>
      </w:r>
      <w:r>
        <w:rPr>
          <w:rFonts w:eastAsia="IRNazanin" w:cs="IRNazanin"/>
          <w:color w:val="111111"/>
          <w:sz w:val="28"/>
          <w:szCs w:val="28"/>
          <w:rtl w:val="true"/>
          <w:lang w:bidi="fa-IR"/>
        </w:rPr>
        <w:t>»</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الجواهر، و أضاف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ولایة الجدّ و الأب ممّا هو ظاهر فی انحصار أمر الطفل فیهما مع وجودهما أو أحدهما علی وجهٍ ینافیه ولایة أحدهما مع وصیّ الآخر</w:t>
      </w:r>
      <w:r>
        <w:rPr>
          <w:rFonts w:eastAsia="IRNazanin" w:cs="IRNazanin"/>
          <w:color w:val="111111"/>
          <w:sz w:val="28"/>
          <w:szCs w:val="28"/>
          <w:rtl w:val="true"/>
          <w:lang w:bidi="fa-IR"/>
        </w:rPr>
        <w:t>»</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الأب لا ولایة له بعد موته مع وجود الجدّ و صلاحیّته للولایة، فإذا انقطعت ولایة الأب بموته لم تقع ولایة وصیّه، فإذا مات الجدّ افتقر عود ولایة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لتؤثّر فی نصب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دلیل، إذ الأصل عدم عودها، فلا تصحّ فی حیاة الجدّ و لا بعد موته، کما فی المسالک</w:t>
      </w:r>
      <w:r>
        <w:rPr>
          <w:rStyle w:val="FootnoteAnchor"/>
          <w:rtl w:val="true"/>
        </w:rPr>
        <w:footnoteReference w:id="2752"/>
      </w:r>
      <w:r>
        <w:rPr>
          <w:rFonts w:ascii="IRNazanin" w:hAnsi="IRNazanin" w:eastAsia="IRNazanin"/>
          <w:color w:val="111111"/>
          <w:sz w:val="28"/>
          <w:sz w:val="28"/>
          <w:szCs w:val="28"/>
          <w:rtl w:val="true"/>
          <w:lang w:bidi="fa-IR"/>
        </w:rPr>
        <w:t>و جامع المقاصد</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الفقیه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أن یستدلّ له بأنّ ولایة الأب و الجدّ بمقتضی دلیلها ولایة مطلقة و غیر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ینسجم جعل الولایة لغیرهما مع وجود واحدٍ منهما فی عرضه، حیث إنّ مقتضاه تقیید ولایته بعدم تصرّف ذلک الغیر قبل تصرّفه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نظیر ما ذکرناه فی باب الأوامر من أنّ مقتضی إطلاق الأمر کونه تعیینیّاً لا تخییریّاً، باعتبار أنّ جعل البدل له ینافی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نحن فیه إطلاق الدلیل ینافی کون الولیّ هو الجامع بین الباقی منهما و وصیّ الآخر، بل مقتضاه کون الباقی هو الولیّ لا غیر</w:t>
      </w:r>
      <w:r>
        <w:rPr>
          <w:rFonts w:eastAsia="IRNazanin" w:cs="IRNazanin"/>
          <w:color w:val="111111"/>
          <w:sz w:val="28"/>
          <w:szCs w:val="28"/>
          <w:rtl w:val="true"/>
          <w:lang w:bidi="fa-IR"/>
        </w:rPr>
        <w:t>»</w:t>
      </w:r>
      <w:r>
        <w:rPr>
          <w:rStyle w:val="FootnoteAnchor"/>
          <w:rtl w:val="true"/>
        </w:rPr>
        <w:footnoteReference w:id="2754"/>
      </w:r>
      <w:bookmarkStart w:id="909" w:name="pg11753_115180"/>
    </w:p>
    <w:p>
      <w:pPr>
        <w:pStyle w:val="Heading5"/>
        <w:numPr>
          <w:ilvl w:val="4"/>
          <w:numId w:val="1"/>
        </w:numPr>
        <w:rPr/>
      </w:pPr>
      <w:bookmarkStart w:id="910" w:name="__RefHeading___Toc9483152_73709187"/>
      <w:bookmarkStart w:id="911" w:name="_Toc345"/>
      <w:bookmarkEnd w:id="909"/>
      <w:bookmarkEnd w:id="910"/>
      <w:r>
        <w:rPr>
          <w:rtl w:val="true"/>
        </w:rPr>
        <w:t>بطلان الوصیّة فی زمان ولایة الجدّ</w:t>
      </w:r>
      <w:bookmarkEnd w:id="911"/>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الوصیّة فی زمان ولایة الجدّ خاصّة؛ بمعنی أنّه لو أوصی الأب إلی أجنبیّ فإنّ ولایته تبطل ما دام الجدّ موجوداً، و بعد موت الجدّ تعود الولایة إلی الوصیّ؛ لأنّ ولایة الأب شاملة للأزمنة کلّها إلاّ زمان ولایة الجدّ، فیختصّ البطلان بزمان وجوده</w:t>
      </w:r>
      <w:r>
        <w:rPr>
          <w:rStyle w:val="FootnoteAnchor"/>
          <w:rtl w:val="true"/>
        </w:rPr>
        <w:footnoteReference w:id="2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کلام العلاّمة فی القواعد،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له نصب وصیٍّ علی ولده الصغیر أو المجنون مع الجدّ للأب، بل الولایة للجدّ، و فی بطلانها مطلقاً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فی إخراج الحقوق</w:t>
      </w:r>
      <w:r>
        <w:rPr>
          <w:rFonts w:eastAsia="IRNazanin" w:cs="IRNazanin"/>
          <w:color w:val="111111"/>
          <w:sz w:val="28"/>
          <w:szCs w:val="28"/>
          <w:rtl w:val="true"/>
          <w:lang w:bidi="fa-IR"/>
        </w:rPr>
        <w:t>»</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ممّا تقدّم جوابه؛ لأنّ انقطاع ولایة الأب بموته مع وجود الجدّ الصالح للولایة أمر معلوم، و عودها بعد موت الجدّ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أنّ ولایة الأب ثابتة فی جمیع الأزمان المستقبلة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 جملتها ما بعد زمان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بل هو محلّ البحث و النزاع کما لا یخفی، و إنّما المعلوم انقطاع ولایته بعد موته مع وجود الجدّ بعده لا ثبوتها بعد موت الجدّ</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9483154_73709187"/>
      <w:bookmarkStart w:id="913" w:name="_Toc346"/>
      <w:bookmarkEnd w:id="912"/>
      <w:r>
        <w:rPr>
          <w:rtl w:val="true"/>
        </w:rPr>
        <w:t>صحّة الوصیّة فی الثلث</w:t>
      </w:r>
      <w:bookmarkEnd w:id="913"/>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تصحّ وصیّة الأب للأجنبیّ مع وجود الجدّ فی الثلث خاصّة؛ لأنّ له إخراج الثلث عن الوارث، فیکون له إثبات ولایة غیره بطریق أولی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اختاره الشیخ فی موضعٍ من المبسوط‌</w:t>
      </w:r>
      <w:r>
        <w:rPr>
          <w:rStyle w:val="FootnoteAnchor"/>
          <w:rtl w:val="true"/>
        </w:rPr>
        <w:footnoteReference w:id="2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استجاده العلاّمة فی المختلف</w:t>
      </w:r>
      <w:r>
        <w:rPr>
          <w:rStyle w:val="FootnoteAnchor"/>
          <w:rtl w:val="true"/>
        </w:rPr>
        <w:footnoteReference w:id="2759"/>
      </w:r>
    </w:p>
    <w:p>
      <w:pPr>
        <w:pStyle w:val="BookText"/>
        <w:rPr/>
      </w:pPr>
      <w:r>
        <w:rPr>
          <w:rFonts w:ascii="IRNazanin" w:hAnsi="IRNazanin" w:eastAsia="IRNazanin"/>
          <w:color w:val="111111"/>
          <w:sz w:val="28"/>
          <w:sz w:val="28"/>
          <w:szCs w:val="28"/>
          <w:rtl w:val="true"/>
          <w:lang w:bidi="fa-IR"/>
        </w:rPr>
        <w:t>جاء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منع الأولویّة بل الملازمة؛ فإنّ إزالة الملک یقتضی إبطال حقّ الوارث منه أصلاً، و هو الأمر الثابت له شرعاً، و أمّا بقاؤه فی ملک الوارث؛ فإنّه یقتضی شرعاً کون الولایة علیه لمالکه، أو ولیّه الثابت ولایته علیه بالأصالة، فلا یکون للأب ولایة علیه بالنسبة إلیه أصلاً</w:t>
      </w:r>
      <w:r>
        <w:rPr>
          <w:rFonts w:eastAsia="IRNazanin" w:cs="IRNazanin"/>
          <w:color w:val="111111"/>
          <w:sz w:val="28"/>
          <w:szCs w:val="28"/>
          <w:rtl w:val="true"/>
          <w:lang w:bidi="fa-IR"/>
        </w:rPr>
        <w:t>»</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جامع المقاصد</w:t>
      </w:r>
      <w:r>
        <w:rPr>
          <w:rStyle w:val="FootnoteAnchor"/>
          <w:rtl w:val="true"/>
        </w:rPr>
        <w:footnoteReference w:id="2761"/>
      </w:r>
      <w:r>
        <w:rPr>
          <w:rFonts w:ascii="IRNazanin" w:hAnsi="IRNazanin" w:eastAsia="IRNazanin"/>
          <w:color w:val="111111"/>
          <w:sz w:val="28"/>
          <w:sz w:val="28"/>
          <w:szCs w:val="28"/>
          <w:rtl w:val="true"/>
          <w:lang w:bidi="fa-IR"/>
        </w:rPr>
        <w:t>و الحدائق</w:t>
      </w:r>
      <w:r>
        <w:rPr>
          <w:rStyle w:val="FootnoteAnchor"/>
          <w:rtl w:val="true"/>
        </w:rPr>
        <w:footnoteReference w:id="2762"/>
      </w:r>
      <w:r>
        <w:rPr>
          <w:rFonts w:ascii="IRNazanin" w:hAnsi="IRNazanin" w:eastAsia="IRNazanin"/>
          <w:color w:val="111111"/>
          <w:sz w:val="28"/>
          <w:sz w:val="28"/>
          <w:szCs w:val="28"/>
          <w:rtl w:val="true"/>
          <w:lang w:bidi="fa-IR"/>
        </w:rPr>
        <w:t>و الجواهر</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أمر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قضاء الدیون و إخراج الحقوق و تنفیذ الوصایا، فیجوز للأب أن یوصی إلی غیر الجدّ؛ إذ لا ولایة للجدّ هنا أصلاً و إن لم ینصب وصیّاً، فأبوه أولی بقضاء الدیون و أمر الأطفال</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تصحّ فی أداء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من المسألة التی هی موضع النزاع؛ لأنّ موضوعها الوصیّة بالنظر فی مال ولده و له أب، لا وصیّته فی ماله لیخرج منه الحقوق؛ فإنّ ذلک ثابت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یفرض لجواز الوصیّة فی إخراج الحقوق فائدةٌ،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وصیّة الإنسان مع وجود أبیه فی إخراج الوصایا و إن کانت جائزةً لکن لا تخلو من إشکال؛ لأنّ وصیّة الولد إنّما تصحّ بما لا ولایة للأب فیه، و لهذا لم تصحّ الوصیّة علی الأطفال مع وجود الأب</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کذلک فلو لم یوصِ الولد بقضاء الدین و إنفاذ الوصایا مع وجود أبیه</w:t>
      </w:r>
      <w:bookmarkStart w:id="914" w:name="pg11753_115182"/>
    </w:p>
    <w:p>
      <w:pPr>
        <w:pStyle w:val="BookText"/>
        <w:rPr/>
      </w:pPr>
      <w:bookmarkEnd w:id="914"/>
      <w:r>
        <w:rPr>
          <w:rFonts w:ascii="IRNazanin" w:hAnsi="IRNazanin" w:eastAsia="IRNazanin"/>
          <w:color w:val="111111"/>
          <w:sz w:val="28"/>
          <w:sz w:val="28"/>
          <w:szCs w:val="28"/>
          <w:rtl w:val="true"/>
          <w:lang w:bidi="fa-IR"/>
        </w:rPr>
        <w:t>کان الأب أولی بذلک من غیره حتّی الحاکم، کما هو أولی بالأطفال کما نبّه علیه فی التذکرة</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5" w:name="__RefHeading___Toc9483156_73709187"/>
      <w:bookmarkStart w:id="916" w:name="_Toc347"/>
      <w:bookmarkEnd w:id="915"/>
      <w:r>
        <w:rPr>
          <w:rtl w:val="true"/>
        </w:rPr>
        <w:t>آراء فقهاء أهل السنّة فی نصب القیّم مع وجود الجدّ</w:t>
      </w:r>
      <w:bookmarkEnd w:id="916"/>
    </w:p>
    <w:p>
      <w:pPr>
        <w:pStyle w:val="BookText"/>
        <w:rPr/>
      </w:pPr>
      <w:r>
        <w:rPr>
          <w:rFonts w:ascii="IRNazanin" w:hAnsi="IRNazanin" w:eastAsia="IRNazanin"/>
          <w:color w:val="111111"/>
          <w:sz w:val="28"/>
          <w:sz w:val="28"/>
          <w:szCs w:val="28"/>
          <w:rtl w:val="true"/>
          <w:lang w:bidi="fa-IR"/>
        </w:rPr>
        <w:t>یستفاد من کلماتهم فی هذه المسألة أنّهم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الشافعیّة إلی أنّه لا یجوز للأب أن یوصی إلی غیره فی أمر الأطفال مع وجود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لم یجز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یوصی إلی غیره؛ لأنّ ولایة الجدّ مستحقّة بالشرع، فلا یجوز نقلها عنه بالوصیّة</w:t>
      </w:r>
      <w:r>
        <w:rPr>
          <w:rFonts w:eastAsia="IRNazanin" w:cs="IRNazanin"/>
          <w:color w:val="111111"/>
          <w:sz w:val="28"/>
          <w:szCs w:val="28"/>
          <w:rtl w:val="true"/>
          <w:lang w:bidi="fa-IR"/>
        </w:rPr>
        <w:t>»</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للصغیر جدّ من أبیه یصلح للنظر، فأوصی الأب إلی غیر الجدّ کان الجدّ أولی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ولایة یستحقّها الجدّ بالقرابة، فکان مقدّماً علی وصیّ الأب، کولایة النکاح</w:t>
      </w:r>
      <w:r>
        <w:rPr>
          <w:rFonts w:eastAsia="IRNazanin" w:cs="IRNazanin"/>
          <w:color w:val="111111"/>
          <w:sz w:val="28"/>
          <w:szCs w:val="28"/>
          <w:rtl w:val="true"/>
          <w:lang w:bidi="fa-IR"/>
        </w:rPr>
        <w:t>»</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2769"/>
      </w:r>
      <w:r>
        <w:rPr>
          <w:rFonts w:ascii="IRNazanin" w:hAnsi="IRNazanin" w:eastAsia="IRNazanin"/>
          <w:color w:val="111111"/>
          <w:sz w:val="28"/>
          <w:sz w:val="28"/>
          <w:szCs w:val="28"/>
          <w:rtl w:val="true"/>
          <w:lang w:bidi="fa-IR"/>
        </w:rPr>
        <w:t>و مغنی المحتاج</w:t>
      </w:r>
      <w:r>
        <w:rPr>
          <w:rStyle w:val="FootnoteAnchor"/>
          <w:rtl w:val="true"/>
        </w:rPr>
        <w:footnoteReference w:id="2770"/>
      </w:r>
      <w:r>
        <w:rPr>
          <w:rFonts w:ascii="IRNazanin" w:hAnsi="IRNazanin" w:eastAsia="IRNazanin"/>
          <w:color w:val="111111"/>
          <w:sz w:val="28"/>
          <w:sz w:val="28"/>
          <w:szCs w:val="28"/>
          <w:rtl w:val="true"/>
          <w:lang w:bidi="fa-IR"/>
        </w:rPr>
        <w:t>و روضة الطالبین</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ذهب جمهور الفقهاء من الحنفیّة و الحنابلة و المالکیّة خلافاً للشافعیّة إلی أنّه لا ولایة للجدّ، و قالوا بجواز وصایة الأب و لو کان الجدّ موجوداً بصفة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الدرّ المحتار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 أبی الطفل أحقّ بماله من جدّه، و إن لم یکن وصیّه فالجدّ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ابن عابدین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فی مال الصغیر للأب ثمّ وصیّه ثمّ وصیّ وصیّه و لو بعد، فلو مات الأب و لم یوص فالولایة لأب الأب</w:t>
      </w:r>
      <w:r>
        <w:rPr>
          <w:rFonts w:eastAsia="IRNazanin" w:cs="IRNazanin"/>
          <w:color w:val="111111"/>
          <w:sz w:val="28"/>
          <w:szCs w:val="28"/>
          <w:rtl w:val="true"/>
          <w:lang w:bidi="fa-IR"/>
        </w:rPr>
        <w:t>»</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اختلاف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الأب أولی بالولایة علی الصغیر فی الشراء و البیع من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أب و لا وصیّه، فالجدّ بمنزلة الأب فی ذلک</w:t>
      </w:r>
      <w:r>
        <w:rPr>
          <w:rFonts w:eastAsia="IRNazanin" w:cs="IRNazanin"/>
          <w:color w:val="111111"/>
          <w:sz w:val="28"/>
          <w:szCs w:val="28"/>
          <w:rtl w:val="true"/>
          <w:lang w:bidi="fa-IR"/>
        </w:rPr>
        <w:t>»</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أیضاً من ظاهر کلام السرخسی فی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أوصی إلی رجلٍ بماله، فهو وصیّ فی ماله و ولده و سائر أسبابه عندنا</w:t>
      </w:r>
      <w:r>
        <w:rPr>
          <w:rFonts w:eastAsia="IRNazanin" w:cs="IRNazanin"/>
          <w:color w:val="111111"/>
          <w:sz w:val="28"/>
          <w:szCs w:val="28"/>
          <w:rtl w:val="true"/>
          <w:lang w:bidi="fa-IR"/>
        </w:rPr>
        <w:t>»</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ولایة الأب علی المال یقدّم کولایته علی النکاح ثمّ وصیّه بعده؛ لأنّه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الحاکم؛ لأنّ الولایة من جهة القرابة قد سقطت، فثبت للسلطان</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الإقناع</w:t>
      </w:r>
      <w:r>
        <w:rPr>
          <w:rStyle w:val="FootnoteAnchor"/>
          <w:rtl w:val="true"/>
        </w:rPr>
        <w:footnoteReference w:id="2776"/>
      </w:r>
      <w:r>
        <w:rPr>
          <w:rFonts w:ascii="IRNazanin" w:hAnsi="IRNazanin" w:eastAsia="IRNazanin"/>
          <w:color w:val="111111"/>
          <w:sz w:val="28"/>
          <w:sz w:val="28"/>
          <w:szCs w:val="28"/>
          <w:rtl w:val="true"/>
          <w:lang w:bidi="fa-IR"/>
        </w:rPr>
        <w:t>و منتهی الإرادات</w:t>
      </w:r>
      <w:r>
        <w:rPr>
          <w:rStyle w:val="FootnoteAnchor"/>
          <w:rtl w:val="true"/>
        </w:rPr>
        <w:footnoteReference w:id="2777"/>
      </w:r>
      <w:r>
        <w:rPr>
          <w:rFonts w:ascii="IRNazanin" w:hAnsi="IRNazanin" w:eastAsia="IRNazanin"/>
          <w:color w:val="111111"/>
          <w:sz w:val="28"/>
          <w:sz w:val="28"/>
          <w:szCs w:val="28"/>
          <w:rtl w:val="true"/>
          <w:lang w:bidi="fa-IR"/>
        </w:rPr>
        <w:t>و کشّاف القناع</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الدسوقی فی فقه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علی الأولاد المحجورین علیهم خاصّ بالأب أو وصیّه دون الأجداد و الأعمام و الإخوة</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حاشیة الخرشی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الوصیّة علی الأولاد و إقامة من ینظر فی حالهم</w:t>
      </w:r>
    </w:p>
    <w:p>
      <w:pPr>
        <w:pStyle w:val="BookText"/>
        <w:rPr/>
      </w:pPr>
      <w:r>
        <w:rPr>
          <w:rFonts w:ascii="IRNazanin" w:hAnsi="IRNazanin" w:eastAsia="IRNazanin"/>
          <w:color w:val="111111"/>
          <w:sz w:val="28"/>
          <w:sz w:val="28"/>
          <w:szCs w:val="28"/>
          <w:rtl w:val="true"/>
          <w:lang w:bidi="fa-IR"/>
        </w:rPr>
        <w:t>مختصّ بالآباء لا بغیرهم من الأقارب و من الأجداد</w:t>
      </w:r>
      <w:r>
        <w:rPr>
          <w:rFonts w:eastAsia="IRNazanin" w:cs="IRNazanin"/>
          <w:color w:val="111111"/>
          <w:sz w:val="28"/>
          <w:szCs w:val="28"/>
          <w:rtl w:val="true"/>
          <w:lang w:bidi="fa-IR"/>
        </w:rPr>
        <w:t>»</w:t>
      </w:r>
      <w:r>
        <w:rPr>
          <w:rStyle w:val="FootnoteAnchor"/>
          <w:rtl w:val="true"/>
        </w:rPr>
        <w:footnoteReference w:id="2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مواهب الجلیل</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نصب الوصیّ فی حیاة الجدّ؛ إذ لا ولایة له</w:t>
      </w:r>
      <w:r>
        <w:rPr>
          <w:rFonts w:eastAsia="IRNazanin" w:cs="IRNazanin"/>
          <w:color w:val="111111"/>
          <w:sz w:val="28"/>
          <w:szCs w:val="28"/>
          <w:rtl w:val="true"/>
          <w:lang w:bidi="fa-IR"/>
        </w:rPr>
        <w:t>»</w:t>
      </w:r>
      <w:r>
        <w:rPr>
          <w:rStyle w:val="FootnoteAnchor"/>
          <w:rtl w:val="true"/>
        </w:rPr>
        <w:footnoteReference w:id="2782"/>
      </w:r>
      <w:bookmarkStart w:id="917" w:name="pg11753_115185"/>
    </w:p>
    <w:p>
      <w:pPr>
        <w:pStyle w:val="Heading4"/>
        <w:numPr>
          <w:ilvl w:val="3"/>
          <w:numId w:val="1"/>
        </w:numPr>
        <w:rPr/>
      </w:pPr>
      <w:bookmarkStart w:id="918" w:name="__RefHeading___Toc9483158_73709187"/>
      <w:bookmarkStart w:id="919" w:name="_Toc348"/>
      <w:bookmarkEnd w:id="917"/>
      <w:bookmarkEnd w:id="918"/>
      <w:r>
        <w:rPr>
          <w:rtl w:val="true"/>
        </w:rPr>
        <w:t>المبحث السابع</w:t>
      </w:r>
      <w:r>
        <w:rPr>
          <w:rtl w:val="true"/>
        </w:rPr>
        <w:t xml:space="preserve">: </w:t>
      </w:r>
      <w:r>
        <w:rPr>
          <w:rtl w:val="true"/>
        </w:rPr>
        <w:t>الطرق المعتبرة لإثبات الوصیّة بالولایة</w:t>
      </w:r>
      <w:bookmarkEnd w:id="919"/>
    </w:p>
    <w:p>
      <w:pPr>
        <w:pStyle w:val="Heading5"/>
        <w:numPr>
          <w:ilvl w:val="4"/>
          <w:numId w:val="1"/>
        </w:numPr>
        <w:rPr/>
      </w:pPr>
      <w:bookmarkStart w:id="920" w:name="__RefHeading___Toc9483160_73709187"/>
      <w:bookmarkStart w:id="921" w:name="_Toc349"/>
      <w:bookmarkEnd w:id="920"/>
      <w:r>
        <w:rPr>
          <w:rtl w:val="true"/>
        </w:rPr>
        <w:t>اشارة</w:t>
      </w:r>
      <w:bookmarkEnd w:id="921"/>
    </w:p>
    <w:p>
      <w:pPr>
        <w:pStyle w:val="BookText"/>
        <w:rPr/>
      </w:pPr>
      <w:r>
        <w:rPr>
          <w:rFonts w:ascii="IRNazanin" w:hAnsi="IRNazanin" w:eastAsia="IRNazanin"/>
          <w:color w:val="111111"/>
          <w:sz w:val="28"/>
          <w:sz w:val="28"/>
          <w:szCs w:val="28"/>
          <w:rtl w:val="true"/>
          <w:lang w:bidi="fa-IR"/>
        </w:rPr>
        <w:t>و البحث عنها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بین الورثة و الوصیّ اختلاف فی مورد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اختلفوا فی ذلک</w:t>
      </w:r>
      <w:r>
        <w:rPr>
          <w:rFonts w:eastAsia="IRNazanin" w:cs="IRNazanin"/>
          <w:color w:val="111111"/>
          <w:sz w:val="28"/>
          <w:szCs w:val="28"/>
          <w:rtl w:val="true"/>
          <w:lang w:bidi="fa-IR"/>
        </w:rPr>
        <w:t>.</w:t>
      </w:r>
    </w:p>
    <w:p>
      <w:pPr>
        <w:pStyle w:val="Heading5"/>
        <w:numPr>
          <w:ilvl w:val="4"/>
          <w:numId w:val="1"/>
        </w:numPr>
        <w:rPr/>
      </w:pPr>
      <w:bookmarkStart w:id="922" w:name="__RefHeading___Toc9483162_73709187"/>
      <w:bookmarkStart w:id="923" w:name="_Toc350"/>
      <w:bookmarkEnd w:id="922"/>
      <w:r>
        <w:rPr>
          <w:rtl w:val="true"/>
        </w:rPr>
        <w:t>إثباتها عند عدم الاختلاف</w:t>
      </w:r>
      <w:bookmarkEnd w:id="923"/>
    </w:p>
    <w:p>
      <w:pPr>
        <w:pStyle w:val="BookText"/>
        <w:rPr/>
      </w:pPr>
      <w:r>
        <w:rPr>
          <w:rFonts w:ascii="IRNazanin" w:hAnsi="IRNazanin" w:eastAsia="IRNazanin"/>
          <w:color w:val="111111"/>
          <w:sz w:val="28"/>
          <w:sz w:val="28"/>
          <w:szCs w:val="28"/>
          <w:rtl w:val="true"/>
          <w:lang w:bidi="fa-IR"/>
        </w:rPr>
        <w:t xml:space="preserve">تثبت الوصیّة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یکن هناک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 بعدّة امور نذکرها علی 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تثبت الوصیّة بالولایة بالعلم الوجدانی؛ لأنّ الموضوعات التی تعلّقت بها الأحکام إنّما یراد بها الاُمور الواقعیّة، کما هو مقتضی مدلولات الألفاظ، و الطریق إلی الواقع هو العلم، و لما حقّق فی محلّه من أنّ العلم حجّة بذاته، و الردع عن العمل علی طبقه أمرٌ غیر معقول، فلو علم الوصیّ أنّ الموصی أوصی له بذلک و قبلها وجب علیه إنفاذ الوصیّة فیما أوصی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الورثة، کذلک تثبت الوصیّة بالولایة بإقرار الورثة و تصدیقهم للوصیّ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أقرّ الورثة بأسرهم بالوصیّة بالمال أو الولایة تثبت فیما لا تفتقر إلی الشهادة</w:t>
      </w:r>
      <w:r>
        <w:rPr>
          <w:rFonts w:eastAsia="IRNazanin" w:cs="IRNazanin"/>
          <w:color w:val="111111"/>
          <w:sz w:val="28"/>
          <w:szCs w:val="28"/>
          <w:rtl w:val="true"/>
          <w:lang w:bidi="fa-IR"/>
        </w:rPr>
        <w:t>»</w:t>
      </w:r>
      <w:r>
        <w:rPr>
          <w:rStyle w:val="FootnoteAnchor"/>
          <w:rtl w:val="true"/>
        </w:rPr>
        <w:footnoteReference w:id="2783"/>
      </w:r>
      <w:r>
        <w:rPr>
          <w:rFonts w:ascii="IRNazanin" w:hAnsi="IRNazanin" w:eastAsia="IRNazanin"/>
          <w:color w:val="111111"/>
          <w:sz w:val="28"/>
          <w:sz w:val="28"/>
          <w:szCs w:val="28"/>
          <w:rtl w:val="true"/>
          <w:lang w:bidi="fa-IR"/>
        </w:rPr>
        <w:t>أی لا یکون اختلاف بین الورثة و الوصیّ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ثبتت الوصیّة إمّا بالإشهاد أو بالإقرار فإنّ</w:t>
      </w:r>
    </w:p>
    <w:p>
      <w:pPr>
        <w:pStyle w:val="BookText"/>
        <w:rPr/>
      </w:pPr>
      <w:r>
        <w:rPr>
          <w:rFonts w:ascii="IRNazanin" w:hAnsi="IRNazanin" w:eastAsia="IRNazanin"/>
          <w:color w:val="111111"/>
          <w:sz w:val="28"/>
          <w:sz w:val="28"/>
          <w:szCs w:val="28"/>
          <w:rtl w:val="true"/>
          <w:lang w:bidi="fa-IR"/>
        </w:rPr>
        <w:t>حکمها یثبت</w:t>
      </w:r>
      <w:r>
        <w:rPr>
          <w:rFonts w:eastAsia="IRNazanin" w:cs="IRNazanin"/>
          <w:color w:val="111111"/>
          <w:sz w:val="28"/>
          <w:szCs w:val="28"/>
          <w:rtl w:val="true"/>
          <w:lang w:bidi="fa-IR"/>
        </w:rPr>
        <w:t>»</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صدّقوا الورثة الوصیّ حکم علیهم بهذه الوصیّة</w:t>
      </w:r>
      <w:r>
        <w:rPr>
          <w:rFonts w:eastAsia="IRNazanin" w:cs="IRNazanin"/>
          <w:color w:val="111111"/>
          <w:sz w:val="28"/>
          <w:szCs w:val="28"/>
          <w:rtl w:val="true"/>
          <w:lang w:bidi="fa-IR"/>
        </w:rPr>
        <w:t>»</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منهاج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الوصیّة العهدیّة بإقرار الورثة جمیعهم</w:t>
      </w:r>
      <w:r>
        <w:rPr>
          <w:rFonts w:eastAsia="IRNazanin" w:cs="IRNazanin"/>
          <w:color w:val="111111"/>
          <w:sz w:val="28"/>
          <w:szCs w:val="28"/>
          <w:rtl w:val="true"/>
          <w:lang w:bidi="fa-IR"/>
        </w:rPr>
        <w:t>»</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بناء العقلاء علی قبول الإقرار فی هذا المقام، و لم یثبت ردع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لأنّه قام الإجماع من الفقهاء علی حجّیة البیِّنة مطلقا؛ سواء کان فی باب القضاء أو غیره؛ لأنّ من لاحظ کلماتهم فی الأبواب المختلفة یستظهر منها أنّ اعتبار البیّنة متسالم علیه بین الأصحاب فی باب القضاء، و کذلک فی سائر الموضوعات، و لا یبعد أن یکون هذا الإجماع تعبّدیاً کاشفاً عن قول المعصوم أو الدلیل المعتبر، فلا شبهة فی ثبوت الوصیّة بالولایة بشهادة عدلین، و لم یرد دلیل یمنع عن اعتبارها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الثقة، یدلّ علیه موثّقة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کانت له عندی دنانیر و کان مریضاً،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حدث فأعط فلاناً عشرین دیناراً و أعط أخی بقیّة الدنانیر، فمات و لم أشهد موته، فأتانی رجل مسلم صادق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أمرنی أن أقول لک انظر الدنانیر التی أمرتک أن تدفعها إلی أخی فتصدّق منها بعشرة دنانیر اقسمها فی المسلمین و لم یعلم أخوه أنّ عندی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 تصدّق منها بعشرة دنانیر کما قال</w:t>
      </w:r>
      <w:r>
        <w:rPr>
          <w:rFonts w:eastAsia="IRNazanin" w:cs="IRNazanin"/>
          <w:color w:val="111111"/>
          <w:sz w:val="28"/>
          <w:szCs w:val="28"/>
          <w:rtl w:val="true"/>
          <w:lang w:bidi="fa-IR"/>
        </w:rPr>
        <w:t>»</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bookmarkStart w:id="924" w:name="pg11753_115187"/>
    </w:p>
    <w:p>
      <w:pPr>
        <w:pStyle w:val="BookText"/>
        <w:rPr/>
      </w:pPr>
      <w:bookmarkEnd w:id="924"/>
      <w:r>
        <w:rPr>
          <w:rFonts w:ascii="Amiri" w:hAnsi="Amiri" w:eastAsia="Amiri" w:cs="Amiri"/>
          <w:color w:val="111111"/>
          <w:sz w:val="28"/>
          <w:sz w:val="28"/>
          <w:szCs w:val="28"/>
          <w:rtl w:val="true"/>
          <w:lang w:bidi="ar-SA"/>
        </w:rPr>
        <w:t>فإنّها تدلّ‌</w:t>
      </w:r>
      <w:r>
        <w:rPr>
          <w:rStyle w:val="FootnoteAnchor"/>
          <w:rtl w:val="true"/>
        </w:rPr>
        <w:footnoteReference w:id="2788"/>
      </w:r>
      <w:r>
        <w:rPr>
          <w:rFonts w:ascii="IRNazanin" w:hAnsi="IRNazanin" w:eastAsia="IRNazanin"/>
          <w:color w:val="111111"/>
          <w:sz w:val="28"/>
          <w:sz w:val="28"/>
          <w:szCs w:val="28"/>
          <w:rtl w:val="true"/>
          <w:lang w:bidi="fa-IR"/>
        </w:rPr>
        <w:t xml:space="preserve">علی حجّیة قول الثقة 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استقرّت السیرة العقلائیة علی ذلک</w:t>
      </w:r>
      <w:r>
        <w:rPr>
          <w:rStyle w:val="FootnoteAnchor"/>
          <w:rtl w:val="true"/>
        </w:rPr>
        <w:footnoteReference w:id="2789"/>
      </w:r>
      <w:r>
        <w:rPr>
          <w:rFonts w:ascii="IRNazanin" w:hAnsi="IRNazanin" w:eastAsia="IRNazanin"/>
          <w:color w:val="111111"/>
          <w:sz w:val="28"/>
          <w:sz w:val="28"/>
          <w:szCs w:val="28"/>
          <w:rtl w:val="true"/>
          <w:lang w:bidi="fa-IR"/>
        </w:rPr>
        <w:t>؛ فإنّ الرجل المسلم الصادق أخبر عن رجوع الموصی عن الوصیّة، و حکم الإمام علیه السلام باعتبار هذا الخبر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تصدّق منها بعشرة دنانیر کما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کما أمرک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الروایة و إن کان فی الوصیّة بالمال، و لکن لا فرق بین المال و الولایة فی أنّهما یثبتان بخبر العدل الواحد</w:t>
      </w:r>
      <w:r>
        <w:rPr>
          <w:rFonts w:eastAsia="IRNazanin" w:cs="IRNazanin"/>
          <w:color w:val="111111"/>
          <w:sz w:val="28"/>
          <w:szCs w:val="28"/>
          <w:rtl w:val="true"/>
          <w:lang w:bidi="fa-IR"/>
        </w:rPr>
        <w:t>.</w:t>
      </w:r>
    </w:p>
    <w:p>
      <w:pPr>
        <w:pStyle w:val="Heading5"/>
        <w:numPr>
          <w:ilvl w:val="4"/>
          <w:numId w:val="1"/>
        </w:numPr>
        <w:rPr/>
      </w:pPr>
      <w:bookmarkStart w:id="925" w:name="__RefHeading___Toc9483164_73709187"/>
      <w:bookmarkStart w:id="926" w:name="_Toc351"/>
      <w:bookmarkEnd w:id="925"/>
      <w:r>
        <w:rPr>
          <w:rtl w:val="true"/>
        </w:rPr>
        <w:t>إثبات الوصیّة بالولایة بالکتابة</w:t>
      </w:r>
      <w:bookmarkEnd w:id="926"/>
    </w:p>
    <w:p>
      <w:pPr>
        <w:pStyle w:val="Heading6"/>
        <w:numPr>
          <w:ilvl w:val="5"/>
          <w:numId w:val="1"/>
        </w:numPr>
        <w:rPr/>
      </w:pPr>
      <w:bookmarkStart w:id="927" w:name="__RefHeading___Toc9483166_73709187"/>
      <w:bookmarkStart w:id="928" w:name="_Toc352"/>
      <w:bookmarkEnd w:id="927"/>
      <w:r>
        <w:rPr>
          <w:rtl w:val="true"/>
        </w:rPr>
        <w:t>اشارة</w:t>
      </w:r>
      <w:bookmarkEnd w:id="928"/>
    </w:p>
    <w:p>
      <w:pPr>
        <w:pStyle w:val="BookText"/>
        <w:rPr/>
      </w:pPr>
      <w:r>
        <w:rPr>
          <w:rFonts w:ascii="IRNazanin" w:hAnsi="IRNazanin" w:eastAsia="IRNazanin"/>
          <w:color w:val="111111"/>
          <w:sz w:val="28"/>
          <w:sz w:val="28"/>
          <w:szCs w:val="28"/>
          <w:rtl w:val="true"/>
          <w:lang w:bidi="fa-IR"/>
        </w:rPr>
        <w:t>التحقیق فی هذه المسألة یتوقّف علی ذکر مقدّمة؛ و هی أنّه لا خلاف فی صحّة الوصیّة بالکتابة و العمل بها فی حال الضرورة و عدم إمکان التلفّظ مع وجود القرینة الدالّة علیها، کما فی التنقیح الرائع</w:t>
      </w:r>
      <w:r>
        <w:rPr>
          <w:rStyle w:val="FootnoteAnchor"/>
          <w:rtl w:val="true"/>
        </w:rPr>
        <w:footnoteReference w:id="2790"/>
      </w:r>
      <w:r>
        <w:rPr>
          <w:rFonts w:ascii="IRNazanin" w:hAnsi="IRNazanin" w:eastAsia="IRNazanin"/>
          <w:color w:val="111111"/>
          <w:sz w:val="28"/>
          <w:sz w:val="28"/>
          <w:szCs w:val="28"/>
          <w:rtl w:val="true"/>
          <w:lang w:bidi="fa-IR"/>
        </w:rPr>
        <w:t>و ادّعی علیه الإجماع فی الإیضاح</w:t>
      </w:r>
      <w:r>
        <w:rPr>
          <w:rStyle w:val="FootnoteAnchor"/>
          <w:rtl w:val="true"/>
        </w:rPr>
        <w:footnoteReference w:id="2791"/>
      </w:r>
      <w:r>
        <w:rPr>
          <w:rFonts w:ascii="IRNazanin" w:hAnsi="IRNazanin" w:eastAsia="IRNazanin"/>
          <w:color w:val="111111"/>
          <w:sz w:val="28"/>
          <w:sz w:val="28"/>
          <w:szCs w:val="28"/>
          <w:rtl w:val="true"/>
          <w:lang w:bidi="fa-IR"/>
        </w:rPr>
        <w:t>، 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الشکّ فیه</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صرّح فی الجامع للشرائع</w:t>
      </w:r>
      <w:r>
        <w:rPr>
          <w:rStyle w:val="FootnoteAnchor"/>
          <w:rtl w:val="true"/>
        </w:rPr>
        <w:footnoteReference w:id="2793"/>
      </w:r>
      <w:r>
        <w:rPr>
          <w:rFonts w:ascii="Amiri" w:hAnsi="Amiri" w:eastAsia="Amiri" w:cs="Amiri"/>
          <w:color w:val="111111"/>
          <w:sz w:val="28"/>
          <w:sz w:val="28"/>
          <w:szCs w:val="28"/>
          <w:rtl w:val="true"/>
          <w:lang w:bidi="ar-SA"/>
        </w:rPr>
        <w:t>و التبصرة</w:t>
      </w:r>
      <w:r>
        <w:rPr>
          <w:rStyle w:val="FootnoteAnchor"/>
          <w:rtl w:val="true"/>
        </w:rPr>
        <w:footnoteReference w:id="2794"/>
      </w:r>
      <w:r>
        <w:rPr>
          <w:rFonts w:ascii="IRNazanin" w:hAnsi="IRNazanin" w:eastAsia="IRNazanin"/>
          <w:color w:val="111111"/>
          <w:sz w:val="28"/>
          <w:sz w:val="28"/>
          <w:szCs w:val="28"/>
          <w:rtl w:val="true"/>
          <w:lang w:bidi="fa-IR"/>
        </w:rPr>
        <w:t>و التذکرة</w:t>
      </w:r>
      <w:r>
        <w:rPr>
          <w:rStyle w:val="FootnoteAnchor"/>
          <w:rtl w:val="true"/>
        </w:rPr>
        <w:footnoteReference w:id="2795"/>
      </w:r>
      <w:r>
        <w:rPr>
          <w:rFonts w:ascii="IRNazanin" w:hAnsi="IRNazanin" w:eastAsia="IRNazanin"/>
          <w:color w:val="111111"/>
          <w:sz w:val="28"/>
          <w:sz w:val="28"/>
          <w:szCs w:val="28"/>
          <w:rtl w:val="true"/>
          <w:lang w:bidi="fa-IR"/>
        </w:rPr>
        <w:t>و التحریر</w:t>
      </w:r>
      <w:r>
        <w:rPr>
          <w:rStyle w:val="FootnoteAnchor"/>
          <w:rtl w:val="true"/>
        </w:rPr>
        <w:footnoteReference w:id="2796"/>
      </w:r>
    </w:p>
    <w:p>
      <w:pPr>
        <w:pStyle w:val="BookText"/>
        <w:rPr/>
      </w:pPr>
      <w:r>
        <w:rPr>
          <w:rFonts w:ascii="IRNazanin" w:hAnsi="IRNazanin" w:eastAsia="IRNazanin"/>
          <w:color w:val="111111"/>
          <w:sz w:val="28"/>
          <w:sz w:val="28"/>
          <w:szCs w:val="28"/>
          <w:rtl w:val="true"/>
          <w:lang w:bidi="fa-IR"/>
        </w:rPr>
        <w:t>و الدروس</w:t>
      </w:r>
      <w:r>
        <w:rPr>
          <w:rStyle w:val="FootnoteAnchor"/>
          <w:rtl w:val="true"/>
        </w:rPr>
        <w:footnoteReference w:id="2797"/>
      </w:r>
      <w:r>
        <w:rPr>
          <w:rFonts w:ascii="Amiri" w:hAnsi="Amiri" w:eastAsia="Amiri" w:cs="Amiri"/>
          <w:color w:val="111111"/>
          <w:sz w:val="28"/>
          <w:sz w:val="28"/>
          <w:szCs w:val="28"/>
          <w:rtl w:val="true"/>
          <w:lang w:bidi="ar-SA"/>
        </w:rPr>
        <w:t>و الروضة</w:t>
      </w:r>
      <w:r>
        <w:rPr>
          <w:rStyle w:val="FootnoteAnchor"/>
          <w:rtl w:val="true"/>
        </w:rPr>
        <w:footnoteReference w:id="2798"/>
      </w:r>
      <w:r>
        <w:rPr>
          <w:rFonts w:ascii="IRNazanin" w:hAnsi="IRNazanin" w:eastAsia="IRNazanin"/>
          <w:color w:val="111111"/>
          <w:sz w:val="28"/>
          <w:sz w:val="28"/>
          <w:szCs w:val="28"/>
          <w:rtl w:val="true"/>
          <w:lang w:bidi="fa-IR"/>
        </w:rPr>
        <w:t>و غیرها</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w:t>
      </w:r>
    </w:p>
    <w:p>
      <w:pPr>
        <w:pStyle w:val="BookText"/>
        <w:rPr/>
      </w:pPr>
      <w:r>
        <w:rPr>
          <w:rFonts w:ascii="IRNazanin" w:hAnsi="IRNazanin" w:eastAsia="IRNazanin"/>
          <w:color w:val="111111"/>
          <w:sz w:val="28"/>
          <w:sz w:val="28"/>
          <w:szCs w:val="28"/>
          <w:rtl w:val="true"/>
          <w:lang w:bidi="fa-IR"/>
        </w:rPr>
        <w:t>ما روی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محمّد بن علیّ بن الحنفیّة و قد اعتقل لسانه، فأمرته بالوصیّة فلم یُجب،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بطشت فجعل فیه الرمل فوضع،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بیدک، فخطّ وصیّته بیده فی الرمل و نسخت أنا فی صحیفة</w:t>
      </w:r>
      <w:r>
        <w:rPr>
          <w:rFonts w:eastAsia="IRNazanin" w:cs="IRNazanin"/>
          <w:color w:val="111111"/>
          <w:sz w:val="28"/>
          <w:szCs w:val="28"/>
          <w:rtl w:val="true"/>
          <w:lang w:bidi="fa-IR"/>
        </w:rPr>
        <w:t>»</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الکلام فی أنّه هل یکتفی بصرف الکتابة فی حال الاختیار و القدرة علی التلفّظ، أم لا یصحّ ذلک؟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کلمات کثیر من الفقهاء عدم الاکتفاء بالکتابة فی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تنعقد الوصیّة إلاّ باللفظ مع القدرة علیه، فلو 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أوصیت لفلان بکذا، لم ینفذ إذا کان الشخص ناطقاً</w:t>
      </w:r>
      <w:r>
        <w:rPr>
          <w:rFonts w:eastAsia="IRNazanin" w:cs="IRNazanin"/>
          <w:color w:val="111111"/>
          <w:sz w:val="28"/>
          <w:szCs w:val="28"/>
          <w:rtl w:val="true"/>
          <w:lang w:bidi="fa-IR"/>
        </w:rPr>
        <w:t>»</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کتب القادر علی النطق أو أشار لم یجب العمل به</w:t>
      </w:r>
      <w:r>
        <w:rPr>
          <w:rFonts w:eastAsia="IRNazanin" w:cs="IRNazanin"/>
          <w:color w:val="111111"/>
          <w:sz w:val="28"/>
          <w:szCs w:val="28"/>
          <w:rtl w:val="true"/>
          <w:lang w:bidi="fa-IR"/>
        </w:rPr>
        <w:t>»</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السرائر نفی الخلاف فیه</w:t>
      </w:r>
      <w:r>
        <w:rPr>
          <w:rStyle w:val="FootnoteAnchor"/>
          <w:rtl w:val="true"/>
        </w:rPr>
        <w:footnoteReference w:id="2803"/>
      </w:r>
      <w:r>
        <w:rPr>
          <w:rFonts w:ascii="IRNazanin" w:hAnsi="IRNazanin" w:eastAsia="IRNazanin"/>
          <w:color w:val="111111"/>
          <w:sz w:val="28"/>
          <w:sz w:val="28"/>
          <w:szCs w:val="28"/>
          <w:rtl w:val="true"/>
          <w:lang w:bidi="fa-IR"/>
        </w:rPr>
        <w:t>، و به قال فخر المحقّقین</w:t>
      </w:r>
      <w:r>
        <w:rPr>
          <w:rStyle w:val="FootnoteAnchor"/>
          <w:rtl w:val="true"/>
        </w:rPr>
        <w:footnoteReference w:id="2804"/>
      </w:r>
      <w:r>
        <w:rPr>
          <w:rFonts w:ascii="IRNazanin" w:hAnsi="IRNazanin" w:eastAsia="IRNazanin"/>
          <w:color w:val="111111"/>
          <w:sz w:val="28"/>
          <w:sz w:val="28"/>
          <w:szCs w:val="28"/>
          <w:rtl w:val="true"/>
          <w:lang w:bidi="fa-IR"/>
        </w:rPr>
        <w:t>و الشهید و المحقّق</w:t>
      </w:r>
    </w:p>
    <w:p>
      <w:pPr>
        <w:pStyle w:val="BookText"/>
        <w:rPr/>
      </w:pPr>
      <w:r>
        <w:rPr>
          <w:rFonts w:ascii="IRNazanin" w:hAnsi="IRNazanin" w:eastAsia="IRNazanin"/>
          <w:color w:val="111111"/>
          <w:sz w:val="28"/>
          <w:sz w:val="28"/>
          <w:szCs w:val="28"/>
          <w:rtl w:val="true"/>
          <w:lang w:bidi="fa-IR"/>
        </w:rPr>
        <w:t>الثانیان</w:t>
      </w:r>
      <w:r>
        <w:rPr>
          <w:rStyle w:val="FootnoteAnchor"/>
          <w:rtl w:val="true"/>
        </w:rPr>
        <w:footnoteReference w:id="2805"/>
      </w:r>
      <w:r>
        <w:rPr>
          <w:rFonts w:ascii="IRNazanin" w:hAnsi="IRNazanin" w:eastAsia="IRNazanin"/>
          <w:color w:val="111111"/>
          <w:sz w:val="28"/>
          <w:sz w:val="28"/>
          <w:szCs w:val="28"/>
          <w:rtl w:val="true"/>
          <w:lang w:bidi="fa-IR"/>
        </w:rPr>
        <w:t>، و الشیخ الأعظم</w:t>
      </w:r>
      <w:r>
        <w:rPr>
          <w:rStyle w:val="FootnoteAnchor"/>
          <w:rtl w:val="true"/>
        </w:rPr>
        <w:footnoteReference w:id="2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التنقیح الرائع</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الاکتفاء بالکتابة مطلقاً و لو مع القدرة علی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احتمله فی التذکرة</w:t>
      </w:r>
      <w:r>
        <w:rPr>
          <w:rStyle w:val="FootnoteAnchor"/>
          <w:rtl w:val="true"/>
        </w:rPr>
        <w:footnoteReference w:id="2808"/>
      </w:r>
      <w:r>
        <w:rPr>
          <w:rFonts w:ascii="IRNazanin" w:hAnsi="IRNazanin" w:eastAsia="IRNazanin"/>
          <w:color w:val="111111"/>
          <w:sz w:val="28"/>
          <w:sz w:val="28"/>
          <w:szCs w:val="28"/>
          <w:rtl w:val="true"/>
          <w:lang w:bidi="fa-IR"/>
        </w:rPr>
        <w:t>، و هو الظاهر من عبارة النافع،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تکفی الکتابة ما لم تنضمّ القرینة الدالّة علی الإرادة</w:t>
      </w:r>
      <w:r>
        <w:rPr>
          <w:rFonts w:eastAsia="IRNazanin" w:cs="IRNazanin"/>
          <w:color w:val="111111"/>
          <w:sz w:val="28"/>
          <w:szCs w:val="28"/>
          <w:rtl w:val="true"/>
          <w:lang w:bidi="fa-IR"/>
        </w:rPr>
        <w:t>»</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یستظهر ذلک من عبارة اللمعة أیضاً</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یخلو عن قوّة مع قطعیّة دلالة القرینة علی إرادة الوصیّة؛ لصدق الوصیّة معها عرفاً و عادةً، مضافاً إلی التأیّد بکثیر من النصوص</w:t>
      </w:r>
      <w:r>
        <w:rPr>
          <w:rFonts w:eastAsia="IRNazanin" w:cs="IRNazanin"/>
          <w:color w:val="111111"/>
          <w:sz w:val="28"/>
          <w:szCs w:val="28"/>
          <w:rtl w:val="true"/>
          <w:lang w:bidi="fa-IR"/>
        </w:rPr>
        <w:t>»</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الجواهر</w:t>
      </w:r>
      <w:r>
        <w:rPr>
          <w:rStyle w:val="FootnoteAnchor"/>
          <w:rtl w:val="true"/>
        </w:rPr>
        <w:footnoteReference w:id="2813"/>
      </w:r>
      <w:r>
        <w:rPr>
          <w:rFonts w:ascii="IRNazanin" w:hAnsi="IRNazanin" w:eastAsia="IRNazanin"/>
          <w:color w:val="111111"/>
          <w:sz w:val="28"/>
          <w:sz w:val="28"/>
          <w:szCs w:val="28"/>
          <w:rtl w:val="true"/>
          <w:lang w:bidi="fa-IR"/>
        </w:rPr>
        <w:t>و الحدائق</w:t>
      </w:r>
      <w:r>
        <w:rPr>
          <w:rStyle w:val="FootnoteAnchor"/>
          <w:rtl w:val="true"/>
        </w:rPr>
        <w:footnoteReference w:id="2814"/>
      </w:r>
      <w:r>
        <w:rPr>
          <w:rFonts w:ascii="IRNazanin" w:hAnsi="IRNazanin" w:eastAsia="IRNazanin"/>
          <w:color w:val="111111"/>
          <w:sz w:val="28"/>
          <w:sz w:val="28"/>
          <w:szCs w:val="28"/>
          <w:rtl w:val="true"/>
          <w:lang w:bidi="fa-IR"/>
        </w:rPr>
        <w:t>و ذهب إلیه السادة الفقهاء الاصفهانی</w:t>
      </w:r>
      <w:r>
        <w:rPr>
          <w:rStyle w:val="FootnoteAnchor"/>
          <w:rtl w:val="true"/>
        </w:rPr>
        <w:footnoteReference w:id="2815"/>
      </w:r>
      <w:r>
        <w:rPr>
          <w:rFonts w:ascii="IRNazanin" w:hAnsi="IRNazanin" w:eastAsia="IRNazanin"/>
          <w:color w:val="111111"/>
          <w:sz w:val="28"/>
          <w:sz w:val="28"/>
          <w:szCs w:val="28"/>
          <w:rtl w:val="true"/>
          <w:lang w:bidi="fa-IR"/>
        </w:rPr>
        <w:t>و الخوئی</w:t>
      </w:r>
      <w:r>
        <w:rPr>
          <w:rStyle w:val="FootnoteAnchor"/>
          <w:rtl w:val="true"/>
        </w:rPr>
        <w:footnoteReference w:id="2816"/>
      </w:r>
      <w:r>
        <w:rPr>
          <w:rFonts w:ascii="IRNazanin" w:hAnsi="IRNazanin" w:eastAsia="IRNazanin"/>
          <w:color w:val="111111"/>
          <w:sz w:val="28"/>
          <w:sz w:val="28"/>
          <w:szCs w:val="28"/>
          <w:rtl w:val="true"/>
          <w:lang w:bidi="fa-IR"/>
        </w:rPr>
        <w:t>و الإمام الخمینی</w:t>
      </w:r>
      <w:r>
        <w:rPr>
          <w:rStyle w:val="FootnoteAnchor"/>
          <w:rtl w:val="true"/>
        </w:rPr>
        <w:footnoteReference w:id="2817"/>
      </w:r>
      <w:r>
        <w:rPr>
          <w:rFonts w:ascii="IRNazanin" w:hAnsi="IRNazanin" w:eastAsia="IRNazanin"/>
          <w:color w:val="111111"/>
          <w:sz w:val="28"/>
          <w:sz w:val="28"/>
          <w:szCs w:val="28"/>
          <w:rtl w:val="true"/>
          <w:lang w:bidi="fa-IR"/>
        </w:rPr>
        <w:t>و السبزواری</w:t>
      </w:r>
      <w:r>
        <w:rPr>
          <w:rStyle w:val="FootnoteAnchor"/>
          <w:rtl w:val="true"/>
        </w:rPr>
        <w:footnoteReference w:id="2818"/>
      </w:r>
      <w:r>
        <w:rPr>
          <w:rFonts w:ascii="IRNazanin" w:hAnsi="IRNazanin" w:eastAsia="IRNazanin"/>
          <w:color w:val="111111"/>
          <w:sz w:val="28"/>
          <w:sz w:val="28"/>
          <w:szCs w:val="28"/>
          <w:rtl w:val="true"/>
          <w:lang w:bidi="fa-IR"/>
        </w:rPr>
        <w:t>و الحکیم</w:t>
      </w:r>
      <w:r>
        <w:rPr>
          <w:rStyle w:val="FootnoteAnchor"/>
          <w:rtl w:val="true"/>
        </w:rPr>
        <w:footnoteReference w:id="2819"/>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العروة و التعلیقات علیها إلاّ تعلیقة السیّد الفقیه</w:t>
      </w:r>
    </w:p>
    <w:p>
      <w:pPr>
        <w:pStyle w:val="BookText"/>
        <w:rPr/>
      </w:pPr>
      <w:r>
        <w:rPr>
          <w:rFonts w:ascii="IRNazanin" w:hAnsi="IRNazanin" w:eastAsia="IRNazanin"/>
          <w:color w:val="111111"/>
          <w:sz w:val="28"/>
          <w:sz w:val="28"/>
          <w:szCs w:val="28"/>
          <w:rtl w:val="true"/>
          <w:lang w:bidi="fa-IR"/>
        </w:rPr>
        <w:t>البروجردی</w:t>
      </w:r>
      <w:r>
        <w:rPr>
          <w:rStyle w:val="FootnoteAnchor"/>
          <w:rtl w:val="true"/>
        </w:rPr>
        <w:footnoteReference w:id="2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الشیخ الفقیه الفاضل اللنکرانی فی تفصیل الشریعة</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الثانی هو الراجح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الأدلّة علی هذا الترجیح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أدلّة الوصیّة؛ فإنّها غیر مقیّدة باللفظ، بل مقتضاها اللزوم و حرمة التبدیل بمجرّد صدق الوصیّة کیف ما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تقیید الإطلاقات بالإجماع علی احتیاج العقود إلی اللفظ، مدفوعة بأنّه لو تمّ فهو إنّما یختصّ بالعقود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العقود الجائزة التی منها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کونها عقداً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إجماع علی اعتبار اللفظ فیها، کما فی مستند العروة</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یستدلّ علیه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لامرئ مسلم أن یبیت لیلة إلاّ و وصیّته تحت رأسه</w:t>
      </w:r>
      <w:r>
        <w:rPr>
          <w:rFonts w:eastAsia="IRNazanin" w:cs="IRNazanin"/>
          <w:color w:val="111111"/>
          <w:sz w:val="28"/>
          <w:szCs w:val="28"/>
          <w:rtl w:val="true"/>
          <w:lang w:bidi="fa-IR"/>
        </w:rPr>
        <w:t>»</w:t>
      </w:r>
      <w:r>
        <w:rPr>
          <w:rStyle w:val="FootnoteAnchor"/>
          <w:rtl w:val="true"/>
        </w:rPr>
        <w:footnoteReference w:id="2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نحوها</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یدلّ علیه</w:t>
      </w:r>
    </w:p>
    <w:p>
      <w:pPr>
        <w:pStyle w:val="BookText"/>
        <w:rPr/>
      </w:pPr>
      <w:r>
        <w:rPr>
          <w:rFonts w:ascii="IRNazanin" w:hAnsi="IRNazanin" w:eastAsia="IRNazanin"/>
          <w:color w:val="111111"/>
          <w:sz w:val="28"/>
          <w:sz w:val="28"/>
          <w:szCs w:val="28"/>
          <w:rtl w:val="true"/>
          <w:lang w:bidi="fa-IR"/>
        </w:rPr>
        <w:t>ما رواه الصدوق عن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کتب کتاباً بخطّه، و لم یقل 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وصیّتی، 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أوصیت، إلاّ أنّه کتب کتاباً فیه ما أراد أن یوصی به، هل یجب علی ورثته القیام بما فی الکتاب بخطّه و لم یأمرهم بذلک؟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وُلد ینفذون کلّ شیء یجدونه فی کتاب أبیهم فی وجه البرّ و غیره</w:t>
      </w:r>
      <w:r>
        <w:rPr>
          <w:rFonts w:eastAsia="IRNazanin" w:cs="IRNazanin"/>
          <w:color w:val="111111"/>
          <w:sz w:val="28"/>
          <w:szCs w:val="28"/>
          <w:rtl w:val="true"/>
          <w:lang w:bidi="fa-IR"/>
        </w:rPr>
        <w:t>»</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طریق الشیخ ضعیف بعمر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یرد فیه</w:t>
      </w:r>
    </w:p>
    <w:p>
      <w:pPr>
        <w:pStyle w:val="BookText"/>
        <w:rPr/>
      </w:pPr>
      <w:r>
        <w:rPr>
          <w:rFonts w:ascii="Amiri" w:hAnsi="Amiri" w:eastAsia="Amiri" w:cs="Amiri"/>
          <w:color w:val="111111"/>
          <w:sz w:val="28"/>
          <w:sz w:val="28"/>
          <w:szCs w:val="28"/>
          <w:rtl w:val="true"/>
          <w:lang w:bidi="ar-SA"/>
        </w:rPr>
        <w:t>توثیقٌ، غیر أنّ محمّد بن أحمد بن یحیی</w:t>
      </w:r>
      <w:r>
        <w:rPr>
          <w:rStyle w:val="FootnoteAnchor"/>
          <w:rtl w:val="true"/>
        </w:rPr>
        <w:footnoteReference w:id="2826"/>
      </w:r>
      <w:r>
        <w:rPr>
          <w:rFonts w:ascii="IRNazanin" w:hAnsi="IRNazanin" w:eastAsia="IRNazanin"/>
          <w:color w:val="111111"/>
          <w:sz w:val="28"/>
          <w:sz w:val="28"/>
          <w:szCs w:val="28"/>
          <w:rtl w:val="true"/>
          <w:lang w:bidi="fa-IR"/>
        </w:rPr>
        <w:t>قد روی عنه، و لم یستثنه ابن الولید، إلاّ أنّنا قد ذکرنا فی کتابنا معجم رجال الحدیث أنّ ذلک لا ینفع فی إثبات الوثاقة للرجل فراجع</w:t>
      </w:r>
      <w:r>
        <w:rPr>
          <w:rStyle w:val="FootnoteAnchor"/>
          <w:rtl w:val="true"/>
        </w:rPr>
        <w:footnoteReference w:id="2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بإبراهیم ابن محمّد الهمدانی نفسه؛ فإنّه لم تثبت وثاقته رغم کونه من وکلائهم علیهم السلام؛ لما أوضحناه فی مقدّمة کتابنا معجم رجال الحدیث من أنّ الوکالة وحدها لا تکفی فی إثبات وثاقة الوکیل</w:t>
      </w:r>
      <w:r>
        <w:rPr>
          <w:rFonts w:eastAsia="IRNazanin" w:cs="IRNazanin"/>
          <w:color w:val="111111"/>
          <w:sz w:val="28"/>
          <w:szCs w:val="28"/>
          <w:rtl w:val="true"/>
          <w:lang w:bidi="fa-IR"/>
        </w:rPr>
        <w:t>»</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فی جملة من النصوص مدح الرجل و تجلیله، إلاّ أنّها جمیعاً ضعیفة السند</w:t>
      </w:r>
      <w:r>
        <w:rPr>
          <w:rFonts w:eastAsia="IRNazanin" w:cs="IRNazanin"/>
          <w:color w:val="111111"/>
          <w:sz w:val="28"/>
          <w:szCs w:val="28"/>
          <w:rtl w:val="true"/>
          <w:lang w:bidi="fa-IR"/>
        </w:rPr>
        <w:t>»</w:t>
      </w:r>
      <w:r>
        <w:rPr>
          <w:rStyle w:val="FootnoteAnchor"/>
          <w:rtl w:val="true"/>
        </w:rPr>
        <w:footnoteReference w:id="2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قصور سندها غیر ظاهرٍ؛ فإنّ طریق الصدوق إلی إبراهیم المذکور أحمد بن زیاد بن جعفر الهمدانی، عن علی بن إبراهیم، عن أبیه، و أحمد بن زیاد ثقة، و علیّ بن إبراهیم من الأجلاّء، و أبوه مصحّح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إبراهیم فهو من الوکلاء الثقات</w:t>
      </w:r>
      <w:r>
        <w:rPr>
          <w:rFonts w:eastAsia="IRNazanin" w:cs="IRNazanin"/>
          <w:color w:val="111111"/>
          <w:sz w:val="28"/>
          <w:szCs w:val="28"/>
          <w:rtl w:val="true"/>
          <w:lang w:bidi="fa-IR"/>
        </w:rPr>
        <w:t>»</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قاموس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فارس و محمّد بن إبراهیم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 الکشّی تدلّ علی جلالة قدر إبراهیم هذا</w:t>
      </w:r>
      <w:r>
        <w:rPr>
          <w:rFonts w:eastAsia="IRNazanin" w:cs="IRNazanin"/>
          <w:color w:val="111111"/>
          <w:sz w:val="28"/>
          <w:szCs w:val="28"/>
          <w:rtl w:val="true"/>
          <w:lang w:bidi="fa-IR"/>
        </w:rPr>
        <w:t>»</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رجال الکشّی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أحمد بن أبی عبد اللّه البرقی بالعسکر، فورد علینا رسول من الرجل</w:t>
      </w:r>
      <w:r>
        <w:rPr>
          <w:rStyle w:val="FootnoteAnchor"/>
          <w:rtl w:val="true"/>
        </w:rPr>
        <w:footnoteReference w:id="283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أیوب بن نوح</w:t>
      </w:r>
    </w:p>
    <w:p>
      <w:pPr>
        <w:pStyle w:val="BookText"/>
        <w:rPr/>
      </w:pPr>
      <w:r>
        <w:rPr>
          <w:rFonts w:ascii="IRNazanin" w:hAnsi="IRNazanin" w:eastAsia="IRNazanin"/>
          <w:color w:val="111111"/>
          <w:sz w:val="28"/>
          <w:sz w:val="28"/>
          <w:szCs w:val="28"/>
          <w:rtl w:val="true"/>
          <w:lang w:bidi="fa-IR"/>
        </w:rPr>
        <w:t>و إبراهیم بن محمّد الهمدانی و أحمد بن حمزة و أحمد بن إسحاق ثقات جمیعاً</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الهمدانی عدّه الشیخ من أصحاب الرضا</w:t>
      </w:r>
      <w:r>
        <w:rPr>
          <w:rStyle w:val="FootnoteAnchor"/>
          <w:rtl w:val="true"/>
        </w:rPr>
        <w:footnoteReference w:id="2835"/>
      </w:r>
      <w:r>
        <w:rPr>
          <w:rFonts w:ascii="IRNazanin" w:hAnsi="IRNazanin" w:eastAsia="IRNazanin"/>
          <w:color w:val="111111"/>
          <w:sz w:val="28"/>
          <w:sz w:val="28"/>
          <w:szCs w:val="28"/>
          <w:rtl w:val="true"/>
          <w:lang w:bidi="fa-IR"/>
        </w:rPr>
        <w:t>و الجواد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الهادی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رجال البرقی</w:t>
      </w:r>
      <w:r>
        <w:rPr>
          <w:rStyle w:val="FootnoteAnchor"/>
          <w:rtl w:val="true"/>
        </w:rPr>
        <w:footnoteReference w:id="2836"/>
      </w:r>
      <w:r>
        <w:rPr>
          <w:rFonts w:ascii="IRNazanin" w:hAnsi="IRNazanin" w:eastAsia="IRNazanin"/>
          <w:color w:val="111111"/>
          <w:sz w:val="28"/>
          <w:sz w:val="28"/>
          <w:szCs w:val="28"/>
          <w:rtl w:val="true"/>
          <w:lang w:bidi="fa-IR"/>
        </w:rPr>
        <w:t>، و هو وکیل الناحیة، کان حجّ أربعین حجّة</w:t>
      </w:r>
      <w:r>
        <w:rPr>
          <w:rStyle w:val="FootnoteAnchor"/>
          <w:rtl w:val="true"/>
        </w:rPr>
        <w:footnoteReference w:id="2837"/>
      </w:r>
      <w:r>
        <w:rPr>
          <w:rFonts w:ascii="IRNazanin" w:hAnsi="IRNazanin" w:eastAsia="IRNazanin"/>
          <w:color w:val="111111"/>
          <w:sz w:val="28"/>
          <w:sz w:val="28"/>
          <w:szCs w:val="28"/>
          <w:rtl w:val="true"/>
          <w:lang w:bidi="fa-IR"/>
        </w:rPr>
        <w:t>و کتب إلیه الجواد علیه السلام کتباً تدلّ علی عظیم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الکشّی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عن عمر بن علی بن عمر بن یزید، عن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وصل الحساب تقبّل اللّه منک، و رضی عنهم، و جعلهم معنا فی الدنیا و الآخرة، و قد بعثت إلیک من الدنانیر بکذا، و من الکسوة بکذا، فبارک لک فیه، و فی جمیع نعمة اللّه علیک، و قد کتبت إلی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أن ینتهی عنک، و عن التعرّض لک و بخلافک، و أعلمته موضعک عندی، و کتبت إلی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بذلک أیضاً و کتبت إلی موالیّ بهمدان کتاباً أمرتهم بطاعتک و المصیر إلی أمرک و أن لا وکیل لی سواک</w:t>
      </w:r>
      <w:r>
        <w:rPr>
          <w:rFonts w:eastAsia="IRNazanin" w:cs="IRNazanin"/>
          <w:color w:val="111111"/>
          <w:sz w:val="28"/>
          <w:szCs w:val="28"/>
          <w:rtl w:val="true"/>
          <w:lang w:bidi="fa-IR"/>
        </w:rPr>
        <w:t>»</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الشیخ فی کتاب الغیبة عن أحمد بن إدریس، عن أحمد بن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أحمد بن أبی عبد اللّه بالعسکر، فورد علینا رسول من قبل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إسحاق الأشعری و إبراهیم بن محمّد الهمدانی و أحمد بن حمزة بن الیسع ثقات</w:t>
      </w:r>
      <w:r>
        <w:rPr>
          <w:rFonts w:eastAsia="IRNazanin" w:cs="IRNazanin"/>
          <w:color w:val="111111"/>
          <w:sz w:val="28"/>
          <w:szCs w:val="28"/>
          <w:rtl w:val="true"/>
          <w:lang w:bidi="fa-IR"/>
        </w:rPr>
        <w:t>»</w:t>
      </w:r>
      <w:r>
        <w:rPr>
          <w:rStyle w:val="FootnoteAnchor"/>
          <w:rtl w:val="true"/>
        </w:rPr>
        <w:footnoteReference w:id="2839"/>
      </w:r>
      <w:r>
        <w:rPr>
          <w:rFonts w:ascii="IRNazanin" w:hAnsi="IRNazanin" w:eastAsia="IRNazanin"/>
          <w:color w:val="111111"/>
          <w:sz w:val="28"/>
          <w:sz w:val="28"/>
          <w:szCs w:val="28"/>
          <w:rtl w:val="true"/>
          <w:lang w:bidi="fa-IR"/>
        </w:rPr>
        <w:t>و غیرها</w:t>
      </w:r>
      <w:r>
        <w:rPr>
          <w:rStyle w:val="FootnoteAnchor"/>
          <w:rtl w:val="true"/>
        </w:rPr>
        <w:footnoteReference w:id="2840"/>
      </w:r>
    </w:p>
    <w:p>
      <w:pPr>
        <w:pStyle w:val="BookText"/>
        <w:rPr/>
      </w:pPr>
      <w:r>
        <w:rPr>
          <w:rFonts w:ascii="IRNazanin" w:hAnsi="IRNazanin" w:eastAsia="IRNazanin"/>
          <w:color w:val="111111"/>
          <w:sz w:val="28"/>
          <w:sz w:val="28"/>
          <w:szCs w:val="28"/>
          <w:rtl w:val="true"/>
          <w:lang w:bidi="fa-IR"/>
        </w:rPr>
        <w:t>و ذکره العلاّمة رحمه الله فی القسم الأوّل من الخلاصة</w:t>
      </w:r>
      <w:r>
        <w:rPr>
          <w:rStyle w:val="FootnoteAnchor"/>
          <w:rtl w:val="true"/>
        </w:rPr>
        <w:footnoteReference w:id="2841"/>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مجموع هذه الاُمور خصوصاً کونه وکیلاً للإمام علیه السلام تطمئنّ النفس علی أنّ إبراهیم بن محمّد الهمدانی ثقة و روایاته معتبرة، فلا إشکال فی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دلالتها علی اعتبار الوصیّة بالکتابة فی حال الاختیار، فاُورد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لا تصلح دلیلاً للحکم، و ذلک لما تضمّنته من حجّیة هذه الوصیة لأولاد المیّت خاصّةً، و مقتضی مفهومها عدم اعتبار الوصیّة بالکتابة لغیر الأولاد، و هذا التفصیل بین الأولاد و غیرهم من الورثة لم یعرف قائل به و لا یمکن الالتزام به، فلا بدّ من رفع الید عن هذا الخبر</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تنفیذ الوصیة بالکتابة من خواصّ الولد، نظیر قضاء الصلاة و الصوم، فتدلّ علی عدم حجیّة الکتابة المجرّدة عن القول</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الروایة اعتبار الوصیّة بهذا النحو و صحّتها مطلقاً، فیجب تنفیذها للأولاد و غیرهم، و لیست مختصّة بالأولاد، بل ذکر الأولاد من باب أنّهم أولی بإنفاذ وصیّة أبیهم، مضافاً إلی أنّه لو ثبت تنفیذ هذه الوصیّة للأولاد ثبت لغیرها من الورثة بعدم الفصل؛ لأنّه لیس فی المسألة إلاّ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التنفیذ مطلقاً، و عدم التنفیذ مطلقاً، و لا وجه لجعل ذلک من مختصّات الولد کقضاء 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الخبر المذکور معتبر سنداً، واضح متناً، لا مجال للطعن فیه بوجه و لا معارض له، فالعمل به متعیّن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 من المتشرّعة علی الوصیّة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احتجّ به العلاّمة فی التذکرة من أنّ الکتابة بمثابة کنایات الألفاظ، و قد بیّنا جواز الوصیّة بالکنایة التی لیست صریحة فی دلالتها علیها مع القرینة، فإذا کتب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الوصیّة لفلان أو اعترف الورثة بعد موته به، وجب أن تصحّ‌</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أنّه یصدق الوصیّة علی ذلک عرفاً و عادةً، و مع فرض تحقّق الوصیّة بالکتابة یترتّب علیه جمیع أحکامها؛ لأنّ المناط صدق عنوان الإیصاء، و لا دلیل علی التقیید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أنّه لا دلیل علی کون الوصیّة بأمر خاصّ</w:t>
      </w:r>
      <w:r>
        <w:rPr>
          <w:rFonts w:eastAsia="IRNazanin" w:cs="IRNazanin"/>
          <w:color w:val="111111"/>
          <w:sz w:val="28"/>
          <w:szCs w:val="28"/>
          <w:rtl w:val="true"/>
          <w:lang w:bidi="fa-IR"/>
        </w:rPr>
        <w:t>»</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مهذّب الأحکام من أنّ المناط فی إبراز المقاصد علی الدوالّ الخارجیة المعتبرة عند المتعارف، و المفروض کون الوصیّة بالکتابة کذلک، فیکون المقتضی للصحّة موجوداً و المانع عنها مفقوداً، فتصحّ لا محالة</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تحصّل ممّا ذکرنا أنّه یکفی فی تحقّق الوصیّة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بالولایة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دلّ علیها من لفظ صریح أو غیر صریح أو فعل و إن کانت کتابةً أو إشارة، بلا فرق بین صورتی الاختیار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ذلک إلاّ دعوی نفی الخلاف من السرائر و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معقد نفی الخلاف فی محکیّ السرائر غیر ما نحن فیه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مراده عدم صحّة الشهادة علیه بذلک الإجمال</w:t>
      </w:r>
      <w:r>
        <w:rPr>
          <w:rFonts w:eastAsia="IRNazanin" w:cs="IRNazanin"/>
          <w:color w:val="111111"/>
          <w:sz w:val="28"/>
          <w:szCs w:val="28"/>
          <w:rtl w:val="true"/>
          <w:lang w:bidi="fa-IR"/>
        </w:rPr>
        <w:t>»</w:t>
      </w:r>
      <w:r>
        <w:rPr>
          <w:rStyle w:val="FootnoteAnchor"/>
          <w:rtl w:val="true"/>
        </w:rPr>
        <w:footnoteReference w:id="2847"/>
      </w:r>
    </w:p>
    <w:p>
      <w:pPr>
        <w:pStyle w:val="BookText"/>
        <w:rPr/>
      </w:pPr>
      <w:r>
        <w:rPr>
          <w:rFonts w:ascii="IRNazanin" w:hAnsi="IRNazanin" w:eastAsia="IRNazanin"/>
          <w:color w:val="111111"/>
          <w:sz w:val="28"/>
          <w:sz w:val="28"/>
          <w:szCs w:val="28"/>
          <w:rtl w:val="true"/>
          <w:lang w:bidi="fa-IR"/>
        </w:rPr>
        <w:t>و یمکن أیضاً حمل کلام الأصحاب علی صورة عدم الوضوح و الصراحة التی یکتفی بهما العرف فی المحاورات الدائرة بینهم، کما فی مهذّب الأحکام</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حمل کلام الأصحاب علی عدم صحّة الوصیّة بالکتابة للإجمال، أو یکون المراد عدم الاکتفاء بالکتابة فی ثبوت الوصیّة، بمعنی أنّه لا یجب العمل بما یوجد مکتوباً ما لم یثبت بالبیِّنة أو لم تقم القرائن علی إرادته الوصیّة بذلک</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هذه المقدّمة و الحکم لصحّة الوصیّة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تثبت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بالولایة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کتابتها سواء کتبها الموصی أو غیره، أم لا؟</w:t>
      </w:r>
    </w:p>
    <w:p>
      <w:pPr>
        <w:pStyle w:val="BookText"/>
        <w:rPr/>
      </w:pPr>
      <w:r>
        <w:rPr>
          <w:rFonts w:ascii="IRNazanin" w:hAnsi="IRNazanin" w:eastAsia="IRNazanin"/>
          <w:color w:val="111111"/>
          <w:sz w:val="28"/>
          <w:sz w:val="28"/>
          <w:szCs w:val="28"/>
          <w:rtl w:val="true"/>
          <w:lang w:bidi="fa-IR"/>
        </w:rPr>
        <w:t>یمکن أن نستفید تصویر المسألة فی کلمات الفقهاء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وصیّة بخطّ المیّت و لم یکن أقرّ بها و لا أشهد علیها، فهل تثبت الوصیّة بذلک و یجب العمل بها أم لا؟</w:t>
      </w:r>
    </w:p>
    <w:p>
      <w:pPr>
        <w:pStyle w:val="BookText"/>
        <w:rPr/>
      </w:pPr>
      <w:r>
        <w:rPr>
          <w:rFonts w:ascii="IRNazanin" w:hAnsi="IRNazanin" w:eastAsia="IRNazanin"/>
          <w:color w:val="111111"/>
          <w:sz w:val="28"/>
          <w:sz w:val="28"/>
          <w:szCs w:val="28"/>
          <w:rtl w:val="true"/>
          <w:lang w:bidi="fa-IR"/>
        </w:rPr>
        <w:t>فیه ثلاث احتمالات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اعتقد به أکثر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تثبت و لا یجب العمل بها علی الورثة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المختصر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العمل بما یوجد بخطّ المیّت</w:t>
      </w:r>
      <w:r>
        <w:rPr>
          <w:rFonts w:eastAsia="IRNazanin" w:cs="IRNazanin"/>
          <w:color w:val="111111"/>
          <w:sz w:val="28"/>
          <w:szCs w:val="28"/>
          <w:rtl w:val="true"/>
          <w:lang w:bidi="fa-IR"/>
        </w:rPr>
        <w:t>»</w:t>
      </w:r>
      <w:r>
        <w:rPr>
          <w:rStyle w:val="FootnoteAnchor"/>
          <w:rtl w:val="true"/>
        </w:rPr>
        <w:footnoteReference w:id="2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الفاضل الآبی</w:t>
      </w:r>
      <w:r>
        <w:rPr>
          <w:rStyle w:val="FootnoteAnchor"/>
          <w:rtl w:val="true"/>
        </w:rPr>
        <w:footnoteReference w:id="2851"/>
      </w:r>
      <w:r>
        <w:rPr>
          <w:rFonts w:ascii="IRNazanin" w:hAnsi="IRNazanin" w:eastAsia="IRNazanin"/>
          <w:color w:val="111111"/>
          <w:sz w:val="28"/>
          <w:sz w:val="28"/>
          <w:szCs w:val="28"/>
          <w:rtl w:val="true"/>
          <w:lang w:bidi="fa-IR"/>
        </w:rPr>
        <w:t>و ابن فهد الحلّی</w:t>
      </w:r>
      <w:r>
        <w:rPr>
          <w:rStyle w:val="FootnoteAnchor"/>
          <w:rtl w:val="true"/>
        </w:rPr>
        <w:footnoteReference w:id="2852"/>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العمل بما یوجد بخطّه</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و إبطالها؛ سواء عملوا بشیء منها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یجب العمل به و لو شوهد کاتباً أو علم خطّه</w:t>
      </w:r>
      <w:r>
        <w:rPr>
          <w:rStyle w:val="FootnoteAnchor"/>
          <w:rtl w:val="true"/>
        </w:rPr>
        <w:footnoteReference w:id="2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الروضة</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وجدت وصیّة بخطّ المیّت و لم یکن أقرّ بها و لا أشهد علیها لم یجب العمل بها علی الورثة؛ سواء شاهدوه یکتب أم لا، و سواء اعترفوا بأنّه خطّه أو عرف أم لا، و سواء قدر علی النطق أو لا، و سواء عمل الورثة ببعض الوصیّة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بأنّ الکتابة قد لا تکون علی قصد الوصیّة</w:t>
      </w:r>
      <w:r>
        <w:rPr>
          <w:rStyle w:val="FootnoteAnchor"/>
          <w:rtl w:val="true"/>
        </w:rPr>
        <w:footnoteReference w:id="2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ما ذهب إلیه هؤلاء الأعلام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أمر الصغار إلی الحاکم، و هو الذی یعیّن القیّم علیهم، و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یثبت و یجوز العمل بها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وُجدت وصیّة بخطّ المیّت، و لم یکن أشهد علیها و لا أمر بها کان الورثة بالخیار بین العمل بها، و بین ردّها و إبطالها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عملوا بشیء منها، لزمهم العمل بجمیعها</w:t>
      </w:r>
      <w:r>
        <w:rPr>
          <w:rFonts w:eastAsia="IRNazanin" w:cs="IRNazanin"/>
          <w:color w:val="111111"/>
          <w:sz w:val="28"/>
          <w:szCs w:val="28"/>
          <w:rtl w:val="true"/>
          <w:lang w:bidi="fa-IR"/>
        </w:rPr>
        <w:t>»</w:t>
      </w:r>
      <w:r>
        <w:rPr>
          <w:rStyle w:val="FootnoteAnchor"/>
          <w:rtl w:val="true"/>
        </w:rPr>
        <w:footnoteReference w:id="2859"/>
      </w:r>
    </w:p>
    <w:p>
      <w:p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للورثة العمل بوصیّةٍ فی کتاب لم یشهد بها و ببعضها، و ترکها</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بأنّه لو ثبت ما وجد بخطّه بإحدی الطرق المعتبرة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العلم الوجدانی، أو اعترف الورثة، أو اقیم البیّنة، أو الخبر العدل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بها،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کلام الشیخ فی النهایة فی أنّ الورثة اعترفوا بصحّة الوصیّة بالاستناد إلی هذا الخطّ، فیجب العمل بالجمیع، کما فی التذکرة</w:t>
      </w:r>
      <w:r>
        <w:rPr>
          <w:rStyle w:val="FootnoteAnchor"/>
          <w:rtl w:val="true"/>
        </w:rPr>
        <w:footnoteReference w:id="2861"/>
      </w:r>
      <w:r>
        <w:rPr>
          <w:rFonts w:ascii="IRNazanin" w:hAnsi="IRNazanin" w:eastAsia="IRNazanin"/>
          <w:color w:val="111111"/>
          <w:sz w:val="28"/>
          <w:sz w:val="28"/>
          <w:szCs w:val="28"/>
          <w:rtl w:val="true"/>
          <w:lang w:bidi="fa-IR"/>
        </w:rPr>
        <w:t>و المهذّب البارع</w:t>
      </w:r>
      <w:r>
        <w:rPr>
          <w:rStyle w:val="FootnoteAnchor"/>
          <w:rtl w:val="true"/>
        </w:rPr>
        <w:footnoteReference w:id="2862"/>
      </w:r>
    </w:p>
    <w:p>
      <w:pPr>
        <w:pStyle w:val="BookText"/>
        <w:rPr/>
      </w:pPr>
      <w:r>
        <w:rPr>
          <w:rFonts w:ascii="IRNazanin" w:hAnsi="IRNazanin" w:eastAsia="IRNazanin"/>
          <w:color w:val="111111"/>
          <w:sz w:val="28"/>
          <w:sz w:val="28"/>
          <w:szCs w:val="28"/>
          <w:rtl w:val="true"/>
          <w:lang w:bidi="fa-IR"/>
        </w:rPr>
        <w:t>و الإیضاح</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منافاة 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ذکره الشیخ فی النهایة، و ما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 الشیخ رحمه الله یحتمل العمل بما وجدوه من خطّه؛ لأنّه أوصی بذلک مستندین إلی هذا الخط عارفین بصحّته، و حینئذٍ یجب العمل بالجمیع</w:t>
      </w:r>
      <w:r>
        <w:rPr>
          <w:rFonts w:eastAsia="IRNazanin" w:cs="IRNazanin"/>
          <w:color w:val="111111"/>
          <w:sz w:val="28"/>
          <w:szCs w:val="28"/>
          <w:rtl w:val="true"/>
          <w:lang w:bidi="fa-IR"/>
        </w:rPr>
        <w:t>»</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یستفاد ذلک من معتبرة إبراهیم بن محمّد الهمدانی المتقدّمة</w:t>
      </w:r>
      <w:r>
        <w:rPr>
          <w:rStyle w:val="FootnoteAnchor"/>
          <w:rtl w:val="true"/>
        </w:rPr>
        <w:footnoteReference w:id="2865"/>
      </w:r>
      <w:r>
        <w:rPr>
          <w:rFonts w:ascii="IRNazanin" w:hAnsi="IRNazanin" w:eastAsia="IRNazanin"/>
          <w:color w:val="111111"/>
          <w:sz w:val="28"/>
          <w:sz w:val="28"/>
          <w:szCs w:val="28"/>
          <w:rtl w:val="true"/>
          <w:lang w:bidi="fa-IR"/>
        </w:rPr>
        <w:t>؛ لأنّ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للولد، و جواب الشرط 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أولاد ینفّذون ما وجدوه فی کتاب أبیهم فلهم ذلک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الروایة المذکورة ظاهرة فی وجوب تنفیذ ما یجدونه فی وصیّته بخطّه</w:t>
      </w:r>
      <w:r>
        <w:rPr>
          <w:rFonts w:eastAsia="IRNazanin" w:cs="IRNazanin"/>
          <w:color w:val="111111"/>
          <w:sz w:val="28"/>
          <w:szCs w:val="28"/>
          <w:rtl w:val="true"/>
          <w:lang w:bidi="fa-IR"/>
        </w:rPr>
        <w:t>»</w:t>
      </w:r>
      <w:r>
        <w:rPr>
          <w:rStyle w:val="FootnoteAnchor"/>
          <w:rtl w:val="true"/>
        </w:rPr>
        <w:footnoteReference w:id="2866"/>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کَتَبَ وصیّةً فقال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بما فی هذه الورقة، و لم یطّلعهم علی ما فیها،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وصیّتی فاشْهدوا علیَّ بها، لم تثبت الوصیّة بها و لم یجز لهم الشهادة علی ذلک حتّی یسمعوا منه ما فیه أو یقرأ علیه فیقرّ به، کما فی القواعد</w:t>
      </w:r>
      <w:r>
        <w:rPr>
          <w:rStyle w:val="FootnoteAnchor"/>
          <w:rtl w:val="true"/>
        </w:rPr>
        <w:footnoteReference w:id="2867"/>
      </w:r>
      <w:r>
        <w:rPr>
          <w:rFonts w:ascii="IRNazanin" w:hAnsi="IRNazanin" w:eastAsia="IRNazanin"/>
          <w:color w:val="111111"/>
          <w:sz w:val="28"/>
          <w:sz w:val="28"/>
          <w:szCs w:val="28"/>
          <w:rtl w:val="true"/>
          <w:lang w:bidi="fa-IR"/>
        </w:rPr>
        <w:t>و التذکرة</w:t>
      </w:r>
      <w:r>
        <w:rPr>
          <w:rStyle w:val="FootnoteAnchor"/>
          <w:rtl w:val="true"/>
        </w:rPr>
        <w:footnoteReference w:id="2868"/>
      </w:r>
      <w:r>
        <w:rPr>
          <w:rFonts w:ascii="IRNazanin" w:hAnsi="IRNazanin" w:eastAsia="IRNazanin"/>
          <w:color w:val="111111"/>
          <w:sz w:val="28"/>
          <w:sz w:val="28"/>
          <w:szCs w:val="28"/>
          <w:rtl w:val="true"/>
          <w:lang w:bidi="fa-IR"/>
        </w:rPr>
        <w:t>و التحریر</w:t>
      </w:r>
      <w:r>
        <w:rPr>
          <w:rStyle w:val="FootnoteAnchor"/>
          <w:rtl w:val="true"/>
        </w:rPr>
        <w:footnoteReference w:id="2869"/>
      </w:r>
      <w:r>
        <w:rPr>
          <w:rFonts w:ascii="IRNazanin" w:hAnsi="IRNazanin" w:eastAsia="IRNazanin"/>
          <w:color w:val="111111"/>
          <w:sz w:val="28"/>
          <w:sz w:val="28"/>
          <w:szCs w:val="28"/>
          <w:rtl w:val="true"/>
          <w:lang w:bidi="fa-IR"/>
        </w:rPr>
        <w:t>و الدروس</w:t>
      </w:r>
      <w:r>
        <w:rPr>
          <w:rStyle w:val="FootnoteAnchor"/>
          <w:rtl w:val="true"/>
        </w:rPr>
        <w:footnoteReference w:id="2870"/>
      </w:r>
      <w:r>
        <w:rPr>
          <w:rFonts w:ascii="IRNazanin" w:hAnsi="IRNazanin" w:eastAsia="IRNazanin"/>
          <w:color w:val="111111"/>
          <w:sz w:val="28"/>
          <w:sz w:val="28"/>
          <w:szCs w:val="28"/>
          <w:rtl w:val="true"/>
          <w:lang w:bidi="fa-IR"/>
        </w:rPr>
        <w:t>و التنقیح</w:t>
      </w:r>
      <w:r>
        <w:rPr>
          <w:rStyle w:val="FootnoteAnchor"/>
          <w:rtl w:val="true"/>
        </w:rPr>
        <w:footnoteReference w:id="2871"/>
      </w:r>
      <w:r>
        <w:rPr>
          <w:rFonts w:ascii="Amiri" w:hAnsi="Amiri" w:eastAsia="Amiri" w:cs="Amiri"/>
          <w:color w:val="111111"/>
          <w:sz w:val="28"/>
          <w:sz w:val="28"/>
          <w:szCs w:val="28"/>
          <w:rtl w:val="true"/>
          <w:lang w:bidi="ar-SA"/>
        </w:rPr>
        <w:t>و الروضة</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 الأمر المبهم لا یعقل تحمّل الشهادة به؛ لأنّ الشهادة مشروطة بالعلم، لقوله صلی الله علیه و آله مشیراً إلی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مثلها فاشهد، أو دع</w:t>
      </w:r>
      <w:r>
        <w:rPr>
          <w:rFonts w:eastAsia="IRNazanin" w:cs="IRNazanin"/>
          <w:color w:val="111111"/>
          <w:sz w:val="28"/>
          <w:szCs w:val="28"/>
          <w:rtl w:val="true"/>
          <w:lang w:bidi="fa-IR"/>
        </w:rPr>
        <w:t>»</w:t>
      </w:r>
      <w:r>
        <w:rPr>
          <w:rStyle w:val="FootnoteAnchor"/>
          <w:rtl w:val="true"/>
        </w:rPr>
        <w:footnoteReference w:id="2873"/>
      </w:r>
      <w:r>
        <w:rPr>
          <w:rFonts w:ascii="IRNazanin" w:hAnsi="IRNazanin" w:eastAsia="IRNazanin"/>
          <w:color w:val="111111"/>
          <w:sz w:val="28"/>
          <w:sz w:val="28"/>
          <w:szCs w:val="28"/>
          <w:rtl w:val="true"/>
          <w:lang w:bidi="fa-IR"/>
        </w:rPr>
        <w:t>،</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حکینا فی باب القضاء الإجماع عن السرائر فی غیر موضع علی ذلک</w:t>
      </w:r>
      <w:r>
        <w:rPr>
          <w:rFonts w:eastAsia="IRNazanin" w:cs="IRNazanin"/>
          <w:color w:val="111111"/>
          <w:sz w:val="28"/>
          <w:szCs w:val="28"/>
          <w:rtl w:val="true"/>
          <w:lang w:bidi="fa-IR"/>
        </w:rPr>
        <w:t>»</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إشهاد الشخص علی نفسه فی الأملاک و الوصایا علی کتاب مدرج لا یصحّ إجماعاً</w:t>
      </w:r>
      <w:r>
        <w:rPr>
          <w:rFonts w:eastAsia="IRNazanin" w:cs="IRNazanin"/>
          <w:color w:val="111111"/>
          <w:sz w:val="28"/>
          <w:szCs w:val="28"/>
          <w:rtl w:val="true"/>
          <w:lang w:bidi="fa-IR"/>
        </w:rPr>
        <w:t>»</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لأنّ الإشهاد مشروط بالعلم، و هو منفیّ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یشهد بمجرّد معرفة خطّه</w:t>
      </w:r>
      <w:r>
        <w:rPr>
          <w:rFonts w:eastAsia="IRNazanin" w:cs="IRNazanin"/>
          <w:color w:val="111111"/>
          <w:sz w:val="28"/>
          <w:szCs w:val="28"/>
          <w:rtl w:val="true"/>
          <w:lang w:bidi="fa-IR"/>
        </w:rPr>
        <w:t>»</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قضیّة کلام الأردبیلی أو صریحه فی باب القضاء</w:t>
      </w:r>
      <w:r>
        <w:rPr>
          <w:rFonts w:eastAsia="IRNazanin" w:cs="IRNazanin"/>
          <w:color w:val="111111"/>
          <w:sz w:val="28"/>
          <w:szCs w:val="28"/>
          <w:rtl w:val="true"/>
          <w:lang w:bidi="fa-IR"/>
        </w:rPr>
        <w:t>»</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الشاهد ما کتب الموصی بعنوان الوصیّة، فیقول له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فیه فاشهد به علیَّ،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إثبات الوصیّة و قبولها، کما یستفاد من القواعد</w:t>
      </w:r>
      <w:r>
        <w:rPr>
          <w:rStyle w:val="FootnoteAnchor"/>
          <w:rtl w:val="true"/>
        </w:rPr>
        <w:footnoteReference w:id="2879"/>
      </w:r>
      <w:r>
        <w:rPr>
          <w:rFonts w:ascii="Amiri" w:hAnsi="Amiri" w:eastAsia="Amiri" w:cs="Amiri"/>
          <w:color w:val="111111"/>
          <w:sz w:val="28"/>
          <w:sz w:val="28"/>
          <w:szCs w:val="28"/>
          <w:rtl w:val="true"/>
          <w:lang w:bidi="ar-SA"/>
        </w:rPr>
        <w:t>و الروضة</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اختیار ابن الجنید؛ لاعترافه بمعرفته بما فیه، فیحکم علیه للخبر، و لأنّه عبّر عنه بما لا یحتمل غیره، فکان نصّاً فی الوصیّة و الموصی به، فیصحّ</w:t>
      </w:r>
      <w:r>
        <w:rPr>
          <w:rFonts w:eastAsia="IRNazanin" w:cs="IRNazanin"/>
          <w:color w:val="111111"/>
          <w:sz w:val="28"/>
          <w:szCs w:val="28"/>
          <w:rtl w:val="true"/>
          <w:lang w:bidi="fa-IR"/>
        </w:rPr>
        <w:t>»</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المحقّق الثانی فی ذیل کلام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و الضمّ علی إرادة الموصی نفسه أو 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الضمّ أولی لیکون إخباراً عن علمه بما فی الکتاب، و أنّه لیس بمبهم عنده؛ فإنّ شرط الإشهاد کون المقرّ عالماً بما أقرّ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جارٍ فی الصراحة مجری ما لو أخبرهم به تفصیلاً؛ لأنّ الدلالة علی الاُمور المتعدّدة إجمالاً کافیة کالدلالة علیها تفصیلاً</w:t>
      </w:r>
      <w:r>
        <w:rPr>
          <w:rFonts w:eastAsia="IRNazanin" w:cs="IRNazanin"/>
          <w:color w:val="111111"/>
          <w:sz w:val="28"/>
          <w:szCs w:val="28"/>
          <w:rtl w:val="true"/>
          <w:lang w:bidi="fa-IR"/>
        </w:rPr>
        <w:t>»</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الاکتفاء بقراءة الشاهد له مع نفسه، مع اعتراف الموصی بمعرفة ما فیه و أنّه موصٍ به</w:t>
      </w:r>
      <w:r>
        <w:rPr>
          <w:rFonts w:eastAsia="IRNazanin" w:cs="IRNazanin"/>
          <w:color w:val="111111"/>
          <w:sz w:val="28"/>
          <w:szCs w:val="28"/>
          <w:rtl w:val="true"/>
          <w:lang w:bidi="fa-IR"/>
        </w:rPr>
        <w:t>»</w:t>
      </w:r>
      <w:r>
        <w:rPr>
          <w:rStyle w:val="FootnoteAnchor"/>
          <w:rtl w:val="true"/>
        </w:rPr>
        <w:footnoteReference w:id="2883"/>
      </w:r>
      <w:bookmarkStart w:id="929" w:name="pg11753_115200"/>
    </w:p>
    <w:p>
      <w:pPr>
        <w:pStyle w:val="BookText"/>
        <w:rPr/>
      </w:pPr>
      <w:bookmarkEnd w:id="929"/>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الاکتفاء به، لبقاء الإجمال و الإبهام، و علّله فی الإیضاح بانتفاء الدلالات الثلاث، إذ الاعتبار بوضع اللغة</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0" w:name="__RefHeading___Toc9483168_73709187"/>
      <w:bookmarkStart w:id="931" w:name="_Toc353"/>
      <w:bookmarkEnd w:id="930"/>
      <w:r>
        <w:rPr>
          <w:rtl w:val="true"/>
        </w:rPr>
        <w:t>فرع</w:t>
      </w:r>
      <w:r>
        <w:rPr>
          <w:rtl w:val="true"/>
        </w:rPr>
        <w:t xml:space="preserve">: </w:t>
      </w:r>
      <w:r>
        <w:rPr>
          <w:rtl w:val="true"/>
        </w:rPr>
        <w:t>حکم الوصیّة التی سجّلت فی الشریط أو غیره</w:t>
      </w:r>
      <w:bookmarkEnd w:id="931"/>
    </w:p>
    <w:p>
      <w:pPr>
        <w:pStyle w:val="BookText"/>
        <w:rPr/>
      </w:pPr>
      <w:r>
        <w:rPr>
          <w:rFonts w:ascii="IRNazanin" w:hAnsi="IRNazanin" w:eastAsia="IRNazanin"/>
          <w:color w:val="111111"/>
          <w:sz w:val="28"/>
          <w:sz w:val="28"/>
          <w:szCs w:val="28"/>
          <w:rtl w:val="true"/>
          <w:lang w:bidi="fa-IR"/>
        </w:rPr>
        <w:t>یمکن أن یسأل إذا أوصی الموصی بوصیّة و سجّلها فی شریط المسجّل أو فی شریط الفیدیو أو غیرهما؛ کأن یکون عبر الإنترنیت، فهل تثبت الوصیّة بالولایة و غیرهما بمثل هذه الاُمور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أنّه إذا لم یکن اختلاف و مخاصمة بین الورثة و الوصیّ تثبت الوصیّة بالولایة باُمور،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الوجدانی أو الاطمئنان، فحینئذٍ لو کانت الوصیّة التی سجّلت فی الشریط أو غیره واضحة مفیدة للعلم أو الاطمئنان بصحّتها و لو بمعونة القرائن، فثبوت الوصیّة بها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مفیدة للعلم و کان خوف التزویر فلا تثبت؛ لأنّ أجهزة الصوت و التصویر یُحتمل فیها الوضع و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 ثبوت الوصیّة بهذه الاُمور بعموم التعلیل الوارد فی ذیل صحیحة ضریس الکناسی، و کذا موثّقة سماعة، و صحیحة الحلبی و محمّد ابن مسلم؛ لأنّ الإمام علیه السلام علّل ذلک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ذهاب حقّ امرئ مسلم و لا تبطل وصیّته</w:t>
      </w:r>
      <w:r>
        <w:rPr>
          <w:rFonts w:eastAsia="IRNazanin" w:cs="IRNazanin"/>
          <w:color w:val="111111"/>
          <w:sz w:val="28"/>
          <w:szCs w:val="28"/>
          <w:rtl w:val="true"/>
          <w:lang w:bidi="fa-IR"/>
        </w:rPr>
        <w:t>»</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إذا لم نقل بوجوب إنفاذ الوصیّة التی کانت مسجّلة فی الشریط، أو أرسلها الموصی عِبر الانترنیت، یلزم بطلان الوصیّة و تضییع حقّ امرئ مسلم</w:t>
      </w:r>
      <w:r>
        <w:rPr>
          <w:rFonts w:eastAsia="IRNazanin" w:cs="IRNazanin"/>
          <w:color w:val="111111"/>
          <w:sz w:val="28"/>
          <w:szCs w:val="28"/>
          <w:rtl w:val="true"/>
          <w:lang w:bidi="fa-IR"/>
        </w:rPr>
        <w:t>.</w:t>
      </w:r>
      <w:bookmarkStart w:id="932" w:name="pg11753_115201"/>
    </w:p>
    <w:p>
      <w:pPr>
        <w:pStyle w:val="BookText"/>
        <w:rPr/>
      </w:pPr>
      <w:bookmarkEnd w:id="932"/>
      <w:r>
        <w:rPr>
          <w:rFonts w:ascii="IRNazanin" w:hAnsi="IRNazanin" w:eastAsia="IRNazanin"/>
          <w:color w:val="111111"/>
          <w:sz w:val="28"/>
          <w:sz w:val="28"/>
          <w:szCs w:val="28"/>
          <w:rtl w:val="true"/>
          <w:lang w:bidi="fa-IR"/>
        </w:rPr>
        <w:t>کما أنّ المناط فی إبراز المقاصد الدوالّ الخارجیة المعتبرة عند العرف و العقلاء، و المفروض أنّ أجهزة الصوت و التصویر فی هذا العصر من الدوالّ التی یبرز العقلاء مقاصدهم بها و تکون معتبرة عندهم</w:t>
      </w:r>
      <w:r>
        <w:rPr>
          <w:rFonts w:eastAsia="IRNazanin" w:cs="IRNazanin"/>
          <w:color w:val="111111"/>
          <w:sz w:val="28"/>
          <w:szCs w:val="28"/>
          <w:rtl w:val="true"/>
          <w:lang w:bidi="fa-IR"/>
        </w:rPr>
        <w:t>.</w:t>
      </w:r>
    </w:p>
    <w:p>
      <w:pPr>
        <w:pStyle w:val="Heading5"/>
        <w:numPr>
          <w:ilvl w:val="4"/>
          <w:numId w:val="1"/>
        </w:numPr>
        <w:rPr/>
      </w:pPr>
      <w:bookmarkStart w:id="933" w:name="__RefHeading___Toc9483170_73709187"/>
      <w:bookmarkStart w:id="934" w:name="_Toc354"/>
      <w:bookmarkEnd w:id="933"/>
      <w:r>
        <w:rPr>
          <w:rtl w:val="true"/>
        </w:rPr>
        <w:t>إثبات الوصیّة بالولایة مع اختلاف الورثة</w:t>
      </w:r>
      <w:bookmarkEnd w:id="934"/>
    </w:p>
    <w:p>
      <w:pPr>
        <w:pStyle w:val="Heading6"/>
        <w:numPr>
          <w:ilvl w:val="5"/>
          <w:numId w:val="1"/>
        </w:numPr>
        <w:rPr/>
      </w:pPr>
      <w:bookmarkStart w:id="935" w:name="__RefHeading___Toc9483172_73709187"/>
      <w:bookmarkStart w:id="936" w:name="_Toc355"/>
      <w:bookmarkEnd w:id="935"/>
      <w:r>
        <w:rPr>
          <w:rtl w:val="true"/>
        </w:rPr>
        <w:t>اشارة</w:t>
      </w:r>
      <w:bookmarkEnd w:id="936"/>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بین الورثة و الوصیّ اختلاف فی مورد الوصیّة فیلزم لإثبات الوصیّة، بالولایة شهادة عدلین، و لا یثبت بشهادة النساء منفردات و لا 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الفقهاء فی إثباتها بشهادة أهل الذمّة، ففی المقام 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إثباتها بشهادة عدلین</w:t>
      </w:r>
    </w:p>
    <w:p>
      <w:pPr>
        <w:pStyle w:val="BookText"/>
        <w:rPr/>
      </w:pPr>
      <w:r>
        <w:rPr>
          <w:rFonts w:ascii="IRNazanin" w:hAnsi="IRNazanin" w:eastAsia="IRNazanin"/>
          <w:color w:val="111111"/>
          <w:sz w:val="28"/>
          <w:sz w:val="28"/>
          <w:szCs w:val="28"/>
          <w:rtl w:val="true"/>
          <w:lang w:bidi="fa-IR"/>
        </w:rPr>
        <w:t>لا خلاف بین الفقهاء فی أنّه یثبت الوصیّة بالولایة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تثبت الوصیّة بالولایة إلاّ بشاهدین، و لا تقبل شهادة النساء فی ذلک، و هل تقبل شهادة شاهد مع الیمین؟ فیه تردّد، أظهره المنع</w:t>
      </w:r>
      <w:r>
        <w:rPr>
          <w:rFonts w:eastAsia="IRNazanin" w:cs="IRNazanin"/>
          <w:color w:val="111111"/>
          <w:sz w:val="28"/>
          <w:szCs w:val="28"/>
          <w:rtl w:val="true"/>
          <w:lang w:bidi="fa-IR"/>
        </w:rPr>
        <w:t>»</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فی الشهادة بالولایة إلاّ شهادة رجلین عدلین مسلمین</w:t>
      </w:r>
      <w:r>
        <w:rPr>
          <w:rFonts w:eastAsia="IRNazanin" w:cs="IRNazanin"/>
          <w:color w:val="111111"/>
          <w:sz w:val="28"/>
          <w:szCs w:val="28"/>
          <w:rtl w:val="true"/>
          <w:lang w:bidi="fa-IR"/>
        </w:rPr>
        <w:t>»</w:t>
      </w:r>
      <w:r>
        <w:rPr>
          <w:rStyle w:val="FootnoteAnchor"/>
          <w:rtl w:val="true"/>
        </w:rPr>
        <w:footnoteReference w:id="2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القواعد</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ثبوت الوصیّة بالولایة بشهادة شاهدین مسلمین عدلین؛ لأنّ ذلک ممّا یثبت به جمیع الحقوق عدا ما استثنی ممّا یتوقّف علی أربعة، و حکم الوصیّة أخفّ من غیرها</w:t>
      </w:r>
      <w:r>
        <w:rPr>
          <w:rStyle w:val="FootnoteAnchor"/>
          <w:rtl w:val="true"/>
        </w:rPr>
        <w:footnoteReference w:id="2889"/>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و لا إشکال، بل الإجماع بقسمیه علیه</w:t>
      </w:r>
      <w:r>
        <w:rPr>
          <w:rFonts w:eastAsia="IRNazanin" w:cs="IRNazanin"/>
          <w:color w:val="111111"/>
          <w:sz w:val="28"/>
          <w:szCs w:val="28"/>
          <w:rtl w:val="true"/>
          <w:lang w:bidi="fa-IR"/>
        </w:rPr>
        <w:t>»</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السیّدان الفقیهان الخوئی</w:t>
      </w:r>
      <w:r>
        <w:rPr>
          <w:rStyle w:val="FootnoteAnchor"/>
          <w:rtl w:val="true"/>
        </w:rPr>
        <w:footnoteReference w:id="2891"/>
      </w:r>
      <w:r>
        <w:rPr>
          <w:rFonts w:ascii="IRNazanin" w:hAnsi="IRNazanin" w:eastAsia="IRNazanin"/>
          <w:color w:val="111111"/>
          <w:sz w:val="28"/>
          <w:sz w:val="28"/>
          <w:szCs w:val="28"/>
          <w:rtl w:val="true"/>
          <w:lang w:bidi="fa-IR"/>
        </w:rPr>
        <w:t>و الإمام الخمینی</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 إن کانت متعلّقة بالولایة؛ سواء کانت هی الولایة علی المال، أو القیمومة علی الأطفال، فهی لا تثبت إلاّ بشهادة عدلین من الرجال، و لا تقبل فیها شهادة النساء لا منفردات، و لا منضمّات بالرجال</w:t>
      </w:r>
      <w:r>
        <w:rPr>
          <w:rFonts w:eastAsia="IRNazanin" w:cs="IRNazanin"/>
          <w:color w:val="111111"/>
          <w:sz w:val="28"/>
          <w:szCs w:val="28"/>
          <w:rtl w:val="true"/>
          <w:lang w:bidi="fa-IR"/>
        </w:rPr>
        <w:t>»</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الحکم من الکتاب و السنّة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أنّ حکمه فی الشهادة علی الموصی إذا حضره الموت أن تکون شهادة عدلین، فإن تعذّر علیه بأن کان فی سفر و لم یکن معه أحد من المؤمنین فلیشهد شاهدان ممّن حضره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فروایات کثیرة مستفیضة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عموم حجّیة البیِّنة</w:t>
      </w:r>
      <w:r>
        <w:rPr>
          <w:rStyle w:val="FootnoteAnchor"/>
          <w:rtl w:val="true"/>
        </w:rPr>
        <w:footnoteReference w:id="2895"/>
      </w:r>
      <w:r>
        <w:rPr>
          <w:rFonts w:ascii="IRNazanin" w:hAnsi="IRNazanin" w:eastAsia="IRNazanin"/>
          <w:color w:val="111111"/>
          <w:sz w:val="28"/>
          <w:sz w:val="28"/>
          <w:szCs w:val="28"/>
          <w:rtl w:val="true"/>
          <w:lang w:bidi="fa-IR"/>
        </w:rPr>
        <w:t>، و أنّه یمکن إثبات کلّ حقّ بإقامتها، کما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فی العلل و عیون الأخبار عن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العلّة فی أنّ البیِّنة فی جمیع الحقوق علی المدّعی و الیمین علی المدّعی علیه ما خلا الدم لأنّ المدّعی علیه جاحد، و لا یمکنه إقامة البیّنة علی الجحود؛ لأنّه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896"/>
      </w:r>
    </w:p>
    <w:p>
      <w:pPr>
        <w:pStyle w:val="BookText"/>
        <w:rPr/>
      </w:pPr>
      <w:r>
        <w:rPr>
          <w:rFonts w:ascii="IRNazanin" w:hAnsi="IRNazanin" w:eastAsia="IRNazanin"/>
          <w:color w:val="111111"/>
          <w:sz w:val="28"/>
          <w:sz w:val="28"/>
          <w:szCs w:val="28"/>
          <w:rtl w:val="true"/>
          <w:lang w:bidi="fa-IR"/>
        </w:rPr>
        <w:t>و ما رواه الفضل بن شاذان عنه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 الأذان شهادتین شهادتین کما جعل فی سائر الحقوق شاهدان</w:t>
      </w:r>
      <w:r>
        <w:rPr>
          <w:rFonts w:eastAsia="IRNazanin" w:cs="IRNazanin"/>
          <w:color w:val="111111"/>
          <w:sz w:val="28"/>
          <w:szCs w:val="28"/>
          <w:rtl w:val="true"/>
          <w:lang w:bidi="fa-IR"/>
        </w:rPr>
        <w:t>»</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حجّیة قول شاهدین عدلین بخصوصهما فی إثبات الوصیّة،</w:t>
      </w:r>
    </w:p>
    <w:p>
      <w:pPr>
        <w:pStyle w:val="BookText"/>
        <w:rPr/>
      </w:pPr>
      <w:r>
        <w:rPr>
          <w:rFonts w:ascii="Amiri" w:hAnsi="Amiri" w:eastAsia="Amiri" w:cs="Amiri"/>
          <w:color w:val="111111"/>
          <w:sz w:val="28"/>
          <w:sz w:val="28"/>
          <w:szCs w:val="28"/>
          <w:rtl w:val="true"/>
          <w:lang w:bidi="ar-SA"/>
        </w:rPr>
        <w:t>کما رواه یحیی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منکم مسلمان و اللّذان من غیرکم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ما رواه حمزة بن حمران، عن أبی عبد اللّه علیه السلام، فإنّه قال علیه السلام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منکم مسلمان و اللذان من غیرکم من أهل الکتاب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صحیحة</w:t>
      </w:r>
    </w:p>
    <w:p>
      <w:pPr>
        <w:pStyle w:val="BookText"/>
        <w:rPr/>
      </w:pPr>
      <w:r>
        <w:rPr>
          <w:rFonts w:ascii="IRNazanin" w:hAnsi="IRNazanin" w:eastAsia="IRNazanin"/>
          <w:color w:val="111111"/>
          <w:sz w:val="28"/>
          <w:sz w:val="28"/>
          <w:szCs w:val="28"/>
          <w:rtl w:val="true"/>
          <w:lang w:bidi="fa-IR"/>
        </w:rPr>
        <w:t>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تجوز شهادة أهل ملّةٍ من غیر أهل ملّتهم؟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لم یوجد من أهل ملّتهم جازت شهادة غیرهم، إنّه لا یصلح ذهاب حقّ أحدٍ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فإجماع المسلمین</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إثبات الوصیّة بالولایة بشهادة النساء</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الفقهاء فی أنّه لا تقبل شهادة النساء فی الوصیّة بالولایة</w:t>
      </w:r>
    </w:p>
    <w:p>
      <w:pPr>
        <w:pStyle w:val="BookText"/>
        <w:rPr/>
      </w:pPr>
      <w:r>
        <w:rPr>
          <w:rFonts w:ascii="IRNazanin" w:hAnsi="IRNazanin" w:eastAsia="IRNazanin"/>
          <w:color w:val="111111"/>
          <w:sz w:val="28"/>
          <w:sz w:val="28"/>
          <w:szCs w:val="28"/>
          <w:rtl w:val="true"/>
          <w:lang w:bidi="fa-IR"/>
        </w:rPr>
        <w:t>لا منفردات عن الرجال، و لا منضمّات إلیهم؛ کما فی الشرائع</w:t>
      </w:r>
      <w:r>
        <w:rPr>
          <w:rStyle w:val="FootnoteAnchor"/>
          <w:rtl w:val="true"/>
        </w:rPr>
        <w:footnoteReference w:id="2900"/>
      </w:r>
      <w:r>
        <w:rPr>
          <w:rFonts w:ascii="IRNazanin" w:hAnsi="IRNazanin" w:eastAsia="IRNazanin"/>
          <w:color w:val="111111"/>
          <w:sz w:val="28"/>
          <w:sz w:val="28"/>
          <w:szCs w:val="28"/>
          <w:rtl w:val="true"/>
          <w:lang w:bidi="fa-IR"/>
        </w:rPr>
        <w:t>و المختصر النافع</w:t>
      </w:r>
      <w:r>
        <w:rPr>
          <w:rStyle w:val="FootnoteAnchor"/>
          <w:rtl w:val="true"/>
        </w:rPr>
        <w:footnoteReference w:id="2901"/>
      </w:r>
    </w:p>
    <w:p>
      <w:pPr>
        <w:pStyle w:val="BookText"/>
        <w:rPr/>
      </w:pPr>
      <w:r>
        <w:rPr>
          <w:rFonts w:ascii="IRNazanin" w:hAnsi="IRNazanin" w:eastAsia="IRNazanin"/>
          <w:color w:val="111111"/>
          <w:sz w:val="28"/>
          <w:sz w:val="28"/>
          <w:szCs w:val="28"/>
          <w:rtl w:val="true"/>
          <w:lang w:bidi="fa-IR"/>
        </w:rPr>
        <w:t>و التحریر</w:t>
      </w:r>
      <w:r>
        <w:rPr>
          <w:rStyle w:val="FootnoteAnchor"/>
          <w:rtl w:val="true"/>
        </w:rPr>
        <w:footnoteReference w:id="2902"/>
      </w:r>
      <w:r>
        <w:rPr>
          <w:rFonts w:ascii="IRNazanin" w:hAnsi="IRNazanin" w:eastAsia="IRNazanin"/>
          <w:color w:val="111111"/>
          <w:sz w:val="28"/>
          <w:sz w:val="28"/>
          <w:szCs w:val="28"/>
          <w:rtl w:val="true"/>
          <w:lang w:bidi="fa-IR"/>
        </w:rPr>
        <w:t>و القواعد</w:t>
      </w:r>
      <w:r>
        <w:rPr>
          <w:rStyle w:val="FootnoteAnchor"/>
          <w:rtl w:val="true"/>
        </w:rPr>
        <w:footnoteReference w:id="2903"/>
      </w:r>
      <w:r>
        <w:rPr>
          <w:rFonts w:ascii="IRNazanin" w:hAnsi="IRNazanin" w:eastAsia="IRNazanin"/>
          <w:color w:val="111111"/>
          <w:sz w:val="28"/>
          <w:sz w:val="28"/>
          <w:szCs w:val="28"/>
          <w:rtl w:val="true"/>
          <w:lang w:bidi="fa-IR"/>
        </w:rPr>
        <w:t>و غیرها</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الأصحاب فی أنّ الوصیّة بالولایة لا تثبت بشهادة النساء منفردات، و لا منضمّات</w:t>
      </w:r>
      <w:r>
        <w:rPr>
          <w:rFonts w:eastAsia="IRNazanin" w:cs="IRNazanin"/>
          <w:color w:val="111111"/>
          <w:sz w:val="28"/>
          <w:szCs w:val="28"/>
          <w:rtl w:val="true"/>
          <w:lang w:bidi="fa-IR"/>
        </w:rPr>
        <w:t>»</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عدم قبول شهادة النساء، منفردات فی الولایة؛ لأنّها لیست وصیّة بمالٍ، بل هی تسلّط علی تصرّف فیه، و لا ممّا یخفی علی الرجال غالباً، و ذلک ضابط محلّ قبول شهادتهنّ منفردات</w:t>
      </w:r>
      <w:r>
        <w:rPr>
          <w:rFonts w:eastAsia="IRNazanin" w:cs="IRNazanin"/>
          <w:color w:val="111111"/>
          <w:sz w:val="28"/>
          <w:szCs w:val="28"/>
          <w:rtl w:val="true"/>
          <w:lang w:bidi="fa-IR"/>
        </w:rPr>
        <w:t>»</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 فی باب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حقوق الآدمی فثلاثة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إلاّ بشاهدین ذکرین، فلا یجزئ فیه النساء منضمّةً فضلاً عن الانفراد، و لا الیمین مع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الأصحاب ذلک بکلّ ما کان من حقوق الآدمیّین لیس مالاً و لا المقصود منه المال</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ما یطّلع علیه الرجال غالباً، و ما لا یکون مالاً و لا المقصود منه المال</w:t>
      </w:r>
      <w:r>
        <w:rPr>
          <w:rFonts w:eastAsia="IRNazanin" w:cs="IRNazanin"/>
          <w:color w:val="111111"/>
          <w:sz w:val="28"/>
          <w:szCs w:val="28"/>
          <w:rtl w:val="true"/>
          <w:lang w:bidi="fa-IR"/>
        </w:rPr>
        <w:t>»</w:t>
      </w:r>
      <w:r>
        <w:rPr>
          <w:rStyle w:val="FootnoteAnchor"/>
          <w:rtl w:val="true"/>
        </w:rPr>
        <w:footnoteReference w:id="2908"/>
      </w:r>
    </w:p>
    <w:p>
      <w:pPr>
        <w:pStyle w:val="BookText"/>
        <w:rPr/>
      </w:pPr>
      <w:r>
        <w:rPr>
          <w:rFonts w:ascii="IRNazanin" w:hAnsi="IRNazanin" w:eastAsia="IRNazanin"/>
          <w:color w:val="111111"/>
          <w:sz w:val="28"/>
          <w:sz w:val="28"/>
          <w:szCs w:val="28"/>
          <w:rtl w:val="true"/>
          <w:lang w:bidi="fa-IR"/>
        </w:rPr>
        <w:t>و لکن لم أقف فی النصوص علی ما یفیده، بل فیها ما ینافیه</w:t>
      </w:r>
      <w:r>
        <w:rPr>
          <w:rFonts w:eastAsia="IRNazanin" w:cs="IRNazanin"/>
          <w:color w:val="111111"/>
          <w:sz w:val="28"/>
          <w:szCs w:val="28"/>
          <w:rtl w:val="true"/>
          <w:lang w:bidi="fa-IR"/>
        </w:rPr>
        <w:t>»</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ضابط قبولهنّ منضمّات کون المشهود علیه مالاً لا ولایةً، لکن یناقش بأنّها قد تتضمّن المال کما إذا أراد الوصیّ أخذ الاُجرة و الأکل بالمعروف بشرطه، و بأنّ الولایة و إن لم تکن مالاً لکنّها متعلّقة به، کبیعه و إجارته و إعارته و نحو ذلک، و من ذلک یتّجه القول بالقبول؛ لعموم ما دلّ علی قبول خبر العدل الشامل للذکر و الاُنثی و لو بقاعدة الاشتراک، اللّهمَّ إلاّ أن یقوم إجماع هنا بالخصوص علی عدم ثبوت ذلک بشهادتهنّ منفردات و منضمّات، کما هی عساه یشعر فی الجملة نفی الخلاف المزبور</w:t>
      </w:r>
      <w:r>
        <w:rPr>
          <w:rStyle w:val="FootnoteAnchor"/>
          <w:rtl w:val="true"/>
        </w:rPr>
        <w:footnoteReference w:id="2910"/>
      </w:r>
      <w:r>
        <w:rPr>
          <w:rFonts w:ascii="IRNazanin" w:hAnsi="IRNazanin" w:eastAsia="IRNazanin"/>
          <w:color w:val="111111"/>
          <w:sz w:val="28"/>
          <w:sz w:val="28"/>
          <w:szCs w:val="28"/>
          <w:rtl w:val="true"/>
          <w:lang w:bidi="fa-IR"/>
        </w:rPr>
        <w:t>مؤیّداً بعدم العثور علی ما ینافیه</w:t>
      </w:r>
      <w:r>
        <w:rPr>
          <w:rFonts w:eastAsia="IRNazanin" w:cs="IRNazanin"/>
          <w:color w:val="111111"/>
          <w:sz w:val="28"/>
          <w:szCs w:val="28"/>
          <w:rtl w:val="true"/>
          <w:lang w:bidi="fa-IR"/>
        </w:rPr>
        <w:t>»</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إثباتها بشهادة العدل الواحد مع الیمین</w:t>
      </w:r>
    </w:p>
    <w:p>
      <w:pPr>
        <w:pStyle w:val="BookText"/>
        <w:rPr/>
      </w:pPr>
      <w:r>
        <w:rPr>
          <w:rFonts w:ascii="IRNazanin" w:hAnsi="IRNazanin" w:eastAsia="IRNazanin"/>
          <w:color w:val="111111"/>
          <w:sz w:val="28"/>
          <w:sz w:val="28"/>
          <w:szCs w:val="28"/>
          <w:rtl w:val="true"/>
          <w:lang w:bidi="fa-IR"/>
        </w:rPr>
        <w:t>الظاهر أنّه لا خلاف أیضاً فی أنّه لا تثبت الوصیّة بالولایة بشهادة العدل الواحد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الوصیّة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و الیمین</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القواعد</w:t>
      </w:r>
      <w:r>
        <w:rPr>
          <w:rStyle w:val="FootnoteAnchor"/>
          <w:rtl w:val="true"/>
        </w:rPr>
        <w:footnoteReference w:id="2913"/>
      </w:r>
      <w:r>
        <w:rPr>
          <w:rFonts w:ascii="IRNazanin" w:hAnsi="IRNazanin" w:eastAsia="IRNazanin"/>
          <w:color w:val="111111"/>
          <w:sz w:val="28"/>
          <w:sz w:val="28"/>
          <w:szCs w:val="28"/>
          <w:rtl w:val="true"/>
          <w:lang w:bidi="fa-IR"/>
        </w:rPr>
        <w:t>و التذکرة</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المشهور عند الأصحاب، بل الظاهر أنّه لا خلاف فیه إلاّ ما یظهر من المحقّق فی الشرائع، حیث تردّد فی ذلک</w:t>
      </w:r>
      <w:r>
        <w:rPr>
          <w:rFonts w:eastAsia="IRNazanin" w:cs="IRNazanin"/>
          <w:color w:val="111111"/>
          <w:sz w:val="28"/>
          <w:szCs w:val="28"/>
          <w:rtl w:val="true"/>
          <w:lang w:bidi="fa-IR"/>
        </w:rPr>
        <w:t>»</w:t>
      </w:r>
      <w:r>
        <w:rPr>
          <w:rStyle w:val="FootnoteAnchor"/>
          <w:rtl w:val="true"/>
        </w:rPr>
        <w:footnoteReference w:id="2915"/>
      </w:r>
    </w:p>
    <w:p>
      <w:p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ثبوت الوصیّة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الواحد مع الیمین فقد تردّد فیه المصنّف، ثمّ استظهر المنع</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واضح؛ لأنّ ضابطه ما کان من حقوق الآدمیّ مالاً أو المقصود منه المال</w:t>
      </w:r>
      <w:r>
        <w:rPr>
          <w:rStyle w:val="FootnoteAnchor"/>
          <w:rtl w:val="true"/>
        </w:rPr>
        <w:footnoteReference w:id="2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ولایة الوصایة لیست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وجه تردّده ممّا ذکرنا، و من أنّها قد تتضمّن المال، کما إذا أراد أخذ الاُجرة أو الأکل بالمعروف بشرطه، و لما فیه من الإرفاق و التیسیر، فیکون مراداً للآیة</w:t>
      </w:r>
      <w:r>
        <w:rPr>
          <w:rStyle w:val="FootnoteAnchor"/>
          <w:rtl w:val="true"/>
        </w:rPr>
        <w:footnoteReference w:id="2918"/>
      </w:r>
      <w:r>
        <w:rPr>
          <w:rFonts w:ascii="IRNazanin" w:hAnsi="IRNazanin" w:eastAsia="IRNazanin"/>
          <w:color w:val="111111"/>
          <w:sz w:val="28"/>
          <w:sz w:val="28"/>
          <w:szCs w:val="28"/>
          <w:rtl w:val="true"/>
          <w:lang w:bidi="fa-IR"/>
        </w:rPr>
        <w:t>و الروایة</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 و قد قطع الأصحاب بالمنع من غیر نقل خلاف فی المسألة و لا تردّد، و وافقهم المصنّف فی مختصر الکتاب</w:t>
      </w:r>
      <w:r>
        <w:rPr>
          <w:rStyle w:val="FootnoteAnchor"/>
          <w:rtl w:val="true"/>
        </w:rPr>
        <w:footnoteReference w:id="2920"/>
      </w:r>
      <w:r>
        <w:rPr>
          <w:rFonts w:ascii="IRNazanin" w:hAnsi="IRNazanin" w:eastAsia="IRNazanin"/>
          <w:color w:val="111111"/>
          <w:sz w:val="28"/>
          <w:sz w:val="28"/>
          <w:szCs w:val="28"/>
          <w:rtl w:val="true"/>
          <w:lang w:bidi="fa-IR"/>
        </w:rPr>
        <w:t>علی القطع، و أبدل هذا التردّد بالتردّد فی ثبوت الوصیّة بالمال بشاهد و یمین، و کلاهما کالمستغنی عنه، للاتّفاق علی الحکم و القاعدة المقیّدة للحکم فیهما</w:t>
      </w:r>
      <w:r>
        <w:rPr>
          <w:rFonts w:eastAsia="IRNazanin" w:cs="IRNazanin"/>
          <w:color w:val="111111"/>
          <w:sz w:val="28"/>
          <w:szCs w:val="28"/>
          <w:rtl w:val="true"/>
          <w:lang w:bidi="fa-IR"/>
        </w:rPr>
        <w:t>»</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النصوص المزبورة کاتّفاق المحکیّ فی المسالک و غیره متّفقة الدلالة علی انحصار قبولهما فی الحقوق المالیّة</w:t>
      </w:r>
      <w:r>
        <w:rPr>
          <w:rFonts w:eastAsia="IRNazanin" w:cs="IRNazanin"/>
          <w:color w:val="111111"/>
          <w:sz w:val="28"/>
          <w:szCs w:val="28"/>
          <w:rtl w:val="true"/>
          <w:lang w:bidi="fa-IR"/>
        </w:rPr>
        <w:t>»</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إلی ذلک فی الجواهر، و لکن أضاف فی ذیل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الأصل أیضاً یقتضی عدم ثبوتها بعد قیام الأدلّة علی اعتبار التعدّد فی الشهادة،</w:t>
      </w:r>
    </w:p>
    <w:p>
      <w:pPr>
        <w:pStyle w:val="BookText"/>
        <w:rPr/>
      </w:pPr>
      <w:r>
        <w:rPr>
          <w:rFonts w:ascii="IRNazanin" w:hAnsi="IRNazanin" w:eastAsia="IRNazanin"/>
          <w:color w:val="111111"/>
          <w:sz w:val="28"/>
          <w:sz w:val="28"/>
          <w:szCs w:val="28"/>
          <w:rtl w:val="true"/>
          <w:lang w:bidi="fa-IR"/>
        </w:rPr>
        <w:t>و قیام الیمین مقام الواحد غیر ثابت فی المقام، فتأمّل جیّداً</w:t>
      </w:r>
      <w:r>
        <w:rPr>
          <w:rFonts w:eastAsia="IRNazanin" w:cs="IRNazanin"/>
          <w:color w:val="111111"/>
          <w:sz w:val="28"/>
          <w:szCs w:val="28"/>
          <w:rtl w:val="true"/>
          <w:lang w:bidi="fa-IR"/>
        </w:rPr>
        <w:t>»</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إثباتها بشهادة عدول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لإثبات الوصیّة بالولایة شهادة أهل الذمّة؟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 ففی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قبول أهل الذمّة مع عدم عدول المسلمین نظر، أقربه عدم القبول</w:t>
      </w:r>
      <w:r>
        <w:rPr>
          <w:rFonts w:eastAsia="IRNazanin" w:cs="IRNazanin"/>
          <w:color w:val="111111"/>
          <w:sz w:val="28"/>
          <w:szCs w:val="28"/>
          <w:rtl w:val="true"/>
          <w:lang w:bidi="fa-IR"/>
        </w:rPr>
        <w:t>»</w:t>
      </w:r>
      <w:r>
        <w:rPr>
          <w:rStyle w:val="FootnoteAnchor"/>
          <w:rtl w:val="true"/>
        </w:rPr>
        <w:footnoteReference w:id="2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2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فخر المحقّقین</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الوصیّة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عدول أهل الذمّة مع عدم المسلمین؟ فیه نظرٌ، ینشأ من أنّ الوصیّة المتضمّنة لنقل الملک تثبت بشهادتهما، فالوصیّة بالولایة التی هی عبارةٌ عن سلطنة التصرّف أولی؛ لأنّها أحقّ من نقل الملک، و لأنّ ظاهر الآیة</w:t>
      </w:r>
      <w:r>
        <w:rPr>
          <w:rStyle w:val="FootnoteAnchor"/>
          <w:rtl w:val="true"/>
        </w:rPr>
        <w:footnoteReference w:id="2927"/>
      </w:r>
      <w:r>
        <w:rPr>
          <w:rFonts w:ascii="IRNazanin" w:hAnsi="IRNazanin" w:eastAsia="IRNazanin"/>
          <w:color w:val="111111"/>
          <w:sz w:val="28"/>
          <w:sz w:val="28"/>
          <w:szCs w:val="28"/>
          <w:rtl w:val="true"/>
          <w:lang w:bidi="fa-IR"/>
        </w:rPr>
        <w:t>لا یأبی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قبول شهادة الکافر علی خلاف الأصل؛ لأنّه فاسقٌ، فیجب التثبّت عند خبره، و لا یجوز الرکون إلیه؛ لأنّه ظالمٌ، و قبول الشهادة 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عند المصنّف عدم القبول؛ لضعف دلیله فإنّ الأولویّة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 إنّما نزل علی الشهادة بالمال، فلا یتجاوز به ذلک، و هذا هو المختار</w:t>
      </w:r>
      <w:r>
        <w:rPr>
          <w:rFonts w:eastAsia="IRNazanin" w:cs="IRNazanin"/>
          <w:color w:val="111111"/>
          <w:sz w:val="28"/>
          <w:szCs w:val="28"/>
          <w:rtl w:val="true"/>
          <w:lang w:bidi="fa-IR"/>
        </w:rPr>
        <w:t>»</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مقتضی إطلاق الآیة و الروایة قبول شهادة أهل الذمّة فیها، و لعلّه لذا و لأصالة عدم القبول نظر الفاضل فیها فی القواعد،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 العدم، و لعلّه کذلک اقتصاراً فیما خالف الضوابط الشرعیّة علی المتیقّن، و لا إطلاق</w:t>
      </w:r>
    </w:p>
    <w:p>
      <w:pPr>
        <w:pStyle w:val="BookText"/>
        <w:rPr/>
      </w:pPr>
      <w:r>
        <w:rPr>
          <w:rFonts w:ascii="IRNazanin" w:hAnsi="IRNazanin" w:eastAsia="IRNazanin"/>
          <w:color w:val="111111"/>
          <w:sz w:val="28"/>
          <w:sz w:val="28"/>
          <w:szCs w:val="28"/>
          <w:rtl w:val="true"/>
          <w:lang w:bidi="fa-IR"/>
        </w:rPr>
        <w:t>فی الأدلّة بحیث تطمئنّ به النفس علی قبولها فی ذلک بعد اقتصار المعظم علی المال، فلاحظ و تأمّل</w:t>
      </w:r>
      <w:r>
        <w:rPr>
          <w:rFonts w:eastAsia="IRNazanin" w:cs="IRNazanin"/>
          <w:color w:val="111111"/>
          <w:sz w:val="28"/>
          <w:szCs w:val="28"/>
          <w:rtl w:val="true"/>
          <w:lang w:bidi="fa-IR"/>
        </w:rPr>
        <w:t>»</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کلام الشهید الثانی فی المسالک</w:t>
      </w:r>
      <w:r>
        <w:rPr>
          <w:rStyle w:val="FootnoteAnchor"/>
          <w:rtl w:val="true"/>
        </w:rPr>
        <w:footnoteReference w:id="2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أیضاً فی الحدائق</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قبول شهادة الذمّی فی الوصیّة مع فقد المسلم بین کونها بالمال، أو بالولایة أو بهما معاً، و فتاوی کثیر من أصحابنا المتقدّمین مطلقة، و لا اختصاص فیها بالمال، کما أطلق الشیخ فی النهایة و المبسوط و الخلاف قبول شهادة أهل الذمّة فی الوصیّة عند عدم المسلمین و لم یقیّده بالمال</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المفید فی المقنعة</w:t>
      </w:r>
      <w:r>
        <w:rPr>
          <w:rStyle w:val="FootnoteAnchor"/>
          <w:rtl w:val="true"/>
        </w:rPr>
        <w:footnoteReference w:id="2933"/>
      </w:r>
      <w:r>
        <w:rPr>
          <w:rFonts w:ascii="IRNazanin" w:hAnsi="IRNazanin" w:eastAsia="IRNazanin"/>
          <w:color w:val="111111"/>
          <w:sz w:val="28"/>
          <w:sz w:val="28"/>
          <w:szCs w:val="28"/>
          <w:rtl w:val="true"/>
          <w:lang w:bidi="fa-IR"/>
        </w:rPr>
        <w:t>و الإسکافی</w:t>
      </w:r>
      <w:r>
        <w:rPr>
          <w:rStyle w:val="FootnoteAnchor"/>
          <w:rtl w:val="true"/>
        </w:rPr>
        <w:footnoteReference w:id="2934"/>
      </w:r>
      <w:r>
        <w:rPr>
          <w:rFonts w:ascii="IRNazanin" w:hAnsi="IRNazanin" w:eastAsia="IRNazanin"/>
          <w:color w:val="111111"/>
          <w:sz w:val="28"/>
          <w:sz w:val="28"/>
          <w:szCs w:val="28"/>
          <w:rtl w:val="true"/>
          <w:lang w:bidi="fa-IR"/>
        </w:rPr>
        <w:t>و العمانی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w:t>
      </w:r>
      <w:r>
        <w:rPr>
          <w:rStyle w:val="FootnoteAnchor"/>
          <w:rtl w:val="true"/>
        </w:rPr>
        <w:footnoteReference w:id="2935"/>
      </w:r>
      <w:r>
        <w:rPr>
          <w:rFonts w:ascii="Amiri" w:hAnsi="Amiri" w:eastAsia="Amiri" w:cs="Amiri"/>
          <w:color w:val="111111"/>
          <w:sz w:val="28"/>
          <w:sz w:val="28"/>
          <w:szCs w:val="28"/>
          <w:rtl w:val="true"/>
          <w:lang w:bidi="ar-SA"/>
        </w:rPr>
        <w:t>و ابنا حمزة</w:t>
      </w:r>
      <w:r>
        <w:rPr>
          <w:rStyle w:val="FootnoteAnchor"/>
          <w:rtl w:val="true"/>
        </w:rPr>
        <w:footnoteReference w:id="2936"/>
      </w:r>
      <w:r>
        <w:rPr>
          <w:rFonts w:ascii="Amiri" w:hAnsi="Amiri" w:eastAsia="Amiri" w:cs="Amiri"/>
          <w:color w:val="111111"/>
          <w:sz w:val="28"/>
          <w:sz w:val="28"/>
          <w:szCs w:val="28"/>
          <w:rtl w:val="true"/>
          <w:lang w:bidi="ar-SA"/>
        </w:rPr>
        <w:t>و زهرة</w:t>
      </w:r>
      <w:r>
        <w:rPr>
          <w:rStyle w:val="FootnoteAnchor"/>
          <w:rtl w:val="true"/>
        </w:rPr>
        <w:footnoteReference w:id="2937"/>
      </w:r>
      <w:r>
        <w:rPr>
          <w:rFonts w:ascii="IRNazanin" w:hAnsi="IRNazanin" w:eastAsia="IRNazanin"/>
          <w:color w:val="111111"/>
          <w:sz w:val="28"/>
          <w:sz w:val="28"/>
          <w:szCs w:val="28"/>
          <w:rtl w:val="true"/>
          <w:lang w:bidi="fa-IR"/>
        </w:rPr>
        <w:t>و الحلبی</w:t>
      </w:r>
      <w:r>
        <w:rPr>
          <w:rStyle w:val="FootnoteAnchor"/>
          <w:rtl w:val="true"/>
        </w:rPr>
        <w:footnoteReference w:id="2938"/>
      </w:r>
      <w:r>
        <w:rPr>
          <w:rFonts w:ascii="Amiri" w:hAnsi="Amiri" w:eastAsia="Amiri" w:cs="Amiri"/>
          <w:color w:val="111111"/>
          <w:sz w:val="28"/>
          <w:sz w:val="28"/>
          <w:szCs w:val="28"/>
          <w:rtl w:val="true"/>
          <w:lang w:bidi="ar-SA"/>
        </w:rPr>
        <w:t>و سلاّر</w:t>
      </w:r>
      <w:r>
        <w:rPr>
          <w:rStyle w:val="FootnoteAnchor"/>
          <w:rtl w:val="true"/>
        </w:rPr>
        <w:footnoteReference w:id="2939"/>
      </w:r>
      <w:r>
        <w:rPr>
          <w:rFonts w:ascii="IRNazanin" w:hAnsi="IRNazanin" w:eastAsia="IRNazanin"/>
          <w:color w:val="111111"/>
          <w:sz w:val="28"/>
          <w:sz w:val="28"/>
          <w:szCs w:val="28"/>
          <w:rtl w:val="true"/>
          <w:lang w:bidi="fa-IR"/>
        </w:rPr>
        <w:t>و الکیدری</w:t>
      </w:r>
      <w:r>
        <w:rPr>
          <w:rStyle w:val="FootnoteAnchor"/>
          <w:rtl w:val="true"/>
        </w:rPr>
        <w:footnoteReference w:id="2940"/>
      </w:r>
      <w:r>
        <w:rPr>
          <w:rFonts w:ascii="IRNazanin" w:hAnsi="IRNazanin" w:eastAsia="IRNazanin"/>
          <w:color w:val="111111"/>
          <w:sz w:val="28"/>
          <w:sz w:val="28"/>
          <w:szCs w:val="28"/>
          <w:rtl w:val="true"/>
          <w:lang w:bidi="fa-IR"/>
        </w:rPr>
        <w:t>و المحقّق فی الشرائع فی باب الشهادات</w:t>
      </w:r>
      <w:r>
        <w:rPr>
          <w:rStyle w:val="FootnoteAnchor"/>
          <w:rtl w:val="true"/>
        </w:rPr>
        <w:footnoteReference w:id="2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السیّد الخوئی</w:t>
      </w:r>
      <w:r>
        <w:rPr>
          <w:rStyle w:val="FootnoteAnchor"/>
          <w:rtl w:val="true"/>
        </w:rPr>
        <w:footnoteReference w:id="2942"/>
      </w:r>
      <w:r>
        <w:rPr>
          <w:rFonts w:ascii="Amiri" w:hAnsi="Amiri" w:eastAsia="Amiri" w:cs="Amiri"/>
          <w:color w:val="111111"/>
          <w:sz w:val="28"/>
          <w:sz w:val="28"/>
          <w:szCs w:val="28"/>
          <w:rtl w:val="true"/>
          <w:lang w:bidi="ar-SA"/>
        </w:rPr>
        <w:t>، إلاّ أنّ ابن إدریس قیّده</w:t>
      </w:r>
    </w:p>
    <w:p>
      <w:pPr>
        <w:pStyle w:val="BookText"/>
        <w:rPr/>
      </w:pPr>
      <w:r>
        <w:rPr>
          <w:rFonts w:ascii="IRNazanin" w:hAnsi="IRNazanin" w:eastAsia="IRNazanin"/>
          <w:color w:val="111111"/>
          <w:sz w:val="28"/>
          <w:sz w:val="28"/>
          <w:szCs w:val="28"/>
          <w:rtl w:val="true"/>
          <w:lang w:bidi="fa-IR"/>
        </w:rPr>
        <w:t>بالمال</w:t>
      </w:r>
      <w:r>
        <w:rPr>
          <w:rStyle w:val="FootnoteAnchor"/>
          <w:rtl w:val="true"/>
        </w:rPr>
        <w:footnoteReference w:id="2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فهد الحلّی</w:t>
      </w:r>
      <w:r>
        <w:rPr>
          <w:rStyle w:val="FootnoteAnchor"/>
          <w:rtl w:val="true"/>
        </w:rPr>
        <w:footnoteReference w:id="2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الوسیلة</w:t>
      </w:r>
      <w:r>
        <w:rPr>
          <w:rStyle w:val="FootnoteAnchor"/>
          <w:rtl w:val="true"/>
        </w:rPr>
        <w:footnoteReference w:id="2945"/>
      </w:r>
      <w:r>
        <w:rPr>
          <w:rFonts w:ascii="IRNazanin" w:hAnsi="IRNazanin" w:eastAsia="IRNazanin"/>
          <w:color w:val="111111"/>
          <w:sz w:val="28"/>
          <w:sz w:val="28"/>
          <w:szCs w:val="28"/>
          <w:rtl w:val="true"/>
          <w:lang w:bidi="fa-IR"/>
        </w:rPr>
        <w:t>و تحریرها</w:t>
      </w:r>
      <w:r>
        <w:rPr>
          <w:rStyle w:val="FootnoteAnchor"/>
          <w:rtl w:val="true"/>
        </w:rPr>
        <w:footnoteReference w:id="2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الآیة</w:t>
      </w:r>
      <w:r>
        <w:rPr>
          <w:rStyle w:val="FootnoteAnchor"/>
          <w:rtl w:val="true"/>
        </w:rPr>
        <w:footnoteReference w:id="2948"/>
      </w:r>
      <w:r>
        <w:rPr>
          <w:rFonts w:ascii="IRNazanin" w:hAnsi="IRNazanin" w:eastAsia="IRNazanin"/>
          <w:color w:val="111111"/>
          <w:sz w:val="28"/>
          <w:sz w:val="28"/>
          <w:szCs w:val="28"/>
          <w:rtl w:val="true"/>
          <w:lang w:bidi="fa-IR"/>
        </w:rPr>
        <w:t>و الأخبار قبول شهادة أهل الذمّة فی الوصیّة بالولایة، و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شهادة أهل الملل هل تجوز علی رجل مسلم من غیر أهل ملّتهم؟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یوجد فی تلک الحال غیرهم، و إن لم یوجد غیرهم جازت شهادتهم فی الوصیّة؛ لأنّه لا یصلح ذهاب حقّ امرئ مسلم و لا تبطل وصیّته</w:t>
      </w:r>
      <w:r>
        <w:rPr>
          <w:rFonts w:eastAsia="IRNazanin" w:cs="IRNazanin"/>
          <w:color w:val="111111"/>
          <w:sz w:val="28"/>
          <w:szCs w:val="28"/>
          <w:rtl w:val="true"/>
          <w:lang w:bidi="fa-IR"/>
        </w:rPr>
        <w:t>»</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w:t>
      </w:r>
    </w:p>
    <w:p>
      <w:pPr>
        <w:pStyle w:val="BookText"/>
        <w:rPr/>
      </w:pPr>
      <w:r>
        <w:rPr>
          <w:rFonts w:ascii="IRNazanin" w:hAnsi="IRNazanin" w:eastAsia="IRNazanin"/>
          <w:color w:val="111111"/>
          <w:sz w:val="28"/>
          <w:sz w:val="28"/>
          <w:szCs w:val="28"/>
          <w:rtl w:val="true"/>
          <w:lang w:bidi="fa-IR"/>
        </w:rPr>
        <w:t xml:space="preserve">هشام بن الحکم، عن أبی عبد اللّه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الرجل فی أرض غربة و لا یوجد فیها مسلم جازت شهادة من لیس بمسلم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التعلیل الوارد فیها؛ من أنّ تجویز قبول شهادتهم إنّما نشأ من مراعاة الحقّ عن الذهاب؛ فإنّ هذه العلّة موجودة فی الوصیّة بالولایة أیضاً، یلزم</w:t>
      </w:r>
      <w:bookmarkStart w:id="937" w:name="pg11753_115210"/>
    </w:p>
    <w:p>
      <w:pPr>
        <w:pStyle w:val="BookText"/>
        <w:rPr/>
      </w:pPr>
      <w:bookmarkEnd w:id="937"/>
      <w:r>
        <w:rPr>
          <w:rFonts w:ascii="IRNazanin" w:hAnsi="IRNazanin" w:eastAsia="IRNazanin"/>
          <w:color w:val="111111"/>
          <w:sz w:val="28"/>
          <w:sz w:val="28"/>
          <w:szCs w:val="28"/>
          <w:rtl w:val="true"/>
          <w:lang w:bidi="fa-IR"/>
        </w:rPr>
        <w:t>قبول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وجود المقتضی، و هو تعذّر عدول المسلمین المفضی إلی تعذّر إثبات الوصیّة، و کذا ثبوت الوصیّة بالمال بشهادة أهل الذمّة، و إثبات الوصیّة بالولایة بها یکون بالأولویّة، فهذه الوجوه تدلّ علی قبول شهادتهم، و أوجه الوجهین هو الوجه الثانی، و بما أنّ للوجه الأوّل أیضاً وجهاً، فیلزم أن لا یترک الاحتیاط فی المسألة</w:t>
      </w:r>
      <w:r>
        <w:rPr>
          <w:rFonts w:eastAsia="IRNazanin" w:cs="IRNazanin"/>
          <w:color w:val="111111"/>
          <w:sz w:val="28"/>
          <w:szCs w:val="28"/>
          <w:rtl w:val="true"/>
          <w:lang w:bidi="fa-IR"/>
        </w:rPr>
        <w:t>.</w:t>
      </w:r>
    </w:p>
    <w:p>
      <w:pPr>
        <w:pStyle w:val="Heading6"/>
        <w:numPr>
          <w:ilvl w:val="5"/>
          <w:numId w:val="1"/>
        </w:numPr>
        <w:rPr/>
      </w:pPr>
      <w:bookmarkStart w:id="938" w:name="__RefHeading___Toc9483174_73709187"/>
      <w:bookmarkStart w:id="939" w:name="_Toc356"/>
      <w:bookmarkEnd w:id="938"/>
      <w:r>
        <w:rPr>
          <w:rtl w:val="true"/>
        </w:rPr>
        <w:t>فرع</w:t>
      </w:r>
      <w:r>
        <w:rPr>
          <w:rtl w:val="true"/>
        </w:rPr>
        <w:t xml:space="preserve">: </w:t>
      </w:r>
      <w:r>
        <w:rPr>
          <w:rtl w:val="true"/>
        </w:rPr>
        <w:t>یستحبّ الإشهاد علی الوصیّة</w:t>
      </w:r>
      <w:bookmarkEnd w:id="939"/>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لمن أراد الوصیّة أن یشهد علیها شاهدین مسلمین عدلین؛ لئلاّ یعترض الورثة علی الوصی من بعده</w:t>
      </w:r>
      <w:r>
        <w:rPr>
          <w:rFonts w:eastAsia="IRNazanin" w:cs="IRNazanin"/>
          <w:color w:val="111111"/>
          <w:sz w:val="28"/>
          <w:szCs w:val="28"/>
          <w:rtl w:val="true"/>
          <w:lang w:bidi="fa-IR"/>
        </w:rPr>
        <w:t>»</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کلامه قدس سره استحباب الإشهاد لا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شرط الوصیّة أن یُشهد علیها الموصی نفسین عدلین مرضیّین لئلاّ یعترض فیها الورثة، فإن لم یُشهد أصلاً و أمکن الوصیّ إنفاذ الوصیّة، جاز له إنفاذها علی ما أوصی به إلیه</w:t>
      </w:r>
      <w:r>
        <w:rPr>
          <w:rFonts w:eastAsia="IRNazanin" w:cs="IRNazanin"/>
          <w:color w:val="111111"/>
          <w:sz w:val="28"/>
          <w:szCs w:val="28"/>
          <w:rtl w:val="true"/>
          <w:lang w:bidi="fa-IR"/>
        </w:rPr>
        <w:t>»</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صدر کلامه قدس سره و إن کان یوهم الاشتراط، إلاّ أنّ ذیله قرینة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یدلّ کلامه قدس سره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إدریس</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الشرع عقد و لا إیقاع یفتقر صحّته إلی الشهادة سوی الطلاق و توابعه</w:t>
      </w:r>
      <w:r>
        <w:rPr>
          <w:rFonts w:eastAsia="IRNazanin" w:cs="IRNazanin"/>
          <w:color w:val="111111"/>
          <w:sz w:val="28"/>
          <w:szCs w:val="28"/>
          <w:rtl w:val="true"/>
          <w:lang w:bidi="fa-IR"/>
        </w:rPr>
        <w:t>»</w:t>
      </w:r>
      <w:r>
        <w:rPr>
          <w:rStyle w:val="FootnoteAnchor"/>
          <w:rtl w:val="true"/>
        </w:rPr>
        <w:footnoteReference w:id="2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مجمع الفائدة</w:t>
      </w:r>
      <w:r>
        <w:rPr>
          <w:rStyle w:val="FootnoteAnchor"/>
          <w:rtl w:val="true"/>
        </w:rPr>
        <w:footnoteReference w:id="2956"/>
      </w:r>
      <w:bookmarkStart w:id="940" w:name="pg11753_115211"/>
    </w:p>
    <w:p>
      <w:pPr>
        <w:pStyle w:val="BookText"/>
        <w:rPr/>
      </w:pPr>
      <w:bookmarkEnd w:id="940"/>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الإشهاد من شرط صحّة الوصیّة إلی الموصی إلیه، بل یستحبّ استحباباً مؤکّداً لئلاّ ینازع الوارث فیها، کما فی التذکرة</w:t>
      </w:r>
      <w:r>
        <w:rPr>
          <w:rStyle w:val="FootnoteAnchor"/>
          <w:rtl w:val="true"/>
        </w:rPr>
        <w:footnoteReference w:id="2957"/>
      </w:r>
      <w:r>
        <w:rPr>
          <w:rFonts w:ascii="IRNazanin" w:hAnsi="IRNazanin" w:eastAsia="IRNazanin"/>
          <w:color w:val="111111"/>
          <w:sz w:val="28"/>
          <w:sz w:val="28"/>
          <w:szCs w:val="28"/>
          <w:rtl w:val="true"/>
          <w:lang w:bidi="fa-IR"/>
        </w:rPr>
        <w:t>و التحریر</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9483176_73709187"/>
      <w:bookmarkStart w:id="942" w:name="_Toc357"/>
      <w:bookmarkEnd w:id="941"/>
      <w:r>
        <w:rPr>
          <w:rtl w:val="true"/>
        </w:rPr>
        <w:t>إثبات الوصیّة بالولایة عند أهل السنّة</w:t>
      </w:r>
      <w:bookmarkEnd w:id="942"/>
    </w:p>
    <w:p>
      <w:pPr>
        <w:pStyle w:val="BookText"/>
        <w:rPr/>
      </w:pPr>
      <w:r>
        <w:rPr>
          <w:rFonts w:ascii="IRNazanin" w:hAnsi="IRNazanin" w:eastAsia="IRNazanin"/>
          <w:color w:val="111111"/>
          <w:sz w:val="28"/>
          <w:sz w:val="28"/>
          <w:szCs w:val="28"/>
          <w:rtl w:val="true"/>
          <w:lang w:bidi="fa-IR"/>
        </w:rPr>
        <w:t>یستفاد من کلماتهم أنّه مع اختلاف الورثة و الوصیّ فی مورد الوصیّة، لا تثبت الوصیّة بالولایة إلاّ بشهادة عدلین؛ لأنّه ذهب الجمهور منهم إلی أنّ ما یطّلع علیه الرجال غالباً ممّا لیس بمال و لا یقصد منه المال، کالنکاح و الطلاق و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الوصایة و نحوها؛ فإنّه لا یثبت إلاّ بشاهدین، و لا تثبت بشاهد و یمین، و لا بشاهد و امرأتین</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الوصایة لا تثبت إلاّ برجلین عدلین</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عدا الزنا ممّا لیس بمال و لا یؤول إلی مال، کالنکاح و الرجعة و الطلاق و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الوصایا و الوکالة فیثبت برجلین، و لا یثبت برجل و امرأتین</w:t>
      </w:r>
      <w:r>
        <w:rPr>
          <w:rFonts w:eastAsia="IRNazanin" w:cs="IRNazanin"/>
          <w:color w:val="111111"/>
          <w:sz w:val="28"/>
          <w:szCs w:val="28"/>
          <w:rtl w:val="true"/>
          <w:lang w:bidi="fa-IR"/>
        </w:rPr>
        <w:t>»</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حقوق الآدمیّین، فتنقسم علی ثلاثة أقسام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مال أو المقصود منه المال، مثل البیع و الرهن 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الوصیّة له و ما أشبهه، فهذا یثبت بشاهدین أو بشاهد و امرأتین؛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بمال و لا المقصود منه المال و یطّلع علیه الرجال، کالنکاح و الرجعة و الطلاق و العتاق و الوکالة و الوصیّة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تثبت إلاّ بشاهدین، و لا تثبت بشاهد و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الزهری و النخعی و مالک</w:t>
      </w:r>
      <w:r>
        <w:rPr>
          <w:rFonts w:eastAsia="IRNazanin" w:cs="IRNazanin"/>
          <w:color w:val="111111"/>
          <w:sz w:val="28"/>
          <w:szCs w:val="28"/>
          <w:rtl w:val="true"/>
          <w:lang w:bidi="fa-IR"/>
        </w:rPr>
        <w:t>»</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الدسوقی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 أنّه وصیّ فی غیر المال، کالنظر فی أحوال أولاده أو تزویج بناته، لا تثبت إلاّ بعدلین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دعوی أنّه وکیل أو وصیّ علی التصرّف فی المال، فإن کان نفع یعود علی الوصیّ أو الوکیل کفی العدل، و المرأتان مع یمین من أحدهما، فإن لم یکن نفع یعود علیه فلا یثبت إلاّ بعدلین، أو عدل و امرأتین</w:t>
      </w:r>
      <w:r>
        <w:rPr>
          <w:rFonts w:eastAsia="IRNazanin" w:cs="IRNazanin"/>
          <w:color w:val="111111"/>
          <w:sz w:val="28"/>
          <w:szCs w:val="28"/>
          <w:rtl w:val="true"/>
          <w:lang w:bidi="fa-IR"/>
        </w:rPr>
        <w:t>»</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ذهب جمهور الفقهاء إلی أنّه لا تقبل شهادة أهل الکتاب فی الوصیّة بالولایة؛ لأنّ الأصل فی الشاهد أن یکون مسلماً، فلا تُقبل شهادة الکفّار علی المسلم؛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شَهِیدَیْنِ مِنْ رِجالِکُمْ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الکافر لیس بعدل، و لیس منّا؛ و لأنّه أفسق الفسّاق و یکذب علی اللّه تعالی، فلا یؤمن منه الکذب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الأصل جری مذهب المالکیّة و الشافعیّة و الحنفیة</w:t>
      </w:r>
      <w:r>
        <w:rPr>
          <w:rStyle w:val="FootnoteAnchor"/>
          <w:rtl w:val="true"/>
        </w:rPr>
        <w:footnoteReference w:id="2965"/>
      </w:r>
    </w:p>
    <w:p>
      <w:pPr>
        <w:pStyle w:val="BookText"/>
        <w:rPr/>
      </w:pPr>
      <w:r>
        <w:rPr>
          <w:rFonts w:ascii="IRNazanin" w:hAnsi="IRNazanin" w:eastAsia="IRNazanin"/>
          <w:color w:val="111111"/>
          <w:sz w:val="28"/>
          <w:sz w:val="28"/>
          <w:szCs w:val="28"/>
          <w:rtl w:val="true"/>
          <w:lang w:bidi="fa-IR"/>
        </w:rPr>
        <w:t>و جاء فی 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الرجل إذا هلک فی السفر و لیس معه أحدٌ من أهل الإسلام أ تجوز شهادة أهل الکفر الذین معه إن أوصی بوصیّة؟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مالکٌ یجیز شهادة أحدٍ من أهل الکفر لا فی سفر و لا فی حضرٍ، و لا أری أن تجوز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ردّ شهادة أهل الذمّة غیر واحدٍ من أهل العلم من أصحاب النبیّ صلی الله علیه و آله و سلم و التابعین</w:t>
      </w:r>
      <w:r>
        <w:rPr>
          <w:rFonts w:eastAsia="IRNazanin" w:cs="IRNazanin"/>
          <w:color w:val="111111"/>
          <w:sz w:val="28"/>
          <w:szCs w:val="28"/>
          <w:rtl w:val="true"/>
          <w:lang w:bidi="fa-IR"/>
        </w:rPr>
        <w:t>»</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 حنیفة و مالک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أهل الذمّة فی الوصیّة فی السفر؛ لأنّ من لا تُقبَلُ شهادته علی غیر الوصیة لا تقبل فی الوصیة کالفاسق، و لأنّ الفاسق لا تقبل شهادته، فالکافر أولی</w:t>
      </w:r>
      <w:r>
        <w:rPr>
          <w:rFonts w:eastAsia="IRNazanin" w:cs="IRNazanin"/>
          <w:color w:val="111111"/>
          <w:sz w:val="28"/>
          <w:szCs w:val="28"/>
          <w:rtl w:val="true"/>
          <w:lang w:bidi="fa-IR"/>
        </w:rPr>
        <w:t>»</w:t>
      </w:r>
      <w:r>
        <w:rPr>
          <w:rStyle w:val="FootnoteAnchor"/>
          <w:rtl w:val="true"/>
        </w:rPr>
        <w:footnoteReference w:id="2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الوجیز</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ذهب الحنابلة إلی أنّه تقبل شهادة أهل الکتاب فی الوصیّة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کافر إلاّ أهل الکتاب فی الوصیّة فی السفر</w:t>
      </w:r>
      <w:r>
        <w:rPr>
          <w:rFonts w:eastAsia="IRNazanin" w:cs="IRNazanin"/>
          <w:color w:val="111111"/>
          <w:sz w:val="28"/>
          <w:szCs w:val="28"/>
          <w:rtl w:val="true"/>
          <w:lang w:bidi="fa-IR"/>
        </w:rPr>
        <w:t>»</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الإقناع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کافر و لو من أهل الذمّة و لو علی مثله، إلاّ رجال أهل الکتاب بالوصیّة فی السفر ممّن حضره الموت من مسلم و کافر عند عدم مسلم، فتقبل شهادتهم فی هذه المسألة فقط</w:t>
      </w:r>
      <w:r>
        <w:rPr>
          <w:rFonts w:eastAsia="IRNazanin" w:cs="IRNazanin"/>
          <w:color w:val="111111"/>
          <w:sz w:val="28"/>
          <w:szCs w:val="28"/>
          <w:rtl w:val="true"/>
          <w:lang w:bidi="fa-IR"/>
        </w:rPr>
        <w:t>»</w:t>
      </w:r>
      <w:r>
        <w:rPr>
          <w:rStyle w:val="FootnoteAnchor"/>
          <w:rtl w:val="true"/>
        </w:rPr>
        <w:footnoteReference w:id="2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کشّاف القناع</w:t>
      </w:r>
      <w:r>
        <w:rPr>
          <w:rStyle w:val="FootnoteAnchor"/>
          <w:rtl w:val="true"/>
        </w:rPr>
        <w:footnoteReference w:id="297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المغنی</w:t>
      </w:r>
      <w:r>
        <w:rPr>
          <w:rStyle w:val="FootnoteAnchor"/>
          <w:rtl w:val="true"/>
        </w:rPr>
        <w:footnoteReference w:id="2972"/>
      </w:r>
      <w:r>
        <w:rPr>
          <w:rFonts w:ascii="IRNazanin" w:hAnsi="IRNazanin" w:eastAsia="IRNazanin"/>
          <w:color w:val="111111"/>
          <w:sz w:val="28"/>
          <w:sz w:val="28"/>
          <w:szCs w:val="28"/>
          <w:rtl w:val="true"/>
          <w:lang w:bidi="fa-IR"/>
        </w:rPr>
        <w:t>و الشرح الکبیر</w:t>
      </w:r>
      <w:r>
        <w:rPr>
          <w:rStyle w:val="FootnoteAnchor"/>
          <w:rtl w:val="true"/>
        </w:rPr>
        <w:footnoteReference w:id="2973"/>
      </w:r>
      <w:r>
        <w:rPr>
          <w:rFonts w:ascii="IRNazanin" w:hAnsi="IRNazanin" w:eastAsia="IRNazanin"/>
          <w:color w:val="111111"/>
          <w:sz w:val="28"/>
          <w:sz w:val="28"/>
          <w:szCs w:val="28"/>
          <w:rtl w:val="true"/>
          <w:lang w:bidi="fa-IR"/>
        </w:rPr>
        <w:t>و الکافی</w:t>
      </w:r>
      <w:r>
        <w:rPr>
          <w:rStyle w:val="FootnoteAnchor"/>
          <w:rtl w:val="true"/>
        </w:rPr>
        <w:footnoteReference w:id="2974"/>
      </w:r>
      <w:r>
        <w:rPr>
          <w:rFonts w:ascii="IRNazanin" w:hAnsi="IRNazanin" w:eastAsia="IRNazanin"/>
          <w:color w:val="111111"/>
          <w:sz w:val="28"/>
          <w:sz w:val="28"/>
          <w:szCs w:val="28"/>
          <w:rtl w:val="true"/>
          <w:lang w:bidi="fa-IR"/>
        </w:rPr>
        <w:t>و الإنصاف</w:t>
      </w:r>
      <w:r>
        <w:rPr>
          <w:rStyle w:val="FootnoteAnchor"/>
          <w:rtl w:val="true"/>
        </w:rPr>
        <w:footnoteReference w:id="2975"/>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الجامع لأحکام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شهادة أهل الکتاب علی المسلمین جائزة فی السفر إذا کانت وصیّة، و هو الأشبه بسیاق الآیة مع ما تقرّر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ثلاثة من الصحابة الذین شاهدوا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الأشعری، و عبد اللّه بن قیس، و عبد اللّه بن عبّاس</w:t>
      </w:r>
      <w:r>
        <w:rPr>
          <w:rFonts w:eastAsia="IRNazanin" w:cs="IRNazanin"/>
          <w:color w:val="111111"/>
          <w:sz w:val="28"/>
          <w:szCs w:val="28"/>
          <w:rtl w:val="true"/>
          <w:lang w:bidi="fa-IR"/>
        </w:rPr>
        <w:t>»</w:t>
      </w:r>
      <w:r>
        <w:rPr>
          <w:rStyle w:val="FootnoteAnchor"/>
          <w:rtl w:val="true"/>
        </w:rPr>
        <w:footnoteReference w:id="2976"/>
      </w:r>
      <w:bookmarkStart w:id="943" w:name="pg11753_115215"/>
    </w:p>
    <w:p>
      <w:pPr>
        <w:pStyle w:val="Heading4"/>
        <w:numPr>
          <w:ilvl w:val="3"/>
          <w:numId w:val="1"/>
        </w:numPr>
        <w:rPr/>
      </w:pPr>
      <w:bookmarkStart w:id="944" w:name="__RefHeading___Toc9483178_73709187"/>
      <w:bookmarkStart w:id="945" w:name="_Toc358"/>
      <w:bookmarkEnd w:id="943"/>
      <w:bookmarkEnd w:id="944"/>
      <w:r>
        <w:rPr>
          <w:rtl w:val="true"/>
        </w:rPr>
        <w:t>المبحث الثامن</w:t>
      </w:r>
      <w:r>
        <w:rPr>
          <w:rtl w:val="true"/>
        </w:rPr>
        <w:t xml:space="preserve">: </w:t>
      </w:r>
      <w:r>
        <w:rPr>
          <w:rtl w:val="true"/>
        </w:rPr>
        <w:t>الرجوع عن الوصیّة أو استبدالها</w:t>
      </w:r>
      <w:bookmarkEnd w:id="945"/>
    </w:p>
    <w:p>
      <w:pPr>
        <w:pStyle w:val="Heading5"/>
        <w:numPr>
          <w:ilvl w:val="4"/>
          <w:numId w:val="1"/>
        </w:numPr>
        <w:rPr/>
      </w:pPr>
      <w:bookmarkStart w:id="946" w:name="__RefHeading___Toc9483180_73709187"/>
      <w:bookmarkStart w:id="947" w:name="_Toc359"/>
      <w:bookmarkEnd w:id="946"/>
      <w:r>
        <w:rPr>
          <w:rtl w:val="true"/>
        </w:rPr>
        <w:t>اشارة</w:t>
      </w:r>
      <w:bookmarkEnd w:id="947"/>
    </w:p>
    <w:p>
      <w:pPr>
        <w:pStyle w:val="BookText"/>
        <w:rPr/>
      </w:pPr>
      <w:r>
        <w:rPr>
          <w:rFonts w:ascii="IRNazanin" w:hAnsi="IRNazanin" w:eastAsia="IRNazanin"/>
          <w:color w:val="111111"/>
          <w:sz w:val="28"/>
          <w:sz w:val="28"/>
          <w:szCs w:val="28"/>
          <w:rtl w:val="true"/>
          <w:lang w:bidi="fa-IR"/>
        </w:rPr>
        <w:t>الوصیّة سواء کانت بالمال أو بالولایة، عقد جائز من الطرفین، و یجوز للموصی و الوصیّ الرجوع فیها، و لکن هناک حالات تلزم الوصیّة فیها و لا یجوز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یستثنی من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ردّ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لا یجوز ردّ الوصیّة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للتحقیق فیه نقسّم هذا المبحث إلی مطالب ثلاثة نذکرها علی الترتیب التالی</w:t>
      </w:r>
      <w:r>
        <w:rPr>
          <w:rFonts w:eastAsia="IRNazanin" w:cs="IRNazanin"/>
          <w:color w:val="111111"/>
          <w:sz w:val="28"/>
          <w:szCs w:val="28"/>
          <w:rtl w:val="true"/>
          <w:lang w:bidi="fa-IR"/>
        </w:rPr>
        <w:t>:</w:t>
      </w:r>
    </w:p>
    <w:p>
      <w:pPr>
        <w:pStyle w:val="Heading5"/>
        <w:numPr>
          <w:ilvl w:val="4"/>
          <w:numId w:val="1"/>
        </w:numPr>
        <w:rPr/>
      </w:pPr>
      <w:bookmarkStart w:id="948" w:name="__RefHeading___Toc9483182_73709187"/>
      <w:bookmarkStart w:id="949" w:name="_Toc360"/>
      <w:bookmarkEnd w:id="948"/>
      <w:r>
        <w:rPr>
          <w:rtl w:val="true"/>
        </w:rPr>
        <w:t>المطلب الأوّل</w:t>
      </w:r>
      <w:r>
        <w:rPr>
          <w:rtl w:val="true"/>
        </w:rPr>
        <w:t xml:space="preserve">: </w:t>
      </w:r>
      <w:r>
        <w:rPr>
          <w:rtl w:val="true"/>
        </w:rPr>
        <w:t>رجوع الموصی عن الوصیّة</w:t>
      </w:r>
      <w:bookmarkEnd w:id="949"/>
    </w:p>
    <w:p>
      <w:pPr>
        <w:pStyle w:val="Heading6"/>
        <w:numPr>
          <w:ilvl w:val="5"/>
          <w:numId w:val="1"/>
        </w:numPr>
        <w:rPr/>
      </w:pPr>
      <w:bookmarkStart w:id="950" w:name="__RefHeading___Toc9483184_73709187"/>
      <w:bookmarkStart w:id="951" w:name="_Toc361"/>
      <w:bookmarkEnd w:id="950"/>
      <w:r>
        <w:rPr>
          <w:rtl w:val="true"/>
        </w:rPr>
        <w:t>اشارة</w:t>
      </w:r>
      <w:bookmarkEnd w:id="951"/>
    </w:p>
    <w:p>
      <w:pPr>
        <w:pStyle w:val="BookText"/>
        <w:rPr/>
      </w:pPr>
      <w:r>
        <w:rPr>
          <w:rFonts w:ascii="IRNazanin" w:hAnsi="IRNazanin" w:eastAsia="IRNazanin"/>
          <w:color w:val="111111"/>
          <w:sz w:val="28"/>
          <w:sz w:val="28"/>
          <w:szCs w:val="28"/>
          <w:rtl w:val="true"/>
          <w:lang w:bidi="fa-IR"/>
        </w:rPr>
        <w:t>لا خلاف بین الفقهاء فی أنّه یجوز للموصی الرجوع فی الوصیّة بالولایة و غیرها، فلو أوصی إلی رجل بالقیام باُمور صغاره جاز له أن یرجع عن ذلک ما دام حیّاً، و یوصی إلی غیره، و أن یُشرک 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الوسیلة</w:t>
      </w:r>
      <w:r>
        <w:rPr>
          <w:rStyle w:val="FootnoteAnchor"/>
          <w:rtl w:val="true"/>
        </w:rPr>
        <w:footnoteReference w:id="2977"/>
      </w:r>
      <w:r>
        <w:rPr>
          <w:rFonts w:ascii="IRNazanin" w:hAnsi="IRNazanin" w:eastAsia="IRNazanin"/>
          <w:color w:val="111111"/>
          <w:sz w:val="28"/>
          <w:sz w:val="28"/>
          <w:szCs w:val="28"/>
          <w:rtl w:val="true"/>
          <w:lang w:bidi="fa-IR"/>
        </w:rPr>
        <w:t>و السرائر</w:t>
      </w:r>
      <w:r>
        <w:rPr>
          <w:rStyle w:val="FootnoteAnchor"/>
          <w:rtl w:val="true"/>
        </w:rPr>
        <w:footnoteReference w:id="2978"/>
      </w:r>
      <w:r>
        <w:rPr>
          <w:rFonts w:ascii="IRNazanin" w:hAnsi="IRNazanin" w:eastAsia="IRNazanin"/>
          <w:color w:val="111111"/>
          <w:sz w:val="28"/>
          <w:sz w:val="28"/>
          <w:szCs w:val="28"/>
          <w:rtl w:val="true"/>
          <w:lang w:bidi="fa-IR"/>
        </w:rPr>
        <w:t>و کشف الرموز</w:t>
      </w:r>
      <w:r>
        <w:rPr>
          <w:rStyle w:val="FootnoteAnchor"/>
          <w:rtl w:val="true"/>
        </w:rPr>
        <w:footnoteReference w:id="2979"/>
      </w:r>
      <w:r>
        <w:rPr>
          <w:rFonts w:ascii="IRNazanin" w:hAnsi="IRNazanin" w:eastAsia="IRNazanin"/>
          <w:color w:val="111111"/>
          <w:sz w:val="28"/>
          <w:sz w:val="28"/>
          <w:szCs w:val="28"/>
          <w:rtl w:val="true"/>
          <w:lang w:bidi="fa-IR"/>
        </w:rPr>
        <w:t>و التحریر</w:t>
      </w:r>
      <w:r>
        <w:rPr>
          <w:rStyle w:val="FootnoteAnchor"/>
          <w:rtl w:val="true"/>
        </w:rPr>
        <w:footnoteReference w:id="2980"/>
      </w:r>
      <w:r>
        <w:rPr>
          <w:rFonts w:ascii="IRNazanin" w:hAnsi="IRNazanin" w:eastAsia="IRNazanin"/>
          <w:color w:val="111111"/>
          <w:sz w:val="28"/>
          <w:sz w:val="28"/>
          <w:szCs w:val="28"/>
          <w:rtl w:val="true"/>
          <w:lang w:bidi="fa-IR"/>
        </w:rPr>
        <w:t>و الدروس</w:t>
      </w:r>
      <w:r>
        <w:rPr>
          <w:rStyle w:val="FootnoteAnchor"/>
          <w:rtl w:val="true"/>
        </w:rPr>
        <w:footnoteReference w:id="2981"/>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الروضة</w:t>
      </w:r>
      <w:r>
        <w:rPr>
          <w:rStyle w:val="FootnoteAnchor"/>
          <w:rtl w:val="true"/>
        </w:rPr>
        <w:footnoteReference w:id="2982"/>
      </w:r>
      <w:r>
        <w:rPr>
          <w:rFonts w:ascii="IRNazanin" w:hAnsi="IRNazanin" w:eastAsia="IRNazanin"/>
          <w:color w:val="111111"/>
          <w:sz w:val="28"/>
          <w:sz w:val="28"/>
          <w:szCs w:val="28"/>
          <w:rtl w:val="true"/>
          <w:lang w:bidi="fa-IR"/>
        </w:rPr>
        <w:t>و غیرها</w:t>
      </w:r>
      <w:r>
        <w:rPr>
          <w:rStyle w:val="FootnoteAnchor"/>
          <w:rtl w:val="true"/>
        </w:rPr>
        <w:footnoteReference w:id="2983"/>
      </w:r>
      <w:bookmarkStart w:id="952" w:name="pg11753_115216"/>
    </w:p>
    <w:p>
      <w:pPr>
        <w:pStyle w:val="BookText"/>
        <w:rPr/>
      </w:pPr>
      <w:bookmarkEnd w:id="952"/>
      <w:r>
        <w:rPr>
          <w:rFonts w:ascii="IRNazanin" w:hAnsi="IRNazanin" w:eastAsia="IRNazanin"/>
          <w:color w:val="111111"/>
          <w:sz w:val="28"/>
          <w:sz w:val="28"/>
          <w:szCs w:val="28"/>
          <w:rtl w:val="true"/>
          <w:lang w:bidi="fa-IR"/>
        </w:rPr>
        <w:t>ففی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للموصی أن یستبدل بالأوصیاء ما دام حیّاً، فإذا مضی لسبیله لم یکن لأحد أن یغیّر وصیّته و لا یستبدل بأوصیائه</w:t>
      </w:r>
      <w:r>
        <w:rPr>
          <w:rFonts w:eastAsia="IRNazanin" w:cs="IRNazanin"/>
          <w:color w:val="111111"/>
          <w:sz w:val="28"/>
          <w:szCs w:val="28"/>
          <w:rtl w:val="true"/>
          <w:lang w:bidi="fa-IR"/>
        </w:rPr>
        <w:t>»</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للإنسان أن یرجع فی وصیّته ما دام فیه روح، و یغیّر شرائطها و ینقلها من شیءٍ إلی شیء و من إنسان إلی غیره، و لیس لأحد علیه فیه اعتراض</w:t>
      </w:r>
      <w:r>
        <w:rPr>
          <w:rFonts w:eastAsia="IRNazanin" w:cs="IRNazanin"/>
          <w:color w:val="111111"/>
          <w:sz w:val="28"/>
          <w:szCs w:val="28"/>
          <w:rtl w:val="true"/>
          <w:lang w:bidi="fa-IR"/>
        </w:rPr>
        <w:t>»</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 عقد جائز من طرف الموصی ما دام حیّاً؛ سواء کانت بمال أو ولایة</w:t>
      </w:r>
      <w:r>
        <w:rPr>
          <w:rFonts w:eastAsia="IRNazanin" w:cs="IRNazanin"/>
          <w:color w:val="111111"/>
          <w:sz w:val="28"/>
          <w:szCs w:val="28"/>
          <w:rtl w:val="true"/>
          <w:lang w:bidi="fa-IR"/>
        </w:rPr>
        <w:t>»</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الوصیّة بالولایة الجواز من الموصی، فله الرجوع فی وصیّته متی شاء، کما کان له الرجوع فی وصیّته بالمال، و لا نعلم فیه خلافاً، فیجوز له الاستبدال بالموصی إلیه، و تخصیص ولایته و تعمیمها و إدخال غیره معه، و إخراج من کان معه</w:t>
      </w:r>
      <w:r>
        <w:rPr>
          <w:rFonts w:eastAsia="IRNazanin" w:cs="IRNazanin"/>
          <w:color w:val="111111"/>
          <w:sz w:val="28"/>
          <w:szCs w:val="28"/>
          <w:rtl w:val="true"/>
          <w:lang w:bidi="fa-IR"/>
        </w:rPr>
        <w:t>»</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أن یرجع فیها ما دام فیه الروح کلاًّ أو بعضاً من جهة الکمیّة أو الکیفیّة، کما أنّ له تغییر الوصی و الموصی له و غیر ذلک، غایة الأمر أنّه لو رجع عن بعض الجهات یبقی غیرها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له الرجوع فی الوصیّة المتعلّقة بالمال، کذلک له الرجوع فی القیّم و فی الاُمور التی یتصدّاها</w:t>
      </w:r>
      <w:r>
        <w:rPr>
          <w:rFonts w:eastAsia="IRNazanin" w:cs="IRNazanin"/>
          <w:color w:val="111111"/>
          <w:sz w:val="28"/>
          <w:szCs w:val="28"/>
          <w:rtl w:val="true"/>
          <w:lang w:bidi="fa-IR"/>
        </w:rPr>
        <w:t>»</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3" w:name="__RefHeading___Toc9483186_73709187"/>
      <w:bookmarkStart w:id="954" w:name="_Toc362"/>
      <w:bookmarkEnd w:id="953"/>
      <w:r>
        <w:rPr>
          <w:rtl w:val="true"/>
        </w:rPr>
        <w:t>أدلّة جواز الرجوع من الوصیّة</w:t>
      </w:r>
      <w:bookmarkEnd w:id="954"/>
    </w:p>
    <w:p>
      <w:pPr>
        <w:pStyle w:val="BookText"/>
        <w:rPr/>
      </w:pPr>
      <w:r>
        <w:rPr>
          <w:rFonts w:ascii="IRNazanin" w:hAnsi="IRNazanin" w:eastAsia="IRNazanin"/>
          <w:color w:val="111111"/>
          <w:sz w:val="28"/>
          <w:sz w:val="28"/>
          <w:szCs w:val="28"/>
          <w:rtl w:val="true"/>
          <w:lang w:bidi="fa-IR"/>
        </w:rPr>
        <w:t>و قد استدلّ لهذا الحکم بوجوه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bookmarkStart w:id="955" w:name="pg11753_115217"/>
    </w:p>
    <w:p>
      <w:pPr>
        <w:pStyle w:val="BookText"/>
        <w:rPr/>
      </w:pPr>
      <w:bookmarkEnd w:id="955"/>
      <w:r>
        <w:rPr>
          <w:rFonts w:ascii="IRNazanin" w:hAnsi="IRNazanin" w:eastAsia="IRNazanin"/>
          <w:color w:val="111111"/>
          <w:sz w:val="28"/>
          <w:sz w:val="28"/>
          <w:szCs w:val="28"/>
          <w:rtl w:val="true"/>
          <w:lang w:bidi="fa-IR"/>
        </w:rPr>
        <w:t>ففی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الوصیّة عقد جائز من الطرفین، فللموصی الرجوع فی وصیّته؛ سواء کانت الوصیّة بمال أو منفعة أو ولایة، بلا خلاف بین علمائنا فی ذلک</w:t>
      </w:r>
      <w:r>
        <w:rPr>
          <w:rFonts w:eastAsia="IRNazanin" w:cs="IRNazanin"/>
          <w:color w:val="111111"/>
          <w:sz w:val="28"/>
          <w:szCs w:val="28"/>
          <w:rtl w:val="true"/>
          <w:lang w:bidi="fa-IR"/>
        </w:rPr>
        <w:t>»</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جواز رجوع الموصی فی وصیّته ما دام حیّاً، لأنّه ماله و حقّه</w:t>
      </w:r>
      <w:r>
        <w:rPr>
          <w:rFonts w:eastAsia="IRNazanin" w:cs="IRNazanin"/>
          <w:color w:val="111111"/>
          <w:sz w:val="28"/>
          <w:szCs w:val="28"/>
          <w:rtl w:val="true"/>
          <w:lang w:bidi="fa-IR"/>
        </w:rPr>
        <w:t>»</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الجواهر،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الإجماع بقسمیه علیه</w:t>
      </w:r>
      <w:r>
        <w:rPr>
          <w:rFonts w:eastAsia="IRNazanin" w:cs="IRNazanin"/>
          <w:color w:val="111111"/>
          <w:sz w:val="28"/>
          <w:szCs w:val="28"/>
          <w:rtl w:val="true"/>
          <w:lang w:bidi="fa-IR"/>
        </w:rPr>
        <w:t>»</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الوصیّة من العقود غیر اللازمة، فیجوز الرجوع فیها</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للموصی أن یرجع فی وصیّته إن کان فی صحّةٍ أو مرض</w:t>
      </w:r>
      <w:r>
        <w:rPr>
          <w:rFonts w:eastAsia="IRNazanin" w:cs="IRNazanin"/>
          <w:color w:val="111111"/>
          <w:sz w:val="28"/>
          <w:szCs w:val="28"/>
          <w:rtl w:val="true"/>
          <w:lang w:bidi="fa-IR"/>
        </w:rPr>
        <w:t>»</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برید العجلی،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لصاحب الوصیّة أن یرجع فیها و یحدث فی وصیّته ما دام حیّاً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غیرهما من النصوص الکثیرة بل المتواترة</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الروایات علی جواز الوصیّة من قبل الموصی، و أنّ من حقّه الرجوع عنها و تبدیلها متی شاء ثابتةٌ بوضوح</w:t>
      </w:r>
      <w:r>
        <w:rPr>
          <w:rFonts w:eastAsia="IRNazanin" w:cs="IRNazanin"/>
          <w:color w:val="111111"/>
          <w:sz w:val="28"/>
          <w:szCs w:val="28"/>
          <w:rtl w:val="true"/>
          <w:lang w:bidi="fa-IR"/>
        </w:rPr>
        <w:t>.</w:t>
      </w:r>
    </w:p>
    <w:p>
      <w:pPr>
        <w:pStyle w:val="Heading5"/>
        <w:numPr>
          <w:ilvl w:val="4"/>
          <w:numId w:val="1"/>
        </w:numPr>
        <w:rPr/>
      </w:pPr>
      <w:bookmarkStart w:id="956" w:name="__RefHeading___Toc9483188_73709187"/>
      <w:bookmarkStart w:id="957" w:name="_Toc363"/>
      <w:bookmarkEnd w:id="956"/>
      <w:r>
        <w:rPr>
          <w:rtl w:val="true"/>
        </w:rPr>
        <w:t>المطلب الثانی</w:t>
      </w:r>
      <w:r>
        <w:rPr>
          <w:rtl w:val="true"/>
        </w:rPr>
        <w:t>:</w:t>
      </w:r>
      <w:bookmarkEnd w:id="957"/>
    </w:p>
    <w:p>
      <w:pPr>
        <w:pStyle w:val="Heading6"/>
        <w:numPr>
          <w:ilvl w:val="5"/>
          <w:numId w:val="1"/>
        </w:numPr>
        <w:rPr/>
      </w:pPr>
      <w:bookmarkStart w:id="958" w:name="__RefHeading___Toc9483190_73709187"/>
      <w:bookmarkStart w:id="959" w:name="_Toc364"/>
      <w:bookmarkEnd w:id="958"/>
      <w:r>
        <w:rPr>
          <w:rtl w:val="true"/>
        </w:rPr>
        <w:t>اشارة</w:t>
      </w:r>
      <w:bookmarkEnd w:id="959"/>
    </w:p>
    <w:p>
      <w:pPr>
        <w:pStyle w:val="BookText"/>
        <w:rPr/>
      </w:pPr>
      <w:r>
        <w:rPr>
          <w:rFonts w:ascii="IRNazanin" w:hAnsi="IRNazanin" w:eastAsia="IRNazanin"/>
          <w:color w:val="111111"/>
          <w:sz w:val="28"/>
          <w:sz w:val="28"/>
          <w:szCs w:val="28"/>
          <w:rtl w:val="true"/>
          <w:lang w:bidi="fa-IR"/>
        </w:rPr>
        <w:t>رجوع الموصی إلیه عن الوصیّة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أیضاً فی أنّه لا یجب علی الوصیّ قبول الوصیّة؛ سواء کانت الوصیّة</w:t>
      </w:r>
      <w:bookmarkStart w:id="960" w:name="pg11753_115218"/>
    </w:p>
    <w:p>
      <w:pPr>
        <w:pStyle w:val="BookText"/>
        <w:rPr/>
      </w:pPr>
      <w:bookmarkEnd w:id="960"/>
      <w:r>
        <w:rPr>
          <w:rFonts w:ascii="IRNazanin" w:hAnsi="IRNazanin" w:eastAsia="IRNazanin"/>
          <w:color w:val="111111"/>
          <w:sz w:val="28"/>
          <w:sz w:val="28"/>
          <w:szCs w:val="28"/>
          <w:rtl w:val="true"/>
          <w:lang w:bidi="fa-IR"/>
        </w:rPr>
        <w:t>بالولایة أم غیرها، بل کان بالخیار فی القبول و ردّها ما دام الموصی حیّاً بشرط أن یبلغه الردّ</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وصّی الإنسان إلی غیره، کان بالخیار فی قبول الوصیّة و ردّها إذا کان الوصیّ حاضراً و شاهداً، فإن کان الموصی إلیه غائباً کان له ردّ الوصیّة ما دام الموصی حیّاً</w:t>
      </w:r>
      <w:r>
        <w:rPr>
          <w:rFonts w:eastAsia="IRNazanin" w:cs="IRNazanin"/>
          <w:color w:val="111111"/>
          <w:sz w:val="28"/>
          <w:szCs w:val="28"/>
          <w:rtl w:val="true"/>
          <w:lang w:bidi="fa-IR"/>
        </w:rPr>
        <w:t>»</w:t>
      </w:r>
      <w:r>
        <w:rPr>
          <w:rStyle w:val="FootnoteAnchor"/>
          <w:rtl w:val="true"/>
        </w:rPr>
        <w:footnoteReference w:id="2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المقنعة</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أوصی رجل إلی رجلٍ و هو شاهدٌ فله أن یمتنع من قبول وصیّته</w:t>
      </w:r>
      <w:r>
        <w:rPr>
          <w:rFonts w:eastAsia="IRNazanin" w:cs="IRNazanin"/>
          <w:color w:val="111111"/>
          <w:sz w:val="28"/>
          <w:szCs w:val="28"/>
          <w:rtl w:val="true"/>
          <w:lang w:bidi="fa-IR"/>
        </w:rPr>
        <w:t>»</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الأصحاب رضی اللّه عنهم فی أنّ للوصیّ أن یردّ الوصایة ما دام الموصی حیّاً بشرط أن یبلغه ذلک</w:t>
      </w:r>
      <w:r>
        <w:rPr>
          <w:rFonts w:eastAsia="IRNazanin" w:cs="IRNazanin"/>
          <w:color w:val="111111"/>
          <w:sz w:val="28"/>
          <w:szCs w:val="28"/>
          <w:rtl w:val="true"/>
          <w:lang w:bidi="fa-IR"/>
        </w:rPr>
        <w:t>»</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1" w:name="__RefHeading___Toc9483192_73709187"/>
      <w:bookmarkStart w:id="962" w:name="_Toc365"/>
      <w:bookmarkEnd w:id="961"/>
      <w:r>
        <w:rPr>
          <w:rtl w:val="true"/>
        </w:rPr>
        <w:t>أدلّة جواز ردّ الوصیّة للوصیّ‌</w:t>
      </w:r>
      <w:bookmarkEnd w:id="962"/>
    </w:p>
    <w:p>
      <w:pPr>
        <w:pStyle w:val="BookText"/>
        <w:rPr/>
      </w:pPr>
      <w:r>
        <w:rPr>
          <w:rFonts w:ascii="Amiri" w:hAnsi="Amiri" w:eastAsia="Amiri" w:cs="Amiri"/>
          <w:color w:val="111111"/>
          <w:sz w:val="28"/>
          <w:sz w:val="28"/>
          <w:szCs w:val="28"/>
          <w:rtl w:val="true"/>
          <w:lang w:bidi="ar-SA"/>
        </w:rPr>
        <w:t>و قد استُدِلَّ لهذا الحکم باُمورٍ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کما فی الروضة</w:t>
      </w:r>
      <w:r>
        <w:rPr>
          <w:rStyle w:val="FootnoteAnchor"/>
          <w:rtl w:val="true"/>
        </w:rPr>
        <w:footnoteReference w:id="3000"/>
      </w:r>
      <w:r>
        <w:rPr>
          <w:rFonts w:ascii="IRNazanin" w:hAnsi="IRNazanin" w:eastAsia="IRNazanin"/>
          <w:color w:val="111111"/>
          <w:sz w:val="28"/>
          <w:sz w:val="28"/>
          <w:szCs w:val="28"/>
          <w:rtl w:val="true"/>
          <w:lang w:bidi="fa-IR"/>
        </w:rPr>
        <w:t>و الجواهر</w:t>
      </w:r>
      <w:r>
        <w:rPr>
          <w:rStyle w:val="FootnoteAnchor"/>
          <w:rtl w:val="true"/>
        </w:rPr>
        <w:footnoteReference w:id="3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لأصالة عدم</w:t>
      </w:r>
    </w:p>
    <w:p>
      <w:pPr>
        <w:pStyle w:val="BookText"/>
        <w:rPr/>
      </w:pPr>
      <w:r>
        <w:rPr>
          <w:rFonts w:ascii="IRNazanin" w:hAnsi="IRNazanin" w:eastAsia="IRNazanin"/>
          <w:color w:val="111111"/>
          <w:sz w:val="28"/>
          <w:sz w:val="28"/>
          <w:szCs w:val="28"/>
          <w:rtl w:val="true"/>
          <w:lang w:bidi="fa-IR"/>
        </w:rPr>
        <w:t>الوجوب فی کلّ ما لم یثبت وجوبه بدلیلٍ معتبر</w:t>
      </w:r>
      <w:r>
        <w:rPr>
          <w:rFonts w:eastAsia="IRNazanin" w:cs="IRNazanin"/>
          <w:color w:val="111111"/>
          <w:sz w:val="28"/>
          <w:szCs w:val="28"/>
          <w:rtl w:val="true"/>
          <w:lang w:bidi="fa-IR"/>
        </w:rPr>
        <w:t>»</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الفتاوی بعدم الوجوب و إرساله إرسال المسلّمات، و عدم استنکار عدم القبول عند المتشرّعة فی الجملة، و لو کان واجباً مطلقاً لشاع و بانَ فی هذا الأمر العام البلوی</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المسالک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الوصایة إذنٌ للوصیّ فی التصرّف المخصوص، فله أن لا یقبل هذا الإذن کالوکالة</w:t>
      </w:r>
      <w:r>
        <w:rPr>
          <w:rFonts w:eastAsia="IRNazanin" w:cs="IRNazanin"/>
          <w:color w:val="111111"/>
          <w:sz w:val="28"/>
          <w:szCs w:val="28"/>
          <w:rtl w:val="true"/>
          <w:lang w:bidi="fa-IR"/>
        </w:rPr>
        <w:t>»</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هو ظاهر التذکرة و المسالک</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هذا المقام، التی تدلّ بظاهرها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أوصی رجلٌ إلی رجل و هو غائبٌ فلیس له أن یردّ وصیّته، و إن أوصی إلیه و هو بالبلد فهو بالخیار إن شاءَ قَبِلَ و إن شاء لم یقبل</w:t>
      </w:r>
      <w:r>
        <w:rPr>
          <w:rFonts w:eastAsia="IRNazanin" w:cs="IRNazanin"/>
          <w:color w:val="111111"/>
          <w:sz w:val="28"/>
          <w:szCs w:val="28"/>
          <w:rtl w:val="true"/>
          <w:lang w:bidi="fa-IR"/>
        </w:rPr>
        <w:t>»</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التفصیل بین الغیبة و الحضور فی البلد إنّما هو بملاحظة إمکان بلوغه الردّ و عدمه، و إذا کان الأمر فی الغیبة کذلک ففی صورة الموت بطریق أولی</w:t>
      </w:r>
      <w:r>
        <w:rPr>
          <w:rFonts w:eastAsia="IRNazanin" w:cs="IRNazanin"/>
          <w:color w:val="111111"/>
          <w:sz w:val="28"/>
          <w:szCs w:val="28"/>
          <w:rtl w:val="true"/>
          <w:lang w:bidi="fa-IR"/>
        </w:rPr>
        <w:t>»</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الفضیل بن یسار، عن أبی عبد اللّه علیه السلام فی رجلٍ یوصی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بها إلیه من بلد فلیس له ردّها، و إن کان فی مصر یوجد فیه غیره</w:t>
      </w:r>
      <w:bookmarkStart w:id="963" w:name="pg11753_115220"/>
    </w:p>
    <w:p>
      <w:pPr>
        <w:pStyle w:val="BookText"/>
        <w:rPr/>
      </w:pPr>
      <w:bookmarkEnd w:id="963"/>
      <w:r>
        <w:rPr>
          <w:rFonts w:ascii="IRNazanin" w:hAnsi="IRNazanin" w:eastAsia="IRNazanin"/>
          <w:color w:val="111111"/>
          <w:sz w:val="28"/>
          <w:sz w:val="28"/>
          <w:szCs w:val="28"/>
          <w:rtl w:val="true"/>
          <w:lang w:bidi="fa-IR"/>
        </w:rPr>
        <w:t>فذاک إلیه</w:t>
      </w:r>
      <w:r>
        <w:rPr>
          <w:rFonts w:eastAsia="IRNazanin" w:cs="IRNazanin"/>
          <w:color w:val="111111"/>
          <w:sz w:val="28"/>
          <w:szCs w:val="28"/>
          <w:rtl w:val="true"/>
          <w:lang w:bidi="fa-IR"/>
        </w:rPr>
        <w:t>»</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منصور بن حازم،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الرجل إلی أخیه و هو غائبٌ فلیس له أن یردّ علیه وصیّته؛ لأنّه لو کان شاهداً فأبی أن یقبلها طلب غیره</w:t>
      </w:r>
      <w:r>
        <w:rPr>
          <w:rFonts w:eastAsia="IRNazanin" w:cs="IRNazanin"/>
          <w:color w:val="111111"/>
          <w:sz w:val="28"/>
          <w:szCs w:val="28"/>
          <w:rtl w:val="true"/>
          <w:lang w:bidi="fa-IR"/>
        </w:rPr>
        <w:t>»</w:t>
      </w:r>
      <w:r>
        <w:rPr>
          <w:rStyle w:val="FootnoteAnchor"/>
          <w:rtl w:val="true"/>
        </w:rPr>
        <w:footnoteReference w:id="3009"/>
      </w:r>
      <w:r>
        <w:rPr>
          <w:rFonts w:ascii="IRNazanin" w:hAnsi="IRNazanin" w:eastAsia="IRNazanin"/>
          <w:color w:val="111111"/>
          <w:sz w:val="28"/>
          <w:sz w:val="28"/>
          <w:szCs w:val="28"/>
          <w:rtl w:val="true"/>
          <w:lang w:bidi="fa-IR"/>
        </w:rPr>
        <w:t>و کذا غیرها</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الروایات تدلّ علی جواز ردّ الموصی إلیه الوصیّة فی حیاة الموصی إمّا بالإطلاق أو بالعموم، و علی عدم وجوب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ذلک لمن یثق من نفسه بالکفایة و الأمانة؛ لأنّه من باب التعاون و التناصر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کلام أنّه مع عجزه و عدم کفایته لا یجب علیه، بل و لا یستحبّ؛ لعدم حصول الغرض، خصوصاً إذا لم یثق من نفسه بالأمانة؛ فإنّها تحرم قطعاً</w:t>
      </w:r>
      <w:r>
        <w:rPr>
          <w:rFonts w:eastAsia="IRNazanin" w:cs="IRNazanin"/>
          <w:color w:val="111111"/>
          <w:sz w:val="28"/>
          <w:szCs w:val="28"/>
          <w:rtl w:val="true"/>
          <w:lang w:bidi="fa-IR"/>
        </w:rPr>
        <w:t>»</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9483194_73709187"/>
      <w:bookmarkStart w:id="965" w:name="_Toc366"/>
      <w:bookmarkEnd w:id="964"/>
      <w:r>
        <w:rPr>
          <w:rtl w:val="true"/>
        </w:rPr>
        <w:t>المطلب الثالث</w:t>
      </w:r>
      <w:r>
        <w:rPr>
          <w:rtl w:val="true"/>
        </w:rPr>
        <w:t>:</w:t>
      </w:r>
      <w:bookmarkEnd w:id="965"/>
    </w:p>
    <w:p>
      <w:pPr>
        <w:pStyle w:val="Heading6"/>
        <w:numPr>
          <w:ilvl w:val="5"/>
          <w:numId w:val="1"/>
        </w:numPr>
        <w:rPr/>
      </w:pPr>
      <w:bookmarkStart w:id="966" w:name="__RefHeading___Toc9483196_73709187"/>
      <w:bookmarkStart w:id="967" w:name="_Toc367"/>
      <w:bookmarkEnd w:id="966"/>
      <w:r>
        <w:rPr>
          <w:rtl w:val="true"/>
        </w:rPr>
        <w:t>اشارة</w:t>
      </w:r>
      <w:bookmarkEnd w:id="967"/>
    </w:p>
    <w:p>
      <w:pPr>
        <w:pStyle w:val="BookText"/>
        <w:rPr/>
      </w:pPr>
      <w:r>
        <w:rPr>
          <w:rFonts w:ascii="IRNazanin" w:hAnsi="IRNazanin" w:eastAsia="IRNazanin"/>
          <w:color w:val="111111"/>
          <w:sz w:val="28"/>
          <w:sz w:val="28"/>
          <w:szCs w:val="28"/>
          <w:rtl w:val="true"/>
          <w:lang w:bidi="fa-IR"/>
        </w:rPr>
        <w:t>موارد عدم جواز ردّ الوصیّة فیها</w:t>
      </w:r>
    </w:p>
    <w:p>
      <w:pPr>
        <w:pStyle w:val="Heading6"/>
        <w:numPr>
          <w:ilvl w:val="5"/>
          <w:numId w:val="1"/>
        </w:numPr>
        <w:rPr/>
      </w:pPr>
      <w:bookmarkStart w:id="968" w:name="__RefHeading___Toc9483198_73709187"/>
      <w:bookmarkStart w:id="969" w:name="_Toc368"/>
      <w:bookmarkEnd w:id="968"/>
      <w:r>
        <w:rPr>
          <w:rtl w:val="true"/>
        </w:rPr>
        <w:t>تمهید</w:t>
      </w:r>
      <w:bookmarkEnd w:id="96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 اللّه تبارک و تعالی الوصیّة لیتدارک بها المؤمن ما فاته من فعل الخیر، و لیتبرّع بما تیسّر له ممّا أفاء اللّه علیه من الثروة و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شرّع الوصیّة اهتماماً بشئون الأیتام و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اهتمّ بأمر الأیتام و الصغار أشدّ الاهتمام، و لم یترکهم بعد موت آبائهم و امّهاتهم سدیً و بلا ولیّ بأیّ حال من الأحوال، و لذا أوجب قبول الوصیّة و القیمومة للأطفال، و حرّم ردّها علی بعض الناس، حیث إنّ جواز ردّ الوصیّة و عدم قبول قیمومة الصغار فی الموارد التی نتلوها علیک قریباً، کان موجباً لترک الصغار بلا ولیّ و قیّم، و الإضرار بهم و إتلاف أنفسهم و أموالهم، و هذا ممّا لا یرضی به الشارع الرءوف بالأیتام و الصغار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جواز ردّ الوصیّة موارد لا یجوز فیها الردّ، بل یجب للوصیّ القیام بها، نذکرها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ردّ الوصیّة بالولایة من الموصی إلیه بعد موت الموصی، و کذا لا یجوز الردّ إذا کان الردّ فی حال حیاة الموصی، و لکن لا یبلغه حتّی مات؛ لأنّ جواز ردّ الوصیّة مشروط بأن یکون الموصی حیّاً کما تقدّم، فإذا کان بین الموصی و الوصیّ مسافة و مات الموصی قبل الردّ، أو امتنع الموصی إلیه من قبول الوصیّة فی حال حیاته و لکن لم یبلغه خبره حتّی مات، لم یکن للردّ أثر و کانت الوصیّة لازمة، و یجب علی الموصی إلیه القیام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المقنعة</w:t>
      </w:r>
      <w:r>
        <w:rPr>
          <w:rStyle w:val="FootnoteAnchor"/>
          <w:rtl w:val="true"/>
        </w:rPr>
        <w:footnoteReference w:id="3012"/>
      </w:r>
    </w:p>
    <w:p>
      <w:pPr>
        <w:pStyle w:val="BookText"/>
        <w:rPr/>
      </w:pPr>
      <w:r>
        <w:rPr>
          <w:rFonts w:ascii="IRNazanin" w:hAnsi="IRNazanin" w:eastAsia="IRNazanin"/>
          <w:color w:val="111111"/>
          <w:sz w:val="28"/>
          <w:sz w:val="28"/>
          <w:szCs w:val="28"/>
          <w:rtl w:val="true"/>
          <w:lang w:bidi="fa-IR"/>
        </w:rPr>
        <w:t>و النهایة</w:t>
      </w:r>
      <w:r>
        <w:rPr>
          <w:rStyle w:val="FootnoteAnchor"/>
          <w:rtl w:val="true"/>
        </w:rPr>
        <w:footnoteReference w:id="3013"/>
      </w:r>
      <w:r>
        <w:rPr>
          <w:rFonts w:ascii="IRNazanin" w:hAnsi="IRNazanin" w:eastAsia="IRNazanin"/>
          <w:color w:val="111111"/>
          <w:sz w:val="28"/>
          <w:sz w:val="28"/>
          <w:szCs w:val="28"/>
          <w:rtl w:val="true"/>
          <w:lang w:bidi="fa-IR"/>
        </w:rPr>
        <w:t>و السرائر</w:t>
      </w:r>
      <w:r>
        <w:rPr>
          <w:rStyle w:val="FootnoteAnchor"/>
          <w:rtl w:val="true"/>
        </w:rPr>
        <w:footnoteReference w:id="3014"/>
      </w:r>
      <w:r>
        <w:rPr>
          <w:rFonts w:ascii="IRNazanin" w:hAnsi="IRNazanin" w:eastAsia="IRNazanin"/>
          <w:color w:val="111111"/>
          <w:sz w:val="28"/>
          <w:sz w:val="28"/>
          <w:szCs w:val="28"/>
          <w:rtl w:val="true"/>
          <w:lang w:bidi="fa-IR"/>
        </w:rPr>
        <w:t>و الشرائع</w:t>
      </w:r>
      <w:r>
        <w:rPr>
          <w:rStyle w:val="FootnoteAnchor"/>
          <w:rtl w:val="true"/>
        </w:rPr>
        <w:footnoteReference w:id="3015"/>
      </w:r>
      <w:r>
        <w:rPr>
          <w:rFonts w:ascii="IRNazanin" w:hAnsi="IRNazanin" w:eastAsia="IRNazanin"/>
          <w:color w:val="111111"/>
          <w:sz w:val="28"/>
          <w:sz w:val="28"/>
          <w:szCs w:val="28"/>
          <w:rtl w:val="true"/>
          <w:lang w:bidi="fa-IR"/>
        </w:rPr>
        <w:t>و غیرها</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نسبه العلاّمة فی التذکرة إلی ظاهر کلام الأصحاب</w:t>
      </w:r>
      <w:r>
        <w:rPr>
          <w:rStyle w:val="FootnoteAnchor"/>
          <w:rtl w:val="true"/>
        </w:rPr>
        <w:footnoteReference w:id="3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w:t>
      </w:r>
    </w:p>
    <w:p>
      <w:pPr>
        <w:pStyle w:val="BookText"/>
        <w:rPr/>
      </w:pPr>
      <w:r>
        <w:rPr>
          <w:rFonts w:ascii="IRNazanin" w:hAnsi="IRNazanin" w:eastAsia="IRNazanin"/>
          <w:color w:val="111111"/>
          <w:sz w:val="28"/>
          <w:sz w:val="28"/>
          <w:szCs w:val="28"/>
          <w:rtl w:val="true"/>
          <w:lang w:bidi="fa-IR"/>
        </w:rPr>
        <w:t>إلی المشهور</w:t>
      </w:r>
      <w:r>
        <w:rPr>
          <w:rStyle w:val="FootnoteAnchor"/>
          <w:rtl w:val="true"/>
        </w:rPr>
        <w:footnoteReference w:id="3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المتقدّمة</w:t>
      </w:r>
      <w:r>
        <w:rPr>
          <w:rStyle w:val="FootnoteAnchor"/>
          <w:rtl w:val="true"/>
        </w:rPr>
        <w:footnoteReference w:id="3019"/>
      </w:r>
      <w:r>
        <w:rPr>
          <w:rFonts w:ascii="IRNazanin" w:hAnsi="IRNazanin" w:eastAsia="IRNazanin"/>
          <w:color w:val="111111"/>
          <w:sz w:val="28"/>
          <w:sz w:val="28"/>
          <w:szCs w:val="28"/>
          <w:rtl w:val="true"/>
          <w:lang w:bidi="fa-IR"/>
        </w:rPr>
        <w:t>؛ لأنّ المراد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غائبٌ فلیس له أن یردّ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مات الموصی فی تلک الغیبة قبل أن یُعلِمَهُ الوصی بالقبول أو الردّ؛ فإنّه یجب القیام بالوصایة و إن 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الفضیل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التقریب فیها ما تقدّم فی الصحیحة السابقة؛ بمعنی أنّه مات الموصی بعد البعث و قبل وصول الجواب إلیه بالقبول و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أوصی إلی رجل و هو غائبٌ عن البلد ثمّ مات، لزمه القیام بالوصیة قَبلَ أو 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صحیحة منصور بن حازم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w:t>
      </w:r>
    </w:p>
    <w:p>
      <w:pPr>
        <w:pStyle w:val="BookText"/>
        <w:rPr/>
      </w:pPr>
      <w:r>
        <w:rPr>
          <w:rFonts w:ascii="IRNazanin" w:hAnsi="IRNazanin" w:eastAsia="IRNazanin"/>
          <w:color w:val="111111"/>
          <w:sz w:val="28"/>
          <w:sz w:val="28"/>
          <w:szCs w:val="28"/>
          <w:rtl w:val="true"/>
          <w:lang w:bidi="fa-IR"/>
        </w:rPr>
        <w:t>ما رواه فی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رجل إلی رجلٍ و هو شاهد، فله أن یمتنع من قبول الوصیّة، و إن کان الموصی إلیه غائباً، و مات الموصی من قبل أن یلتقی مع الموصی إلیه؛ فإنّ الوصیّة لازمة للموصی إلیه</w:t>
      </w:r>
      <w:r>
        <w:rPr>
          <w:rFonts w:eastAsia="IRNazanin" w:cs="IRNazanin"/>
          <w:color w:val="111111"/>
          <w:sz w:val="28"/>
          <w:szCs w:val="28"/>
          <w:rtl w:val="true"/>
          <w:lang w:bidi="fa-IR"/>
        </w:rPr>
        <w:t>»</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یبلغ الردُّ الموصیَ، أو لم یبلغه الخبر إلاّ بعد موت الموصی؛ فإنّه لیس له الردّ، بل یجب علیه القبول، و حینئذٍ فالحکم فی هذه الصورة کما فی الصورة الاُولی؛ أعنی موت الموصی بعد قبول الوصی؛ فإنّه لیس للوصیّ الردّ بعد موته اتّفاقاً</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ذهب فی التحریر إلی جواز الرجوع فی حیاة الموصی و بعده</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الأصحاب عدم جواز ردّ الوصیة إذا لم یعلم الوصیّ</w:t>
      </w:r>
    </w:p>
    <w:p>
      <w:pPr>
        <w:pStyle w:val="BookText"/>
        <w:rPr/>
      </w:pPr>
      <w:r>
        <w:rPr>
          <w:rFonts w:ascii="IRNazanin" w:hAnsi="IRNazanin" w:eastAsia="IRNazanin"/>
          <w:color w:val="111111"/>
          <w:sz w:val="28"/>
          <w:sz w:val="28"/>
          <w:szCs w:val="28"/>
          <w:rtl w:val="true"/>
          <w:lang w:bidi="fa-IR"/>
        </w:rPr>
        <w:t>بها حتّی یموت الموصی، أو یعلم و یردّ و لما یعلم الموصی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المصیر إلی ذلک إن کان قد قبل الوصیة أوّلاً، و إن لم یکن قَبِلَ و لا عَلِمَ، جاز له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نبّه الشیخ فی المبسوط‌</w:t>
      </w:r>
      <w:r>
        <w:rPr>
          <w:rStyle w:val="FootnoteAnchor"/>
          <w:rtl w:val="true"/>
        </w:rPr>
        <w:footnoteReference w:id="3023"/>
      </w:r>
      <w:r>
        <w:rPr>
          <w:rFonts w:ascii="IRNazanin" w:hAnsi="IRNazanin" w:eastAsia="IRNazanin"/>
          <w:color w:val="111111"/>
          <w:sz w:val="28"/>
          <w:sz w:val="28"/>
          <w:szCs w:val="28"/>
          <w:rtl w:val="true"/>
          <w:lang w:bidi="fa-IR"/>
        </w:rPr>
        <w:t>و مسائل الخلاف</w:t>
      </w:r>
      <w:r>
        <w:rPr>
          <w:rStyle w:val="FootnoteAnchor"/>
          <w:rtl w:val="true"/>
        </w:rPr>
        <w:footnoteReference w:id="3024"/>
      </w:r>
      <w:r>
        <w:rPr>
          <w:rFonts w:ascii="IRNazanin" w:hAnsi="IRNazanin" w:eastAsia="IRNazanin"/>
          <w:color w:val="111111"/>
          <w:sz w:val="28"/>
          <w:sz w:val="28"/>
          <w:szCs w:val="28"/>
          <w:rtl w:val="true"/>
          <w:lang w:bidi="fa-IR"/>
        </w:rPr>
        <w:t>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الوصیّة، له أن یردّها ما دام الموصی حیّاً، فإن مات فلیس له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بإجماع الفرقة، و بأنّ الوصیّة قد لزمته بالقبول</w:t>
      </w:r>
      <w:r>
        <w:rPr>
          <w:rFonts w:eastAsia="IRNazanin" w:cs="IRNazanin"/>
          <w:color w:val="111111"/>
          <w:sz w:val="28"/>
          <w:szCs w:val="28"/>
          <w:rtl w:val="true"/>
          <w:lang w:bidi="fa-IR"/>
        </w:rPr>
        <w:t>»</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مال إلیه المحقّق و الشهید الثانیان</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أی عدم لزوم الوصیّة علی الموصی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نفی الحرج</w:t>
      </w:r>
      <w:r>
        <w:rPr>
          <w:rStyle w:val="FootnoteAnchor"/>
          <w:rtl w:val="true"/>
        </w:rPr>
        <w:footnoteReference w:id="3027"/>
      </w:r>
      <w:r>
        <w:rPr>
          <w:rFonts w:ascii="IRNazanin" w:hAnsi="IRNazanin" w:eastAsia="IRNazanin"/>
          <w:color w:val="111111"/>
          <w:sz w:val="28"/>
          <w:sz w:val="28"/>
          <w:szCs w:val="28"/>
          <w:rtl w:val="true"/>
          <w:lang w:bidi="fa-IR"/>
        </w:rPr>
        <w:t>، و حدیث لا ضرر</w:t>
      </w:r>
      <w:r>
        <w:rPr>
          <w:rStyle w:val="FootnoteAnchor"/>
          <w:rtl w:val="true"/>
        </w:rPr>
        <w:footnoteReference w:id="3028"/>
      </w:r>
      <w:r>
        <w:rPr>
          <w:rFonts w:ascii="IRNazanin" w:hAnsi="IRNazanin" w:eastAsia="IRNazanin"/>
          <w:color w:val="111111"/>
          <w:sz w:val="28"/>
          <w:sz w:val="28"/>
          <w:szCs w:val="28"/>
          <w:rtl w:val="true"/>
          <w:lang w:bidi="fa-IR"/>
        </w:rPr>
        <w:t>؛ بمعنی أنّ إثبات الوصیّة و وجوب القیام بها علی الوصی علی وجه قهریّ ضرر و حرج علیه</w:t>
      </w:r>
      <w:r>
        <w:rPr>
          <w:rStyle w:val="FootnoteAnchor"/>
          <w:rtl w:val="true"/>
        </w:rPr>
        <w:footnoteReference w:id="3029"/>
      </w:r>
      <w:r>
        <w:rPr>
          <w:rFonts w:ascii="IRNazanin" w:hAnsi="IRNazanin" w:eastAsia="IRNazanin"/>
          <w:color w:val="111111"/>
          <w:sz w:val="28"/>
          <w:sz w:val="28"/>
          <w:szCs w:val="28"/>
          <w:rtl w:val="true"/>
          <w:lang w:bidi="fa-IR"/>
        </w:rPr>
        <w:t>، و هما منفیّان بالآیة و الحدیث</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تسلیط الموصی علی إثبات وصیّته علی من شاء بحیث یوصی و یطلب من الشهود کتمان الوصیّة إلی حین موته ممّا ینافی اصول المذهب، و لا یعرف له فی الشرعیّات مثل، کما فی جامع المقاصد</w:t>
      </w:r>
      <w:r>
        <w:rPr>
          <w:rStyle w:val="FootnoteAnchor"/>
          <w:rtl w:val="true"/>
        </w:rPr>
        <w:footnoteReference w:id="303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لیست صریحة فی المدّعی؛ لتضمّنها أنّ الحاضر لا یلزمه القبول مطلقاً، و الغائب یلزمه مطلقاً، و هو غیر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تعلیل الروایة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إیماء إلی الحکم، إلاّ أنّ إثبات مثل هذا الحکم المخالف للاُصول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حقّ الوصایة علی الموصی إلیه علی وجه القهر، و تسلیط الموصی علی إثبات وصیّته علی من شاء، بحیث یوصی و یطلب من الشهود کتمان الوصیّة إلی حین موته، و یدخل علی الوصیّ الحرج و الضرر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هذه العلّة المستندة إلی سند غیر واضح بعید، و لو حملت هذه الأخبار علی سبق القبول، أو علی شدّة الاستحباب کان أولی</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الشیخ رحمه الله فی المبسوط و الخلاف لیس صریحاً فی ذلک، بل أنّه قدس سره لم یتعرّض للصورة التی لم یقبل الوصیّ فیها الوصیّة، أو لم یعلمها حتّی مات الموصی، و لعلّ إطلاق کلامه یشمل کلتا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و عدمه،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ردّها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 فلا مورد له لوجود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الضرر و المشقّة، فإن أراد بالضرر و المشقّة مطلق المشقّة فلا نسلّم أنّ ذلک موجب للردّ، فإنّ التکالیف کلّها ملزومة للمشقّة، کما فی التنقیح الرائع</w:t>
      </w:r>
      <w:r>
        <w:rPr>
          <w:rStyle w:val="FootnoteAnchor"/>
          <w:rtl w:val="true"/>
        </w:rPr>
        <w:footnoteReference w:id="3032"/>
      </w:r>
      <w:r>
        <w:rPr>
          <w:rFonts w:ascii="IRNazanin" w:hAnsi="IRNazanin" w:eastAsia="IRNazanin"/>
          <w:color w:val="111111"/>
          <w:sz w:val="28"/>
          <w:sz w:val="28"/>
          <w:szCs w:val="28"/>
          <w:rtl w:val="true"/>
          <w:lang w:bidi="fa-IR"/>
        </w:rPr>
        <w:t>، مضافاً إلی أنّا نمنع حصول الضرر و الحرج الموجب للردّ بمجرّد الوصیّة إلیه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 بالضرر و الحرج ما تؤدّی إلیه الوصیّة من ضرر دینیّ، أو دنیویّ، أو مشقّة لا یتحمّل مثلها عادةً، أو لزم من تحمّلها علیه ما لا یلیق بحاله من شتم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فرضه الشهید الثانی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داخل فی قسم العجز، و سیأتی حکمه، و یجوز له الرجوع دفعاً للضرر عن نفسه أو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إثبات هذا الحکم مخالف للأصول الشرعیّة بإثبات حقّ الوصایة علی الموصی إلیه علی وجه القهر، فأجاب عنه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ثبت ذلک بالأدلّة الصحیحة؛ فإنّه یجب تخصیص الاُصول التی ذکرها بهذه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و لا تقاوم مع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عمل بها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یبق حینئذٍ إلاّ مجرّد الاستبعاد العقلی الذی 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الشهید الثانی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مسموع فی مقابلة الأخبار، سیّما مع صحّتها و تکاثرها و وضوح دلالتها</w:t>
      </w:r>
      <w:r>
        <w:rPr>
          <w:rFonts w:eastAsia="IRNazanin" w:cs="IRNazanin"/>
          <w:color w:val="111111"/>
          <w:sz w:val="28"/>
          <w:szCs w:val="28"/>
          <w:rtl w:val="true"/>
          <w:lang w:bidi="fa-IR"/>
        </w:rPr>
        <w:t>»</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حمل الأحادیث علی سبق القبول؛ فإنّه غیر موجّهٍ، لأنّه تأویل لا یحتمله لفظ الحدیث، لأنّ الواو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 فیقیّد الإیصاء بغیبة الوصیّ، فلا یتقدّر قبوله قبل الموت بناءً علی الظاهر، و إنّما یتقدّر لو کان حاضراً فأوصی إلیه و قبل ثمّ سافر و ردّ فی غیبته، لکن ذلک لا یحتمله لفظ الحدیثین، کما أشار إلیه فی التنقیح الرائع</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الأخبار لیست صریحة فی المدّعی، لتضمّنها أنّ الحاضر لا یلزمه القبول مطلقاً، و الغائب یلزمه مطلقاً، و هو غیر محلّ النزاع</w:t>
      </w:r>
      <w:r>
        <w:rPr>
          <w:rFonts w:eastAsia="IRNazanin" w:cs="IRNazanin"/>
          <w:color w:val="111111"/>
          <w:sz w:val="28"/>
          <w:szCs w:val="28"/>
          <w:rtl w:val="true"/>
          <w:lang w:bidi="fa-IR"/>
        </w:rPr>
        <w:t>»</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الغیبة و الحضور کنایة عن بلوغ الردّ إلی الموصی و هو حیّ، للإجماع علی مدخلیة الردّ الذی یبلغ إلی الموصی</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للمسند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القبول إذا بلغه ذلک</w:t>
      </w:r>
    </w:p>
    <w:p>
      <w:pPr>
        <w:pStyle w:val="BookText"/>
        <w:rPr/>
      </w:pPr>
      <w:r>
        <w:rPr>
          <w:rFonts w:ascii="IRNazanin" w:hAnsi="IRNazanin" w:eastAsia="IRNazanin"/>
          <w:color w:val="111111"/>
          <w:sz w:val="28"/>
          <w:sz w:val="28"/>
          <w:szCs w:val="28"/>
          <w:rtl w:val="true"/>
          <w:lang w:bidi="fa-IR"/>
        </w:rPr>
        <w:t>بعد موت الموصی، و لا ترک القیام بما فوّض إلیه من ذلک، إذا لم یقبل و ردّ فلم یبلغ الموصی ذلک حتّی مات، بدلیل إجماع الطائفة</w:t>
      </w:r>
      <w:r>
        <w:rPr>
          <w:rFonts w:eastAsia="IRNazanin" w:cs="IRNazanin"/>
          <w:color w:val="111111"/>
          <w:sz w:val="28"/>
          <w:szCs w:val="28"/>
          <w:rtl w:val="true"/>
          <w:lang w:bidi="fa-IR"/>
        </w:rPr>
        <w:t>»</w:t>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بالغیبة و الحضور فی النصوص إمکان وصول الردّ إلیه عرفاً و عدم الإمکان کذلک، و لا موضوعیّة لنفس الغیبة و الحضور من حیث 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التعلیل الوارد فی صحیحة منصور بن حازم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شاهداً فأبی أن یقبلها طلب غیره</w:t>
      </w:r>
      <w:r>
        <w:rPr>
          <w:rFonts w:eastAsia="IRNazanin" w:cs="IRNazanin"/>
          <w:color w:val="111111"/>
          <w:sz w:val="28"/>
          <w:szCs w:val="28"/>
          <w:rtl w:val="true"/>
          <w:lang w:bidi="fa-IR"/>
        </w:rPr>
        <w:t>»</w:t>
      </w:r>
      <w:r>
        <w:rPr>
          <w:rStyle w:val="FootnoteAnchor"/>
          <w:rtl w:val="true"/>
        </w:rPr>
        <w:footnoteReference w:id="3038"/>
      </w:r>
      <w:r>
        <w:rPr>
          <w:rFonts w:ascii="Amiri" w:hAnsi="Amiri" w:eastAsia="Amiri" w:cs="Amiri"/>
          <w:color w:val="111111"/>
          <w:sz w:val="28"/>
          <w:sz w:val="28"/>
          <w:szCs w:val="28"/>
          <w:rtl w:val="true"/>
          <w:lang w:bidi="ar-SA"/>
        </w:rPr>
        <w:t>أنّ صحّة الردّ مشروطة ببلوغ خبر الردّ إلی الموصی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الصراحة لو سلّم لا ینفی أصل الاستدلال، إذ أکثر الفقه مبنیّ علی الظواهر</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فتاوی الأصحاب و ما رواه فی فقه الرضوی المتقدِّم، حیث ورد فی ذیلها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الموصی إلیه غائباً، و مات الموصی من قبل أن یلتقی مع الموصی إلیه؛ فإنّ الوصیة لازمة للموصی إلیه</w:t>
      </w:r>
      <w:r>
        <w:rPr>
          <w:rFonts w:eastAsia="IRNazanin" w:cs="IRNazanin"/>
          <w:color w:val="111111"/>
          <w:sz w:val="28"/>
          <w:szCs w:val="28"/>
          <w:rtl w:val="true"/>
          <w:lang w:bidi="fa-IR"/>
        </w:rPr>
        <w:t>»</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العلاّمة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الردّ إذا لم یعلم بالوصیّة حتّی مات للحرج و الضرر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نعلم له موافقاً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قلناه من اللزوم بالموت و عدم الردّ، فلا عبرة بقبول الوصیّ و عدمه، بل العبرة بعدم الردّ الذی یبلغ الموصی، فإن حصل و إلاّ التزم</w:t>
      </w:r>
      <w:r>
        <w:rPr>
          <w:rFonts w:eastAsia="IRNazanin" w:cs="IRNazanin"/>
          <w:color w:val="111111"/>
          <w:sz w:val="28"/>
          <w:szCs w:val="28"/>
          <w:rtl w:val="true"/>
          <w:lang w:bidi="fa-IR"/>
        </w:rPr>
        <w:t>»</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الفقیه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حکی کلام العلاّمة و الشهید الثانی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استدلاّ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تعلم أنّ الظهور کافٍ فی الاستدلال، و العمومات و الأصل</w:t>
      </w:r>
    </w:p>
    <w:p>
      <w:pPr>
        <w:pStyle w:val="BookText"/>
        <w:rPr/>
      </w:pPr>
      <w:r>
        <w:rPr>
          <w:rFonts w:ascii="IRNazanin" w:hAnsi="IRNazanin" w:eastAsia="IRNazanin"/>
          <w:color w:val="111111"/>
          <w:sz w:val="28"/>
          <w:sz w:val="28"/>
          <w:szCs w:val="28"/>
          <w:rtl w:val="true"/>
          <w:lang w:bidi="fa-IR"/>
        </w:rPr>
        <w:t>و غیرهما لا تعارض مع النصوص الخاصّة التی عمل بها الأصحاب، خصوصاً مع دعوی الإجماع علیه</w:t>
      </w:r>
      <w:r>
        <w:rPr>
          <w:rFonts w:eastAsia="IRNazanin" w:cs="IRNazanin"/>
          <w:color w:val="111111"/>
          <w:sz w:val="28"/>
          <w:szCs w:val="28"/>
          <w:rtl w:val="true"/>
          <w:lang w:bidi="fa-IR"/>
        </w:rPr>
        <w:t>»</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تلک الأخبار أنّه یجب العمل بالوصیّة علی الموصی إلیه إذا لم یردّ، أو إذا ردّ و لکن لم یبلغ الموصی الردّ</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ضعف سند روایة منصور بن حازم فغیر واضحٍ؛ لأنّ طریق الصدوق إلی علیّ بن الحکم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الحکم بن الزبیر و علی بن الحکم الأنباری و علی بن الحکم الکوفی الذی وثّقه الشیخ متّحد، و هم شخص واحد کما صرّح بذلک الوحید البهبهانی</w:t>
      </w:r>
      <w:r>
        <w:rPr>
          <w:rStyle w:val="FootnoteAnchor"/>
          <w:rtl w:val="true"/>
        </w:rPr>
        <w:footnoteReference w:id="3044"/>
      </w:r>
      <w:r>
        <w:rPr>
          <w:rFonts w:ascii="IRNazanin" w:hAnsi="IRNazanin" w:eastAsia="IRNazanin"/>
          <w:color w:val="111111"/>
          <w:sz w:val="28"/>
          <w:sz w:val="28"/>
          <w:szCs w:val="28"/>
          <w:rtl w:val="true"/>
          <w:lang w:bidi="fa-IR"/>
        </w:rPr>
        <w:t>و السیّد الخوئی</w:t>
      </w:r>
      <w:r>
        <w:rPr>
          <w:rStyle w:val="FootnoteAnchor"/>
          <w:rtl w:val="true"/>
        </w:rPr>
        <w:footnoteReference w:id="3045"/>
      </w:r>
      <w:r>
        <w:rPr>
          <w:rFonts w:ascii="IRNazanin" w:hAnsi="IRNazanin" w:eastAsia="IRNazanin"/>
          <w:color w:val="111111"/>
          <w:sz w:val="28"/>
          <w:sz w:val="28"/>
          <w:szCs w:val="28"/>
          <w:rtl w:val="true"/>
          <w:lang w:bidi="fa-IR"/>
        </w:rPr>
        <w:t>و العلاّمة التستری</w:t>
      </w:r>
      <w:r>
        <w:rPr>
          <w:rStyle w:val="FootnoteAnchor"/>
          <w:rtl w:val="true"/>
        </w:rPr>
        <w:footnoteReference w:id="3046"/>
      </w:r>
    </w:p>
    <w:p>
      <w:pPr>
        <w:pStyle w:val="BookText"/>
        <w:rPr/>
      </w:pPr>
      <w:r>
        <w:rPr>
          <w:rFonts w:ascii="IRNazanin" w:hAnsi="IRNazanin" w:eastAsia="IRNazanin"/>
          <w:color w:val="111111"/>
          <w:sz w:val="28"/>
          <w:sz w:val="28"/>
          <w:szCs w:val="28"/>
          <w:rtl w:val="true"/>
          <w:lang w:bidi="fa-IR"/>
        </w:rPr>
        <w:t>و ذکروا القرائن للاتّحاد، و لم نذکرها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فالأقرب ما ذهب إلیه المشهور من أنّه لا یجوز للوصیّ ردّ الوصیّة بعد وفاة الموصی؛ سواء مات قبل الردّ، أو بعده و لم یبلغه الردّ و کانت الوصیّة لازمة للموصی إلیه، و لکن ینبغی أن یستثنی من ذلک ما یستلزم الضرر و الحرج دون غیره، و أمّا استثناء ما عجز عنه فواضح، کما فی الروضة</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المنساق من مجموعها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ردّ بعضها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القبول بحسب الذات من حقوق الاُخوّة الإیمانیّة بل الإنسانیّة؛ لأنّه من مصادیق قضاء الحوائج و فرع قبول الهدیّة و العطیّة، فکما أنّ قضاء حاجة المؤمن و قبول هدیّته و عطیّته راجحة بحسب الذات، و یتّصف بالوجوب تارةً و الحرمة اخری لعوارض</w:t>
      </w:r>
    </w:p>
    <w:p>
      <w:pPr>
        <w:pStyle w:val="BookText"/>
        <w:rPr/>
      </w:pPr>
      <w:r>
        <w:rPr>
          <w:rFonts w:ascii="IRNazanin" w:hAnsi="IRNazanin" w:eastAsia="IRNazanin"/>
          <w:color w:val="111111"/>
          <w:sz w:val="28"/>
          <w:sz w:val="28"/>
          <w:szCs w:val="28"/>
          <w:rtl w:val="true"/>
          <w:lang w:bidi="fa-IR"/>
        </w:rPr>
        <w:t>خارجة، فکذا قبول الوصیّة، فهو راجح بذاته، و قد یجب إن لزم من ردّها ضرر و تضییع حقّ الموصی، و قد یحرم إن لزم من قبولها ضرر علی الوصی</w:t>
      </w:r>
      <w:r>
        <w:rPr>
          <w:rFonts w:eastAsia="IRNazanin" w:cs="IRNazanin"/>
          <w:color w:val="111111"/>
          <w:sz w:val="28"/>
          <w:szCs w:val="28"/>
          <w:rtl w:val="true"/>
          <w:lang w:bidi="fa-IR"/>
        </w:rPr>
        <w:t>»</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لا یستطیع الموصی أن یُوصِی إلی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عرفت أنّه یُشتَرَطُ فی جواز الردّ فی حال الحیاة بلوغ الخبر إلی الموصی، یقع الکلام فی أنّه لو بلغه الخبر، و لکن لم یمکنه إقامة وصیٍّ غیره، فهل یکفی فی جواز الردّ مجرّد بُلوغِ الخبر و إن لم یوجد وصیٌّ غیره، أو لا بدّ من تقییده بإمکان وجود وصیّ آخر؟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مجرّد بلوغ الردّ إلی الموصی، و لا یشترط فی جواز الردّ أمر آخر، و هو ظاهر إطلاق الفتاوی، حیث إنّها لم تکن مقیّدة بتمکّن الموصی من إقامة وصیّ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 الردّ إلی الموصی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إمکانُ إقامته وصیّاً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قال فی المسالک</w:t>
      </w:r>
      <w:r>
        <w:rPr>
          <w:rStyle w:val="FootnoteAnchor"/>
          <w:rtl w:val="true"/>
        </w:rPr>
        <w:footnoteReference w:id="3049"/>
      </w:r>
      <w:r>
        <w:rPr>
          <w:rFonts w:ascii="IRNazanin" w:hAnsi="IRNazanin" w:eastAsia="IRNazanin"/>
          <w:color w:val="111111"/>
          <w:sz w:val="28"/>
          <w:sz w:val="28"/>
          <w:szCs w:val="28"/>
          <w:rtl w:val="true"/>
          <w:lang w:bidi="fa-IR"/>
        </w:rPr>
        <w:t>و الریاض</w:t>
      </w:r>
      <w:r>
        <w:rPr>
          <w:rStyle w:val="FootnoteAnchor"/>
          <w:rtl w:val="true"/>
        </w:rPr>
        <w:footnoteReference w:id="3050"/>
      </w:r>
      <w:r>
        <w:rPr>
          <w:rFonts w:ascii="IRNazanin" w:hAnsi="IRNazanin" w:eastAsia="IRNazanin"/>
          <w:color w:val="111111"/>
          <w:sz w:val="28"/>
          <w:sz w:val="28"/>
          <w:szCs w:val="28"/>
          <w:rtl w:val="true"/>
          <w:lang w:bidi="fa-IR"/>
        </w:rPr>
        <w:t>و الجواهر</w:t>
      </w:r>
      <w:r>
        <w:rPr>
          <w:rStyle w:val="FootnoteAnchor"/>
          <w:rtl w:val="true"/>
        </w:rPr>
        <w:footnoteReference w:id="3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للموصی إلیه أن یردّ الوصیّة فی حال حیاة الموصی بشرط أن یبلغه الردُّ، بل الأحوط اعتبار إمکان نصب غیره له أیضاً</w:t>
      </w:r>
      <w:r>
        <w:rPr>
          <w:rFonts w:eastAsia="IRNazanin" w:cs="IRNazanin"/>
          <w:color w:val="111111"/>
          <w:sz w:val="28"/>
          <w:szCs w:val="28"/>
          <w:rtl w:val="true"/>
          <w:lang w:bidi="fa-IR"/>
        </w:rPr>
        <w:t>»</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الإمام الخمینی</w:t>
      </w:r>
      <w:r>
        <w:rPr>
          <w:rStyle w:val="FootnoteAnchor"/>
          <w:rtl w:val="true"/>
        </w:rPr>
        <w:footnoteReference w:id="3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مبانی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الردُّ مع عدم إمکان جعل غیره وصیّاً؟</w:t>
      </w:r>
    </w:p>
    <w:p>
      <w:pPr>
        <w:pStyle w:val="BookText"/>
        <w:rPr/>
      </w:pPr>
      <w:r>
        <w:rPr>
          <w:rFonts w:ascii="IRNazanin" w:hAnsi="IRNazanin" w:eastAsia="IRNazanin"/>
          <w:color w:val="111111"/>
          <w:sz w:val="28"/>
          <w:sz w:val="28"/>
          <w:szCs w:val="28"/>
          <w:rtl w:val="true"/>
          <w:lang w:bidi="fa-IR"/>
        </w:rPr>
        <w:t>لا یبعد أن یستفاد من نصوص الباب وجوب القبول و عدم جواز الردّ فی هذه الصورة</w:t>
      </w:r>
      <w:r>
        <w:rPr>
          <w:rFonts w:eastAsia="IRNazanin" w:cs="IRNazanin"/>
          <w:color w:val="111111"/>
          <w:sz w:val="28"/>
          <w:szCs w:val="28"/>
          <w:rtl w:val="true"/>
          <w:lang w:bidi="fa-IR"/>
        </w:rPr>
        <w:t>»</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هشام بن سالم، عن أبی عبد اللّه علیه السلام فی الرجل یوصی إلی رجلٍ بوصیّةٍ فیکره أن یقبلها،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یخذله علی هذه الحال</w:t>
      </w:r>
      <w:r>
        <w:rPr>
          <w:rFonts w:eastAsia="IRNazanin" w:cs="IRNazanin"/>
          <w:color w:val="111111"/>
          <w:sz w:val="28"/>
          <w:szCs w:val="28"/>
          <w:rtl w:val="true"/>
          <w:lang w:bidi="fa-IR"/>
        </w:rPr>
        <w:t>»</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مقتضاها أنّه مع عدم وجود الغیر لا یجوز له الردّ</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علیه السلام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عدم وجود الغیر، و لکن لا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فضیل بن یسار المتقدّمة؛ لأنّ قوله علیه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مصر یوجد فیه غیره فذاک إلیه</w:t>
      </w:r>
      <w:r>
        <w:rPr>
          <w:rFonts w:eastAsia="IRNazanin" w:cs="IRNazanin"/>
          <w:color w:val="111111"/>
          <w:sz w:val="28"/>
          <w:szCs w:val="28"/>
          <w:rtl w:val="true"/>
          <w:lang w:bidi="fa-IR"/>
        </w:rPr>
        <w:t>»</w:t>
      </w:r>
      <w:r>
        <w:rPr>
          <w:rStyle w:val="FootnoteAnchor"/>
          <w:rtl w:val="true"/>
        </w:rPr>
        <w:footnoteReference w:id="3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 علیه السلام فی صحیحة منصور بن حازم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شاهداً فأبی أن یقبلها طلب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ظاهران فی تعلیق جواز الردّ علی وجود الغیر، فلو لم یوجد الغیر لقبول الوصیّة لم یجز له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قال فی المسالک بعد نقل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العلّة المنصوصة تتعدّی علی الأقوی، و لانتفاء الفائدة بدونه، فعلی هذا لو کان حیّاً و لکن لم یمکنه نصب أحد و لو بالإشارة لم یصحّ الردّ</w:t>
      </w:r>
      <w:r>
        <w:rPr>
          <w:rFonts w:eastAsia="IRNazanin" w:cs="IRNazanin"/>
          <w:color w:val="111111"/>
          <w:sz w:val="28"/>
          <w:szCs w:val="28"/>
          <w:rtl w:val="true"/>
          <w:lang w:bidi="fa-IR"/>
        </w:rPr>
        <w:t>»</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هناک شخص آخر یمکن أن یجعله وصیّاً، جاز للوصی ردّ الوصیّة، و أمّا إذا لم یکن هناک شخص آخر یقبل و یتحمّل مسئولیة الوصیّة،</w:t>
      </w:r>
    </w:p>
    <w:p>
      <w:pPr>
        <w:pStyle w:val="BookText"/>
        <w:rPr/>
      </w:pPr>
      <w:r>
        <w:rPr>
          <w:rFonts w:ascii="IRNazanin" w:hAnsi="IRNazanin" w:eastAsia="IRNazanin"/>
          <w:color w:val="111111"/>
          <w:sz w:val="28"/>
          <w:sz w:val="28"/>
          <w:szCs w:val="28"/>
          <w:rtl w:val="true"/>
          <w:lang w:bidi="fa-IR"/>
        </w:rPr>
        <w:t>أو کان الأشخاص الذین یمکن أن یوصی إلیهم لا یمکن الاعتماد بهم، فالوصیّة هنا تلزم علی الوصی؛ سواء قبِلها أم لم یَقبلها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أمکن للموصی نصب وصیّ آخر و لکن کان المنصوب غائباً، بحیث یتوقّف ثبوت وصایته علی البیِّنة، و لم یحضر الموصی من تثبت به الوصایة، ففی تنزیله منزلة عدم التمکّن من الوصایة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أصل القدرة و تحقّق الشرط، و من انتفاء فائدته باعتبار عدم ثبوته</w:t>
      </w:r>
      <w:r>
        <w:rPr>
          <w:rStyle w:val="FootnoteAnchor"/>
          <w:rtl w:val="true"/>
        </w:rPr>
        <w:footnoteReference w:id="3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الجواهر</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الموصی أباً و قد أوصی إلی ابنه، قال الصدوق فی المقنع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دعا رجل ابنه إلی قبول وصیّته، فلیس له أن یأبی</w:t>
      </w:r>
      <w:r>
        <w:rPr>
          <w:rFonts w:eastAsia="IRNazanin" w:cs="IRNazanin"/>
          <w:color w:val="111111"/>
          <w:sz w:val="28"/>
          <w:szCs w:val="28"/>
          <w:rtl w:val="true"/>
          <w:lang w:bidi="fa-IR"/>
        </w:rPr>
        <w:t>»</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Style w:val="FootnoteAnchor"/>
          <w:rtl w:val="true"/>
        </w:rPr>
        <w:footnoteReference w:id="30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الصدوق إذا أوصی إلی ولده وجب القبول، و کذا إلی أجنبیّ إذا لم یجد غیره، و هما مرویّان قویّان</w:t>
      </w:r>
      <w:r>
        <w:rPr>
          <w:rFonts w:eastAsia="IRNazanin" w:cs="IRNazanin"/>
          <w:color w:val="111111"/>
          <w:sz w:val="28"/>
          <w:szCs w:val="28"/>
          <w:rtl w:val="true"/>
          <w:lang w:bidi="fa-IR"/>
        </w:rPr>
        <w:t>»</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المختلف المیل إلیه فی آخر کلامه،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فأصحابنا لم ینصّوا علی ذلک، و لا بأس بقوله رحمه الله</w:t>
      </w:r>
      <w:r>
        <w:rPr>
          <w:rFonts w:eastAsia="IRNazanin" w:cs="IRNazanin"/>
          <w:color w:val="111111"/>
          <w:sz w:val="28"/>
          <w:szCs w:val="28"/>
          <w:rtl w:val="true"/>
          <w:lang w:bidi="fa-IR"/>
        </w:rPr>
        <w:t>»</w:t>
      </w:r>
      <w:r>
        <w:rPr>
          <w:rStyle w:val="FootnoteAnchor"/>
          <w:rtl w:val="true"/>
        </w:rPr>
        <w:footnoteReference w:id="3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أیضاً فی الوسائل</w:t>
      </w:r>
      <w:r>
        <w:rPr>
          <w:rStyle w:val="FootnoteAnchor"/>
          <w:rtl w:val="true"/>
        </w:rPr>
        <w:footnoteReference w:id="3066"/>
      </w:r>
      <w:r>
        <w:rPr>
          <w:rFonts w:ascii="IRNazanin" w:hAnsi="IRNazanin" w:eastAsia="IRNazanin"/>
          <w:color w:val="111111"/>
          <w:sz w:val="28"/>
          <w:sz w:val="28"/>
          <w:szCs w:val="28"/>
          <w:rtl w:val="true"/>
          <w:lang w:bidi="fa-IR"/>
        </w:rPr>
        <w:t>و مستدرک الوسائل</w:t>
      </w:r>
      <w:r>
        <w:rPr>
          <w:rStyle w:val="FootnoteAnchor"/>
          <w:rtl w:val="true"/>
        </w:rPr>
        <w:footnoteReference w:id="3067"/>
      </w:r>
      <w:r>
        <w:rPr>
          <w:rFonts w:ascii="IRNazanin" w:hAnsi="IRNazanin" w:eastAsia="IRNazanin"/>
          <w:color w:val="111111"/>
          <w:sz w:val="28"/>
          <w:sz w:val="28"/>
          <w:szCs w:val="28"/>
          <w:rtl w:val="true"/>
          <w:lang w:bidi="fa-IR"/>
        </w:rPr>
        <w:t>و الریاض</w:t>
      </w:r>
      <w:r>
        <w:rPr>
          <w:rStyle w:val="FootnoteAnchor"/>
          <w:rtl w:val="true"/>
        </w:rPr>
        <w:footnoteReference w:id="3068"/>
      </w:r>
      <w:r>
        <w:rPr>
          <w:rFonts w:ascii="IRNazanin" w:hAnsi="IRNazanin" w:eastAsia="IRNazanin"/>
          <w:color w:val="111111"/>
          <w:sz w:val="28"/>
          <w:sz w:val="28"/>
          <w:szCs w:val="28"/>
          <w:rtl w:val="true"/>
          <w:lang w:bidi="fa-IR"/>
        </w:rPr>
        <w:t>و الحدائق</w:t>
      </w:r>
      <w:r>
        <w:rPr>
          <w:rStyle w:val="FootnoteAnchor"/>
          <w:rtl w:val="true"/>
        </w:rPr>
        <w:footnoteReference w:id="3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احتاط وجوباً فی تحریر الوسیلة</w:t>
      </w:r>
      <w:r>
        <w:rPr>
          <w:rStyle w:val="FootnoteAnchor"/>
          <w:rtl w:val="true"/>
        </w:rPr>
        <w:footnoteReference w:id="3070"/>
      </w:r>
      <w:r>
        <w:rPr>
          <w:rFonts w:ascii="IRNazanin" w:hAnsi="IRNazanin" w:eastAsia="IRNazanin"/>
          <w:color w:val="111111"/>
          <w:sz w:val="28"/>
          <w:sz w:val="28"/>
          <w:szCs w:val="28"/>
          <w:rtl w:val="true"/>
          <w:lang w:bidi="fa-IR"/>
        </w:rPr>
        <w:t>و کذا فی</w:t>
      </w:r>
    </w:p>
    <w:p>
      <w:pPr>
        <w:pStyle w:val="BookText"/>
        <w:rPr/>
      </w:pPr>
      <w:r>
        <w:rPr>
          <w:rFonts w:ascii="IRNazanin" w:hAnsi="IRNazanin" w:eastAsia="IRNazanin"/>
          <w:color w:val="111111"/>
          <w:sz w:val="28"/>
          <w:sz w:val="28"/>
          <w:szCs w:val="28"/>
          <w:rtl w:val="true"/>
          <w:lang w:bidi="fa-IR"/>
        </w:rPr>
        <w:t>التفصیل الشریعة</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لهذا الحکم بمکاتبة</w:t>
      </w:r>
    </w:p>
    <w:p>
      <w:pPr>
        <w:pStyle w:val="BookText"/>
        <w:rPr/>
      </w:pPr>
      <w:r>
        <w:rPr>
          <w:rFonts w:ascii="IRNazanin" w:hAnsi="IRNazanin" w:eastAsia="IRNazanin"/>
          <w:color w:val="111111"/>
          <w:sz w:val="28"/>
          <w:sz w:val="28"/>
          <w:szCs w:val="28"/>
          <w:rtl w:val="true"/>
          <w:lang w:bidi="fa-IR"/>
        </w:rPr>
        <w:t xml:space="preserve">علی بن الریّان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رئاب خ ل 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دعاه والده إلی قبول وصیّته، هل له أن یمتنع من قبول وصیّته؟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أن یمتنع</w:t>
      </w:r>
      <w:r>
        <w:rPr>
          <w:rFonts w:eastAsia="IRNazanin" w:cs="IRNazanin"/>
          <w:color w:val="111111"/>
          <w:sz w:val="28"/>
          <w:szCs w:val="28"/>
          <w:rtl w:val="true"/>
          <w:lang w:bidi="fa-IR"/>
        </w:rPr>
        <w:t>»</w:t>
      </w:r>
      <w:r>
        <w:rPr>
          <w:rStyle w:val="FootnoteAnchor"/>
          <w:rtl w:val="true"/>
        </w:rPr>
        <w:footnoteReference w:id="3072"/>
      </w:r>
      <w:r>
        <w:rPr>
          <w:rFonts w:ascii="IRNazanin" w:hAnsi="IRNazanin" w:eastAsia="IRNazanin"/>
          <w:color w:val="111111"/>
          <w:sz w:val="28"/>
          <w:sz w:val="28"/>
          <w:szCs w:val="28"/>
          <w:rtl w:val="true"/>
          <w:lang w:bidi="fa-IR"/>
        </w:rPr>
        <w:t>؛ فإنّ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فی أنّه لا یجوز للولد ردّ وصیّة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العلاّمة فی المختلف بأنّ امتناع الولد عن قبول وصیّة والده نوع عقوق</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بأس بقول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ینعقد الإجماع علی خلافه، و لا یمکن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عبائر الأصحاب بجواز الردّ مطلقاً؛ لعدم تبادر المقامین</w:t>
      </w:r>
      <w:r>
        <w:rPr>
          <w:rStyle w:val="FootnoteAnchor"/>
          <w:rtl w:val="true"/>
        </w:rPr>
        <w:footnoteReference w:id="3074"/>
      </w:r>
      <w:r>
        <w:rPr>
          <w:rFonts w:ascii="Amiri" w:hAnsi="Amiri" w:eastAsia="Amiri" w:cs="Amiri"/>
          <w:color w:val="111111"/>
          <w:sz w:val="28"/>
          <w:sz w:val="28"/>
          <w:szCs w:val="28"/>
          <w:rtl w:val="true"/>
          <w:lang w:bidi="ar-SA"/>
        </w:rPr>
        <w:t>منه جدّاً</w:t>
      </w:r>
      <w:r>
        <w:rPr>
          <w:rFonts w:eastAsia="Amiri" w:cs="Amiri" w:ascii="Amiri" w:hAnsi="Amiri"/>
          <w:color w:val="111111"/>
          <w:sz w:val="28"/>
          <w:szCs w:val="28"/>
          <w:rtl w:val="true"/>
          <w:lang w:bidi="ar-SA"/>
        </w:rPr>
        <w:t>»</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علی الاستدلال لهذا القول فی الجواهر</w:t>
      </w:r>
      <w:r>
        <w:rPr>
          <w:rStyle w:val="FootnoteAnchor"/>
          <w:rtl w:val="true"/>
        </w:rPr>
        <w:footnoteReference w:id="3076"/>
      </w:r>
      <w:r>
        <w:rPr>
          <w:rFonts w:ascii="Amiri" w:hAnsi="Amiri" w:eastAsia="Amiri" w:cs="Amiri"/>
          <w:color w:val="111111"/>
          <w:sz w:val="28"/>
          <w:sz w:val="28"/>
          <w:szCs w:val="28"/>
          <w:rtl w:val="true"/>
          <w:lang w:bidi="ar-SA"/>
        </w:rPr>
        <w:t>و المهذّب</w:t>
      </w:r>
      <w:r>
        <w:rPr>
          <w:rStyle w:val="FootnoteAnchor"/>
          <w:rtl w:val="true"/>
        </w:rPr>
        <w:footnoteReference w:id="3077"/>
      </w:r>
      <w:r>
        <w:rPr>
          <w:rFonts w:ascii="IRNazanin" w:hAnsi="IRNazanin" w:eastAsia="IRNazanin"/>
          <w:color w:val="111111"/>
          <w:sz w:val="28"/>
          <w:sz w:val="28"/>
          <w:szCs w:val="28"/>
          <w:rtl w:val="true"/>
          <w:lang w:bidi="fa-IR"/>
        </w:rPr>
        <w:t>و غیرهما</w:t>
      </w:r>
      <w:r>
        <w:rPr>
          <w:rStyle w:val="FootnoteAnchor"/>
          <w:rtl w:val="true"/>
        </w:rPr>
        <w:footnoteReference w:id="3078"/>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إیرادات و أطالوا الکلام فیها، و لکنّ الظاهر أنّه لا ثمرة لهذا البحث، حیث إنّه و إن لم یثبت وجوب قبول وصیة الأب علی الولد بمقتضی الأدلّة التی استندوا بها لإثبات هذا القول، لکن لا شکّ فی أنّه إن أمر الوالد ولده بأن یقبل وصیّته، أو کان عدم قبوله علی وجه یؤذیه، یجب علیه قبولها و لا یجوز ردّه قطعاً؛ لأنّ ردّ الوصیة</w:t>
      </w:r>
    </w:p>
    <w:p>
      <w:pPr>
        <w:pStyle w:val="BookText"/>
        <w:rPr/>
      </w:pPr>
      <w:r>
        <w:rPr>
          <w:rFonts w:ascii="IRNazanin" w:hAnsi="IRNazanin" w:eastAsia="IRNazanin"/>
          <w:color w:val="111111"/>
          <w:sz w:val="28"/>
          <w:sz w:val="28"/>
          <w:szCs w:val="28"/>
          <w:rtl w:val="true"/>
          <w:lang w:bidi="fa-IR"/>
        </w:rPr>
        <w:t>فی هذا الحال نوع عقوق للوالد، و هو حرام، کما هو ظاهر بعض النصوص أیضاً، مثل</w:t>
      </w:r>
    </w:p>
    <w:p>
      <w:pPr>
        <w:pStyle w:val="BookText"/>
        <w:rPr/>
      </w:pPr>
      <w:r>
        <w:rPr>
          <w:rFonts w:ascii="IRNazanin" w:hAnsi="IRNazanin" w:eastAsia="IRNazanin"/>
          <w:color w:val="111111"/>
          <w:sz w:val="28"/>
          <w:sz w:val="28"/>
          <w:szCs w:val="28"/>
          <w:rtl w:val="true"/>
          <w:lang w:bidi="fa-IR"/>
        </w:rPr>
        <w:t>ما رواه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علیه السلام إلی جعفر و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أمرتکما من الإشهاد بکذا و کذا نجاة لکما فی آخرتکما، و إنفاذ لما أوصی به أبواکما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أنّ إنفاذ وصیّة الأب واجب علی الولد مطلقاً؛ سواء قبل الولد الوصیّة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الموارد التی لا یجوز ردّ الوصیّة أن یکون الموصی إلیه منحصراً فیه و لم یجد الموصی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أوصی رجل إلی رجل فلیس له أن یأبی إن کان حیث لم یجد غیره</w:t>
      </w:r>
      <w:r>
        <w:rPr>
          <w:rFonts w:eastAsia="IRNazanin" w:cs="IRNazanin"/>
          <w:color w:val="111111"/>
          <w:sz w:val="28"/>
          <w:szCs w:val="28"/>
          <w:rtl w:val="true"/>
          <w:lang w:bidi="fa-IR"/>
        </w:rPr>
        <w:t>»</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یوجد غیره یتعیّن علیه؛ لأنّه فرض کفایةً</w:t>
      </w:r>
      <w:r>
        <w:rPr>
          <w:rFonts w:eastAsia="IRNazanin" w:cs="IRNazanin"/>
          <w:color w:val="111111"/>
          <w:sz w:val="28"/>
          <w:szCs w:val="28"/>
          <w:rtl w:val="true"/>
          <w:lang w:bidi="fa-IR"/>
        </w:rPr>
        <w:t>»</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إلی ولده وجب القبول، و کذا إلی أجنبی إذا لم یجد غیره، و هما مرویّان قویّان</w:t>
      </w:r>
      <w:r>
        <w:rPr>
          <w:rFonts w:eastAsia="IRNazanin" w:cs="IRNazanin"/>
          <w:color w:val="111111"/>
          <w:sz w:val="28"/>
          <w:szCs w:val="28"/>
          <w:rtl w:val="true"/>
          <w:lang w:bidi="fa-IR"/>
        </w:rPr>
        <w:t>»</w:t>
      </w:r>
      <w:r>
        <w:rPr>
          <w:rStyle w:val="FootnoteAnchor"/>
          <w:rtl w:val="true"/>
        </w:rPr>
        <w:footnoteReference w:id="3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الحدائق</w:t>
      </w:r>
      <w:r>
        <w:rPr>
          <w:rStyle w:val="FootnoteAnchor"/>
          <w:rtl w:val="true"/>
        </w:rPr>
        <w:footnoteReference w:id="3083"/>
      </w:r>
    </w:p>
    <w:p>
      <w:pPr>
        <w:pStyle w:val="BookText"/>
        <w:rPr/>
      </w:pPr>
      <w:r>
        <w:rPr>
          <w:rFonts w:ascii="IRNazanin" w:hAnsi="IRNazanin" w:eastAsia="IRNazanin"/>
          <w:color w:val="111111"/>
          <w:sz w:val="28"/>
          <w:sz w:val="28"/>
          <w:szCs w:val="28"/>
          <w:rtl w:val="true"/>
          <w:lang w:bidi="fa-IR"/>
        </w:rPr>
        <w:t>و الریاض</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ذلک مفهوم صحیح الفضیل بن یسار</w:t>
      </w:r>
      <w:r>
        <w:rPr>
          <w:rStyle w:val="FootnoteAnchor"/>
          <w:rtl w:val="true"/>
        </w:rPr>
        <w:footnoteReference w:id="3085"/>
      </w:r>
      <w:r>
        <w:rPr>
          <w:rFonts w:ascii="IRNazanin" w:hAnsi="IRNazanin" w:eastAsia="IRNazanin"/>
          <w:color w:val="111111"/>
          <w:sz w:val="28"/>
          <w:sz w:val="28"/>
          <w:szCs w:val="28"/>
          <w:rtl w:val="true"/>
          <w:lang w:bidi="fa-IR"/>
        </w:rPr>
        <w:t>؛ لأنّ قوله علیه السلام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مصر یوجد فیه غیره فذاک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مفهومه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یوجد فی مصر</w:t>
      </w:r>
    </w:p>
    <w:p>
      <w:pPr>
        <w:pStyle w:val="BookText"/>
        <w:rPr/>
      </w:pPr>
      <w:r>
        <w:rPr>
          <w:rFonts w:ascii="IRNazanin" w:hAnsi="IRNazanin" w:eastAsia="IRNazanin"/>
          <w:color w:val="111111"/>
          <w:sz w:val="28"/>
          <w:sz w:val="28"/>
          <w:szCs w:val="28"/>
          <w:rtl w:val="true"/>
          <w:lang w:bidi="fa-IR"/>
        </w:rPr>
        <w:t>غیره لم یجز الردّ و وجب علیه قبول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ظاهر إطلاق صحیحة</w:t>
      </w:r>
    </w:p>
    <w:p>
      <w:pPr>
        <w:pStyle w:val="BookText"/>
        <w:rPr/>
      </w:pPr>
      <w:r>
        <w:rPr>
          <w:rFonts w:ascii="IRNazanin" w:hAnsi="IRNazanin" w:eastAsia="IRNazanin"/>
          <w:color w:val="111111"/>
          <w:sz w:val="28"/>
          <w:sz w:val="28"/>
          <w:szCs w:val="28"/>
          <w:rtl w:val="true"/>
          <w:lang w:bidi="fa-IR"/>
        </w:rPr>
        <w:t>هشام بن سالم، عن أبی عبد اللّه علیه السلام فی الرجل یوصی إلی رجلٍ بوصیّةٍ فیکره أن یقبلها،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یخذله علی هذه الحال</w:t>
      </w:r>
      <w:r>
        <w:rPr>
          <w:rFonts w:eastAsia="IRNazanin" w:cs="IRNazanin"/>
          <w:color w:val="111111"/>
          <w:sz w:val="28"/>
          <w:szCs w:val="28"/>
          <w:rtl w:val="true"/>
          <w:lang w:bidi="fa-IR"/>
        </w:rPr>
        <w:t>»</w:t>
      </w:r>
      <w:r>
        <w:rPr>
          <w:rStyle w:val="FootnoteAnchor"/>
          <w:rtl w:val="true"/>
        </w:rPr>
        <w:footnoteReference w:id="3086"/>
      </w:r>
      <w:r>
        <w:rPr>
          <w:rFonts w:ascii="IRNazanin" w:hAnsi="IRNazanin" w:eastAsia="IRNazanin"/>
          <w:color w:val="111111"/>
          <w:sz w:val="28"/>
          <w:sz w:val="28"/>
          <w:szCs w:val="28"/>
          <w:rtl w:val="true"/>
          <w:lang w:bidi="fa-IR"/>
        </w:rPr>
        <w:t>و لعل مراده علیه السلام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عدم وجود الغیر الذی یوصی إلیه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الدخول فی الوصیّة، بل یستحبّ، بل قد یجب علی الکفایة؛ لأنّ الإیصاء واجب،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حقّ علی کلّ مسلم</w:t>
      </w:r>
      <w:r>
        <w:rPr>
          <w:rStyle w:val="FootnoteAnchor"/>
          <w:rtl w:val="true"/>
        </w:rPr>
        <w:footnoteReference w:id="3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أوصت فاطمة إلی أمیر المؤمنین علیهما السلام، و بعده إلی ولدیها الحسن و الحسین علیهم السلام</w:t>
      </w:r>
      <w:r>
        <w:rPr>
          <w:rFonts w:eastAsia="IRNazanin" w:cs="IRNazanin"/>
          <w:color w:val="111111"/>
          <w:sz w:val="28"/>
          <w:szCs w:val="28"/>
          <w:rtl w:val="true"/>
          <w:lang w:bidi="fa-IR"/>
        </w:rPr>
        <w:t>»</w:t>
      </w:r>
      <w:r>
        <w:rPr>
          <w:rStyle w:val="FootnoteAnchor"/>
          <w:rtl w:val="true"/>
        </w:rPr>
        <w:footnoteReference w:id="3088"/>
      </w:r>
      <w:r>
        <w:rPr>
          <w:rFonts w:ascii="IRNazanin" w:hAnsi="IRNazanin" w:eastAsia="IRNazanin"/>
          <w:color w:val="111111"/>
          <w:sz w:val="28"/>
          <w:sz w:val="28"/>
          <w:szCs w:val="28"/>
          <w:rtl w:val="true"/>
          <w:lang w:bidi="fa-IR"/>
        </w:rPr>
        <w:t>؛ و إذا وجب الإیصاء فلا بدّ من محلّ له و من یجب علیه العمل بالوصیّة، و إلاّ لم یکن مفیداً</w:t>
      </w:r>
      <w:r>
        <w:rPr>
          <w:rStyle w:val="FootnoteAnchor"/>
          <w:rtl w:val="true"/>
        </w:rPr>
        <w:footnoteReference w:id="3089"/>
      </w:r>
      <w:bookmarkStart w:id="970" w:name="pg11753_115234"/>
    </w:p>
    <w:p>
      <w:pPr>
        <w:pStyle w:val="Heading4"/>
        <w:numPr>
          <w:ilvl w:val="3"/>
          <w:numId w:val="1"/>
        </w:numPr>
        <w:rPr/>
      </w:pPr>
      <w:bookmarkStart w:id="971" w:name="__RefHeading___Toc9483200_73709187"/>
      <w:bookmarkStart w:id="972" w:name="_Toc369"/>
      <w:bookmarkEnd w:id="970"/>
      <w:bookmarkEnd w:id="971"/>
      <w:r>
        <w:rPr>
          <w:rtl w:val="true"/>
        </w:rPr>
        <w:t>المبحث التاسع</w:t>
      </w:r>
      <w:r>
        <w:rPr>
          <w:rtl w:val="true"/>
        </w:rPr>
        <w:t xml:space="preserve">: </w:t>
      </w:r>
      <w:r>
        <w:rPr>
          <w:rtl w:val="true"/>
        </w:rPr>
        <w:t>کون الوصیّ أمیناً</w:t>
      </w:r>
      <w:bookmarkEnd w:id="972"/>
    </w:p>
    <w:p>
      <w:pPr>
        <w:pStyle w:val="Heading5"/>
        <w:numPr>
          <w:ilvl w:val="4"/>
          <w:numId w:val="1"/>
        </w:numPr>
        <w:rPr/>
      </w:pPr>
      <w:bookmarkStart w:id="973" w:name="__RefHeading___Toc9483202_73709187"/>
      <w:bookmarkStart w:id="974" w:name="_Toc370"/>
      <w:bookmarkEnd w:id="973"/>
      <w:r>
        <w:rPr>
          <w:rtl w:val="true"/>
        </w:rPr>
        <w:t>اشارة</w:t>
      </w:r>
      <w:bookmarkEnd w:id="974"/>
    </w:p>
    <w:p>
      <w:pPr>
        <w:pStyle w:val="BookText"/>
        <w:rPr/>
      </w:pPr>
      <w:r>
        <w:rPr>
          <w:rFonts w:ascii="IRNazanin" w:hAnsi="IRNazanin" w:eastAsia="IRNazanin"/>
          <w:color w:val="111111"/>
          <w:sz w:val="28"/>
          <w:sz w:val="28"/>
          <w:szCs w:val="28"/>
          <w:rtl w:val="true"/>
          <w:lang w:bidi="fa-IR"/>
        </w:rPr>
        <w:t>الظاهر أنّه لا خلاف بین الفقهاء فی أنّ الوصیّ أمین، و لا یضمن ما فی یده من أموال الصغار التی صار ولیّاً علیها من جهة الوصیّة بالولایة إلاّ مع التعدّی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 أمین لا یضمن ما یتلف إلاّ عن مخالفته لشرط الوصیّة أو تفریط</w:t>
      </w:r>
      <w:r>
        <w:rPr>
          <w:rFonts w:eastAsia="IRNazanin" w:cs="IRNazanin"/>
          <w:color w:val="111111"/>
          <w:sz w:val="28"/>
          <w:szCs w:val="28"/>
          <w:rtl w:val="true"/>
          <w:lang w:bidi="fa-IR"/>
        </w:rPr>
        <w:t>»</w:t>
      </w:r>
      <w:r>
        <w:rPr>
          <w:rStyle w:val="FootnoteAnchor"/>
          <w:rtl w:val="true"/>
        </w:rPr>
        <w:footnoteReference w:id="3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3091"/>
      </w:r>
      <w:r>
        <w:rPr>
          <w:rFonts w:ascii="IRNazanin" w:hAnsi="IRNazanin" w:eastAsia="IRNazanin"/>
          <w:color w:val="111111"/>
          <w:sz w:val="28"/>
          <w:sz w:val="28"/>
          <w:szCs w:val="28"/>
          <w:rtl w:val="true"/>
          <w:lang w:bidi="fa-IR"/>
        </w:rPr>
        <w:t>و الدروس</w:t>
      </w:r>
      <w:r>
        <w:rPr>
          <w:rStyle w:val="FootnoteAnchor"/>
          <w:rtl w:val="true"/>
        </w:rPr>
        <w:footnoteReference w:id="3092"/>
      </w:r>
      <w:r>
        <w:rPr>
          <w:rFonts w:ascii="IRNazanin" w:hAnsi="IRNazanin" w:eastAsia="IRNazanin"/>
          <w:color w:val="111111"/>
          <w:sz w:val="28"/>
          <w:sz w:val="28"/>
          <w:szCs w:val="28"/>
          <w:rtl w:val="true"/>
          <w:lang w:bidi="fa-IR"/>
        </w:rPr>
        <w:t>و التحریر</w:t>
      </w:r>
      <w:r>
        <w:rPr>
          <w:rStyle w:val="FootnoteAnchor"/>
          <w:rtl w:val="true"/>
        </w:rPr>
        <w:footnoteReference w:id="3093"/>
      </w:r>
    </w:p>
    <w:p>
      <w:pPr>
        <w:pStyle w:val="BookText"/>
        <w:rPr/>
      </w:pPr>
      <w:r>
        <w:rPr>
          <w:rFonts w:ascii="IRNazanin" w:hAnsi="IRNazanin" w:eastAsia="IRNazanin"/>
          <w:color w:val="111111"/>
          <w:sz w:val="28"/>
          <w:sz w:val="28"/>
          <w:szCs w:val="28"/>
          <w:rtl w:val="true"/>
          <w:lang w:bidi="fa-IR"/>
        </w:rPr>
        <w:t>و القواعد</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الشیخ الأعظم</w:t>
      </w:r>
      <w:r>
        <w:rPr>
          <w:rStyle w:val="FootnoteAnchor"/>
          <w:rtl w:val="true"/>
        </w:rPr>
        <w:footnoteReference w:id="3095"/>
      </w:r>
      <w:r>
        <w:rPr>
          <w:rFonts w:ascii="IRNazanin" w:hAnsi="IRNazanin" w:eastAsia="IRNazanin"/>
          <w:color w:val="111111"/>
          <w:sz w:val="28"/>
          <w:sz w:val="28"/>
          <w:szCs w:val="28"/>
          <w:rtl w:val="true"/>
          <w:lang w:bidi="fa-IR"/>
        </w:rPr>
        <w:t>و السادات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w:t>
      </w:r>
      <w:r>
        <w:rPr>
          <w:rStyle w:val="FootnoteAnchor"/>
          <w:rtl w:val="true"/>
        </w:rPr>
        <w:footnoteReference w:id="3096"/>
      </w:r>
      <w:r>
        <w:rPr>
          <w:rFonts w:ascii="IRNazanin" w:hAnsi="IRNazanin" w:eastAsia="IRNazanin"/>
          <w:color w:val="111111"/>
          <w:sz w:val="28"/>
          <w:sz w:val="28"/>
          <w:szCs w:val="28"/>
          <w:rtl w:val="true"/>
          <w:lang w:bidi="fa-IR"/>
        </w:rPr>
        <w:t>و الاصفهانی</w:t>
      </w:r>
      <w:r>
        <w:rPr>
          <w:rStyle w:val="FootnoteAnchor"/>
          <w:rtl w:val="true"/>
        </w:rPr>
        <w:footnoteReference w:id="3097"/>
      </w:r>
    </w:p>
    <w:p>
      <w:pPr>
        <w:pStyle w:val="BookText"/>
        <w:rPr/>
      </w:pPr>
      <w:r>
        <w:rPr>
          <w:rFonts w:ascii="IRNazanin" w:hAnsi="IRNazanin" w:eastAsia="IRNazanin"/>
          <w:color w:val="111111"/>
          <w:sz w:val="28"/>
          <w:sz w:val="28"/>
          <w:szCs w:val="28"/>
          <w:rtl w:val="true"/>
          <w:lang w:bidi="fa-IR"/>
        </w:rPr>
        <w:t>و الإمام الخمینی</w:t>
      </w:r>
      <w:r>
        <w:rPr>
          <w:rStyle w:val="FootnoteAnchor"/>
          <w:rtl w:val="true"/>
        </w:rPr>
        <w:footnoteReference w:id="3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تفصیل الشریعة</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الوصیّ إذا خالف ما أمر به کان ضامناً للمال</w:t>
      </w:r>
      <w:r>
        <w:rPr>
          <w:rFonts w:eastAsia="IRNazanin" w:cs="IRNazanin"/>
          <w:color w:val="111111"/>
          <w:sz w:val="28"/>
          <w:szCs w:val="28"/>
          <w:rtl w:val="true"/>
          <w:lang w:bidi="fa-IR"/>
        </w:rPr>
        <w:t>»</w:t>
      </w:r>
      <w:r>
        <w:rPr>
          <w:rStyle w:val="FootnoteAnchor"/>
          <w:rtl w:val="true"/>
        </w:rPr>
        <w:footnoteReference w:id="3100"/>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التعدّی بمخالفة شرط الوصیّة؛ فإنّه إذا لبس الثوب مثلاً فقد خالف شرط الوصیّة؛ لأنّ مقتضاها حفظه للطفل، أو بیعه</w:t>
      </w:r>
    </w:p>
    <w:p>
      <w:pPr>
        <w:pStyle w:val="BookText"/>
        <w:rPr/>
      </w:pPr>
      <w:r>
        <w:rPr>
          <w:rFonts w:ascii="IRNazanin" w:hAnsi="IRNazanin" w:eastAsia="IRNazanin"/>
          <w:color w:val="111111"/>
          <w:sz w:val="28"/>
          <w:sz w:val="28"/>
          <w:szCs w:val="28"/>
          <w:rtl w:val="true"/>
          <w:lang w:bidi="fa-IR"/>
        </w:rPr>
        <w:t>و صرفه فی الجهة المأمور بها و نحو ذلک، فاستعماله لا یدخل فی شرط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یتعلّق به غرض یعود علی ماله فیه الولایة بحیث لا یتمّ بدونه، کما لو رکب الدابّة لقضاء حوائج الطفل و استیفاء دینه حیث یتوقّف علی الرکوب</w:t>
      </w:r>
      <w:r>
        <w:rPr>
          <w:rFonts w:eastAsia="IRNazanin" w:cs="IRNazanin"/>
          <w:color w:val="111111"/>
          <w:sz w:val="28"/>
          <w:szCs w:val="28"/>
          <w:rtl w:val="true"/>
          <w:lang w:bidi="fa-IR"/>
        </w:rPr>
        <w:t>»</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أهل الإسلام فی أنّ الوصیّ أمین،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یضمن ما بیده من أموال الطفل لو تلف إلاّ بتعدٍّ کما لو لبس الثوب، أو تفریط کما لو قصر فی حفظه، أو مخالفة لشرط الوصیّة کما لو أوصی إلیه أن یصرف شیئاً علی وجه، فصرفه علی وجه آخر؛ لأنّ الوصایة فی معنی الوکالة، و لأنّ الوصیّ نائب عن الأب و الجدّ، و هما أمینان</w:t>
      </w:r>
      <w:r>
        <w:rPr>
          <w:rFonts w:eastAsia="IRNazanin" w:cs="IRNazanin"/>
          <w:color w:val="111111"/>
          <w:sz w:val="28"/>
          <w:szCs w:val="28"/>
          <w:rtl w:val="true"/>
          <w:lang w:bidi="fa-IR"/>
        </w:rPr>
        <w:t>»</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 أمین بلا خلاف أجده فیه</w:t>
      </w:r>
      <w:r>
        <w:rPr>
          <w:rFonts w:eastAsia="IRNazanin" w:cs="IRNazanin"/>
          <w:color w:val="111111"/>
          <w:sz w:val="28"/>
          <w:szCs w:val="28"/>
          <w:rtl w:val="true"/>
          <w:lang w:bidi="fa-IR"/>
        </w:rPr>
        <w:t>»</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یکون المدار فی التعدّی و عدمه علی مخالفة شرط الوصیّة و عدمها، فلو رکب الدابّة أو لبس الثوب لا لغرض یعود إلی الطفل أو نفع یترتّب علیه، کان ذلک 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تعلّق بذلک غرض یعود إلی الطفل، کأن یرکب الدابّة للمضیّ فی حوائج الطفل من استیفاء دینه، أو جمع حواصله أو نحو ذلک، و لبس الثوب لدفع الضرر عنه باللبس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یکون تعدّیاً، بل ربما صار فی بعض الأفراد واجباً علیه إذا علم حصول الضرر بدون ذلک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کلامهم أنّ غایة ما یوجبه التعدّی و التفریط وجوب الضمان مع بقائه علی الوصایة، و لا یوجب ذلک عزله، مع أنّهم قد صرّحوا بأنّه إن ظهر منه خیانة وجب علی الحاکم عزله، و الظاهر أنّ التعدّی و التفریط نوع خیانة أیضاً، إلاّ أنّهم لم یصرّحوا بذلک، بل ربما ظهر من کلامهم فی الحکم الأوّل عدم کون ذلک خیانة،</w:t>
      </w:r>
      <w:bookmarkStart w:id="975" w:name="pg11753_115236"/>
    </w:p>
    <w:p>
      <w:pPr>
        <w:pStyle w:val="BookText"/>
        <w:rPr/>
      </w:pPr>
      <w:bookmarkEnd w:id="975"/>
      <w:r>
        <w:rPr>
          <w:rFonts w:ascii="IRNazanin" w:hAnsi="IRNazanin" w:eastAsia="IRNazanin"/>
          <w:color w:val="111111"/>
          <w:sz w:val="28"/>
          <w:sz w:val="28"/>
          <w:szCs w:val="28"/>
          <w:rtl w:val="true"/>
          <w:lang w:bidi="fa-IR"/>
        </w:rPr>
        <w:t>فینبغی التأمّل فی ذلک</w:t>
      </w:r>
      <w:r>
        <w:rPr>
          <w:rFonts w:eastAsia="IRNazanin" w:cs="IRNazanin"/>
          <w:color w:val="111111"/>
          <w:sz w:val="28"/>
          <w:szCs w:val="28"/>
          <w:rtl w:val="true"/>
          <w:lang w:bidi="fa-IR"/>
        </w:rPr>
        <w:t>»</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مخالفة شرط الوصیّة أو التفریط فیها لا تکون خیانة؛ لأنّ المراد من التفریط التکاسل فی أمر الوصیّة و التهاون فیها، و الخیانة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عند إرادة التصرّف فی أنّه هل هذا تصرّف حسب المتعارف أم لا؟ لا یجوز له التصرّف إلاّ بعد إحراز تحقّقه، فلو عمل و الحال هذه فظهر ضرر أو تلف کان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المتعارف احتمال الضرر، لکنّ العرف یُقدِمُ، لم یکن به بأسٌ، کما إذا کانت التجارة بالمال فی البُعد خطیراً، لکنّ العرف یقدم علی ذلک، و إن تلف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إجراء العملیة الجراحیة للطفل بموافقة القیّم أمراً خطیراً، لکنّ الآباء یقدمون علی ذلک من باب الأهمّ و المهمّ، صحّ له الإقدام، و لو تلف الطفل لم یضمن، و لو تلف الطفل بدون تعارف الإقدام فهو ضامن لدیته</w:t>
      </w:r>
      <w:r>
        <w:rPr>
          <w:rFonts w:eastAsia="IRNazanin" w:cs="IRNazanin"/>
          <w:color w:val="111111"/>
          <w:sz w:val="28"/>
          <w:szCs w:val="28"/>
          <w:rtl w:val="true"/>
          <w:lang w:bidi="fa-IR"/>
        </w:rPr>
        <w:t>.</w:t>
      </w:r>
    </w:p>
    <w:p>
      <w:pPr>
        <w:pStyle w:val="Heading5"/>
        <w:numPr>
          <w:ilvl w:val="4"/>
          <w:numId w:val="1"/>
        </w:numPr>
        <w:rPr/>
      </w:pPr>
      <w:bookmarkStart w:id="976" w:name="__RefHeading___Toc9483204_73709187"/>
      <w:bookmarkStart w:id="977" w:name="_Toc371"/>
      <w:bookmarkEnd w:id="976"/>
      <w:r>
        <w:rPr>
          <w:rtl w:val="true"/>
        </w:rPr>
        <w:t>أدلّة عدم ضمان الوصیّ‌</w:t>
      </w:r>
      <w:bookmarkEnd w:id="977"/>
    </w:p>
    <w:p>
      <w:pPr>
        <w:pStyle w:val="BookText"/>
        <w:rPr/>
      </w:pPr>
      <w:r>
        <w:rPr>
          <w:rFonts w:ascii="IRNazanin" w:hAnsi="IRNazanin" w:eastAsia="IRNazanin"/>
          <w:color w:val="111111"/>
          <w:sz w:val="28"/>
          <w:sz w:val="28"/>
          <w:szCs w:val="28"/>
          <w:rtl w:val="true"/>
          <w:lang w:bidi="fa-IR"/>
        </w:rPr>
        <w:t>و یدلّ علی عدم ضمان الوصیّ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إذن الموصی و تسلیطه الوصیّ علی التصرّف فیما أوصی إلیه یقتضی عدم ضمانه فیها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المالکیّة من طرف الموصی و کذا إذن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w:t>
      </w:r>
    </w:p>
    <w:p>
      <w:pPr>
        <w:pStyle w:val="BookText"/>
        <w:rPr/>
      </w:pPr>
      <w:r>
        <w:rPr>
          <w:rFonts w:ascii="IRNazanin" w:hAnsi="IRNazanin" w:eastAsia="IRNazanin"/>
          <w:color w:val="111111"/>
          <w:sz w:val="28"/>
          <w:sz w:val="28"/>
          <w:szCs w:val="28"/>
          <w:rtl w:val="true"/>
          <w:lang w:bidi="fa-IR"/>
        </w:rPr>
        <w:t xml:space="preserve">یجوز له التصرّف شرعاً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یوجبان ذلک، علی هذا یکون فی تصرّفه أمیناً</w:t>
      </w:r>
      <w:r>
        <w:rPr>
          <w:rStyle w:val="FootnoteAnchor"/>
          <w:rtl w:val="true"/>
        </w:rPr>
        <w:footnoteReference w:id="3105"/>
      </w:r>
    </w:p>
    <w:p>
      <w:pPr>
        <w:pStyle w:val="BookText"/>
        <w:rPr/>
      </w:pPr>
      <w:r>
        <w:rPr>
          <w:rFonts w:ascii="IRNazanin" w:hAnsi="IRNazanin" w:eastAsia="IRNazanin"/>
          <w:color w:val="111111"/>
          <w:sz w:val="28"/>
          <w:sz w:val="28"/>
          <w:szCs w:val="28"/>
          <w:rtl w:val="true"/>
          <w:lang w:bidi="fa-IR"/>
        </w:rPr>
        <w:t>فلا یضمن ما یتلف فی یده إلاّ ما کان عن مخالفته لشرط الوصیّة أو تفریط، کما هو الحال فی کلّ أمین</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 عدم ضمان الأمین أخبار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العاریة یستعیرها الإنسان فتهلک أو تسرق؟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أمیناً فلا غرم علیه</w:t>
      </w:r>
      <w:r>
        <w:rPr>
          <w:rFonts w:eastAsia="IRNazanin" w:cs="IRNazanin"/>
          <w:color w:val="111111"/>
          <w:sz w:val="28"/>
          <w:szCs w:val="28"/>
          <w:rtl w:val="true"/>
          <w:lang w:bidi="fa-IR"/>
        </w:rPr>
        <w:t>»</w:t>
      </w:r>
      <w:r>
        <w:rPr>
          <w:rStyle w:val="FootnoteAnchor"/>
          <w:rtl w:val="true"/>
        </w:rPr>
        <w:footnoteReference w:id="3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علّق الإمام علیه السلام الحکم بالأمانة، بمعنی أنّ الأمانة علّة لعدم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p>
    <w:p>
      <w:pPr>
        <w:pStyle w:val="BookText"/>
        <w:rPr/>
      </w:pPr>
      <w:r>
        <w:rPr>
          <w:rFonts w:ascii="IRNazanin" w:hAnsi="IRNazanin" w:eastAsia="IRNazanin"/>
          <w:color w:val="111111"/>
          <w:sz w:val="28"/>
          <w:sz w:val="28"/>
          <w:szCs w:val="28"/>
          <w:rtl w:val="true"/>
          <w:lang w:bidi="fa-IR"/>
        </w:rPr>
        <w:t>أبان، عن أبی جعفر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الّذی یستبضع المال فیهلک أو یسرق، أعلی صاحبه ضمان؟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غرم بعد أن یکون الرجل أمیناً</w:t>
      </w:r>
      <w:r>
        <w:rPr>
          <w:rFonts w:eastAsia="IRNazanin" w:cs="IRNazanin"/>
          <w:color w:val="111111"/>
          <w:sz w:val="28"/>
          <w:szCs w:val="28"/>
          <w:rtl w:val="true"/>
          <w:lang w:bidi="fa-IR"/>
        </w:rPr>
        <w:t>»</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الفقیه الفاضل اللنکرانی دام ظلّه فی شرح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مقتضی تعلیق الحکم بعدم الغرامة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علی کون الرجل أمیناً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الحکم فی جمیع موارد ثبوت الأمانة، و لو فی غیر مورد السؤال، من دون فرق بین أن تکون الأمانة مالکیّة أو شرعیّة</w:t>
      </w:r>
      <w:r>
        <w:rPr>
          <w:rFonts w:eastAsia="IRNazanin" w:cs="IRNazanin"/>
          <w:color w:val="111111"/>
          <w:sz w:val="28"/>
          <w:szCs w:val="28"/>
          <w:rtl w:val="true"/>
          <w:lang w:bidi="fa-IR"/>
        </w:rPr>
        <w:t>»</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مسعدة بن زیاد، عن جعفر بن محمّد،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تتّهم من قد ائتمنته، و لا تأتمن الخائن</w:t>
      </w:r>
    </w:p>
    <w:p>
      <w:pPr>
        <w:pStyle w:val="BookText"/>
        <w:rPr/>
      </w:pPr>
      <w:r>
        <w:rPr>
          <w:rFonts w:ascii="Amiri" w:hAnsi="Amiri" w:eastAsia="Amiri" w:cs="Amiri"/>
          <w:color w:val="111111"/>
          <w:sz w:val="28"/>
          <w:sz w:val="28"/>
          <w:szCs w:val="28"/>
          <w:rtl w:val="true"/>
          <w:lang w:bidi="ar-SA"/>
        </w:rPr>
        <w:t>و قد جرّبته</w:t>
      </w:r>
      <w:r>
        <w:rPr>
          <w:rFonts w:eastAsia="Amiri" w:cs="Amiri" w:ascii="Amiri" w:hAnsi="Amiri"/>
          <w:color w:val="111111"/>
          <w:sz w:val="28"/>
          <w:szCs w:val="28"/>
          <w:rtl w:val="true"/>
          <w:lang w:bidi="ar-SA"/>
        </w:rPr>
        <w:t>»</w:t>
      </w:r>
      <w:r>
        <w:rPr>
          <w:rStyle w:val="FootnoteAnchor"/>
          <w:rtl w:val="true"/>
        </w:rPr>
        <w:footnoteReference w:id="3110"/>
      </w:r>
      <w:r>
        <w:rPr>
          <w:rFonts w:ascii="IRNazanin" w:hAnsi="IRNazanin" w:eastAsia="IRNazanin"/>
          <w:color w:val="111111"/>
          <w:sz w:val="28"/>
          <w:sz w:val="28"/>
          <w:szCs w:val="28"/>
          <w:rtl w:val="true"/>
          <w:lang w:bidi="fa-IR"/>
        </w:rPr>
        <w:t>، و کذا روایة اخری لمسعدة بن زیاد</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مؤتمن ضمان</w:t>
      </w:r>
      <w:r>
        <w:rPr>
          <w:rFonts w:eastAsia="IRNazanin" w:cs="IRNazanin"/>
          <w:color w:val="111111"/>
          <w:sz w:val="28"/>
          <w:szCs w:val="28"/>
          <w:rtl w:val="true"/>
          <w:lang w:bidi="fa-IR"/>
        </w:rPr>
        <w:t>»</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المعروف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الأمین إلاّ الیمین</w:t>
      </w:r>
      <w:r>
        <w:rPr>
          <w:rFonts w:eastAsia="IRNazanin" w:cs="IRNazanin"/>
          <w:color w:val="111111"/>
          <w:sz w:val="28"/>
          <w:szCs w:val="28"/>
          <w:rtl w:val="true"/>
          <w:lang w:bidi="fa-IR"/>
        </w:rPr>
        <w:t>»</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قام الإجماع علی أنّ الأمین لا یضمن؛ فإنّ الفقهاء رضوان اللّه علیهم یستندون لعدم الضمان فی موارد عدیدة بأنّه أمین، و یرسلونه إرسال المسلّمات من غیر إنکار لأحد، فکان هذه کبری مسلّمة عند الکلّ، و هی أنّ الأمین لا یضمن</w:t>
      </w:r>
      <w:r>
        <w:rPr>
          <w:rStyle w:val="FootnoteAnchor"/>
          <w:rtl w:val="true"/>
        </w:rPr>
        <w:footnoteReference w:id="3114"/>
      </w:r>
      <w:r>
        <w:rPr>
          <w:rFonts w:ascii="IRNazanin" w:hAnsi="IRNazanin" w:eastAsia="IRNazanin"/>
          <w:color w:val="111111"/>
          <w:sz w:val="28"/>
          <w:sz w:val="28"/>
          <w:szCs w:val="28"/>
          <w:rtl w:val="true"/>
          <w:lang w:bidi="fa-IR"/>
        </w:rPr>
        <w:t>، و لا خلاف فیه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 الواردة فی الباب، و هی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أنّه لو أفرط أو فرّط الوصیّ فی المال الموصی به فهو ضامنٌ، و إلاّ فلا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صحیحة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عطّر اللّه مراقدهم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بزکاة ماله لتقسّم فضاعت، هل علیه ضمانها حتّی تُقسّم؟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وجدَ لها موضعاً فلم یدفعها فهو لها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الوصیّ الذی یوصی إلیه یکون ضامناً لما دفعَ إلیه إذا وجد ربّه الذی أُمِرَ بدفعه إلیه، فإن لم یجد فلیس علیه ضمان</w:t>
      </w:r>
      <w:r>
        <w:rPr>
          <w:rFonts w:eastAsia="IRNazanin" w:cs="IRNazanin"/>
          <w:color w:val="111111"/>
          <w:sz w:val="28"/>
          <w:szCs w:val="28"/>
          <w:rtl w:val="true"/>
          <w:lang w:bidi="fa-IR"/>
        </w:rPr>
        <w:t>»</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کان أمیناً لا یضمن فیما بیده من الأموال إلاّ إذا وجد صاحبها الذی امر بدفعه إلیه فهو له ضامن؛ لأنّه فرّط فی دفع المال إلی صاحبه، فإذن یکون ضامناً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Amiri" w:hAnsi="Amiri" w:eastAsia="Amiri" w:cs="Amiri"/>
          <w:color w:val="111111"/>
          <w:sz w:val="28"/>
          <w:sz w:val="28"/>
          <w:szCs w:val="28"/>
          <w:rtl w:val="true"/>
          <w:lang w:bidi="ar-SA"/>
        </w:rPr>
        <w:t>الحلبی، عن أبی عبد اللّه علیه السلام أنّه قال فی رجل توفّی فأوصی إلی رجل، و علی الرجل المتوفّی دَینٌ، فَعَمدَ</w:t>
      </w:r>
      <w:r>
        <w:rPr>
          <w:rStyle w:val="FootnoteAnchor"/>
          <w:rtl w:val="true"/>
        </w:rPr>
        <w:footnoteReference w:id="3116"/>
      </w:r>
      <w:r>
        <w:rPr>
          <w:rFonts w:ascii="IRNazanin" w:hAnsi="IRNazanin" w:eastAsia="IRNazanin"/>
          <w:color w:val="111111"/>
          <w:sz w:val="28"/>
          <w:sz w:val="28"/>
          <w:szCs w:val="28"/>
          <w:rtl w:val="true"/>
          <w:lang w:bidi="fa-IR"/>
        </w:rPr>
        <w:t>الذی أوصی إلیه فعزل الذی للغرماء فرفعه فی بیته، و قسّم الذی بَقیَ بین الورثة، فَسُرِقَ الذی للغرماء من اللیل، ممّن یؤخذ؟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 حین عزله فی بیته، یؤدّی من ماله</w:t>
      </w:r>
      <w:r>
        <w:rPr>
          <w:rFonts w:eastAsia="IRNazanin" w:cs="IRNazanin"/>
          <w:color w:val="111111"/>
          <w:sz w:val="28"/>
          <w:szCs w:val="28"/>
          <w:rtl w:val="true"/>
          <w:lang w:bidi="fa-IR"/>
        </w:rPr>
        <w:t>»</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علیه السلام علّل الضمان بعزل الوصی الزکاة فی بیته و لم یؤدّها للغرماء، فکأنّه أفرط فی تنفیذ الوصیة، فهو ضامن و یؤدّی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تدلّ علی الضمان مطلقاً؛ سواء کان بتعدٍّ و تفریط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صحیحة</w:t>
      </w:r>
    </w:p>
    <w:p>
      <w:pPr>
        <w:pStyle w:val="BookText"/>
        <w:rPr/>
      </w:pPr>
      <w:r>
        <w:rPr>
          <w:rFonts w:ascii="IRNazanin" w:hAnsi="IRNazanin" w:eastAsia="IRNazanin"/>
          <w:color w:val="111111"/>
          <w:sz w:val="28"/>
          <w:sz w:val="28"/>
          <w:szCs w:val="28"/>
          <w:rtl w:val="true"/>
          <w:lang w:bidi="fa-IR"/>
        </w:rPr>
        <w:t>إسماعیل بن سعد الأشعری،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مال الیتیم هل للوصیّ أن یعینه أو یتّجر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 فهو ضامن</w:t>
      </w:r>
      <w:r>
        <w:rPr>
          <w:rFonts w:eastAsia="IRNazanin" w:cs="IRNazanin"/>
          <w:color w:val="111111"/>
          <w:sz w:val="28"/>
          <w:szCs w:val="28"/>
          <w:rtl w:val="true"/>
          <w:lang w:bidi="fa-IR"/>
        </w:rPr>
        <w:t>»</w:t>
      </w:r>
      <w:r>
        <w:rPr>
          <w:rStyle w:val="FootnoteAnchor"/>
          <w:rtl w:val="true"/>
        </w:rPr>
        <w:footnoteReference w:id="3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تدلّ بوضوح علی الضمان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w:t>
      </w:r>
    </w:p>
    <w:p>
      <w:pPr>
        <w:pStyle w:val="BookText"/>
        <w:rPr/>
      </w:pPr>
      <w:r>
        <w:rPr>
          <w:rFonts w:ascii="IRNazanin" w:hAnsi="IRNazanin" w:eastAsia="IRNazanin"/>
          <w:color w:val="111111"/>
          <w:sz w:val="28"/>
          <w:sz w:val="28"/>
          <w:szCs w:val="28"/>
          <w:rtl w:val="true"/>
          <w:lang w:bidi="fa-IR"/>
        </w:rPr>
        <w:t>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الیتیم علیه 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موضوعاً فلیس علیه زکاة، فإذا عملت به فأنت له ضامن و الربح للیتیم</w:t>
      </w:r>
      <w:r>
        <w:rPr>
          <w:rFonts w:eastAsia="IRNazanin" w:cs="IRNazanin"/>
          <w:color w:val="111111"/>
          <w:sz w:val="28"/>
          <w:szCs w:val="28"/>
          <w:rtl w:val="true"/>
          <w:lang w:bidi="fa-IR"/>
        </w:rPr>
        <w:t>»</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بالعامل هو الوصیّ أو أمین الحاکم؛ لأنّ الروایة فی مورد الیتیم، و هی منصرفة عن الجدّ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مرسلة</w:t>
      </w:r>
    </w:p>
    <w:p>
      <w:pPr>
        <w:pStyle w:val="BookText"/>
        <w:rPr/>
      </w:pPr>
      <w:r>
        <w:rPr>
          <w:rFonts w:ascii="IRNazanin" w:hAnsi="IRNazanin" w:eastAsia="IRNazanin"/>
          <w:color w:val="111111"/>
          <w:sz w:val="28"/>
          <w:sz w:val="28"/>
          <w:szCs w:val="28"/>
          <w:rtl w:val="true"/>
          <w:lang w:bidi="fa-IR"/>
        </w:rPr>
        <w:t>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أوصی إلی رجل أنّ علیه دیناً؟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الرجل ما علیه من دینه، و یقسّم ما بقی بین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فسرق ما أوصی به من الدین ممّن یؤخذ الدین أ مِنَ الورثة أم من الوصیّ؟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یؤخذ من الورثة و لکن الوصیّ ضامن لها</w:t>
      </w:r>
      <w:r>
        <w:rPr>
          <w:rFonts w:eastAsia="IRNazanin" w:cs="IRNazanin"/>
          <w:color w:val="111111"/>
          <w:sz w:val="28"/>
          <w:szCs w:val="28"/>
          <w:rtl w:val="true"/>
          <w:lang w:bidi="fa-IR"/>
        </w:rPr>
        <w:t>»</w:t>
      </w:r>
      <w:r>
        <w:rPr>
          <w:rStyle w:val="FootnoteAnchor"/>
          <w:rtl w:val="true"/>
        </w:rPr>
        <w:footnoteReference w:id="3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خبر عبد اللّه الهاشمی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منصور الصیقل</w:t>
      </w:r>
      <w:r>
        <w:rPr>
          <w:rStyle w:val="FootnoteAnchor"/>
          <w:rtl w:val="true"/>
        </w:rPr>
        <w:footnoteReference w:id="3121"/>
      </w:r>
      <w:r>
        <w:rPr>
          <w:rFonts w:ascii="IRNazanin" w:hAnsi="IRNazanin" w:eastAsia="IRNazanin"/>
          <w:color w:val="111111"/>
          <w:sz w:val="28"/>
          <w:sz w:val="28"/>
          <w:szCs w:val="28"/>
          <w:rtl w:val="true"/>
          <w:lang w:bidi="fa-IR"/>
        </w:rPr>
        <w:t>و غیرها</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هذه الأخبار أنّ الوصی ضامن للمال مطلقاً، و لکن یحمل ذلک علی ما إذا فرّط أو أفرط، کما فی الریاض</w:t>
      </w:r>
      <w:r>
        <w:rPr>
          <w:rStyle w:val="FootnoteAnchor"/>
          <w:rtl w:val="true"/>
        </w:rPr>
        <w:footnoteReference w:id="3123"/>
      </w:r>
      <w:r>
        <w:rPr>
          <w:rFonts w:ascii="IRNazanin" w:hAnsi="IRNazanin" w:eastAsia="IRNazanin"/>
          <w:color w:val="111111"/>
          <w:sz w:val="28"/>
          <w:sz w:val="28"/>
          <w:szCs w:val="28"/>
          <w:rtl w:val="true"/>
          <w:lang w:bidi="fa-IR"/>
        </w:rPr>
        <w:t>و الجواهر</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w:t>
      </w:r>
    </w:p>
    <w:p>
      <w:pPr>
        <w:pStyle w:val="BookText"/>
        <w:rPr/>
      </w:pPr>
      <w:r>
        <w:rPr>
          <w:rFonts w:ascii="IRNazanin" w:hAnsi="IRNazanin" w:eastAsia="IRNazanin"/>
          <w:color w:val="111111"/>
          <w:sz w:val="28"/>
          <w:sz w:val="28"/>
          <w:szCs w:val="28"/>
          <w:rtl w:val="true"/>
          <w:lang w:bidi="fa-IR"/>
        </w:rPr>
        <w:t>ما رواه فی دعائم الإسلام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اتّجر الوصیّ بمال الیتیم لم یجعل له فی ذلک فی الوصیّة، فهو ضامن لما نقص من المال و الربح للیتیم</w:t>
      </w:r>
      <w:r>
        <w:rPr>
          <w:rFonts w:eastAsia="IRNazanin" w:cs="IRNazanin"/>
          <w:color w:val="111111"/>
          <w:sz w:val="28"/>
          <w:szCs w:val="28"/>
          <w:rtl w:val="true"/>
          <w:lang w:bidi="fa-IR"/>
        </w:rPr>
        <w:t>»</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تدلّ علی أنّ الوصیّ ضامن بتبدیله الوصیة و تغییرها، و هی أیضاً مستفیضة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أوصی إلی رجل و أمره أن یعتق عنه نسمة بستّمائة درهم من ثلثه، فانطلق الوصیّ فأعطی الستّمائة درهم رجلاً یحجّ بها عنه؟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 یغرم الوصیّ ستّمائة درهم من ماله و یجعلها فیما أوصی المیّت فی نسمةٍ</w:t>
      </w:r>
      <w:r>
        <w:rPr>
          <w:rFonts w:eastAsia="IRNazanin" w:cs="IRNazanin"/>
          <w:color w:val="111111"/>
          <w:sz w:val="28"/>
          <w:szCs w:val="28"/>
          <w:rtl w:val="true"/>
          <w:lang w:bidi="fa-IR"/>
        </w:rPr>
        <w:t>»</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الضمان من جهة تبدیل الوصیة و تغییرها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سعید الأعرج،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یوصی بنسمةٍ فیجعلها الوصیّ فی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یغرمها و یقضی وصیّته</w:t>
      </w:r>
      <w:r>
        <w:rPr>
          <w:rFonts w:eastAsia="IRNazanin" w:cs="IRNazanin"/>
          <w:color w:val="111111"/>
          <w:sz w:val="28"/>
          <w:szCs w:val="28"/>
          <w:rtl w:val="true"/>
          <w:lang w:bidi="fa-IR"/>
        </w:rPr>
        <w:t>»</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أبی سعید،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أوصی بحجّة فجعلها وصیّه فی نسمة؟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یغرمها وصیّه و یجعلها فی حجّة کما أوصی به،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w:t>
      </w:r>
      <w:r>
        <w:rPr>
          <w:rStyle w:val="FootnoteAnchor"/>
          <w:rtl w:val="true"/>
        </w:rPr>
        <w:footnoteReference w:id="3128"/>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خبر علی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 کا</w:t>
      </w:r>
      <w:r>
        <w:rPr>
          <w:rFonts w:eastAsia="IRNazanin" w:cs="IRNazanin"/>
          <w:color w:val="111111"/>
          <w:sz w:val="28"/>
          <w:szCs w:val="28"/>
          <w:rtl w:val="true"/>
          <w:lang w:bidi="fa-IR"/>
        </w:rPr>
        <w:t>»</w:t>
      </w:r>
      <w:r>
        <w:rPr>
          <w:rStyle w:val="FootnoteAnchor"/>
          <w:rtl w:val="true"/>
        </w:rPr>
        <w:footnoteReference w:id="3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الوصیّ قد تعدّی عن الوصیّة؛ لأنّ المدار فی التعدّی و عدمه علی مخالفة الوصیّة و عدمها، و من التعدّی تبدیل الوصیّة؛ و کأنّ المحقّق فی الشرائع</w:t>
      </w:r>
      <w:r>
        <w:rPr>
          <w:rStyle w:val="FootnoteAnchor"/>
          <w:rtl w:val="true"/>
        </w:rPr>
        <w:footnoteReference w:id="3131"/>
      </w:r>
      <w:r>
        <w:rPr>
          <w:rFonts w:ascii="IRNazanin" w:hAnsi="IRNazanin" w:eastAsia="IRNazanin"/>
          <w:color w:val="111111"/>
          <w:sz w:val="28"/>
          <w:sz w:val="28"/>
          <w:szCs w:val="28"/>
          <w:rtl w:val="true"/>
          <w:lang w:bidi="fa-IR"/>
        </w:rPr>
        <w:t>أراد بمخالفة شرط الوصیّة ما یشمل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 أمین لا یضمن ما یتلف إلاّ بتعدٍّ أو تفریط أو مخالفة لشرط الوصیّة</w:t>
      </w:r>
      <w:r>
        <w:rPr>
          <w:rFonts w:eastAsia="IRNazanin" w:cs="IRNazanin"/>
          <w:color w:val="111111"/>
          <w:sz w:val="28"/>
          <w:szCs w:val="28"/>
          <w:rtl w:val="true"/>
          <w:lang w:bidi="fa-IR"/>
        </w:rPr>
        <w:t>»</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الثانی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اقتصر المصنّف علی التعدّی لأغنی عن الباقین؛ لأنّ المفرط متعدّ</w:t>
      </w:r>
      <w:r>
        <w:rPr>
          <w:rFonts w:eastAsia="IRNazanin" w:cs="IRNazanin"/>
          <w:color w:val="111111"/>
          <w:sz w:val="28"/>
          <w:szCs w:val="28"/>
          <w:rtl w:val="true"/>
          <w:lang w:bidi="fa-IR"/>
        </w:rPr>
        <w:t>»</w:t>
      </w:r>
      <w:r>
        <w:rPr>
          <w:rStyle w:val="FootnoteAnchor"/>
          <w:rtl w:val="true"/>
        </w:rPr>
        <w:footnoteReference w:id="3133"/>
      </w:r>
      <w:bookmarkStart w:id="978" w:name="pg11753_115242"/>
    </w:p>
    <w:p>
      <w:pPr>
        <w:pStyle w:val="BookText"/>
        <w:rPr/>
      </w:pPr>
      <w:bookmarkEnd w:id="978"/>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التعدّی بمخالفة شرط الوصیّة</w:t>
      </w:r>
      <w:r>
        <w:rPr>
          <w:rFonts w:eastAsia="IRNazanin" w:cs="IRNazanin"/>
          <w:color w:val="111111"/>
          <w:sz w:val="28"/>
          <w:szCs w:val="28"/>
          <w:rtl w:val="true"/>
          <w:lang w:bidi="fa-IR"/>
        </w:rPr>
        <w:t>»</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الطائفة من الأخبار أیضاً تحمل علی أنّ الوصیّ قد تعدّی فی الأموال فیکون ضامناً؛ لأنّ عدم ضمان الوصیّ مشروط بعدم التعدّی و التفریط</w:t>
      </w:r>
      <w:r>
        <w:rPr>
          <w:rFonts w:eastAsia="IRNazanin" w:cs="IRNazanin"/>
          <w:color w:val="111111"/>
          <w:sz w:val="28"/>
          <w:szCs w:val="28"/>
          <w:rtl w:val="true"/>
          <w:lang w:bidi="fa-IR"/>
        </w:rPr>
        <w:t>.</w:t>
      </w:r>
    </w:p>
    <w:p>
      <w:pPr>
        <w:pStyle w:val="Heading5"/>
        <w:numPr>
          <w:ilvl w:val="4"/>
          <w:numId w:val="1"/>
        </w:numPr>
        <w:rPr/>
      </w:pPr>
      <w:bookmarkStart w:id="979" w:name="__RefHeading___Toc9483206_73709187"/>
      <w:bookmarkStart w:id="980" w:name="_Toc372"/>
      <w:bookmarkEnd w:id="979"/>
      <w:r>
        <w:rPr>
          <w:rtl w:val="true"/>
        </w:rPr>
        <w:t>فرع</w:t>
      </w:r>
      <w:bookmarkEnd w:id="980"/>
    </w:p>
    <w:p>
      <w:pPr>
        <w:pStyle w:val="BookText"/>
        <w:rPr/>
      </w:pPr>
      <w:r>
        <w:rPr>
          <w:rFonts w:ascii="IRNazanin" w:hAnsi="IRNazanin" w:eastAsia="IRNazanin"/>
          <w:color w:val="111111"/>
          <w:sz w:val="28"/>
          <w:sz w:val="28"/>
          <w:szCs w:val="28"/>
          <w:rtl w:val="true"/>
          <w:lang w:bidi="fa-IR"/>
        </w:rPr>
        <w:t>إذا ضَمِنَ الوصیّ مال الیتیم؛ بأن أتلفه بالتعدّی أو التفریط، أو أنفق علیه أزید من المعروف، أو بتبدیله الوصیّة و تغییرها، فالواجب علیه أن یدفعه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یبرأ عن ضمانه حتّی یدفعه إلی الحاکم ثمّ یردّه الحاکم علیه إن ولاّه، و أمّا الأب فیبرأ من ضمان ما أتلفه بقبض مال الضمان من نفسه لولده</w:t>
      </w:r>
      <w:r>
        <w:rPr>
          <w:rFonts w:eastAsia="IRNazanin" w:cs="IRNazanin"/>
          <w:color w:val="111111"/>
          <w:sz w:val="28"/>
          <w:szCs w:val="28"/>
          <w:rtl w:val="true"/>
          <w:lang w:bidi="fa-IR"/>
        </w:rPr>
        <w:t>»</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لنا وجه واضح لهذا الحکم؛ لأنّ ولایة الوصیّ إنّما نشأت من ولایة الأب أو الجدّ، فإذا 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إلیک جمیع امور أولادی، یکون القبض لمال الضمان من أحد هذه الاُمور، و الفرض أنّ غایة ما یوجب التعدّی و التفریط هو وجوب الضمان، و لا یوجب ذلک عزله، و یبقی ولایته فی مورد الوصایة، فلما ذا نحکم بوجوب دفعه المال إلی الحاکم حتّی یرد الحاکم إلیه ثانیاً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مراده قدس سره أنّ مورد الوصایة لا یشمل مثل هذا المورد و منصرف عنه؛ بأن یوصی الأب للوصی أن یأخذ ما أتلفه نفسه بالإفراط أو التفریط، فإذن لا ولایة للموصی إلیه بقبض مال الضمان</w:t>
      </w:r>
      <w:r>
        <w:rPr>
          <w:rFonts w:eastAsia="IRNazanin" w:cs="IRNazanin"/>
          <w:color w:val="111111"/>
          <w:sz w:val="28"/>
          <w:szCs w:val="28"/>
          <w:rtl w:val="true"/>
          <w:lang w:bidi="fa-IR"/>
        </w:rPr>
        <w:t>.</w:t>
      </w:r>
      <w:bookmarkStart w:id="981" w:name="pg11753_115243"/>
    </w:p>
    <w:p>
      <w:pPr>
        <w:pStyle w:val="Heading4"/>
        <w:numPr>
          <w:ilvl w:val="3"/>
          <w:numId w:val="1"/>
        </w:numPr>
        <w:rPr/>
      </w:pPr>
      <w:bookmarkStart w:id="982" w:name="__RefHeading___Toc9483208_73709187"/>
      <w:bookmarkStart w:id="983" w:name="_Toc373"/>
      <w:bookmarkEnd w:id="981"/>
      <w:bookmarkEnd w:id="982"/>
      <w:r>
        <w:rPr>
          <w:rtl w:val="true"/>
        </w:rPr>
        <w:t>المبحث العاشر</w:t>
      </w:r>
      <w:r>
        <w:rPr>
          <w:rtl w:val="true"/>
        </w:rPr>
        <w:t xml:space="preserve">: </w:t>
      </w:r>
      <w:r>
        <w:rPr>
          <w:rtl w:val="true"/>
        </w:rPr>
        <w:t>الحاکم وصیّ لمن لا وصیّ له</w:t>
      </w:r>
      <w:bookmarkEnd w:id="983"/>
    </w:p>
    <w:p>
      <w:pPr>
        <w:pStyle w:val="Heading5"/>
        <w:numPr>
          <w:ilvl w:val="4"/>
          <w:numId w:val="1"/>
        </w:numPr>
        <w:rPr/>
      </w:pPr>
      <w:bookmarkStart w:id="984" w:name="__RefHeading___Toc9483210_73709187"/>
      <w:bookmarkStart w:id="985" w:name="_Toc374"/>
      <w:bookmarkEnd w:id="984"/>
      <w:r>
        <w:rPr>
          <w:rtl w:val="true"/>
        </w:rPr>
        <w:t>اشارة</w:t>
      </w:r>
      <w:bookmarkEnd w:id="985"/>
    </w:p>
    <w:p>
      <w:pPr>
        <w:pStyle w:val="BookText"/>
        <w:rPr/>
      </w:pPr>
      <w:r>
        <w:rPr>
          <w:rFonts w:ascii="IRNazanin" w:hAnsi="IRNazanin" w:eastAsia="IRNazanin"/>
          <w:color w:val="111111"/>
          <w:sz w:val="28"/>
          <w:sz w:val="28"/>
          <w:szCs w:val="28"/>
          <w:rtl w:val="true"/>
          <w:lang w:bidi="fa-IR"/>
        </w:rPr>
        <w:t>لا خلاف بین الفقهاء، بل الإجماع علی أنّه لو مات شخص و لم یوص إلی أحد، و کان له أموال و أطفال، و کذا لو مات الوصیّ و لم یأذن له الموصی أن یوصی، کان النظر فی ترکته للحاکم الشرعی، و هو الذی یعیّن القیّم حتّی یحفظ أموال الأطفال، و یفعل ما کان مصلحة لهم من البیع و الشراء و المضاربة و الإنفاق علیهم و غیرها، و کذلک ذهب مشهور الفقهاء، بل کلّهم إلاّ قلیلاً منهم</w:t>
      </w:r>
      <w:r>
        <w:rPr>
          <w:rStyle w:val="FootnoteAnchor"/>
          <w:rtl w:val="true"/>
        </w:rPr>
        <w:footnoteReference w:id="3136"/>
      </w:r>
      <w:r>
        <w:rPr>
          <w:rFonts w:ascii="IRNazanin" w:hAnsi="IRNazanin" w:eastAsia="IRNazanin"/>
          <w:color w:val="111111"/>
          <w:sz w:val="28"/>
          <w:sz w:val="28"/>
          <w:szCs w:val="28"/>
          <w:rtl w:val="true"/>
          <w:lang w:bidi="fa-IR"/>
        </w:rPr>
        <w:t>إلی أنّه لو لم یکن ثَمَّ حاکم یجب علی العدول من المؤمنین کفایة أن ینظروا فی امور الأطفال و یتولّونهم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الناظر فی امور المسلمین یتولّی إنفاذ الوصیّة علی حسب ما کان یجب علی الوصیّ أن ینفذها، و لیس للورثة أن یتولّوا ذلک بأنفسهم، و إذا عدم السلطان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ذکرناه من هذه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لفقهاء أهل الحقّ العدول من ذوی الرأی و العقل و الفضل أن یتولّوا ما تولاّه السلطان، فإن لم یتمکّنوا من ذلک فلا تبعة علیهم فیه</w:t>
      </w:r>
      <w:r>
        <w:rPr>
          <w:rFonts w:eastAsia="IRNazanin" w:cs="IRNazanin"/>
          <w:color w:val="111111"/>
          <w:sz w:val="28"/>
          <w:szCs w:val="28"/>
          <w:rtl w:val="true"/>
          <w:lang w:bidi="fa-IR"/>
        </w:rPr>
        <w:t>»</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النهایة</w:t>
      </w:r>
      <w:r>
        <w:rPr>
          <w:rStyle w:val="FootnoteAnchor"/>
          <w:rtl w:val="true"/>
        </w:rPr>
        <w:footnoteReference w:id="3138"/>
      </w:r>
      <w:r>
        <w:rPr>
          <w:rFonts w:ascii="IRNazanin" w:hAnsi="IRNazanin" w:eastAsia="IRNazanin"/>
          <w:color w:val="111111"/>
          <w:sz w:val="28"/>
          <w:sz w:val="28"/>
          <w:szCs w:val="28"/>
          <w:rtl w:val="true"/>
          <w:lang w:bidi="fa-IR"/>
        </w:rPr>
        <w:t>و الوسیلة</w:t>
      </w:r>
      <w:r>
        <w:rPr>
          <w:rStyle w:val="FootnoteAnchor"/>
          <w:rtl w:val="true"/>
        </w:rPr>
        <w:footnoteReference w:id="3139"/>
      </w:r>
      <w:r>
        <w:rPr>
          <w:rFonts w:ascii="IRNazanin" w:hAnsi="IRNazanin" w:eastAsia="IRNazanin"/>
          <w:color w:val="111111"/>
          <w:sz w:val="28"/>
          <w:sz w:val="28"/>
          <w:szCs w:val="28"/>
          <w:rtl w:val="true"/>
          <w:lang w:bidi="fa-IR"/>
        </w:rPr>
        <w:t>و الکافی</w:t>
      </w:r>
      <w:r>
        <w:rPr>
          <w:rStyle w:val="FootnoteAnchor"/>
          <w:rtl w:val="true"/>
        </w:rPr>
        <w:footnoteReference w:id="3140"/>
      </w:r>
      <w:r>
        <w:rPr>
          <w:rFonts w:ascii="IRNazanin" w:hAnsi="IRNazanin" w:eastAsia="IRNazanin"/>
          <w:color w:val="111111"/>
          <w:sz w:val="28"/>
          <w:sz w:val="28"/>
          <w:szCs w:val="28"/>
          <w:rtl w:val="true"/>
          <w:lang w:bidi="fa-IR"/>
        </w:rPr>
        <w:t>و الشرائع</w:t>
      </w:r>
      <w:r>
        <w:rPr>
          <w:rStyle w:val="FootnoteAnchor"/>
          <w:rtl w:val="true"/>
        </w:rPr>
        <w:footnoteReference w:id="3141"/>
      </w:r>
      <w:r>
        <w:rPr>
          <w:rFonts w:ascii="IRNazanin" w:hAnsi="IRNazanin" w:eastAsia="IRNazanin"/>
          <w:color w:val="111111"/>
          <w:sz w:val="28"/>
          <w:sz w:val="28"/>
          <w:szCs w:val="28"/>
          <w:rtl w:val="true"/>
          <w:lang w:bidi="fa-IR"/>
        </w:rPr>
        <w:t>و المختصر النافع</w:t>
      </w:r>
      <w:r>
        <w:rPr>
          <w:rStyle w:val="FootnoteAnchor"/>
          <w:rtl w:val="true"/>
        </w:rPr>
        <w:footnoteReference w:id="3142"/>
      </w:r>
    </w:p>
    <w:p>
      <w:pPr>
        <w:pStyle w:val="BookText"/>
        <w:rPr/>
      </w:pPr>
      <w:r>
        <w:rPr>
          <w:rFonts w:ascii="IRNazanin" w:hAnsi="IRNazanin" w:eastAsia="IRNazanin"/>
          <w:color w:val="111111"/>
          <w:sz w:val="28"/>
          <w:sz w:val="28"/>
          <w:szCs w:val="28"/>
          <w:rtl w:val="true"/>
          <w:lang w:bidi="fa-IR"/>
        </w:rPr>
        <w:t>و الإرشاد</w:t>
      </w:r>
      <w:r>
        <w:rPr>
          <w:rStyle w:val="FootnoteAnchor"/>
          <w:rtl w:val="true"/>
        </w:rPr>
        <w:footnoteReference w:id="3143"/>
      </w:r>
      <w:r>
        <w:rPr>
          <w:rFonts w:ascii="IRNazanin" w:hAnsi="IRNazanin" w:eastAsia="IRNazanin"/>
          <w:color w:val="111111"/>
          <w:sz w:val="28"/>
          <w:sz w:val="28"/>
          <w:szCs w:val="28"/>
          <w:rtl w:val="true"/>
          <w:lang w:bidi="fa-IR"/>
        </w:rPr>
        <w:t>و المهذب</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قال به جماعة من المتأخّرین</w:t>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الولایة بالأصالة علی الطفل ثابتة لأبیه ثمّ لجدّه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الجمیع فالحاکم، و المراد به الإمام المعصوم علیه السلام أو نائبه الخاصّ، و فی زمان الغیبة النائب العامّ، و هو المستجمع لشرائط الفتوی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 الکلّ فهل یجوز أن یتولّی النظر فی ترکة المیّت من المؤمنین من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الإذن فیه من دلائل الأمر بالمعروف</w:t>
      </w:r>
      <w:r>
        <w:rPr>
          <w:rFonts w:eastAsia="IRNazanin" w:cs="IRNazanin"/>
          <w:color w:val="111111"/>
          <w:sz w:val="28"/>
          <w:szCs w:val="28"/>
          <w:rtl w:val="true"/>
          <w:lang w:bidi="fa-IR"/>
        </w:rPr>
        <w:t>...»</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فقد الجمیع، فهل یجوز أن یتولّی النظر فی ترکة المیّت من المؤمنین من یوثق به؟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المنع، ذهب إلیه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هو مختار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أشبعنا الموضوع بذکر الأقوال و بیان الأدلّة فی البحث عن ولایة الحاکم و عدول المؤمنین علی أموال الصغار مفصّلاً، و لا تفاوت بین المسألتین فلا نعیدها خوفاً من التطویل</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هذا الحکم أنّه إن ظهر من الموصی إلیه عجز أو ضعف فی القیام بالوصیّة، کان للناظر فی امور المسلمین أن یقیم معه أمیناً قویّاً ضابطاً یعینه</w:t>
      </w:r>
    </w:p>
    <w:p>
      <w:pPr>
        <w:pStyle w:val="BookText"/>
        <w:rPr/>
      </w:pPr>
      <w:r>
        <w:rPr>
          <w:rFonts w:ascii="IRNazanin" w:hAnsi="IRNazanin" w:eastAsia="IRNazanin"/>
          <w:color w:val="111111"/>
          <w:sz w:val="28"/>
          <w:sz w:val="28"/>
          <w:szCs w:val="28"/>
          <w:rtl w:val="true"/>
          <w:lang w:bidi="fa-IR"/>
        </w:rPr>
        <w:t>علی تنفیذ الوصیّة، و لم یکن له عزله لضعفه</w:t>
      </w:r>
      <w:r>
        <w:rPr>
          <w:rStyle w:val="FootnoteAnchor"/>
          <w:rtl w:val="true"/>
        </w:rPr>
        <w:footnoteReference w:id="3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إذا ظهر منه خیانة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موت الموصی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عزله الحاکم و أقام أمیناً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جُنّ أو أُغمی علیه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کذا لو تغیّر حاله بالفسق، عزله الحاکم و أقام غیره مقامه علی قول بعضهم</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إلی من اجتمعت فیه الشروط فتغیّرت حالة الموصی إلیه، فإن کان لضعف من کبر أو مرض، لم تخرج ولایته بذلک عنه و یضمّ الحاکم إلیه من یشارکه فی النظر و یساعده علیه، احتیاطاً للموصی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تغیّرت حاله بفسق، فإن کان قبل موت الموصی،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تشترط العدالة عند الوصایة بطلت وصیّته، و إن لم یشترط و تجدّدت العدالة حالة الموت صحّت ولایته، و إلاّ بطلت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تغیّره بعد موت الموصی، إمّا لتعدّیه فی المال أو لغیر ذلک بطلت ولایته و انعزل عن النظر، و یکون النظر إلی الحاکم أو نائبه، و إلاّ تولاّه بعض</w:t>
      </w:r>
    </w:p>
    <w:p>
      <w:pPr>
        <w:pStyle w:val="BookText"/>
        <w:rPr/>
      </w:pPr>
      <w:r>
        <w:rPr>
          <w:rFonts w:ascii="IRNazanin" w:hAnsi="IRNazanin" w:eastAsia="IRNazanin"/>
          <w:color w:val="111111"/>
          <w:sz w:val="28"/>
          <w:sz w:val="28"/>
          <w:szCs w:val="28"/>
          <w:rtl w:val="true"/>
          <w:lang w:bidi="fa-IR"/>
        </w:rPr>
        <w:t>المؤمنین مع تعذّر الحاکم و نائبه؛ لزوال الشرط</w:t>
      </w:r>
      <w:r>
        <w:rPr>
          <w:rFonts w:eastAsia="IRNazanin" w:cs="IRNazanin"/>
          <w:color w:val="111111"/>
          <w:sz w:val="28"/>
          <w:szCs w:val="28"/>
          <w:rtl w:val="true"/>
          <w:lang w:bidi="fa-IR"/>
        </w:rPr>
        <w:t>»</w:t>
      </w:r>
      <w:r>
        <w:rPr>
          <w:rStyle w:val="FootnoteAnchor"/>
          <w:rtl w:val="true"/>
        </w:rPr>
        <w:footnoteReference w:id="3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خیانة الوصیّ، فعلی الحاکم عزله و نصب شخص آخر مکانه، أو ضمّ أمین إلیه حسب ما یراه من المصلحة، و لو ظهر منه العجز عن الاستقلال ضمّ إلیه من 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عجز عن التدبیر و العمل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یرجی زواله کالهرم و الخرف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انعزاله، و علی الحاکم نصب شخص آخر مکانه</w:t>
      </w:r>
      <w:r>
        <w:rPr>
          <w:rFonts w:eastAsia="IRNazanin" w:cs="IRNazanin"/>
          <w:color w:val="111111"/>
          <w:sz w:val="28"/>
          <w:szCs w:val="28"/>
          <w:rtl w:val="true"/>
          <w:lang w:bidi="fa-IR"/>
        </w:rPr>
        <w:t>»</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تفصیل الشریعة، و أضاف بأنّ فی 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صورة عجز الوصیّ عن التدبیر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ما هو المعتبر فی صحة جعله وصیّاً یوجب أن ینعزل الوصیّ بنفسه، و لا حاجة إلی عزل الحاکم فی هذه الصورة، بل اللاّزم علیه نصب شخص آخر مکانه</w:t>
      </w:r>
      <w:r>
        <w:rPr>
          <w:rStyle w:val="FootnoteAnchor"/>
          <w:rtl w:val="true"/>
        </w:rPr>
        <w:footnoteReference w:id="3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علی تقدیر اشتراط العدالة فی الوصیّ لو نصب عدلاً، ثمّ ظهر فسقه، و کذا علی القول بعدم اشتراط العدالة لو اوصی إلی العدل من حیث کونه عدلاً، ثمّ ظهر منه الفسق بعد موت الموصی، فهل یبطل وصایته؟ فمن قال باعتبار العدالة ابتداءً أبطل الوصیّة هنا، لفوات شرط الوصیة، و من لم یقل باعتبارها ابتداء أبطل به هنا؛ لأنّه ربما کان الرکون إلیه بالإیصاء فی الابتداء وثوقاً بعدالته، و 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تعود ولایته لو عادت العدالة؛ لزوالها شرعاً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فی الأمر الثانی</w:t>
      </w:r>
      <w:r>
        <w:rPr>
          <w:rStyle w:val="FootnoteAnchor"/>
          <w:rtl w:val="true"/>
        </w:rPr>
        <w:footnoteReference w:id="3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الجزم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w:t>
      </w:r>
      <w:bookmarkStart w:id="986" w:name="pg11753_115247"/>
    </w:p>
    <w:p>
      <w:pPr>
        <w:pStyle w:val="BookText"/>
        <w:rPr/>
      </w:pPr>
      <w:bookmarkEnd w:id="986"/>
      <w:r>
        <w:rPr>
          <w:rFonts w:ascii="IRNazanin" w:hAnsi="IRNazanin" w:eastAsia="IRNazanin"/>
          <w:color w:val="111111"/>
          <w:sz w:val="28"/>
          <w:sz w:val="28"/>
          <w:szCs w:val="28"/>
          <w:rtl w:val="true"/>
          <w:lang w:bidi="fa-IR"/>
        </w:rPr>
        <w:t>بل عن المهذّب و شرح الصّیمری الإجماع علیه</w:t>
      </w:r>
      <w:r>
        <w:rPr>
          <w:rStyle w:val="FootnoteAnchor"/>
          <w:rtl w:val="true"/>
        </w:rPr>
        <w:footnoteReference w:id="3155"/>
      </w:r>
      <w:r>
        <w:rPr>
          <w:rFonts w:ascii="Amiri" w:hAnsi="Amiri" w:eastAsia="Amiri" w:cs="Amiri"/>
          <w:color w:val="111111"/>
          <w:sz w:val="28"/>
          <w:sz w:val="28"/>
          <w:szCs w:val="28"/>
          <w:rtl w:val="true"/>
          <w:lang w:bidi="ar-SA"/>
        </w:rPr>
        <w:t>إلاّ من الحلّی</w:t>
      </w:r>
      <w:r>
        <w:rPr>
          <w:rStyle w:val="FootnoteAnchor"/>
          <w:rtl w:val="true"/>
        </w:rPr>
        <w:footnoteReference w:id="3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مقتضیها، ضرورة کون عبارة النصب له من حیث العدالة، فمع فسقه لم تشمله عبارة النصب، فلا یکون وصیّاً</w:t>
      </w:r>
      <w:r>
        <w:rPr>
          <w:rFonts w:eastAsia="IRNazanin" w:cs="IRNazanin"/>
          <w:color w:val="111111"/>
          <w:sz w:val="28"/>
          <w:szCs w:val="28"/>
          <w:rtl w:val="true"/>
          <w:lang w:bidi="fa-IR"/>
        </w:rPr>
        <w:t>»</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لا خلاف فی ذلک عندنا؛ لأنّ الموصی إنّما أوصی إلیه بهذا الوصف، و ربما کان هو الباعث الأصلی علی التفویض إلیه، و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ینعزل من حین الفسق و إن لم یعزله الحاکم لوجود المانع</w:t>
      </w:r>
      <w:r>
        <w:rPr>
          <w:rFonts w:eastAsia="IRNazanin" w:cs="IRNazanin"/>
          <w:color w:val="111111"/>
          <w:sz w:val="28"/>
          <w:szCs w:val="28"/>
          <w:rtl w:val="true"/>
          <w:lang w:bidi="fa-IR"/>
        </w:rPr>
        <w:t>»</w:t>
      </w:r>
      <w:r>
        <w:rPr>
          <w:rStyle w:val="FootnoteAnchor"/>
          <w:rtl w:val="true"/>
        </w:rPr>
        <w:footnoteReference w:id="3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أیضاً فی المسالک</w:t>
      </w:r>
      <w:r>
        <w:rPr>
          <w:rStyle w:val="FootnoteAnchor"/>
          <w:rtl w:val="true"/>
        </w:rPr>
        <w:footnoteReference w:id="3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9483212_73709187"/>
      <w:bookmarkStart w:id="988" w:name="_Toc375"/>
      <w:bookmarkEnd w:id="987"/>
      <w:r>
        <w:rPr>
          <w:rtl w:val="true"/>
        </w:rPr>
        <w:t>آراء فقهاء أهل السنّة فی المقام</w:t>
      </w:r>
      <w:bookmarkEnd w:id="988"/>
    </w:p>
    <w:p>
      <w:pPr>
        <w:pStyle w:val="BookText"/>
        <w:rPr/>
      </w:pPr>
      <w:r>
        <w:rPr>
          <w:rFonts w:ascii="IRNazanin" w:hAnsi="IRNazanin" w:eastAsia="IRNazanin"/>
          <w:color w:val="111111"/>
          <w:sz w:val="28"/>
          <w:sz w:val="28"/>
          <w:szCs w:val="28"/>
          <w:rtl w:val="true"/>
          <w:lang w:bidi="fa-IR"/>
        </w:rPr>
        <w:t>اتّفق فقهاء أهل السنّة فی أنّه إن تغیّرت حال الوصیّ لضعف أو کبر أو مرض لم یعزله الحاکم، بل یضمّ إلیه أمیناً یعاونه، و اختلفوا فی أنّه هل کانت العدالة شرطاً فی الوصیّ حتّی إذا فسق عزله، أم لا یشترط فیه ذلک؟ فإلیک نصّ بعض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الشافعیّة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وصّی إلی رجل فتغیّر حاله بعد موت الموصی، فإن کان لضعف ضمّ إلیه معین أمین، و إن تغیّر بفسق أو جنون بطلت الوصیّة إلیه و یقیم الحاکم من یقوم مقامه</w:t>
      </w:r>
      <w:r>
        <w:rPr>
          <w:rFonts w:eastAsia="IRNazanin" w:cs="IRNazanin"/>
          <w:color w:val="111111"/>
          <w:sz w:val="28"/>
          <w:szCs w:val="28"/>
          <w:rtl w:val="true"/>
          <w:lang w:bidi="fa-IR"/>
        </w:rPr>
        <w:t>»</w:t>
      </w:r>
      <w:r>
        <w:rPr>
          <w:rStyle w:val="FootnoteAnchor"/>
          <w:rtl w:val="true"/>
        </w:rPr>
        <w:footnoteReference w:id="3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المجموع</w:t>
      </w:r>
      <w:r>
        <w:rPr>
          <w:rStyle w:val="FootnoteAnchor"/>
          <w:rtl w:val="true"/>
        </w:rPr>
        <w:footnoteReference w:id="3161"/>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أوصی إلی من جمع الشرائط ثمّ تغیّرت حال الوصیّ بعد موت الموصی، فإن تغیّر لضعف عن الحساب أو الحفظ لم ینعزل بذلک، بل یضمّ إلیه الحاکم أمیناً یعاونه؛ لأنّ الضعف لا ینافی الولایة، بدلیل أنّ الأب و الجدّ یلیان مال ولدهما و إن کان فیهما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الحاکم هو الذی نصب الأمین فضعف فله عزله؛ لأنّه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فسق الوصیّ أو جنّ انعزل عن الوصیّة؛ لأنّ الفسق و الجنون ینافیان الولایة</w:t>
      </w:r>
      <w:r>
        <w:rPr>
          <w:rFonts w:eastAsia="IRNazanin" w:cs="IRNazanin"/>
          <w:color w:val="111111"/>
          <w:sz w:val="28"/>
          <w:szCs w:val="28"/>
          <w:rtl w:val="true"/>
          <w:lang w:bidi="fa-IR"/>
        </w:rPr>
        <w:t>»</w:t>
      </w:r>
      <w:r>
        <w:rPr>
          <w:rStyle w:val="FootnoteAnchor"/>
          <w:rtl w:val="true"/>
        </w:rPr>
        <w:footnoteReference w:id="3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فی الوجیز</w:t>
      </w:r>
      <w:r>
        <w:rPr>
          <w:rStyle w:val="FootnoteAnchor"/>
          <w:rtl w:val="true"/>
        </w:rPr>
        <w:footnoteReference w:id="3163"/>
      </w:r>
      <w:r>
        <w:rPr>
          <w:rFonts w:ascii="IRNazanin" w:hAnsi="IRNazanin" w:eastAsia="IRNazanin"/>
          <w:color w:val="111111"/>
          <w:sz w:val="28"/>
          <w:sz w:val="28"/>
          <w:szCs w:val="28"/>
          <w:rtl w:val="true"/>
          <w:lang w:bidi="fa-IR"/>
        </w:rPr>
        <w:t>و العزیز</w:t>
      </w:r>
      <w:r>
        <w:rPr>
          <w:rStyle w:val="FootnoteAnchor"/>
          <w:rtl w:val="true"/>
        </w:rPr>
        <w:footnoteReference w:id="3164"/>
      </w:r>
      <w:r>
        <w:rPr>
          <w:rFonts w:ascii="IRNazanin" w:hAnsi="IRNazanin" w:eastAsia="IRNazanin"/>
          <w:color w:val="111111"/>
          <w:sz w:val="28"/>
          <w:sz w:val="28"/>
          <w:szCs w:val="28"/>
          <w:rtl w:val="true"/>
          <w:lang w:bidi="fa-IR"/>
        </w:rPr>
        <w:t>و مغنی المحتاج</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ascii="IRNazanin" w:hAnsi="IRNazanin" w:eastAsia="IRNazanin"/>
          <w:color w:val="111111"/>
          <w:sz w:val="28"/>
          <w:sz w:val="28"/>
          <w:szCs w:val="28"/>
          <w:rtl w:val="true"/>
          <w:lang w:bidi="fa-IR"/>
        </w:rPr>
        <w:t>فقد 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الوصیّ فاسقاً فحکمه حکم من لا وصیّ له، و ینظر فی ماله الحاکم، و إن طرأ فسقه بعد الوصیّة زالت ولایته و أقام الحاکم مقامه أمیناً، هذا اختیار القاضی، و هو قول الثوری و الشافعی و إسحاق، و علی قول الخرقی لا تزول ولایته و یضمّ إلیه أمین ینظر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تغیّرت حال الوصی بجنون أو کفر أو سفه زالت ولایته و صار کأنّه لم یوص إلیه، و یرجع الأمر إلی الحاکم، فیقیم أمیناً ناظراً للمیّت فی أمره و أمر أولاده</w:t>
      </w:r>
      <w:r>
        <w:rPr>
          <w:rFonts w:eastAsia="IRNazanin" w:cs="IRNazanin"/>
          <w:color w:val="111111"/>
          <w:sz w:val="28"/>
          <w:szCs w:val="28"/>
          <w:rtl w:val="true"/>
          <w:lang w:bidi="fa-IR"/>
        </w:rPr>
        <w:t>»</w:t>
      </w:r>
      <w:r>
        <w:rPr>
          <w:rStyle w:val="FootnoteAnchor"/>
          <w:rtl w:val="true"/>
        </w:rPr>
        <w:footnoteReference w:id="3166"/>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الکافی</w:t>
      </w:r>
      <w:r>
        <w:rPr>
          <w:rStyle w:val="FootnoteAnchor"/>
          <w:rtl w:val="true"/>
        </w:rPr>
        <w:footnoteReference w:id="3167"/>
      </w:r>
      <w:r>
        <w:rPr>
          <w:rFonts w:ascii="IRNazanin" w:hAnsi="IRNazanin" w:eastAsia="IRNazanin"/>
          <w:color w:val="111111"/>
          <w:sz w:val="28"/>
          <w:sz w:val="28"/>
          <w:szCs w:val="28"/>
          <w:rtl w:val="true"/>
          <w:lang w:bidi="fa-IR"/>
        </w:rPr>
        <w:t>و الإقناع</w:t>
      </w:r>
      <w:r>
        <w:rPr>
          <w:rStyle w:val="FootnoteAnchor"/>
          <w:rtl w:val="true"/>
        </w:rPr>
        <w:footnoteReference w:id="3168"/>
      </w:r>
      <w:r>
        <w:rPr>
          <w:rFonts w:ascii="IRNazanin" w:hAnsi="IRNazanin" w:eastAsia="IRNazanin"/>
          <w:color w:val="111111"/>
          <w:sz w:val="28"/>
          <w:sz w:val="28"/>
          <w:szCs w:val="28"/>
          <w:rtl w:val="true"/>
          <w:lang w:bidi="fa-IR"/>
        </w:rPr>
        <w:t>و کشّاف القناع</w:t>
      </w:r>
      <w:r>
        <w:rPr>
          <w:rStyle w:val="FootnoteAnchor"/>
          <w:rtl w:val="true"/>
        </w:rPr>
        <w:footnoteReference w:id="3169"/>
      </w:r>
      <w:r>
        <w:rPr>
          <w:rFonts w:ascii="IRNazanin" w:hAnsi="IRNazanin" w:eastAsia="IRNazanin"/>
          <w:color w:val="111111"/>
          <w:sz w:val="28"/>
          <w:sz w:val="28"/>
          <w:szCs w:val="28"/>
          <w:rtl w:val="true"/>
          <w:lang w:bidi="fa-IR"/>
        </w:rPr>
        <w:t>و الإنصاف</w:t>
      </w:r>
      <w:r>
        <w:rPr>
          <w:rStyle w:val="FootnoteAnchor"/>
          <w:rtl w:val="true"/>
        </w:rPr>
        <w:footnoteReference w:id="3170"/>
      </w:r>
    </w:p>
    <w:p>
      <w:pPr>
        <w:pStyle w:val="BookText"/>
        <w:rPr/>
      </w:pPr>
      <w:r>
        <w:rPr>
          <w:rFonts w:ascii="IRNazanin" w:hAnsi="IRNazanin" w:eastAsia="IRNazanin"/>
          <w:color w:val="111111"/>
          <w:sz w:val="28"/>
          <w:sz w:val="28"/>
          <w:szCs w:val="28"/>
          <w:rtl w:val="true"/>
          <w:lang w:bidi="fa-IR"/>
        </w:rPr>
        <w:t>و فی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الفاسق و یضمّ الحاکم إلیه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نظر الموصی و حفظ المال</w:t>
      </w:r>
      <w:r>
        <w:rPr>
          <w:rFonts w:eastAsia="IRNazanin" w:cs="IRNazanin"/>
          <w:color w:val="111111"/>
          <w:sz w:val="28"/>
          <w:szCs w:val="28"/>
          <w:rtl w:val="true"/>
          <w:lang w:bidi="fa-IR"/>
        </w:rPr>
        <w:t>...»</w:t>
      </w:r>
      <w:r>
        <w:rPr>
          <w:rStyle w:val="FootnoteAnchor"/>
          <w:rtl w:val="true"/>
        </w:rPr>
        <w:footnoteReference w:id="3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الحنفیّة</w:t>
      </w:r>
    </w:p>
    <w:p>
      <w:pPr>
        <w:pStyle w:val="BookText"/>
        <w:rPr/>
      </w:pPr>
      <w:r>
        <w:rPr>
          <w:rFonts w:ascii="IRNazanin" w:hAnsi="IRNazanin" w:eastAsia="IRNazanin"/>
          <w:color w:val="111111"/>
          <w:sz w:val="28"/>
          <w:sz w:val="28"/>
          <w:szCs w:val="28"/>
          <w:rtl w:val="true"/>
          <w:lang w:bidi="fa-IR"/>
        </w:rPr>
        <w:t>جاء فی البحر الرائق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عجز عن القیام ضمّ إلیه غیره؛ لأنّ فی الضمّ رعایة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الوصیّ و حقّ الورثة؛ لأنّ تکمیل النظر یحصل به؛ لأنّ النظر یتمّ بإعانة غیره</w:t>
      </w:r>
      <w:r>
        <w:rPr>
          <w:rFonts w:eastAsia="IRNazanin" w:cs="IRNazanin"/>
          <w:color w:val="111111"/>
          <w:sz w:val="28"/>
          <w:szCs w:val="28"/>
          <w:rtl w:val="true"/>
          <w:lang w:bidi="fa-IR"/>
        </w:rPr>
        <w:t>»</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البنایة</w:t>
      </w:r>
      <w:r>
        <w:rPr>
          <w:rStyle w:val="FootnoteAnchor"/>
          <w:rtl w:val="true"/>
        </w:rPr>
        <w:footnoteReference w:id="3173"/>
      </w:r>
      <w:r>
        <w:rPr>
          <w:rFonts w:ascii="IRNazanin" w:hAnsi="IRNazanin" w:eastAsia="IRNazanin"/>
          <w:color w:val="111111"/>
          <w:sz w:val="28"/>
          <w:sz w:val="28"/>
          <w:szCs w:val="28"/>
          <w:rtl w:val="true"/>
          <w:lang w:bidi="fa-IR"/>
        </w:rPr>
        <w:t>و أحکام الصغار</w:t>
      </w:r>
      <w:r>
        <w:rPr>
          <w:rStyle w:val="FootnoteAnchor"/>
          <w:rtl w:val="true"/>
        </w:rPr>
        <w:footnoteReference w:id="3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المالکیّة</w:t>
      </w:r>
    </w:p>
    <w:p>
      <w:pPr>
        <w:pStyle w:val="BookText"/>
        <w:rPr/>
      </w:pPr>
      <w:r>
        <w:rPr>
          <w:rFonts w:ascii="IRNazanin" w:hAnsi="IRNazanin" w:eastAsia="IRNazanin"/>
          <w:color w:val="111111"/>
          <w:sz w:val="28"/>
          <w:sz w:val="28"/>
          <w:szCs w:val="28"/>
          <w:rtl w:val="true"/>
          <w:lang w:bidi="fa-IR"/>
        </w:rPr>
        <w:t>فقد جاء فی حاشیة الخرشی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الفسق إذا طرأ علی الوصیّ؛ فإنّه ینعزل عن الإیصاء علی المشهور؛ إذ یشترط فی الوصی العدالة ابتداءً و دواماً</w:t>
      </w:r>
      <w:r>
        <w:rPr>
          <w:rFonts w:eastAsia="IRNazanin" w:cs="IRNazanin"/>
          <w:color w:val="111111"/>
          <w:sz w:val="28"/>
          <w:szCs w:val="28"/>
          <w:rtl w:val="true"/>
          <w:lang w:bidi="fa-IR"/>
        </w:rPr>
        <w:t>»</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ولی العدل ثمّ طرأ الفسق علیه وجب عزله عنها</w:t>
      </w:r>
      <w:r>
        <w:rPr>
          <w:rFonts w:eastAsia="IRNazanin" w:cs="IRNazanin"/>
          <w:color w:val="111111"/>
          <w:sz w:val="28"/>
          <w:szCs w:val="28"/>
          <w:rtl w:val="true"/>
          <w:lang w:bidi="fa-IR"/>
        </w:rPr>
        <w:t>»</w:t>
      </w:r>
      <w:r>
        <w:rPr>
          <w:rStyle w:val="FootnoteAnchor"/>
          <w:rtl w:val="true"/>
        </w:rPr>
        <w:footnoteReference w:id="3176"/>
      </w:r>
      <w:r>
        <w:rPr>
          <w:rFonts w:ascii="IRNazanin" w:hAnsi="IRNazanin" w:eastAsia="IRNazanin"/>
          <w:color w:val="111111"/>
          <w:sz w:val="28"/>
          <w:sz w:val="28"/>
          <w:szCs w:val="28"/>
          <w:rtl w:val="true"/>
          <w:lang w:bidi="fa-IR"/>
        </w:rPr>
        <w:t>أی وجب علی الحاکم عزله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حاشیة الدسوقی</w:t>
      </w:r>
      <w:r>
        <w:rPr>
          <w:rStyle w:val="FootnoteAnchor"/>
          <w:rtl w:val="true"/>
        </w:rPr>
        <w:footnoteReference w:id="3177"/>
      </w:r>
      <w:r>
        <w:rPr>
          <w:rFonts w:ascii="IRNazanin" w:hAnsi="IRNazanin" w:eastAsia="IRNazanin"/>
          <w:color w:val="111111"/>
          <w:sz w:val="28"/>
          <w:sz w:val="28"/>
          <w:szCs w:val="28"/>
          <w:rtl w:val="true"/>
          <w:lang w:bidi="fa-IR"/>
        </w:rPr>
        <w:t>و مواهب الجلیل</w:t>
      </w:r>
      <w:r>
        <w:rPr>
          <w:rStyle w:val="FootnoteAnchor"/>
          <w:rtl w:val="true"/>
        </w:rPr>
        <w:footnoteReference w:id="3178"/>
      </w:r>
      <w:bookmarkStart w:id="989" w:name="pg11753_115250"/>
    </w:p>
    <w:p>
      <w:pPr>
        <w:pStyle w:val="Heading4"/>
        <w:numPr>
          <w:ilvl w:val="3"/>
          <w:numId w:val="1"/>
        </w:numPr>
        <w:rPr/>
      </w:pPr>
      <w:bookmarkStart w:id="990" w:name="__RefHeading___Toc9483214_73709187"/>
      <w:bookmarkStart w:id="991" w:name="_Toc376"/>
      <w:bookmarkEnd w:id="989"/>
      <w:bookmarkEnd w:id="990"/>
      <w:r>
        <w:rPr>
          <w:rtl w:val="true"/>
        </w:rPr>
        <w:t>المبحث الحادی عشر</w:t>
      </w:r>
      <w:r>
        <w:rPr>
          <w:rtl w:val="true"/>
        </w:rPr>
        <w:t xml:space="preserve">: </w:t>
      </w:r>
      <w:r>
        <w:rPr>
          <w:rtl w:val="true"/>
        </w:rPr>
        <w:t>فروع حول الوصیّة للحمل</w:t>
      </w:r>
      <w:bookmarkEnd w:id="991"/>
    </w:p>
    <w:p>
      <w:pPr>
        <w:pStyle w:val="Heading5"/>
        <w:numPr>
          <w:ilvl w:val="4"/>
          <w:numId w:val="1"/>
        </w:numPr>
        <w:rPr/>
      </w:pPr>
      <w:bookmarkStart w:id="992" w:name="__RefHeading___Toc9483216_73709187"/>
      <w:bookmarkStart w:id="993" w:name="_Toc377"/>
      <w:bookmarkEnd w:id="992"/>
      <w:r>
        <w:rPr>
          <w:rtl w:val="true"/>
        </w:rPr>
        <w:t>اشارة</w:t>
      </w:r>
      <w:bookmarkEnd w:id="993"/>
    </w:p>
    <w:p>
      <w:pPr>
        <w:pStyle w:val="BookText"/>
        <w:rPr/>
      </w:pPr>
      <w:r>
        <w:rPr>
          <w:rFonts w:ascii="IRNazanin" w:hAnsi="IRNazanin" w:eastAsia="IRNazanin"/>
          <w:color w:val="111111"/>
          <w:sz w:val="28"/>
          <w:sz w:val="28"/>
          <w:szCs w:val="28"/>
          <w:rtl w:val="true"/>
          <w:lang w:bidi="fa-IR"/>
        </w:rPr>
        <w:t xml:space="preserve">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السادس من الباب الأوّل تحت عنوان حقوق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الوصیّة له و بیان شرائطها و بقیت فروع لم نتعرّض لها هناک، و حیث إنّها ترتبط بباب الوصیّة فناسب ذکرها فی هذا الفصل، و 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أوصی لحمل فأتت به لأقلّ من ستّة أشهر استحقّ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الموصی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ولدت آخر لأقلّ من ستّة أشهر من ولادة الأوّل شارکه، لتحقّق وجوده وقت الوصیّة</w:t>
      </w:r>
      <w:r>
        <w:rPr>
          <w:rFonts w:eastAsia="IRNazanin" w:cs="IRNazanin"/>
          <w:color w:val="111111"/>
          <w:sz w:val="28"/>
          <w:szCs w:val="28"/>
          <w:rtl w:val="true"/>
          <w:lang w:bidi="fa-IR"/>
        </w:rPr>
        <w:t>»</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 فی شرحها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لأنّهما حمل واحد إجماعاً، و لا فرق فی ذلک بین أن یکون فراشاً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جاءت بالثانی لستّة أشهر فما زاد لم یشارک؛ لإمکان تجدّده، و لا یخفی أنّ ذلک إنّما یتصوّر إذا لم یتجاوز مجموع المدّتین أقصی</w:t>
      </w:r>
      <w:r>
        <w:rPr>
          <w:rStyle w:val="FootnoteAnchor"/>
          <w:rtl w:val="true"/>
        </w:rPr>
        <w:footnoteReference w:id="3180"/>
      </w:r>
      <w:r>
        <w:rPr>
          <w:rFonts w:ascii="Amiri" w:hAnsi="Amiri" w:eastAsia="Amiri" w:cs="Amiri"/>
          <w:color w:val="111111"/>
          <w:sz w:val="28"/>
          <w:sz w:val="28"/>
          <w:szCs w:val="28"/>
          <w:rtl w:val="true"/>
          <w:lang w:bidi="ar-SA"/>
        </w:rPr>
        <w:t>مدّة الحمل</w:t>
      </w:r>
      <w:r>
        <w:rPr>
          <w:rFonts w:eastAsia="Amiri" w:cs="Amiri" w:ascii="Amiri" w:hAnsi="Amiri"/>
          <w:color w:val="111111"/>
          <w:sz w:val="28"/>
          <w:szCs w:val="28"/>
          <w:rtl w:val="true"/>
          <w:lang w:bidi="ar-SA"/>
        </w:rPr>
        <w:t>»</w:t>
      </w:r>
      <w:r>
        <w:rPr>
          <w:rStyle w:val="FootnoteAnchor"/>
          <w:rtl w:val="true"/>
        </w:rPr>
        <w:footnoteReference w:id="3181"/>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ولدت أحد التوأمین لأقلّ من ستّة أشهر، ثمّ ولدت الثانی لأقلّ من ستّة أشهر من الولادة الاُولی صحّت الوصیّة لهما و إن زاد ما بین الثانی و الوصیة علی ستّة أشهر و کانت المرأة فراشاً؛ لأنّهما حمل واحد إجماعاً</w:t>
      </w:r>
      <w:r>
        <w:rPr>
          <w:rFonts w:eastAsia="IRNazanin" w:cs="IRNazanin"/>
          <w:color w:val="111111"/>
          <w:sz w:val="28"/>
          <w:szCs w:val="28"/>
          <w:rtl w:val="true"/>
          <w:lang w:bidi="fa-IR"/>
        </w:rPr>
        <w:t>»</w:t>
      </w:r>
      <w:r>
        <w:rPr>
          <w:rStyle w:val="FootnoteAnchor"/>
          <w:rtl w:val="true"/>
        </w:rPr>
        <w:footnoteReference w:id="3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3183"/>
      </w:r>
      <w:r>
        <w:rPr>
          <w:rFonts w:ascii="IRNazanin" w:hAnsi="IRNazanin" w:eastAsia="IRNazanin"/>
          <w:color w:val="111111"/>
          <w:sz w:val="28"/>
          <w:sz w:val="28"/>
          <w:szCs w:val="28"/>
          <w:rtl w:val="true"/>
          <w:lang w:bidi="fa-IR"/>
        </w:rPr>
        <w:t>، و الحکم واضح لا 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قال فقهاء أهل السنّة</w:t>
      </w:r>
      <w:r>
        <w:rPr>
          <w:rStyle w:val="FootnoteAnchor"/>
          <w:rtl w:val="true"/>
        </w:rPr>
        <w:footnoteReference w:id="3184"/>
      </w:r>
      <w:r>
        <w:rPr>
          <w:rFonts w:ascii="IRNazanin" w:hAnsi="IRNazanin" w:eastAsia="IRNazanin"/>
          <w:color w:val="111111"/>
          <w:sz w:val="28"/>
          <w:sz w:val="28"/>
          <w:szCs w:val="28"/>
          <w:rtl w:val="true"/>
          <w:lang w:bidi="fa-IR"/>
        </w:rPr>
        <w:t>، ففی الوجیز فی فقه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أوصی لحملٍ، جاز بشرط أن ینفصل حیّاً لوقت یعلم وجوده عند الوصیّة، و هو لما دون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لما فوقه، و المرأة ذات زوج، لم یستحقّ؛ لظهور طریان العلوق، و إن لم یکن فأظهر الوجهین أنّه یستحقّ، إلاّ أن یجاوز أربع سنین؛ لأنّ طریان وط‌ء الشبهة بعید</w:t>
      </w:r>
      <w:r>
        <w:rPr>
          <w:rFonts w:eastAsia="IRNazanin" w:cs="IRNazanin"/>
          <w:color w:val="111111"/>
          <w:sz w:val="28"/>
          <w:szCs w:val="28"/>
          <w:rtl w:val="true"/>
          <w:lang w:bidi="fa-IR"/>
        </w:rPr>
        <w:t>»</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منهاج الطالبین</w:t>
      </w:r>
      <w:r>
        <w:rPr>
          <w:rStyle w:val="FootnoteAnchor"/>
          <w:rtl w:val="true"/>
        </w:rPr>
        <w:footnoteReference w:id="3186"/>
      </w:r>
      <w:r>
        <w:rPr>
          <w:rFonts w:ascii="IRNazanin" w:hAnsi="IRNazanin" w:eastAsia="IRNazanin"/>
          <w:color w:val="111111"/>
          <w:sz w:val="28"/>
          <w:sz w:val="28"/>
          <w:szCs w:val="28"/>
          <w:rtl w:val="true"/>
          <w:lang w:bidi="fa-IR"/>
        </w:rPr>
        <w:t xml:space="preserve">و الحاوی الکبیر، و أضاف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وضعته لأکثر من ستّة أشهر من وقت الوصیّة و لأقلّ من أربع سنین، فإن کانت ذات زوج أو سیّد یمکن أن یطأها فحدث، فالوصیّة باطلة؛ لإمکان حدوثه فلم یستحقّ بالشکّ، و إن کانت غیر ذات زوج أو سیّد یطأ، فالوصیّة جائزة؛ لأنّ الظاهر تقدّمه، و الحمل یجری علیه حکم الظاهر فی اللحوق، فکذلک فی الوصیّة</w:t>
      </w:r>
      <w:r>
        <w:rPr>
          <w:rFonts w:eastAsia="IRNazanin" w:cs="IRNazanin"/>
          <w:color w:val="111111"/>
          <w:sz w:val="28"/>
          <w:szCs w:val="28"/>
          <w:rtl w:val="true"/>
          <w:lang w:bidi="fa-IR"/>
        </w:rPr>
        <w:t>»</w:t>
      </w:r>
      <w:r>
        <w:rPr>
          <w:rStyle w:val="FootnoteAnchor"/>
          <w:rtl w:val="true"/>
        </w:rPr>
        <w:footnoteReference w:id="3187"/>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فی بطنها ذکراً فله دیناران، و إن کان انثی فلها دینار، فإن أتت بذکر فله دیناران، و إن أتت باُنثی فلها دینار، و إن أتت بهما فلا شیء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هذه و بین الاُولی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بطنها ذکر فله دیناران، و إن کان انثی فلها دینار، و قد کان ذکر و انثی، و لیس کذلک هاهنا؛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إن کان کلّ الذی فی بطنها ذکراً أو کلّ الذی فی بطنها انثی و ما وجد تلک الصفة؛ لأنّه کان کلّه ذکراً و انثی</w:t>
      </w:r>
      <w:r>
        <w:rPr>
          <w:rFonts w:eastAsia="IRNazanin" w:cs="IRNazanin"/>
          <w:color w:val="111111"/>
          <w:sz w:val="28"/>
          <w:szCs w:val="28"/>
          <w:rtl w:val="true"/>
          <w:lang w:bidi="fa-IR"/>
        </w:rPr>
        <w:t>»</w:t>
      </w:r>
      <w:r>
        <w:rPr>
          <w:rStyle w:val="FootnoteAnchor"/>
          <w:rtl w:val="true"/>
        </w:rPr>
        <w:footnoteReference w:id="3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فی التذکرة</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المحقّق</w:t>
      </w:r>
      <w:r>
        <w:rPr>
          <w:rStyle w:val="FootnoteAnchor"/>
          <w:rtl w:val="true"/>
        </w:rPr>
        <w:footnoteReference w:id="3190"/>
      </w:r>
      <w:r>
        <w:rPr>
          <w:rFonts w:ascii="IRNazanin" w:hAnsi="IRNazanin" w:eastAsia="IRNazanin"/>
          <w:color w:val="111111"/>
          <w:sz w:val="28"/>
          <w:sz w:val="28"/>
          <w:szCs w:val="28"/>
          <w:rtl w:val="true"/>
          <w:lang w:bidi="fa-IR"/>
        </w:rPr>
        <w:t>و القاضی ابن البرّاج</w:t>
      </w:r>
      <w:r>
        <w:rPr>
          <w:rStyle w:val="FootnoteAnchor"/>
          <w:rtl w:val="true"/>
        </w:rPr>
        <w:footnoteReference w:id="3191"/>
      </w:r>
      <w:r>
        <w:rPr>
          <w:rFonts w:ascii="Amiri" w:hAnsi="Amiri" w:eastAsia="Amiri" w:cs="Amiri"/>
          <w:color w:val="111111"/>
          <w:sz w:val="28"/>
          <w:sz w:val="28"/>
          <w:szCs w:val="28"/>
          <w:rtl w:val="true"/>
          <w:lang w:bidi="ar-SA"/>
        </w:rPr>
        <w:t>و ابن حمزة</w:t>
      </w:r>
      <w:r>
        <w:rPr>
          <w:rStyle w:val="FootnoteAnchor"/>
          <w:rtl w:val="true"/>
        </w:rPr>
        <w:footnoteReference w:id="3192"/>
      </w:r>
      <w:r>
        <w:rPr>
          <w:rFonts w:ascii="IRNazanin" w:hAnsi="IRNazanin" w:eastAsia="IRNazanin"/>
          <w:color w:val="111111"/>
          <w:sz w:val="28"/>
          <w:sz w:val="28"/>
          <w:szCs w:val="28"/>
          <w:rtl w:val="true"/>
          <w:lang w:bidi="fa-IR"/>
        </w:rPr>
        <w:t>و کذا الشافعیّة</w:t>
      </w:r>
      <w:r>
        <w:rPr>
          <w:rStyle w:val="FootnoteAnchor"/>
          <w:rtl w:val="true"/>
        </w:rPr>
        <w:footnoteReference w:id="3193"/>
      </w:r>
    </w:p>
    <w:p>
      <w:pPr>
        <w:pStyle w:val="BookText"/>
        <w:rPr/>
      </w:pPr>
      <w:r>
        <w:rPr>
          <w:rFonts w:ascii="Amiri" w:hAnsi="Amiri" w:eastAsia="Amiri" w:cs="Amiri"/>
          <w:color w:val="111111"/>
          <w:sz w:val="28"/>
          <w:sz w:val="28"/>
          <w:szCs w:val="28"/>
          <w:rtl w:val="true"/>
          <w:lang w:bidi="ar-SA"/>
        </w:rPr>
        <w:t>و الحنفیّة</w:t>
      </w:r>
      <w:r>
        <w:rPr>
          <w:rStyle w:val="FootnoteAnchor"/>
          <w:rtl w:val="true"/>
        </w:rPr>
        <w:footnoteReference w:id="3194"/>
      </w:r>
      <w:r>
        <w:rPr>
          <w:rFonts w:ascii="Amiri" w:hAnsi="Amiri" w:eastAsia="Amiri" w:cs="Amiri"/>
          <w:color w:val="111111"/>
          <w:sz w:val="28"/>
          <w:sz w:val="28"/>
          <w:szCs w:val="28"/>
          <w:rtl w:val="true"/>
          <w:lang w:bidi="ar-SA"/>
        </w:rPr>
        <w:t>و الحنابلة</w:t>
      </w:r>
      <w:r>
        <w:rPr>
          <w:rStyle w:val="FootnoteAnchor"/>
          <w:rtl w:val="true"/>
        </w:rPr>
        <w:footnoteReference w:id="3195"/>
      </w:r>
      <w:r>
        <w:rPr>
          <w:rFonts w:ascii="IRNazanin" w:hAnsi="IRNazanin" w:eastAsia="IRNazanin"/>
          <w:color w:val="111111"/>
          <w:sz w:val="28"/>
          <w:sz w:val="28"/>
          <w:szCs w:val="28"/>
          <w:rtl w:val="true"/>
          <w:lang w:bidi="fa-IR"/>
        </w:rPr>
        <w:t>و لم نجد قولاً من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لحمل امرأة فولدت ذکراً و انثی، تساویا فی الوصیّة لأنّ ذلک عطیّة وهبة، فأشبه ما لو وهبهما شیئاً بعد ولادتهما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فَصَّل بینهما اتّبع کلامه، کالوقف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بطنها غلامٌ فله دیناران، و إن کان فیه جاریة فلها دینار، فولدت غلاماً و جاریة، فلکلّ واحدٍ منهما ما وصیّ له به؛ لوجود الشرط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ولدت أحدهما منفرداً فله وصیّته</w:t>
      </w:r>
      <w:r>
        <w:rPr>
          <w:rFonts w:eastAsia="IRNazanin" w:cs="IRNazanin"/>
          <w:color w:val="111111"/>
          <w:sz w:val="28"/>
          <w:szCs w:val="28"/>
          <w:rtl w:val="true"/>
          <w:lang w:bidi="fa-IR"/>
        </w:rPr>
        <w:t>»</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الریاض</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أیضاً قال الشافعیّة</w:t>
      </w:r>
      <w:r>
        <w:rPr>
          <w:rStyle w:val="FootnoteAnchor"/>
          <w:rtl w:val="true"/>
        </w:rPr>
        <w:footnoteReference w:id="3198"/>
      </w:r>
      <w:r>
        <w:rPr>
          <w:rFonts w:ascii="Amiri" w:hAnsi="Amiri" w:eastAsia="Amiri" w:cs="Amiri"/>
          <w:color w:val="111111"/>
          <w:sz w:val="28"/>
          <w:sz w:val="28"/>
          <w:szCs w:val="28"/>
          <w:rtl w:val="true"/>
          <w:lang w:bidi="ar-SA"/>
        </w:rPr>
        <w:t>و الحنفیّة</w:t>
      </w:r>
      <w:r>
        <w:rPr>
          <w:rStyle w:val="FootnoteAnchor"/>
          <w:rtl w:val="true"/>
        </w:rPr>
        <w:footnoteReference w:id="3199"/>
      </w:r>
      <w:r>
        <w:rPr>
          <w:rFonts w:ascii="Amiri" w:hAnsi="Amiri" w:eastAsia="Amiri" w:cs="Amiri"/>
          <w:color w:val="111111"/>
          <w:sz w:val="28"/>
          <w:sz w:val="28"/>
          <w:szCs w:val="28"/>
          <w:rtl w:val="true"/>
          <w:lang w:bidi="ar-SA"/>
        </w:rPr>
        <w:t>و الحنابلة</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أوصی للحمل فوضعت حیّاً و میّتاً صرف</w:t>
      </w:r>
    </w:p>
    <w:p>
      <w:pPr>
        <w:pStyle w:val="BookText"/>
        <w:rPr/>
      </w:pPr>
      <w:r>
        <w:rPr>
          <w:rFonts w:ascii="IRNazanin" w:hAnsi="IRNazanin" w:eastAsia="IRNazanin"/>
          <w:color w:val="111111"/>
          <w:sz w:val="28"/>
          <w:sz w:val="28"/>
          <w:szCs w:val="28"/>
          <w:rtl w:val="true"/>
          <w:lang w:bidi="fa-IR"/>
        </w:rPr>
        <w:t>الجمیع إلی الحیّ مع احتمال النصف</w:t>
      </w:r>
      <w:r>
        <w:rPr>
          <w:rFonts w:eastAsia="IRNazanin" w:cs="IRNazanin"/>
          <w:color w:val="111111"/>
          <w:sz w:val="28"/>
          <w:szCs w:val="28"/>
          <w:rtl w:val="true"/>
          <w:lang w:bidi="fa-IR"/>
        </w:rPr>
        <w:t>»</w:t>
      </w:r>
      <w:r>
        <w:rPr>
          <w:rStyle w:val="FootnoteAnchor"/>
          <w:rtl w:val="true"/>
        </w:rPr>
        <w:footnoteReference w:id="3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 فی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 کالمعدوم فیکون الحیّ کأنّه تمام الحمل، فتکون الوصیة له کما فی المیراث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الحمل هو الحیّ و المیّت، و کون المیّت کالمعدوم إنّما هو فی عدم ثبوت الوصیّة له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کانا حیّین لکان لکلّ منهما النصف؛ لأنّ الحمل مجموعهما، فیکون کلام الموصی مُنَزّلاً علیهما، فلا یتفاوت الحال بموت أحدهما؛ لأنّ من أوصی لحیٍّ و من ظُنّ حیاتُهُ فتبیّن موته، لا یُصرَفُ الحصّة التی أوصی بها للمیّت إلی الحیّ قطعاً فکذا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بین الوصیّة و الإرث ظاهرٌ؛ فإنّ الإرث للقریب اتّحد أو تعدّد</w:t>
      </w:r>
      <w:r>
        <w:rPr>
          <w:rFonts w:eastAsia="Amiri" w:cs="Amiri" w:ascii="Amiri" w:hAnsi="Amiri"/>
          <w:color w:val="111111"/>
          <w:sz w:val="28"/>
          <w:szCs w:val="28"/>
          <w:rtl w:val="true"/>
          <w:lang w:bidi="ar-SA"/>
        </w:rPr>
        <w:t>»</w:t>
      </w:r>
      <w:r>
        <w:rPr>
          <w:rStyle w:val="FootnoteAnchor"/>
          <w:rtl w:val="true"/>
        </w:rPr>
        <w:footnoteReference w:id="3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أوصی لأحد هذین و جوّزنا الوصیّة المبهمة و مات أحدهما قبل البیان</w:t>
      </w:r>
      <w:r>
        <w:rPr>
          <w:rFonts w:eastAsia="IRNazanin" w:cs="IRNazanin"/>
          <w:color w:val="111111"/>
          <w:sz w:val="28"/>
          <w:szCs w:val="28"/>
          <w:rtl w:val="true"/>
          <w:lang w:bidi="fa-IR"/>
        </w:rPr>
        <w:t>»</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المحقّق الثانی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 کذا الحکم فیما لو أوصی لأحد هذین</w:t>
      </w:r>
      <w:r>
        <w:rPr>
          <w:rStyle w:val="FootnoteAnchor"/>
          <w:rtl w:val="true"/>
        </w:rPr>
        <w:footnoteReference w:id="3204"/>
      </w:r>
      <w:r>
        <w:rPr>
          <w:rFonts w:ascii="IRNazanin" w:hAnsi="IRNazanin" w:eastAsia="IRNazanin"/>
          <w:color w:val="111111"/>
          <w:sz w:val="28"/>
          <w:sz w:val="28"/>
          <w:szCs w:val="28"/>
          <w:rtl w:val="true"/>
          <w:lang w:bidi="fa-IR"/>
        </w:rPr>
        <w:t xml:space="preserve">و جوّزنا الوصیّة المبهمة و مات أحدهما قبل البیان؛ فإنّه یحتمل فیه استحقاق الباقی الجمیع و النصف؛ نظراً إلی أنّ المیّت کالمعدوم، فتکون الوصیة کلّها للحیّ، و التفاتاً إلی التردّد فی أنّ الحیّ یستحقّ الجمیع؛ لکونه الموصی له، أو لا یستحقّ شیئاً؛ لکون الموصی له غیره، فیحکم بالنصف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w:t>
      </w:r>
    </w:p>
    <w:p>
      <w:pPr>
        <w:pStyle w:val="BookText"/>
        <w:rPr/>
      </w:pPr>
      <w:r>
        <w:rPr>
          <w:rFonts w:ascii="IRNazanin" w:hAnsi="IRNazanin" w:eastAsia="IRNazanin"/>
          <w:color w:val="111111"/>
          <w:sz w:val="28"/>
          <w:sz w:val="28"/>
          <w:szCs w:val="28"/>
          <w:rtl w:val="true"/>
          <w:lang w:bidi="fa-IR"/>
        </w:rPr>
        <w:t>فی الإیراد علیه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هذا نظرٌ؛ لأنّ الوصیّة لأحد هذین علی طریق الإبهام، لا علی معنی أیّهما کان یجب أن تکون باطلة؛ لأنّ المبهم فی حدّ ذاته یمتنع وجوده و العلم به، فتمتنع الوصیّة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 أحدهما قبل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بأنّ الإبهام إنّما هو عند السامع لا عند الموصی، و حینئذٍ فلا یجیء الاحتمالان باستحقاق الباقی الجمیع أو النصف، بل یجب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البیان من الموصی، أو من یقوم مقامه فلا بحث، و إن تعذّر أمکن القول بالقرعة و البطلان</w:t>
      </w:r>
      <w:r>
        <w:rPr>
          <w:rFonts w:eastAsia="IRNazanin" w:cs="IRNazanin"/>
          <w:color w:val="111111"/>
          <w:sz w:val="28"/>
          <w:szCs w:val="28"/>
          <w:rtl w:val="true"/>
          <w:lang w:bidi="fa-IR"/>
        </w:rPr>
        <w:t>»</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نجد فی کلمات فقهاء أهل السنّة قولاً فی هذا الفرع إلاّ من الحنفیّة، حیث 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بثلث مالی لما فی بطن فلانة، فولدت لأقلّ من ستّة أشهر من وقت موت الموصی ولداً میّتاً لا وصیّة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ولدت ولدین حیّاً و میّتاً فجمیع الوصیّة للحیّ؛ لأنّ المیّت لا یصلح محلاًّ لوضع الوصیّة فیه، و لهذا لو أوصی لحیّ و میّت کان کلّ الوصیّة للحیّ</w:t>
      </w:r>
      <w:r>
        <w:rPr>
          <w:rFonts w:eastAsia="IRNazanin" w:cs="IRNazanin"/>
          <w:color w:val="111111"/>
          <w:sz w:val="28"/>
          <w:szCs w:val="28"/>
          <w:rtl w:val="true"/>
          <w:lang w:bidi="fa-IR"/>
        </w:rPr>
        <w:t>»</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أوصیتُ لحمل هذه الجاریة و هو من فلان، فإن أتت به لأقلّ من ستّة أشهر و لحقه النسب، فإنّه تصحّ الوصیّة؛ لأنّا بیّنا أنّه کان مخلوقاً موجوداً حال الوصیّة؛ لأنّ أقلّ الحمل ستّة أشهر، و إن أتت به لأکثر من ستّة أشهر فالحکم علی ما مضی فی المسألة الاُولی</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لها زوج فلا تصحّ له الوصیّة؛ لأنّه یجوز أن یکون حدث بعد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لها زوج نظرت؛ فإن أتت به لأقلّ من تسعة أشهر؛ فإنّه یلحق النسب و تثبت له الوصیّة، و إن أتت به لأکثر من ذلک؛ فإنّه لا یلحق النسب</w:t>
      </w:r>
    </w:p>
    <w:p>
      <w:pPr>
        <w:pStyle w:val="BookText"/>
        <w:rPr/>
      </w:pPr>
      <w:r>
        <w:rPr>
          <w:rFonts w:ascii="IRNazanin" w:hAnsi="IRNazanin" w:eastAsia="IRNazanin"/>
          <w:color w:val="111111"/>
          <w:sz w:val="28"/>
          <w:sz w:val="28"/>
          <w:szCs w:val="28"/>
          <w:rtl w:val="true"/>
          <w:lang w:bidi="fa-IR"/>
        </w:rPr>
        <w:t>و لا تصحّ الوصیّة، فإن أوصی لحمل جاریة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فلان فأتت به و نفاه زوجها باللعان صحّت الوصیّة؛ لأنّه لیس فیه أکثر من انقطاع النسب بین الولد و والده، فأمّا من الأجنبیّ فلا</w:t>
      </w:r>
      <w:r>
        <w:rPr>
          <w:rFonts w:eastAsia="IRNazanin" w:cs="IRNazanin"/>
          <w:color w:val="111111"/>
          <w:sz w:val="28"/>
          <w:szCs w:val="28"/>
          <w:rtl w:val="true"/>
          <w:lang w:bidi="fa-IR"/>
        </w:rPr>
        <w:t>»</w:t>
      </w:r>
      <w:r>
        <w:rPr>
          <w:rStyle w:val="FootnoteAnchor"/>
          <w:rtl w:val="true"/>
        </w:rPr>
        <w:footnoteReference w:id="3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أوصیت لحمل فلانة من زید، فکما یشترط العلم بوجوده عند الوصیّة، یشترط أن یکون ثابت النسب من زید حتّی لو کانت الوصیّة بعد زوال الفراش فأتت بولد لأکثر من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الفراق و الأقلّ من ستّة أشهر من یوم الوصیّة، فلا یستحقّ؛ لأنّ النسب غیر ثابت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اقتصر علی الوصیّة لحمل فلانة و لم یصرّح بأنّه من زید، لم یشترط بکونه ثابت النسب من زید، و لو اقتضی الحال ثبوت النسب من زید، لکنّه نفاه باللعان أو الإنکار،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الوصیّة و أنّه لا شیء له، لأنّه لم یثبت نسبه، بل نفی نسبه عنه، و إذا لم یثبت نسبه لم یوجد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یستحقّ؛ لأنّه کان النسب ثابتاً، إلاّ أنّه انقطع باللعان، و اللعان إنّما یؤثر فی حقّ الزوجین خاصّة، و لهذا لا یجوز لغیر الزوج رمیها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الخلاف کالخلاف فی أنّ التوأمین المنفیین باللعان یتوارثان بإخوة الاُمّ وحدها، أو بإخوة الأبوین</w:t>
      </w:r>
      <w:r>
        <w:rPr>
          <w:rFonts w:eastAsia="IRNazanin" w:cs="IRNazanin"/>
          <w:color w:val="111111"/>
          <w:sz w:val="28"/>
          <w:szCs w:val="28"/>
          <w:rtl w:val="true"/>
          <w:lang w:bidi="fa-IR"/>
        </w:rPr>
        <w:t>»</w:t>
      </w:r>
      <w:r>
        <w:rPr>
          <w:rStyle w:val="FootnoteAnchor"/>
          <w:rtl w:val="true"/>
        </w:rPr>
        <w:footnoteReference w:id="3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الشافعیّة و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لحمل هذه المرأة من زید، لم تصحّ الوصیّة له إلاّ بشرطین</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بوجوده عند الوصیّة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نسبه من أبیه المذکور فی الوصیّة، و أن یکون ثابت النسب من زید، حتّی لو کانت الوصیّة بعد زوال الفراش، فأتت بولد لأکثر من أربع سنین من وقت الفراق، و لأقلّ من ستّة أشهر من یوم الوصیّة، فلا یستحقّ؛ لأنّ النسب غیر ثابت منه، و لو اقتضی الحال ثبوت النسب من زید لکنّه نفاه باللعان، فعن ابن سریح و عامّة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شیء له؛ لأنّه لم یثبت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إسحاق و أبی منصور أنّه یستحقّ؛ لأنّه کان النسب ثابتاً، إلاّ أنّه انقطع باللعان، و اللعان إنّما یؤثّر فی حقّ الزوجین</w:t>
      </w:r>
      <w:r>
        <w:rPr>
          <w:rStyle w:val="FootnoteAnchor"/>
          <w:rtl w:val="true"/>
        </w:rPr>
        <w:footnoteReference w:id="3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البیان</w:t>
      </w:r>
      <w:r>
        <w:rPr>
          <w:rStyle w:val="FootnoteAnchor"/>
          <w:rtl w:val="true"/>
        </w:rPr>
        <w:footnoteReference w:id="3210"/>
      </w:r>
      <w:r>
        <w:rPr>
          <w:rFonts w:ascii="IRNazanin" w:hAnsi="IRNazanin" w:eastAsia="IRNazanin"/>
          <w:color w:val="111111"/>
          <w:sz w:val="28"/>
          <w:sz w:val="28"/>
          <w:szCs w:val="28"/>
          <w:rtl w:val="true"/>
          <w:lang w:bidi="fa-IR"/>
        </w:rPr>
        <w:t>و روضة الطالبین</w:t>
      </w:r>
      <w:r>
        <w:rPr>
          <w:rStyle w:val="FootnoteAnchor"/>
          <w:rtl w:val="true"/>
        </w:rPr>
        <w:footnoteReference w:id="3211"/>
      </w:r>
      <w:r>
        <w:rPr>
          <w:rFonts w:ascii="IRNazanin" w:hAnsi="IRNazanin" w:eastAsia="IRNazanin"/>
          <w:color w:val="111111"/>
          <w:sz w:val="28"/>
          <w:sz w:val="28"/>
          <w:szCs w:val="28"/>
          <w:rtl w:val="true"/>
          <w:lang w:bidi="fa-IR"/>
        </w:rPr>
        <w:t>و المغنی و الشرح الکبیر</w:t>
      </w:r>
      <w:r>
        <w:rPr>
          <w:rStyle w:val="FootnoteAnchor"/>
          <w:rtl w:val="true"/>
        </w:rPr>
        <w:footnoteReference w:id="3212"/>
      </w:r>
      <w:r>
        <w:rPr>
          <w:rFonts w:ascii="IRNazanin" w:hAnsi="IRNazanin" w:eastAsia="IRNazanin"/>
          <w:color w:val="111111"/>
          <w:sz w:val="28"/>
          <w:sz w:val="28"/>
          <w:szCs w:val="28"/>
          <w:rtl w:val="true"/>
          <w:lang w:bidi="fa-IR"/>
        </w:rPr>
        <w:t>و غیرها</w:t>
      </w:r>
      <w:r>
        <w:rPr>
          <w:rStyle w:val="FootnoteAnchor"/>
          <w:rtl w:val="true"/>
        </w:rPr>
        <w:footnoteReference w:id="3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أوصی للحمل صحّت الوصیّة، و کان القابل لها أبوه أو جدّه أو من یلی اموره بعد خروجه حیّاً، و لو قَبِلَ قَبْلَ انفصاله حیّاً ثمّ انفصل حیّاً، ففی الاعتداد بذلک القبول إشکال</w:t>
      </w:r>
      <w:r>
        <w:rPr>
          <w:rStyle w:val="FootnoteAnchor"/>
          <w:rtl w:val="true"/>
        </w:rPr>
        <w:footnoteReference w:id="3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أُشیر إلی هذا الفرع فی کلام الشافعیّة أیضاً</w:t>
      </w:r>
      <w:r>
        <w:rPr>
          <w:rStyle w:val="FootnoteAnchor"/>
          <w:rtl w:val="true"/>
        </w:rPr>
        <w:footnoteReference w:id="3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فی هذه الفروع علی نصٍّ، إلاّ أنّ ظاهر الأصحاب الاتّفاق علی ما ذکرناه؛ فإنّه لم ینقل هنا خلاف فی شیء من هذه الأحکام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الوقف للحمل، الظاهر لا خلاف فی أنّه لا یصحّ الوقف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أن یقف علی من لم یوجد بعد، فإن وقف کذلک کان الوقف باطلاً</w:t>
      </w:r>
      <w:r>
        <w:rPr>
          <w:rFonts w:eastAsia="IRNazanin" w:cs="IRNazanin"/>
          <w:color w:val="111111"/>
          <w:sz w:val="28"/>
          <w:szCs w:val="28"/>
          <w:rtl w:val="true"/>
          <w:lang w:bidi="fa-IR"/>
        </w:rPr>
        <w:t>»</w:t>
      </w:r>
      <w:r>
        <w:rPr>
          <w:rStyle w:val="FootnoteAnchor"/>
          <w:rtl w:val="true"/>
        </w:rPr>
        <w:footnoteReference w:id="3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صرّح أیضاً فی المقنعة</w:t>
      </w:r>
      <w:r>
        <w:rPr>
          <w:rStyle w:val="FootnoteAnchor"/>
          <w:rtl w:val="true"/>
        </w:rPr>
        <w:footnoteReference w:id="3217"/>
      </w:r>
      <w:r>
        <w:rPr>
          <w:rFonts w:ascii="IRNazanin" w:hAnsi="IRNazanin" w:eastAsia="IRNazanin"/>
          <w:color w:val="111111"/>
          <w:sz w:val="28"/>
          <w:sz w:val="28"/>
          <w:szCs w:val="28"/>
          <w:rtl w:val="true"/>
          <w:lang w:bidi="fa-IR"/>
        </w:rPr>
        <w:t>و الخلاف</w:t>
      </w:r>
      <w:r>
        <w:rPr>
          <w:rStyle w:val="FootnoteAnchor"/>
          <w:rtl w:val="true"/>
        </w:rPr>
        <w:footnoteReference w:id="3218"/>
      </w:r>
      <w:r>
        <w:rPr>
          <w:rFonts w:ascii="IRNazanin" w:hAnsi="IRNazanin" w:eastAsia="IRNazanin"/>
          <w:color w:val="111111"/>
          <w:sz w:val="28"/>
          <w:sz w:val="28"/>
          <w:szCs w:val="28"/>
          <w:rtl w:val="true"/>
          <w:lang w:bidi="fa-IR"/>
        </w:rPr>
        <w:t>و المبسوط‌</w:t>
      </w:r>
      <w:r>
        <w:rPr>
          <w:rStyle w:val="FootnoteAnchor"/>
          <w:rtl w:val="true"/>
        </w:rPr>
        <w:footnoteReference w:id="3219"/>
      </w:r>
      <w:r>
        <w:rPr>
          <w:rFonts w:ascii="Amiri" w:hAnsi="Amiri" w:eastAsia="Amiri" w:cs="Amiri"/>
          <w:color w:val="111111"/>
          <w:sz w:val="28"/>
          <w:sz w:val="28"/>
          <w:szCs w:val="28"/>
          <w:rtl w:val="true"/>
          <w:lang w:bidi="ar-SA"/>
        </w:rPr>
        <w:t>، و المهذّب</w:t>
      </w:r>
      <w:r>
        <w:rPr>
          <w:rStyle w:val="FootnoteAnchor"/>
          <w:rtl w:val="true"/>
        </w:rPr>
        <w:footnoteReference w:id="3220"/>
      </w:r>
    </w:p>
    <w:p>
      <w:pPr>
        <w:pStyle w:val="BookText"/>
        <w:rPr/>
      </w:pPr>
      <w:r>
        <w:rPr>
          <w:rFonts w:ascii="IRNazanin" w:hAnsi="IRNazanin" w:eastAsia="IRNazanin"/>
          <w:color w:val="111111"/>
          <w:sz w:val="28"/>
          <w:sz w:val="28"/>
          <w:szCs w:val="28"/>
          <w:rtl w:val="true"/>
          <w:lang w:bidi="fa-IR"/>
        </w:rPr>
        <w:t>و الوسیلة</w:t>
      </w:r>
      <w:r>
        <w:rPr>
          <w:rStyle w:val="FootnoteAnchor"/>
          <w:rtl w:val="true"/>
        </w:rPr>
        <w:footnoteReference w:id="3221"/>
      </w:r>
      <w:r>
        <w:rPr>
          <w:rFonts w:ascii="IRNazanin" w:hAnsi="IRNazanin" w:eastAsia="IRNazanin"/>
          <w:color w:val="111111"/>
          <w:sz w:val="28"/>
          <w:sz w:val="28"/>
          <w:szCs w:val="28"/>
          <w:rtl w:val="true"/>
          <w:lang w:bidi="fa-IR"/>
        </w:rPr>
        <w:t>و غیرها</w:t>
      </w:r>
      <w:r>
        <w:rPr>
          <w:rStyle w:val="FootnoteAnchor"/>
          <w:rtl w:val="true"/>
        </w:rPr>
        <w:footnoteReference w:id="3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أهلیّة المعدوم للتملّک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الفقهاء بأنّ فی معناه الحمل أیضاً؛ لأنّه و إن کان موجوداً إلاّ أنّه غیر صالح للتملّک ما دام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شرط صحّة الوقف أن یکون الموقوف علیه ابتداءً ممّن یملک المنفعة، و لا یجوز أن یقف علی من لا یملک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حمل هذه الجاریة و لم ینفصل الحمل بعد بلا خلاف</w:t>
      </w:r>
      <w:r>
        <w:rPr>
          <w:rFonts w:eastAsia="IRNazanin" w:cs="IRNazanin"/>
          <w:color w:val="111111"/>
          <w:sz w:val="28"/>
          <w:szCs w:val="28"/>
          <w:rtl w:val="true"/>
          <w:lang w:bidi="fa-IR"/>
        </w:rPr>
        <w:t>»</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وقف علی من لا یصحّ الوقف علیه مثل العبد، أو حمل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الوقف</w:t>
      </w:r>
      <w:r>
        <w:rPr>
          <w:rFonts w:eastAsia="IRNazanin" w:cs="IRNazanin"/>
          <w:color w:val="111111"/>
          <w:sz w:val="28"/>
          <w:szCs w:val="28"/>
          <w:rtl w:val="true"/>
          <w:lang w:bidi="fa-IR"/>
        </w:rPr>
        <w:t>»</w:t>
      </w:r>
      <w:r>
        <w:rPr>
          <w:rStyle w:val="FootnoteAnchor"/>
          <w:rtl w:val="true"/>
        </w:rPr>
        <w:footnoteReference w:id="3224"/>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صرّح ابن حمزة</w:t>
      </w:r>
      <w:r>
        <w:rPr>
          <w:rStyle w:val="FootnoteAnchor"/>
          <w:rtl w:val="true"/>
        </w:rPr>
        <w:footnoteReference w:id="3225"/>
      </w:r>
      <w:r>
        <w:rPr>
          <w:rFonts w:ascii="IRNazanin" w:hAnsi="IRNazanin" w:eastAsia="IRNazanin"/>
          <w:color w:val="111111"/>
          <w:sz w:val="28"/>
          <w:sz w:val="28"/>
          <w:szCs w:val="28"/>
          <w:rtl w:val="true"/>
          <w:lang w:bidi="fa-IR"/>
        </w:rPr>
        <w:t>و الراوندی</w:t>
      </w:r>
      <w:r>
        <w:rPr>
          <w:rStyle w:val="FootnoteAnchor"/>
          <w:rtl w:val="true"/>
        </w:rPr>
        <w:footnoteReference w:id="3226"/>
      </w:r>
      <w:r>
        <w:rPr>
          <w:rFonts w:ascii="Amiri" w:hAnsi="Amiri" w:eastAsia="Amiri" w:cs="Amiri"/>
          <w:color w:val="111111"/>
          <w:sz w:val="28"/>
          <w:sz w:val="28"/>
          <w:szCs w:val="28"/>
          <w:rtl w:val="true"/>
          <w:lang w:bidi="ar-SA"/>
        </w:rPr>
        <w:t>و الحلّی</w:t>
      </w:r>
      <w:r>
        <w:rPr>
          <w:rStyle w:val="FootnoteAnchor"/>
          <w:rtl w:val="true"/>
        </w:rPr>
        <w:footnoteReference w:id="3227"/>
      </w:r>
      <w:r>
        <w:rPr>
          <w:rFonts w:ascii="Amiri" w:hAnsi="Amiri" w:eastAsia="Amiri" w:cs="Amiri"/>
          <w:color w:val="111111"/>
          <w:sz w:val="28"/>
          <w:sz w:val="28"/>
          <w:szCs w:val="28"/>
          <w:rtl w:val="true"/>
          <w:lang w:bidi="ar-SA"/>
        </w:rPr>
        <w:t>و ابن زهرة</w:t>
      </w:r>
      <w:r>
        <w:rPr>
          <w:rStyle w:val="FootnoteAnchor"/>
          <w:rtl w:val="true"/>
        </w:rPr>
        <w:footnoteReference w:id="3228"/>
      </w:r>
    </w:p>
    <w:p>
      <w:pPr>
        <w:pStyle w:val="BookText"/>
        <w:rPr/>
      </w:pPr>
      <w:r>
        <w:rPr>
          <w:rFonts w:ascii="IRNazanin" w:hAnsi="IRNazanin" w:eastAsia="IRNazanin"/>
          <w:color w:val="111111"/>
          <w:sz w:val="28"/>
          <w:sz w:val="28"/>
          <w:szCs w:val="28"/>
          <w:rtl w:val="true"/>
          <w:lang w:bidi="fa-IR"/>
        </w:rPr>
        <w:t>و الفاضلان</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الوقف الخاصّ وجود الموقوف علیه حین الوقف، فلا یصحّ الوقف ابتداءً علی المعدوم و من سیوجد بعد، و کذا الحمل قبل أن یولد</w:t>
      </w:r>
      <w:r>
        <w:rPr>
          <w:rFonts w:eastAsia="IRNazanin" w:cs="IRNazanin"/>
          <w:color w:val="111111"/>
          <w:sz w:val="28"/>
          <w:szCs w:val="28"/>
          <w:rtl w:val="true"/>
          <w:lang w:bidi="fa-IR"/>
        </w:rPr>
        <w:t>»</w:t>
      </w:r>
      <w:r>
        <w:rPr>
          <w:rStyle w:val="FootnoteAnchor"/>
          <w:rtl w:val="true"/>
        </w:rPr>
        <w:footnoteReference w:id="3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نقف علی نصّ فی المقام، إلاّ أنّه مضافاً إلی الاتّفاق فی المسألة، بل تسالم الکلّ علیها، حیث إنّ الوقف إمّا تملیک العین و المنفعة، و إمّا تملیک المنفعة فقط، فلا بدّ من قابلیّة الموقوف علیه للتملّک، و الحمل لا یصلح لذلک، بخلاف الوصیّة، حیث إنّها تملیک فی المستقبل، و لذا اشترطوا فیها وضعه حیّاً، فلو مات قبل خروجه حیّاً بطلت الوصیّة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جاء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الحمل؛ فلأنّه لم یثبت تملّکه إلاّ فی الوصیّة، و لعدم القطع بحیاته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الوصیّة و الوقف، أنّ الوصیّة تتعلّق بالمستقبل، و الوقف تسلیط فی الحال</w:t>
      </w:r>
      <w:r>
        <w:rPr>
          <w:rFonts w:eastAsia="IRNazanin" w:cs="IRNazanin"/>
          <w:color w:val="111111"/>
          <w:sz w:val="28"/>
          <w:szCs w:val="28"/>
          <w:rtl w:val="true"/>
          <w:lang w:bidi="fa-IR"/>
        </w:rPr>
        <w:t>»</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تفریع الحمل علی المعدوم لا یخلو من تجوّز؛ لأنّه فی نفسه موجود، غایته استتاره، و إنّما یشارکه فی الحکم بعدم صحّة الوقف علیه من جهة اخری؛ و هی أهلیّة الموقوف علیه للتملّک؛ فإنّها شرط من حیث إنّ الوقف إمّا تملیک العین و المنفعة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الوقف یملکه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تملیک المنفعة إن لم نقل به، و الحمل لا یصلح لشیءٍ منهما</w:t>
      </w:r>
      <w:r>
        <w:rPr>
          <w:rFonts w:eastAsia="IRNazanin" w:cs="IRNazanin"/>
          <w:color w:val="111111"/>
          <w:sz w:val="28"/>
          <w:szCs w:val="28"/>
          <w:rtl w:val="true"/>
          <w:lang w:bidi="fa-IR"/>
        </w:rPr>
        <w:t>»</w:t>
      </w:r>
      <w:r>
        <w:rPr>
          <w:rStyle w:val="FootnoteAnchor"/>
          <w:rtl w:val="true"/>
        </w:rPr>
        <w:footnoteReference w:id="3232"/>
      </w:r>
    </w:p>
    <w:p>
      <w:pPr>
        <w:pStyle w:val="BookText"/>
        <w:rPr/>
      </w:pPr>
      <w:r>
        <w:rPr>
          <w:rFonts w:ascii="IRNazanin" w:hAnsi="IRNazanin" w:eastAsia="IRNazanin"/>
          <w:color w:val="111111"/>
          <w:sz w:val="28"/>
          <w:sz w:val="28"/>
          <w:szCs w:val="28"/>
          <w:rtl w:val="true"/>
          <w:lang w:bidi="fa-IR"/>
        </w:rPr>
        <w:t>و خالف السیّد الیزدی ما ذهب إلیه المشهور، حیث قال بصحّة الوقف للحمل لو لا الإجماع، و اعتقد أنّه لا إجماع فی المسألة، و ذکر فی تحقیق المسألة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الحمل و الرضیع خصوصاً مع فصل قلیل، کما إذا کان قبل الوضع بربع ساعة، و اشتراط إرثه بتولّده حیّاً لیس لعدم قابلیّته للملکیّة، بل للدلیل الخاصّ، فلا یصحّ القیاس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بما إذا کان تبعاً لموجود، فإنّه یجوّزونه، کما إذا وقف علی أولاده الموجودین و من سیوجد منهم، و کما فی سائر البطون اللاحقة، فإنّ تملیک المعدوم لو کان غیر معقول لم یکن فرق بین الاستقلال و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المعقولیّة و عدمها بین کون المالک معدوماً أو المملوک، مع أنّهم یجوّزون تملیک الکلّی فی الذمّة، مع أنّه لیس شیئاً موجوداً فی الخارج، و أیضاً یجوّزون بیع الثمار قبل بروزها عامین أو مع الضمیمة، و یجوّزون تملیک المنافع و لیست موجودة بل یستوفی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الملکیّة من الاُمور الاعتباریّة، فوجودها عین الاعتبار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فیکفیها المحلّ الموجود فی اعتبار العقلاء، کیف؟ و إلاّ لزم عدم تعلّق الوجوب بالصلاة، و لا الحرمة بالزنا إلاّ بعد وجودهما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مبانیها من الحبّ و البغض و الإرادة و الکراهة أعراض خارجیّة</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الوقف لیس تملیکاً، و الظاهر عدم الإشکال فی جواز الوقف علی الحجّاج و الزوّار مع عدم وجود زائر أو حاجّ حین الوقف، و کذا الوقف علی طلاّب مدرسة معیّنة مع عدم وجودهم فیها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إن تمّ الإجماع علی عدم صحّة الوقف علی المعدوم الذی سیوجد، و إلاّ فالأقوی صحّته، و تحقّق الإجماع الکاشف عن رأی المعصوم علیه السلام دونه خرط القتاد</w:t>
      </w:r>
      <w:r>
        <w:rPr>
          <w:rFonts w:eastAsia="IRNazanin" w:cs="IRNazanin"/>
          <w:color w:val="111111"/>
          <w:sz w:val="28"/>
          <w:szCs w:val="28"/>
          <w:rtl w:val="true"/>
          <w:lang w:bidi="fa-IR"/>
        </w:rPr>
        <w:t>»</w:t>
      </w:r>
      <w:r>
        <w:rPr>
          <w:rStyle w:val="FootnoteAnchor"/>
          <w:rtl w:val="true"/>
        </w:rPr>
        <w:footnoteReference w:id="323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فی المسألة إجماع کان لما أفاده قدس سره وجه، و لکنّ الظاهر ثبوت الإجماع بل تسالم الفریقین، و لم تکن فی النصوص مستند لهذا الإجماع حتّی یستشکل بأنّه مدرکیّ، بل غیر بعید أنّ فتوی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المفید و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اتّفقوا علی أمرٍ، یکشف ذلک عن تلقّیهم ذلک الأمر من الأئمّة علیهم السلام، علی هذا قول المشهور هو الأقوی، و هو المعتمد، و اللّه العالم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الأعلام فی تفصیل الشریعة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تمّ الإجماع علی عدم صحّة الوقف علی المعدوم الذی سیوجد، و إلاّ فالأقوی صحّته،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کاشفاً عن رأی المعصوم علیه السلام؛ لأنّهم یعلّلون بهذا التعلیل العلیل، و توجیه عدم الصحّة من طریق اعتبار القبض فی الصحّة ممنوع بعدم اشتراط الفوریّة فی القبض، و بإمکان قبض الحاکم أو المتولی</w:t>
      </w:r>
      <w:r>
        <w:rPr>
          <w:rFonts w:eastAsia="IRNazanin" w:cs="IRNazanin"/>
          <w:color w:val="111111"/>
          <w:sz w:val="28"/>
          <w:szCs w:val="28"/>
          <w:rtl w:val="true"/>
          <w:lang w:bidi="fa-IR"/>
        </w:rPr>
        <w:t>»</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وقف علی الحمل مستقلاًّ، أمّا لو وقف علی المعدوم و الحمل تبعاً للموجود صحّ کما صرّح به فی المقنعة</w:t>
      </w:r>
      <w:r>
        <w:rPr>
          <w:rStyle w:val="FootnoteAnchor"/>
          <w:rtl w:val="true"/>
        </w:rPr>
        <w:footnoteReference w:id="3235"/>
      </w:r>
      <w:r>
        <w:rPr>
          <w:rFonts w:ascii="IRNazanin" w:hAnsi="IRNazanin" w:eastAsia="IRNazanin"/>
          <w:color w:val="111111"/>
          <w:sz w:val="28"/>
          <w:sz w:val="28"/>
          <w:szCs w:val="28"/>
          <w:rtl w:val="true"/>
          <w:lang w:bidi="fa-IR"/>
        </w:rPr>
        <w:t>و المبسوط‌</w:t>
      </w:r>
      <w:r>
        <w:rPr>
          <w:rStyle w:val="FootnoteAnchor"/>
          <w:rtl w:val="true"/>
        </w:rPr>
        <w:footnoteReference w:id="3236"/>
      </w:r>
      <w:r>
        <w:rPr>
          <w:rFonts w:ascii="IRNazanin" w:hAnsi="IRNazanin" w:eastAsia="IRNazanin"/>
          <w:color w:val="111111"/>
          <w:sz w:val="28"/>
          <w:sz w:val="28"/>
          <w:szCs w:val="28"/>
          <w:rtl w:val="true"/>
          <w:lang w:bidi="fa-IR"/>
        </w:rPr>
        <w:t>و الوسیلة</w:t>
      </w:r>
      <w:r>
        <w:rPr>
          <w:rStyle w:val="FootnoteAnchor"/>
          <w:rtl w:val="true"/>
        </w:rPr>
        <w:footnoteReference w:id="3237"/>
      </w:r>
      <w:r>
        <w:rPr>
          <w:rFonts w:ascii="IRNazanin" w:hAnsi="IRNazanin" w:eastAsia="IRNazanin"/>
          <w:color w:val="111111"/>
          <w:sz w:val="28"/>
          <w:sz w:val="28"/>
          <w:szCs w:val="28"/>
          <w:rtl w:val="true"/>
          <w:lang w:bidi="fa-IR"/>
        </w:rPr>
        <w:t>و الغنیة</w:t>
      </w:r>
      <w:r>
        <w:rPr>
          <w:rStyle w:val="FootnoteAnchor"/>
          <w:rtl w:val="true"/>
        </w:rPr>
        <w:footnoteReference w:id="3238"/>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السرائر</w:t>
      </w:r>
      <w:r>
        <w:rPr>
          <w:rStyle w:val="FootnoteAnchor"/>
          <w:rtl w:val="true"/>
        </w:rPr>
        <w:footnoteReference w:id="3239"/>
      </w:r>
      <w:r>
        <w:rPr>
          <w:rFonts w:ascii="IRNazanin" w:hAnsi="IRNazanin" w:eastAsia="IRNazanin"/>
          <w:color w:val="111111"/>
          <w:sz w:val="28"/>
          <w:sz w:val="28"/>
          <w:szCs w:val="28"/>
          <w:rtl w:val="true"/>
          <w:lang w:bidi="fa-IR"/>
        </w:rPr>
        <w:t>و الشرائع</w:t>
      </w:r>
      <w:r>
        <w:rPr>
          <w:rStyle w:val="FootnoteAnchor"/>
          <w:rtl w:val="true"/>
        </w:rPr>
        <w:footnoteReference w:id="3240"/>
      </w:r>
      <w:r>
        <w:rPr>
          <w:rFonts w:ascii="IRNazanin" w:hAnsi="IRNazanin" w:eastAsia="IRNazanin"/>
          <w:color w:val="111111"/>
          <w:sz w:val="28"/>
          <w:sz w:val="28"/>
          <w:szCs w:val="28"/>
          <w:rtl w:val="true"/>
          <w:lang w:bidi="fa-IR"/>
        </w:rPr>
        <w:t>و التذکرة</w:t>
      </w:r>
      <w:r>
        <w:rPr>
          <w:rStyle w:val="FootnoteAnchor"/>
          <w:rtl w:val="true"/>
        </w:rPr>
        <w:footnoteReference w:id="3241"/>
      </w:r>
      <w:r>
        <w:rPr>
          <w:rFonts w:ascii="IRNazanin" w:hAnsi="IRNazanin" w:eastAsia="IRNazanin"/>
          <w:color w:val="111111"/>
          <w:sz w:val="28"/>
          <w:sz w:val="28"/>
          <w:szCs w:val="28"/>
          <w:rtl w:val="true"/>
          <w:lang w:bidi="fa-IR"/>
        </w:rPr>
        <w:t>و التحریر</w:t>
      </w:r>
      <w:r>
        <w:rPr>
          <w:rStyle w:val="FootnoteAnchor"/>
          <w:rtl w:val="true"/>
        </w:rPr>
        <w:footnoteReference w:id="3242"/>
      </w:r>
      <w:r>
        <w:rPr>
          <w:rFonts w:ascii="IRNazanin" w:hAnsi="IRNazanin" w:eastAsia="IRNazanin"/>
          <w:color w:val="111111"/>
          <w:sz w:val="28"/>
          <w:sz w:val="28"/>
          <w:szCs w:val="28"/>
          <w:rtl w:val="true"/>
          <w:lang w:bidi="fa-IR"/>
        </w:rPr>
        <w:t>و الدروس</w:t>
      </w:r>
      <w:r>
        <w:rPr>
          <w:rStyle w:val="FootnoteAnchor"/>
          <w:rtl w:val="true"/>
        </w:rPr>
        <w:footnoteReference w:id="3243"/>
      </w:r>
      <w:r>
        <w:rPr>
          <w:rFonts w:ascii="Amiri" w:hAnsi="Amiri" w:eastAsia="Amiri" w:cs="Amiri"/>
          <w:color w:val="111111"/>
          <w:sz w:val="28"/>
          <w:sz w:val="28"/>
          <w:szCs w:val="28"/>
          <w:rtl w:val="true"/>
          <w:lang w:bidi="ar-SA"/>
        </w:rPr>
        <w:t>و اللمعة</w:t>
      </w:r>
      <w:r>
        <w:rPr>
          <w:rStyle w:val="FootnoteAnchor"/>
          <w:rtl w:val="true"/>
        </w:rPr>
        <w:footnoteReference w:id="3244"/>
      </w:r>
      <w:r>
        <w:rPr>
          <w:rFonts w:ascii="IRNazanin" w:hAnsi="IRNazanin" w:eastAsia="IRNazanin"/>
          <w:color w:val="111111"/>
          <w:sz w:val="28"/>
          <w:sz w:val="28"/>
          <w:szCs w:val="28"/>
          <w:rtl w:val="true"/>
          <w:lang w:bidi="fa-IR"/>
        </w:rPr>
        <w:t>و جامع</w:t>
      </w:r>
      <w:bookmarkStart w:id="994" w:name="pg11753_115261"/>
    </w:p>
    <w:p>
      <w:pPr>
        <w:pStyle w:val="BookText"/>
        <w:rPr/>
      </w:pPr>
      <w:bookmarkEnd w:id="994"/>
      <w:r>
        <w:rPr>
          <w:rFonts w:ascii="IRNazanin" w:hAnsi="IRNazanin" w:eastAsia="IRNazanin"/>
          <w:color w:val="111111"/>
          <w:sz w:val="28"/>
          <w:sz w:val="28"/>
          <w:szCs w:val="28"/>
          <w:rtl w:val="true"/>
          <w:lang w:bidi="fa-IR"/>
        </w:rPr>
        <w:t>المقاصد</w:t>
      </w:r>
      <w:r>
        <w:rPr>
          <w:rStyle w:val="FootnoteAnchor"/>
          <w:rtl w:val="true"/>
        </w:rPr>
        <w:footnoteReference w:id="3245"/>
      </w:r>
      <w:r>
        <w:rPr>
          <w:rFonts w:ascii="IRNazanin" w:hAnsi="IRNazanin" w:eastAsia="IRNazanin"/>
          <w:color w:val="111111"/>
          <w:sz w:val="28"/>
          <w:sz w:val="28"/>
          <w:szCs w:val="28"/>
          <w:rtl w:val="true"/>
          <w:lang w:bidi="fa-IR"/>
        </w:rPr>
        <w:t>و المسالک</w:t>
      </w:r>
      <w:r>
        <w:rPr>
          <w:rStyle w:val="FootnoteAnchor"/>
          <w:rtl w:val="true"/>
        </w:rPr>
        <w:footnoteReference w:id="3246"/>
      </w:r>
      <w:r>
        <w:rPr>
          <w:rFonts w:ascii="IRNazanin" w:hAnsi="IRNazanin" w:eastAsia="IRNazanin"/>
          <w:color w:val="111111"/>
          <w:sz w:val="28"/>
          <w:sz w:val="28"/>
          <w:szCs w:val="28"/>
          <w:rtl w:val="true"/>
          <w:lang w:bidi="fa-IR"/>
        </w:rPr>
        <w:t>و غیرها</w:t>
      </w:r>
      <w:r>
        <w:rPr>
          <w:rStyle w:val="FootnoteAnchor"/>
          <w:rtl w:val="true"/>
        </w:rPr>
        <w:footnoteReference w:id="3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وقف علی المعدوم أو الحمل تبعاً للموجود؛ بأن یجعل طبقةً ثانیة، أو مساویاً للموجود فی الطبقة بحیث شارکه عند وجوده، صحّ بلا إشکال، کما إذا وقف علی أولاده الموجودین و من سیولد علی التشریک أو الترتیب</w:t>
      </w:r>
      <w:r>
        <w:rPr>
          <w:rFonts w:eastAsia="IRNazanin" w:cs="IRNazanin"/>
          <w:color w:val="111111"/>
          <w:sz w:val="28"/>
          <w:szCs w:val="28"/>
          <w:rtl w:val="true"/>
          <w:lang w:bidi="fa-IR"/>
        </w:rPr>
        <w:t>»</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9483218_73709187"/>
      <w:bookmarkStart w:id="996" w:name="_Toc378"/>
      <w:bookmarkEnd w:id="995"/>
      <w:r>
        <w:rPr>
          <w:rtl w:val="true"/>
        </w:rPr>
        <w:t>الوقف علی الحمل عند أهل السنّة</w:t>
      </w:r>
      <w:bookmarkEnd w:id="996"/>
    </w:p>
    <w:p>
      <w:pPr>
        <w:pStyle w:val="BookText"/>
        <w:rPr/>
      </w:pPr>
      <w:r>
        <w:rPr>
          <w:rFonts w:ascii="IRNazanin" w:hAnsi="IRNazanin" w:eastAsia="IRNazanin"/>
          <w:color w:val="111111"/>
          <w:sz w:val="28"/>
          <w:sz w:val="28"/>
          <w:szCs w:val="28"/>
          <w:rtl w:val="true"/>
          <w:lang w:bidi="fa-IR"/>
        </w:rPr>
        <w:t>ذهب المالکیّة إلی أنّه یصحّ الوقف علی مَن هو أهل للتملّک کمن سیولد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المعمول علیه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بعضهم أنّه لا یجوز علی الحمل، و الروایات واضحة بصحّته</w:t>
      </w:r>
      <w:r>
        <w:rPr>
          <w:rFonts w:eastAsia="IRNazanin" w:cs="IRNazanin"/>
          <w:color w:val="111111"/>
          <w:sz w:val="28"/>
          <w:szCs w:val="28"/>
          <w:rtl w:val="true"/>
          <w:lang w:bidi="fa-IR"/>
        </w:rPr>
        <w:t>»</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حاشیة الدسوقی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علی من سیولد فیعطاها ما لم یحصل مانع من الوجود کموت إلاّ أنّه غیر لازم بمجرّد عقده، بل یوقف لزومه إلی أن یوجد</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الشافعیّة، فقد نصّوا علی عدم صحّة الوقف علی الحمل؛ لعدم صحّة تملّکه؛ سواء أ کان مقصوداً أم تابعاً، حتّی لو کان له أولاد و له جنین عند الوقف</w:t>
      </w:r>
    </w:p>
    <w:p>
      <w:pPr>
        <w:pStyle w:val="BookText"/>
        <w:rPr/>
      </w:pPr>
      <w:r>
        <w:rPr>
          <w:rFonts w:ascii="Amiri" w:hAnsi="Amiri" w:eastAsia="Amiri" w:cs="Amiri"/>
          <w:color w:val="111111"/>
          <w:sz w:val="28"/>
          <w:sz w:val="28"/>
          <w:szCs w:val="28"/>
          <w:rtl w:val="true"/>
          <w:lang w:bidi="ar-SA"/>
        </w:rPr>
        <w:t>لم یدخل إلاّ إذا انفصل حیّاً؛ فإنّه یدخل معهم</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الوجیز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الجنین؛ لأنّه لا تسلیط فی الحال</w:t>
      </w:r>
      <w:r>
        <w:rPr>
          <w:rFonts w:eastAsia="IRNazanin" w:cs="IRNazanin"/>
          <w:color w:val="111111"/>
          <w:sz w:val="28"/>
          <w:szCs w:val="28"/>
          <w:rtl w:val="true"/>
          <w:lang w:bidi="fa-IR"/>
        </w:rPr>
        <w:t>»</w:t>
      </w:r>
      <w:r>
        <w:rPr>
          <w:rStyle w:val="FootnoteAnchor"/>
          <w:rtl w:val="true"/>
        </w:rPr>
        <w:footnoteReference w:id="3252"/>
      </w:r>
      <w:r>
        <w:rPr>
          <w:rFonts w:ascii="IRNazanin" w:hAnsi="IRNazanin" w:eastAsia="IRNazanin"/>
          <w:color w:val="111111"/>
          <w:sz w:val="28"/>
          <w:sz w:val="28"/>
          <w:szCs w:val="28"/>
          <w:rtl w:val="true"/>
          <w:lang w:bidi="fa-IR"/>
        </w:rPr>
        <w:t>و کذا فی فتح الوهّاب</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الوقف علی من لا یملک کالعبد و الحمل؛ لأنّه تملیک منجّز، فلم یصحّ علی من لا یملک کالهبة و الصدقة</w:t>
      </w:r>
      <w:r>
        <w:rPr>
          <w:rFonts w:eastAsia="IRNazanin" w:cs="IRNazanin"/>
          <w:color w:val="111111"/>
          <w:sz w:val="28"/>
          <w:szCs w:val="28"/>
          <w:rtl w:val="true"/>
          <w:lang w:bidi="fa-IR"/>
        </w:rPr>
        <w:t>»</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الحنابلة، فقد 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وقف علی أولاده أو أولاد غیره و فیهم حمل لم یستحقّ شیئاً قبل انفصاله؛ لأنّه لم تثبت له أحکام الدنیا قبل انفصاله</w:t>
      </w:r>
      <w:r>
        <w:rPr>
          <w:rFonts w:eastAsia="IRNazanin" w:cs="IRNazanin"/>
          <w:color w:val="111111"/>
          <w:sz w:val="28"/>
          <w:szCs w:val="28"/>
          <w:rtl w:val="true"/>
          <w:lang w:bidi="fa-IR"/>
        </w:rPr>
        <w:t>»</w:t>
      </w:r>
      <w:r>
        <w:rPr>
          <w:rStyle w:val="FootnoteAnchor"/>
          <w:rtl w:val="true"/>
        </w:rPr>
        <w:footnoteReference w:id="3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علی حیوان لا یملک کالعبد 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و الملک</w:t>
      </w:r>
      <w:r>
        <w:rPr>
          <w:rFonts w:eastAsia="IRNazanin" w:cs="IRNazanin"/>
          <w:color w:val="111111"/>
          <w:sz w:val="28"/>
          <w:szCs w:val="28"/>
          <w:rtl w:val="true"/>
          <w:lang w:bidi="fa-IR"/>
        </w:rPr>
        <w:t>...»</w:t>
      </w:r>
      <w:r>
        <w:rPr>
          <w:rStyle w:val="FootnoteAnchor"/>
          <w:rtl w:val="true"/>
        </w:rPr>
        <w:footnoteReference w:id="3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الإنصاف،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المذهب، و علیه جماهیر الأصحاب، و قطع به کثیر منهم</w:t>
      </w:r>
      <w:r>
        <w:rPr>
          <w:rStyle w:val="FootnoteAnchor"/>
          <w:rtl w:val="true"/>
        </w:rPr>
        <w:footnoteReference w:id="3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نعثر للحنفیّة فیما استطعنا الوصول إلیه من کتبهم فی باب الوقف علی نصّ خاصّ فی هذه المسألة</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کمّیته، و یقال منه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مقارض بالکسر، و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مقارض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جواهر الکلام </w:t>
      </w:r>
      <w:r>
        <w:rPr>
          <w:rFonts w:eastAsia="IRNazanin" w:cs="IRNazanin"/>
          <w:color w:val="111111"/>
          <w:sz w:val="28"/>
          <w:szCs w:val="28"/>
          <w:lang w:bidi="fa-IR"/>
        </w:rPr>
        <w:t>336:26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w:t>
      </w:r>
      <w:r>
        <w:rPr>
          <w:rFonts w:eastAsia="IRNazanin" w:cs="IRNazanin"/>
          <w:color w:val="111111"/>
          <w:sz w:val="28"/>
          <w:szCs w:val="28"/>
          <w:lang w:bidi="fa-IR"/>
        </w:rPr>
        <w:t>199:21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w:t>
      </w:r>
      <w:bookmarkStart w:id="997" w:name="pg11753_115263"/>
    </w:p>
    <w:p>
      <w:pPr>
        <w:pStyle w:val="Heading2"/>
        <w:numPr>
          <w:ilvl w:val="1"/>
          <w:numId w:val="1"/>
        </w:numPr>
        <w:rPr/>
      </w:pPr>
      <w:bookmarkStart w:id="998" w:name="__RefHeading___Toc9483220_73709187"/>
      <w:bookmarkStart w:id="999" w:name="_Toc379"/>
      <w:bookmarkEnd w:id="997"/>
      <w:bookmarkEnd w:id="998"/>
      <w:r>
        <w:rPr>
          <w:rtl w:val="true"/>
        </w:rPr>
        <w:t>فهرس أحکام الأطفال و أدلّتها</w:t>
      </w:r>
      <w:bookmarkEnd w:id="999"/>
    </w:p>
    <w:p>
      <w:pPr>
        <w:pStyle w:val="BookText"/>
        <w:rPr/>
      </w:pPr>
      <w:r>
        <w:rPr>
          <w:rFonts w:ascii="IRNazanin" w:hAnsi="IRNazanin" w:eastAsia="IRNazanin"/>
          <w:color w:val="111111"/>
          <w:sz w:val="28"/>
          <w:sz w:val="28"/>
          <w:szCs w:val="28"/>
          <w:rtl w:val="true"/>
          <w:lang w:bidi="fa-IR"/>
        </w:rPr>
        <w:t>الجزء الثانی 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الوکیل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الوکالة و ذکر الأقوال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الوکیل عند الجمهور من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نکاح الصغیرین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التوارث بین الصغیرین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توارث الصغیرین عن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عقد علی الصغیرین غیر ولیّهما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عن شبهتین فی الصحیحة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بعض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تترتّب علی هذه المسألة فروع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بعض أهل السنّة فی ضمان الأب، 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بالمصاهرة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امّ الزوجة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قول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امّ الزوجة الصغیرة علی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الترجیح للأخبار التی دلّت علی 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التوقّف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المحقّق القمّی فی تزویج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عن المحقّق القمّی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زوجة کلٍّ من الأب و الابن علی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وط‌ء الزوجة قبل التسع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وط‌ء الزوجة قبل التسع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الدخول بالزوجة قبل التسع</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الإفضاء موجباً للبینونة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الدیة بالإفضاء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نفقتها علی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المهر لها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وطئها لو اندمل الموضع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آراء فقهاء أهل السنّة فی جواز وط‌ء الصغیرة قبل التسع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نفقة الزوجة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وجوب النفقة، مشروطاً بالتمکین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اشتراط وجوب النفقة بالتمکین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اقتضاء عقد النکاح بذاته للنفقة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النفقة علی الزوج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نفقة الزوجة علی الزوج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نفقة الزوجة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عدّة الصغیرة فی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العلاّمة و الشهید عن استدلال السیّد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تدلّ علی مذهب السیّد المرتضی و أتباعه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العدّة علی الزوجة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عدم ثبوت العدّة للصغیرة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عدّة الوفاة علی الزوجة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فقهاء أهل السنّة فی عدّة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الحداد علی الزوجة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الولایة علی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عدم جواز طلاق الولیّ عن الصبیّ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هذه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الصبیّ و الصبیّة و لمسهما و تقبیلهما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جسد الصبیّة و الصبیّ و عورتهما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الصبیّة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جواز النظر إلی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النظر إلی الصغیرة مع تلذّذ و شهوة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المرأة إلی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الصبیّ إلی المرأة الأجنبیّة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عورة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الممیّز إلی عورة الرجل أو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الصبیّة و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 الرجل الصبیّة و المرأة للصبیّ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تقبیلهما قبل أن یأتی علیهما ستّ سنین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تقبیلها بعد أن یأتی علیها ستّ سنین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أنظار فقهاء أهل السنّة فی مباحث هذا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الأب و الجدّ علی أموال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ولایة الأب و الجدّ علی الأموال و أدلّتها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إیراد المحقّق الاصفهانی و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إیراد المحقّق الإیروانی و السیّد الخوئی و الجواب عنهما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الإیراد علی الاستدلال بهذه الأخبار و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الولایة علی أموال الصغار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الولایة للأجداد کلّهم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الولایة بالجدّ الدانی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الإیراد علی الاستدلال و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الأجداد فی مرتبة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تصرّف الأب و الجدّ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مسائل هذا المبحث</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ولایة الأب و الجدّ علی أموال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هذا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عن الاستدلال بآیة 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اشتراط العدالة فی ثبوت الولایة للأب و الجدّ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العدالة فی الولایة علی الأموال، عند بعض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المصلحة أو عدم المفسدة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نفوذ تصرّفات الأب و الجدّ منوطاً بعدم المفسدة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تصرّفات الولیّ مشروطٌ بالمصلحة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اعتبار المصلحة فی تصرّفات الأب و الجدّ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 الشیخ الأعظم علی الاستدلال بالآیة و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إحراز المصلحة أو عدم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جمهور أهل السنة فی مسائل هذا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الوصیّ علی أموال الصغار و 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الوصیّ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ولایة الوصی علی أموال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فقهاء أهل السنّة فی ولایة الوصیّ علی أموال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تصرّفات الوصیّ للمصلحة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تصرفات الوکیل علی أموال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الحاکم و القاضی و عدول المؤمنین علی أموال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ولایة الحاکم علی أموال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إیراد المحقّق الخوئی علی الاستدلال بالآیة و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الإیراد علی الاستدلال بالصحیحة و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التصرّف فی أموال الصغار حسبةً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الحاکم علی أموال الصبیّ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المصلحة فی تصرّفات الحاکم و أمینه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التعارض و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الأصلحیّة فی تصرّفات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 المصلحة فی تصرّفات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المصلحة فی ولایة الحاکم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القضاة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ولایة القضاة علی أموال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ولایة القضاة علی أموال الأیتام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تذکرةٌ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عدول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ولایة عدول المؤمنین علی أموال الأیتام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لعدول المؤمنین نصب القیّم للأیتام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ثبوت الولایة علی أموال الصغار للفسّاق</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مذاهب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ولایة عدول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اشتراط ولایة عدول المؤمنین بتعذّر الإذن من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تذکرةٌ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موارد تصرّف الأولیاء</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و الاتّجار و المصالحة بمال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و الاتّجار بمال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جواز البیع و الشراء بمال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هذه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التی تنشأ من ولایة الأولیاء علی أموال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اختلاف الوصیّ 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بمال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جواز المصالحة بمال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تبرئة ذمّة من علیه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المصالحة بمال الصبیّ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التی هی من شئون الاتّجار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و الإبضاع بمال الیتیم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هذین الحکمین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المضاربة و الإبضاع بمال الصبیّ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 الارتهان و الإقراض و الاقتراض</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جواز رهن مال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الارتهان للصغیر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کون الرهن مساویاً لمال الصغیر أو أزید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المسائل التی تقدّمت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اقتراض الولیّ من مال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جواز اقتراض الولیّ من مال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الاقتراض من مال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اقتراض الولیّ من مال الصبیّ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إیداعُ مال الصبیّ و عاریته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جواز إیداع مال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الإیداع و العاریة فی مال الصبیّ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الولیّ الصبیّ أو ماله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الولیّ نفس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فسخ الصبیّ بعد بلوغه و رشده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فسخ الصبیّ بعد بلوغه و رشده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الولیّ ما یملکه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إجارة الولیّ نفس الصبیّ أو ماله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الاُجرة من مال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المتولّی فقیراً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جواز أخذ الولیّ اجرة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الولیّ غنیّاً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فی الاستدلال بالآیة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فی الاستدلال بالموثّقة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أخذ الاُجرة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جواز أخذ الاُجرة مع 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هامّة ینبغی ذکرها</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جواز أخذ الاُجرة من مال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حقوق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حقّ الشفعة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استیفاء حق الشفعة للصبیّ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للصبی أخذ الشفعة بعد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للصبی أخذ الشفعة بعد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الولیّ الشفعة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حقّ الخیار للصبیّ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ثبوت حقّ الخیار للصبیّ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الخیار للولیّ فی حال کونه موجباً و قابلاً باعتبارین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استیفاء حقّ الخیار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القبول و القبض فی الهبة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جواز الهبة بالمعاطاة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الولیّ الهبة و الهدیة للصبی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قبض الهبة</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قبض الولیّ الهبة للصبیّ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الصدقة و الهبة فی القبض</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الولایة علی قبض الهبة</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القبض فی الوقف علی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یتولّی الأب أو الجدّ أو الوصیّ القبض عن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القبض أو عدمه عن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عدم اعتبار قصد القبض عن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الولایة علی القبول و القبض فی الوقف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قبول الوصیّة للصغیر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الولایة علی القبول فی الوصیّة للصغیر عند فقهاء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و أرکانها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الأب و الجدّ فی الوصیّة بأُمور أولادهم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جواز الوصیّة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الوصیّة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الوصیّ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الصورة الاُولی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الوصیّة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الوصیّة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الوصیة بالولایة من الوصیّ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ولایة الحاکم علی الوصیة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عدم جواز الوصیّة بالولایة للحاکم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تولّی الاُمّ الوصیّة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الوصیة بالولایة للاُمّ</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القیّم مع وجود الجدّ</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الوصیّة فی زمان ولایة الجدّ</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الوصیّة فی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نصب القیّم مع وجود الجدّ</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المعتبرة لإثبات الوصیّة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إثباتها عند عدم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بالولایة بالکتابة</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الوصیّة التی سجّلت فی الشریط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بالولایة مع اختلاف الورثة</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الإشهاد علی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بالولایة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عن الوصیّة أو استبدالها</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الموصی عن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جواز الرجوع من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الموصی إلیه عن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جواز ردّ الوصیّة للوصیّ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عدم جواز ردّ الوصیّة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الوصیّ أمیناً</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عدم ضمان الوصیّ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المبحث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وصیّ لمن لا وصیّ له</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المبحث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حول الوصیّة للحمل</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الوقف علی الحمل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1970:3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الطبعة الحجریّة، قواعد الأحکام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ردّ المحتار لابن عابدین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المبدع فی شرح المقنع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المستفاد من هذه العبارة جواز توکیل الحاکم فی خصوص الموارد الثلاثة، و إلاّ فلا یستفاد منها جواز توکیل الحاکم فی جمیع ما یرتبط به،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200:21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النقل الشرعی الوارد عن أهل بیت العصمة و الطهارة علیهم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390:27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 و الشرکة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انتقاض هذه القاعدة بالوکالة و النیابة فی الصلاة و سائر العبادات بعد الموت؛ فإنّها ممّا تعلّق الغرض بها مباشرة مع صحّة وقوع الوکالة و النیابة بعد الموت، اللّهم إلاّ أن یقال بأنّ الصحّة إنّما هی من جهة الأمر العارضی، و إلاّ أوّلاً و بالذات لا تقبل النیابة، و هو کما 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یمکن انتقاض القاعدة بما إذا منع الموصی عن التوکیل، فلا یصحّ فیه التوکیل، مع أنّ غرض الشارع لا یتعلّق بالمباشرة، و هذا کلّه مضافاً إلی عدم وجود وجه صحیح للتقیید بالشرع، بل الغرض أعمّ من أن یکون غرضاً للشارع أو العقلاء أو صاحب الحق مثلاً، فتدبّر، فالتحقیق فی مفاد هذه القاعدة یحتاج إلی مجال 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378:27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الوکالة،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الوکالة،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عدم الدلالة علی ذلک، و لیستا بصدد بیان مشروعیّة الوکالة و مواردها، بل إنّما هما بصدد بیان حکم الوکالة فی مورد تجوز الوکالة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230:14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230:14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القوانین الفقهیّة لابن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المحرّر فی الفقه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الهندیة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 فیهما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462:13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 الخیار للصغار و عدمه خلاف کما تقدّم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للقاضی ابن برّاج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154:12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216:29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کالسادة العظام الخوئی فی مبانی العروة الوثقی، کتاب النکاح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و الحکیم فی مستمسک العروة الوثقی </w:t>
      </w:r>
      <w:r>
        <w:rPr>
          <w:rFonts w:eastAsia="IRNazanin" w:cs="IRNazanin"/>
          <w:b w:val="false"/>
          <w:bCs w:val="false"/>
          <w:i w:val="false"/>
          <w:iCs w:val="false"/>
          <w:color w:val="333333"/>
          <w:sz w:val="20"/>
          <w:szCs w:val="20"/>
        </w:rPr>
        <w:t>509:14</w:t>
      </w:r>
      <w:r>
        <w:rPr>
          <w:rFonts w:ascii="IRNazanin" w:hAnsi="IRNazanin" w:eastAsia="IRNazanin"/>
          <w:b w:val="false"/>
          <w:b w:val="false"/>
          <w:bCs w:val="false"/>
          <w:i w:val="false"/>
          <w:i w:val="false"/>
          <w:iCs w:val="false"/>
          <w:color w:val="333333"/>
          <w:sz w:val="20"/>
          <w:sz w:val="20"/>
          <w:szCs w:val="20"/>
          <w:rtl w:val="true"/>
        </w:rPr>
        <w:t xml:space="preserve">، و السبزواری فی مهذّب الأحکام </w:t>
      </w:r>
      <w:r>
        <w:rPr>
          <w:rFonts w:eastAsia="IRNazanin" w:cs="IRNazanin"/>
          <w:b w:val="false"/>
          <w:bCs w:val="false"/>
          <w:i w:val="false"/>
          <w:iCs w:val="false"/>
          <w:color w:val="333333"/>
          <w:sz w:val="20"/>
          <w:szCs w:val="20"/>
        </w:rPr>
        <w:t>291:24</w:t>
      </w:r>
      <w:r>
        <w:rPr>
          <w:rFonts w:ascii="IRNazanin" w:hAnsi="IRNazanin" w:eastAsia="IRNazanin"/>
          <w:b w:val="false"/>
          <w:b w:val="false"/>
          <w:bCs w:val="false"/>
          <w:i w:val="false"/>
          <w:i w:val="false"/>
          <w:iCs w:val="false"/>
          <w:color w:val="333333"/>
          <w:sz w:val="20"/>
          <w:sz w:val="20"/>
          <w:szCs w:val="20"/>
          <w:rtl w:val="true"/>
        </w:rPr>
        <w:t xml:space="preserve">، و السیّد الیزدی فی العروة و التعلیقات علیها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xml:space="preserve">، و الإمام الخمینی قدس سره فی تحریر الوسیلة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و الشیخ الفاضل اللنکرانی فی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510:17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للقاضی ابن البرّاج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النهایة و نکتها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154:12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فی ضمن تراث الشیخ الأعظم </w:t>
      </w:r>
      <w:r>
        <w:rPr>
          <w:rFonts w:eastAsia="IRNazanin" w:cs="IRNazanin"/>
          <w:b w:val="false"/>
          <w:bCs w:val="false"/>
          <w:i w:val="false"/>
          <w:iCs w:val="false"/>
          <w:color w:val="333333"/>
          <w:sz w:val="20"/>
          <w:szCs w:val="20"/>
        </w:rPr>
        <w:t>155:20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219:29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283:23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و التعلیقات علیها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510:14</w:t>
      </w:r>
      <w:r>
        <w:rPr>
          <w:rFonts w:ascii="IRNazanin" w:hAnsi="IRNazanin" w:eastAsia="IRNazanin"/>
          <w:b w:val="false"/>
          <w:b w:val="false"/>
          <w:bCs w:val="false"/>
          <w:i w:val="false"/>
          <w:i w:val="false"/>
          <w:iCs w:val="false"/>
          <w:color w:val="333333"/>
          <w:sz w:val="20"/>
          <w:sz w:val="20"/>
          <w:szCs w:val="20"/>
          <w:rtl w:val="true"/>
        </w:rPr>
        <w:t xml:space="preserve">، مبانی العروة الوثقی، کتاب النکاح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291:24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أحکام الأطفال و أدلّتها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210:23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219:29</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219:29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125:31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 السیّد صاحب الریاض بالصحیحة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125:31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126:31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الروایة أنّ ما نحن فیه من مصادیق قاعدة الإقدام الذی هو من أسباب الضمان، فمن أقدم علی الضمان فهو ضامن؛ سواءً ضمن أو لم یضمن، خصوصاً أنّ تعیین مقدار المهر فی المقام لا یکون بید الصبیّ و الزوج، بل هو أمر عیّنه 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کان المستند هذه القاعدة، فلا فرق بین إعسار الولد و إیساره، و علی هذا تکون الروایات حاکمة علیها أو مقیّدة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126:31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126:31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أصل کون المهر علی ذمّة الزوج، و أصل عدم جواز بیع الدار السکنی و دابّة الرکوب لأداء الدَّین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128:31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128:31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فصل فی المهر،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فی شرح تنویر الأبصار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شرح فتح القدیر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فیهما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377:20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للقرطبی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170:21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قال النائینی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هو التفصیل بین ما إذا کانت الجمل المتقدّمة مشتملة علی الموضوع و المحمول، و بین ما إذا حذف فیها الموضوع، ففی الأوّل یرجع إلی خصوص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378:20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450:23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294:12</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352:29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زبدة البیان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455:23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304:16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456:23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351:29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306:16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من الرضاع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لابن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للقاضی ابن البرّاج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301:16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فی الوسائل و 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یر به بأساً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علی صیغة الغائب، و لکن فی الکافی و الحدائق و التهذیب و جامع أحادیث الشیعة و نوادر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نر به بأساً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علی صیغة المتکلّم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الکلمة وردت بصورٍ مختلفة، ففی الکافی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الشمخیّة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کذا فی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178:20</w:t>
      </w:r>
      <w:r>
        <w:rPr>
          <w:rFonts w:ascii="IRNazanin" w:hAnsi="IRNazanin" w:eastAsia="IRNazanin"/>
          <w:b w:val="false"/>
          <w:b w:val="false"/>
          <w:bCs w:val="false"/>
          <w:i w:val="false"/>
          <w:i w:val="false"/>
          <w:iCs w:val="false"/>
          <w:color w:val="333333"/>
          <w:sz w:val="20"/>
          <w:sz w:val="20"/>
          <w:szCs w:val="20"/>
          <w:rtl w:val="true"/>
        </w:rPr>
        <w:t xml:space="preserve">، و فی تفسیر العیّاشی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الشخینة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و فی بعض النسخ الشحنیة، و فی التهذیب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السمجیة، و فی الاستبصار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الشمخیّة مطابقاً للکافی و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السمجیّة، و فی طبعة القدیم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الشمخة، و فی تفسیر البرهان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السمحة، و فی الوسائل </w:t>
      </w:r>
      <w:r>
        <w:rPr>
          <w:rFonts w:eastAsia="IRNazanin" w:cs="IRNazanin"/>
          <w:b w:val="false"/>
          <w:bCs w:val="false"/>
          <w:i w:val="false"/>
          <w:iCs w:val="false"/>
          <w:color w:val="333333"/>
          <w:sz w:val="20"/>
          <w:szCs w:val="20"/>
        </w:rPr>
        <w:t>354:14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الشمخیة، و کذا فی جامع أحادیث الشیعة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مرآة العقول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تسمیتها بها لأنّها صارت سبباً لافتخار الشیعة علی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وسمت المسألة بالشمخیّة بالنسبة إلی ابن مسعود،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غافل بن حبیب بن شمخ، أو لتکبّر ابن مسعود فیها عن متابعة أمیر المؤمنین علیه السلام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 بأنفه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 ما قاله المجلسی فی وجه تسمیة هذه الکلمة غیر صحیحة، و الحقّ فی ضبطها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الشمخیّة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و شرحه و الوسائل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تسمیة هذه المسألة بالشمخیّة لأجل أنّ رجلاً من بنی شمخ تزوّج امرأة و لم یدخل بها، ثمّ رأی امّها فأعجبته و استفتی ابن مسعود، فأمره أن یفارقها ثمّ یتزوّج امّها، ففعل و ولدت له أولاداً، ثمّ أتی ابن مسعود المدینة فسأل عمر، أو أصحاب النبی صلی الله علیه و آله و 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 فلمّا رجع إلی الکوفة 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علیک حرام ففارقها، الدرّ المنثور للسیوطی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أوجز المسالک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 xml:space="preserve">، الکافی فی فقه الإمام أحمد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لأقرب المسالک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أوجز المسالک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المحلّی بالآثار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أوجز المسالک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هو رسالة باللغة الفارسیة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عدم کون الإمکان غایة و غرضاً، بل الظاهر أنّ الاستمتاع الفعلی یصلح لأن یکون غرضاً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الاستمتاع من الدواعی لهذا النکاح، أو یکون حکمة لصحّة هذا العقد، و إلاّ فمن الواضح صحّة المتعة بین الشیخ و الشیخة مع العلم بعدم إمکان الالتذاذ بینهما، فتبیّن من ذلک أنّ صحّة العقد دواماً أو متعة لا تتوقّف علی الاستمتاع أو إمکانه، بل للعقد بقسمیه آثار مختلفة، کالتوارث و المحرمیّة و غیرهما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أبیه، عن علی بن أسباط، عن بعض أصحابنا، عن محمّد بن مسلم، و کلمة بعض أصحابنا ظاهر فی أنّ الراوی رجلٌ من الشیعة، و هو عظیم المنزلة و جلیل القدر و لم یذکر اسمه تعظیماً و إجلالاً 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هذا إنّما هو من جهة الغلبة و لا ینافی هذا عدم إمکان الاستمتاع؛ فمثلاً إذا کان الزوج و الزوجة مریضین لا یقدران علی الاستمتاع أبداً فلا یقول أحد بعدم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یتزوّج المرأة متعةً، أ یحلّ أن یتزوّج ابنتها بتاتاً؟ الفقیه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یعنی دائماً، کما یدلّ علیه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 موروث و هو البتات، و فرج 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بتت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جابر بن عبد اللّه الأنصاری، عن رسول اللّه صلی الله علیه و آله، أنّه خطب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إنّ اللّه أحلّ لکم الفروج علی ثلاث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موروث و هو البتات، و فرج غیر موروث و هو المتعة، و ملک أیمانکم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الإحصان المنع، أحصن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تزوّج، فهو محصِنٌ، مجمع البحرین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حصن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فی اللغة اسم للاُجرة؛ و هی کراء الأجیر و الکروة؛ و هو عوض العمل،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 الشیء أکراه، 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ما أعطیت من أجرٍ فی عملٍ، الأجر جزاء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مهر المرأة،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فَآتُوهُنَّ أُجُورَهُنَّ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أجر، القاموس المحیط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الإجارة فی اصطلاح الفقهاء عقد ثمرته تملیک المنفعة بعوضٍ معلوم، أو هی عقد معاوضة علی تملیک المنفعة للعوض، شرائع الإسلام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الاُمّ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تصویر المنفعة من جهة التوارث و المحرمیّة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للمحقق الآشتیانی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للمحقق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للسیّد الخوئی مع تعلیقات الشیخ جواد التبریزی، ج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الکافی لأبی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المهذّب للقاضی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299:12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283:7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447:23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350:29</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300:16</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178:14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کتاب النکاح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التعلیقات </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المصاهرة 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299:12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300:16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350:29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للقرطبی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330:12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607:23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کتاب النکاح، ضمن تراث الشیخ الأعظم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414:29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کتاب النکاح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صحّة ما ذهب إلیه صاحب الحدائق، فإنّ التردید فی الاُمور غیر التعبدیّة ممکن من جهة التنویع بین الاُمور و المصادیق الواقعیّة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التردید راجعاً إلی التنویع فلا بأس به حتّی فی کلام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لو سلّمنا عدم التردید من الإمام علیه السلام، و قلنا بتعیین التسع من جهة کون هذا ملاکاً للبلوغ فیها، فالسؤال التی تذکر أنّه هل هذا الحدّ من الاُمور التعبدیّة المولویة، أم لا، بل کان إرشاداً إلی حدّ یکون عادةً قابلاً لإمکان الوط‌ء؟ و الظاهر الثانی، فإذا علمنا بعدم إمکان وط‌ء الزوجة التی بلغت عشراً مثلاً، فلا یقول أحد من الفقهاء بجواز وطئها حتی فی البالغة الرشیدة التی لأجل مرض أو عارض لا تصلح للوط‌ء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فالظاهر أنّ التسع یکون حدّاً عرفیّاً لهذا الأمر، و المتّبع فی ذلک الرجوع إلی کلّ زوجة بحسب حالها، و لا یخفی علیک عدم وجود الملازمة بین البلوغ الشرعی و إمکان 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قلنا بوجود الملازمة فالأمر یختلف عمّا قلناه، و کیف کان یحتاج هذا البحث إلی تأمّل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إدریس </w:t>
      </w:r>
      <w:r>
        <w:rPr>
          <w:rFonts w:eastAsia="IRNazanin" w:cs="IRNazanin"/>
          <w:b w:val="false"/>
          <w:bCs w:val="false"/>
          <w:i w:val="false"/>
          <w:iCs w:val="false"/>
          <w:color w:val="333333"/>
          <w:sz w:val="20"/>
          <w:szCs w:val="20"/>
        </w:rPr>
        <w:t>0:2</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418:29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للسیّد الأعرجی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332:12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428:20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مراده الدخول کما فی النصوص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 المرأة افترعها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الاسم القضّة بالکسر، و أخذ قضّتها أی عُذرتها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جامعها و أفضاها حرم علیه وطؤها أبداً و وجب علیه شیئان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 و الإنفاق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قال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تزوّجتها قبل أن تبلغ تسع سنین فأصابها عیب فأنت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424:29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الذهاب إلی الحرمة الأبدیّة فی صورة الإفضاء لا یلائم مع القول بجواز 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کشف القناع </w:t>
      </w:r>
      <w:r>
        <w:rPr>
          <w:rFonts w:eastAsia="IRNazanin" w:cs="IRNazanin"/>
          <w:b w:val="false"/>
          <w:bCs w:val="false"/>
          <w:i w:val="false"/>
          <w:iCs w:val="false"/>
          <w:color w:val="333333"/>
          <w:sz w:val="20"/>
          <w:szCs w:val="20"/>
        </w:rPr>
        <w:t>553:5</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فی الفقه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303:31</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المحقّق بأنّه التخلیة بینها و بینه، بحیث لا تختصّ موضعاً و لا وقتاً، فلو بذلت نفسها فی زمانٍ دون زمانٍ، أو مکانٍ دون مکانٍ آخر ممّا یسوغ فیه الاستمتاع لم یحصل التمکین، شرائع الإسلام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303:31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486:20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النفقات،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156/11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290:25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304:31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288:25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304:31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 بعدم القول بالفصل بین الکبیرة و الصغیرة، فلا یتوهّم أنّ النفقة ثابتة بالتمکین فی الکبیرة بخلاف الصغیرة؛ فإنّها ثابتة فیها بالعقد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أنّه إذا کان معقد الإجماع مطلقاً فلا وجه لأخذ القدر المتیقّن منه،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إمکان تحقّق النشوز بالنسبة إلی الصغیرة، کالخروج من البیت من دون إذنه، و هذا یظهر سیّما بملاحظة إطلاق قول النبی صلی الله علیه و آله فی معتبرة السکونی،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امرأة إلخ، و لا شکّ فی أنّ هذا الإطلاق یشمل الصغیرة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7180</w:t>
      </w:r>
      <w:r>
        <w:rPr>
          <w:rFonts w:ascii="IRNazanin" w:hAnsi="IRNazanin" w:eastAsia="IRNazanin"/>
          <w:b w:val="false"/>
          <w:b w:val="false"/>
          <w:bCs w:val="false"/>
          <w:i w:val="false"/>
          <w:i w:val="false"/>
          <w:iCs w:val="false"/>
          <w:color w:val="333333"/>
          <w:sz w:val="20"/>
          <w:sz w:val="20"/>
          <w:szCs w:val="20"/>
          <w:rtl w:val="true"/>
        </w:rPr>
        <w:t xml:space="preserve">، کتاب الأحکام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صحیح مسلم </w:t>
      </w:r>
      <w:r>
        <w:rPr>
          <w:rFonts w:eastAsia="IRNazanin" w:cs="IRNazanin"/>
          <w:b w:val="false"/>
          <w:bCs w:val="false"/>
          <w:i w:val="false"/>
          <w:iCs w:val="false"/>
          <w:color w:val="333333"/>
          <w:sz w:val="20"/>
          <w:szCs w:val="20"/>
        </w:rPr>
        <w:t>4716:7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24172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304:31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عاشِرُوهُنَّ بِالْمَعْرُوفِ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304:31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99:25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أنّ من یقول بشرطیّة التمکین لا یعتقد بالتمکین مطلقاً و فی جمیع الحالات و الأزمنة، بل یقول بأنّه مع إمکان التمکین و تحقّقه فی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عدم وجود المانع الشرعی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فی المقام أنّه لا دلیل واضح علی کون النفقة ثابتاً بالعقد؛ فإنّ الثابت به إنّما هو المهر فقط، و لذا لو وقع الطلاق بعد مضیّ مدّة قلیلة من العقد، لکان اللاّزم دفع المهر فقط دون النفقة، فیظهر أنّ موضوع النفقة بعد العقد إنّما هو المعاشرة مع الزوجة، و من المعلوم أنّ مجرّد المعاشرة لیس دخیلاً فی ذلک، بل اللاّزم هو المعاشرة بالمعروف التی یکون التمکین من أرکانها، فتبیّن أنّه لا دلیل علی ثبوت النفقة بالعقد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ثبوت الإجماع علی کون النفقة ثابتة بالتمکین لا بمجرّد العقد، مع أنّ النشوز لا یناسب إلاّ مع کون التمکین شرطاً للنفقة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مناسبة بین کون العقد سبباً للنفقة من طرف، و بین کون النشوز مانعاً عنها من طرف آخر، و إنّما المناسبة فیما إذا کان التمکین شرطاً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الآیات و الأخبار المطلقة الدالّة علی ثبوت النفقة بمجرّد الزوجیّة تقیّد بصورة التمکین، و مع عدمه من أیّ جهة کانت لا نفقة لها،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311:31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بأنّ حقیقة التمکین متوقّفة علی الزوجة فقط؛ بمعنی بذل نفسها للزوج و إن لم یتمکّن الزوج، و علی هذا فلا مانع من أن یقال بلزوم النفقة فی هذا الفرض من طرف، و الذهاب إلی أنّ مجرّد العقد لیس سبباً لوجوب النفقة من طرف آخر،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الرافع للضرر هو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عین المدّعی و مصادرة إلی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486:20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المبدع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المحرّر فی الفقه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340:19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لابن عابدین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تحفة الفقهاء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بدائع الصنائع للکاسانی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الهدایة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البنایة فی شرح الهدایة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ذ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المبسوط للطوسی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431:25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وسیلة النجاة و تعلیقته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432:25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274:32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391:25</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أبواب المهور،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میراث الأزواج،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274:32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ما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274:32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ما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233:19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النتف فی الفتاوی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الهدایة شرح بدایة المبتدی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276:32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المبسوط للطوسی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281:32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269:19</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276:32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474:25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269:19</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281:32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أنّه لا وجاهة لما ذهب إلیه ابن إدریس، و لا مجال هنا للاستدلال برفع القلم؛ فإنّه بعد صحّة تزویج الصغیرة یترتّب علیه آثاره من قبیل الاعتداد للوفاة، و من الواضح وجود الملازمة الشرعیّة بین الحداد و عدّة الوفاة، کما أنّه لا مجال للاستدلال برفع القلم بالنسبة إلی نفی الاعتداد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الرفع دالّ علی النفی بالنسبة إلی التکالیف الابتدائیة، أمّا بالنسبة إلی الموضوعات التی قد أحدثها الصبیّ أو الصبیّة فلا دلالة فیه، و بما أنّ المقام من قبیل الثانی فلا یشمله الحدیث، کما أنّه إذا أحرمت الصبیة فتجب علیه الاجتناب عن المحرّمات إجماعاً،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153:25</w:t>
      </w:r>
      <w:r>
        <w:rPr>
          <w:rFonts w:ascii="IRNazanin" w:hAnsi="IRNazanin" w:eastAsia="IRNazanin"/>
          <w:b w:val="false"/>
          <w:b w:val="false"/>
          <w:bCs w:val="false"/>
          <w:i w:val="false"/>
          <w:i w:val="false"/>
          <w:iCs w:val="false"/>
          <w:color w:val="333333"/>
          <w:sz w:val="20"/>
          <w:sz w:val="20"/>
          <w:szCs w:val="20"/>
          <w:rtl w:val="true"/>
        </w:rPr>
        <w:t xml:space="preserve">، کفایة الفقه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360:7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أنّه قدس سره لا یعمل إلاّ بالأحادیث الصحیحة، و لم یکن فی السند من یغمض عنه إلاّ عبد اللّه بن محمّد، و الظاهر هو عبد اللّه بن محمّد بن عیسی أخو أحمد بن محمّد بن عیسی الأشعری، بقرینة الراوی و المروی عنه و بحسب طبقته، و لم یوثّقه الرجالیّون، إلاّ أنّه سمعت عن الاُستاذ آیة اللّه الزنجانی دام ظلّه أنّه معتبر، و لعلّه لکثرة روایة الأجلاّء عنه، و قال الوحید فی التعلیقة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محمّد بن أحمد بن یحیی، و لم یستثن روایته، و فیه إشعار بالاعتماد علیه، بل لا یبعد الحکم بوثاقته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یتوهّم أنّ فی سندها إشکال من جهة قاسم بن عروة حیث إنّه لا توثیق له فی الرجال و لکنّه موثّق من جهات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الشیخ المفید رحمه الله وثّقه فی کتاب المسائل الصاغانیّة،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موثّقات الشیخ المفید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کثرة روایة الأجلاّء عنه کابن أبی عمیر و ابن فضّال و البرقی و حسین بن سعید و عبّاس بن معروف و غیرهم،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روایة ابن أبی عمیر و البزنطی عنه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نوادر ابن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220:26</w:t>
      </w:r>
      <w:r>
        <w:rPr>
          <w:rFonts w:ascii="IRNazanin" w:hAnsi="IRNazanin" w:eastAsia="IRNazanin"/>
          <w:b w:val="false"/>
          <w:b w:val="false"/>
          <w:bCs w:val="false"/>
          <w:i w:val="false"/>
          <w:i w:val="false"/>
          <w:iCs w:val="false"/>
          <w:color w:val="333333"/>
          <w:sz w:val="20"/>
          <w:sz w:val="20"/>
          <w:szCs w:val="20"/>
          <w:rtl w:val="true"/>
        </w:rPr>
        <w:t xml:space="preserve">، أبواب میراث الأزواج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لابن عابدین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للنووی </w:t>
      </w:r>
      <w:r>
        <w:rPr>
          <w:rFonts w:eastAsia="IRNazanin" w:cs="IRNazanin"/>
          <w:b w:val="false"/>
          <w:bCs w:val="false"/>
          <w:i w:val="false"/>
          <w:iCs w:val="false"/>
          <w:color w:val="333333"/>
          <w:sz w:val="20"/>
          <w:szCs w:val="20"/>
        </w:rPr>
        <w:t>139:18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139:18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یستفاد من مطاوی کلام المناهل بطوله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 حرمة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الإجماع بل الضرورة من المذهب و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لِلْمُؤْمِنِینَ یَغُضُّوا مِنْ أَبْصارِهِمْ وَ یَحْفَظُوا فُرُوجَهُمْ ذلِکَ أَزْکی لَهُمْ إِنَّ اللّهَ خَبِیرٌ بِما یَصْنَعُونَ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لِلْمُؤْمِناتِ یَغْضُضْنَ مِنْ أَبْصارِهِنَّ وَ یَحْفَظْنَ فُرُوجَهُنَّ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کذا النصوص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علیّ بن عقبة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النظرة سهم من سهام إبلیس مسموم، و کم من نظرةٍ أورثت حسرةً طویلة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ما روی عنه و عن أبیه علیهما السلام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إلاّ و هو یصیب حظّاً من الزنا، فزنا العینین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روی عن طریق أهل السنّة أنّ النبیّ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کتب علی ابن آدم حظّه من الزنا، أدرک ذلک لا محالة، فزنا العین النظر وزنا اللسان المنطق و النفس تمنّی و تشتهی و الفرج یصدّق ذلک کلّه و یکذّبه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xml:space="preserve">، و سنن أبی داود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المقتضی للحرمة إطلاق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لِلْمُؤْمِنِینَ یَغُضُّوا مِنْ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یدّعی الانصراف إلی المنظورة التی تکون بالغة، و هو لیس ببعید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لکنّ الکلام فی تکلیف البالغ بالنسبة إلی الصغیرة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الملازمة ثابتة بین وجوب التستّر و حرمة النظر لا فی عکسهما، فلا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التستّر غیر واجب فالنظر أیضاً جائز بالملازمة، و لعلّه لأجل هذا تمسّک الشیخ الأنصاری بعدم القول بالفصل لا بالملازمة، و الفرق بینهما واضح، کما أنّه أفتی أو احتاط بعض بجواز الکشف فی الرجل مع عدم جواز نظر الأجنبیّة إلیه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فی معرفة الأحکام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اختمرت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لبست خمارها و غطّت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لسان العرب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مجمع البیان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المقانع جمع خمار، و هو غطاء رأس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الجامع لأحکام القرآن للقرطبی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عدم تمامیّة الاستدلال بهذه الآیات الشریفة، کما أنّ الاستدلال بالإطلاق الآتی غیر تامّ، و الحقّ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المتیقّن من جواز النظر إلی الصغیرة هو النظر مع عدم التلذّذ و الریبة، مضافاً إلی أنّ المستفاد من مذاقّ الشرع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إن کان الملاک فی الحرمة التلذّذ، فلا فرق بین الممیّز و غیره، و علی هذا فلا مجال لأخذ ثوران الشهوة و عدمه، کما لا مجال للتفصیل بین الترتّب الفعلی و غیره،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نتیجة هذا الاستدلال أنّ التستّر فی مفروض الکلام لیس واجباً نفسیّاً علی المرأة، بل وجوبه من باب المقدّمة، فتدخل فی بحث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یتوقّف هذا الوجوب المقدّمی علی تسلیم کون ترک الحرام واجباً، مع أنّ الظاهر عدم التزام القائل به، فراجع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الاحتمال الثانی غیر مناسب مع لفظ العورات، بل المناسب له هو الاحتمال الأوّل، و علی هذا فیکون الممیّز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النکاح و آدابه،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النکاح و آدابه،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کتاب النکاح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کتاب النکاح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100:29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ضمن تراث الشیخ الأعظم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الشیخ الفقیه الفاضل اللنکرانی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کتاب النکاح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کلمة لا ینبغی و إن کانت ظاهرة فی المرجوحیّة فقط، إلاّ أنّ کثرة الاستعمال فی الروایات فی الحرمة صارت موجباً لحملها علی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الفقه، کتاب النکاح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النعمان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البهائی رحمه الله،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المتعارف بین قدمائنا إطلاق الصحیح علی کلّ حدیث صحیح اعتضد بما یقتضی اعتمادهم علیه، أو اقترن بما یوجب الوثوق به و الرکون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المطبوع فی ضمن الحبل المتین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فی الوسائل </w:t>
      </w:r>
      <w:r>
        <w:rPr>
          <w:rFonts w:eastAsia="IRNazanin" w:cs="IRNazanin"/>
          <w:b w:val="false"/>
          <w:bCs w:val="false"/>
          <w:i w:val="false"/>
          <w:iCs w:val="false"/>
          <w:color w:val="333333"/>
          <w:sz w:val="20"/>
          <w:szCs w:val="20"/>
        </w:rPr>
        <w:t>167:14</w:t>
      </w:r>
      <w:r>
        <w:rPr>
          <w:rFonts w:ascii="IRNazanin" w:hAnsi="IRNazanin" w:eastAsia="IRNazanin"/>
          <w:b w:val="false"/>
          <w:b w:val="false"/>
          <w:bCs w:val="false"/>
          <w:i w:val="false"/>
          <w:i w:val="false"/>
          <w:iCs w:val="false"/>
          <w:color w:val="333333"/>
          <w:sz w:val="20"/>
          <w:sz w:val="20"/>
          <w:szCs w:val="20"/>
          <w:rtl w:val="true"/>
        </w:rPr>
        <w:t>، کتاب النکاح، باباً لهذا الحکم و ذکر فیه ثمانی أحادیث من المشایخ الثلاثة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الوجیزة للسیّد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 المطبوع مع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ذکر فیه ثمانی روایات متوالیات عن حسین بن سعید، و هذا قرینة ظاهراً علی أنّه ذکر الشیخ قدس سره فی هذه الروایات من کتاب ابن سعید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التبانیات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کتاب النکاح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371:20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وثوق لنا بوحدة الملاک فی المقام، فمع عدم الروایة الدالّة علی ذلک لا وجه للتعدّی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ینبغی ترک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منهاج الطالبین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حاشیتا قلوبی و عمیرة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155:10</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البحر الرائق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458:7</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المبدع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الفصل الأوّل من الباب الرابع</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403:18</w:t>
      </w:r>
      <w:r>
        <w:rPr>
          <w:rFonts w:ascii="IRNazanin" w:hAnsi="IRNazanin" w:eastAsia="IRNazanin"/>
          <w:b w:val="false"/>
          <w:b w:val="false"/>
          <w:bCs w:val="false"/>
          <w:i w:val="false"/>
          <w:i w:val="false"/>
          <w:iCs w:val="false"/>
          <w:color w:val="333333"/>
          <w:sz w:val="20"/>
          <w:sz w:val="20"/>
          <w:szCs w:val="20"/>
          <w:rtl w:val="true"/>
        </w:rPr>
        <w:t xml:space="preserve">، شرح تبصرة المتعلِّمین للمحقّق العراقی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کتاب المکاسب ضمن تراث الشیخ الأعظم </w:t>
      </w:r>
      <w:r>
        <w:rPr>
          <w:rFonts w:eastAsia="IRNazanin" w:cs="IRNazanin"/>
          <w:b w:val="false"/>
          <w:bCs w:val="false"/>
          <w:i w:val="false"/>
          <w:iCs w:val="false"/>
          <w:color w:val="333333"/>
          <w:sz w:val="20"/>
          <w:szCs w:val="20"/>
        </w:rPr>
        <w:t>535:16</w:t>
      </w:r>
      <w:r>
        <w:rPr>
          <w:rFonts w:ascii="IRNazanin" w:hAnsi="IRNazanin" w:eastAsia="IRNazanin"/>
          <w:b w:val="false"/>
          <w:b w:val="false"/>
          <w:bCs w:val="false"/>
          <w:i w:val="false"/>
          <w:i w:val="false"/>
          <w:iCs w:val="false"/>
          <w:color w:val="333333"/>
          <w:sz w:val="20"/>
          <w:sz w:val="20"/>
          <w:szCs w:val="20"/>
          <w:rtl w:val="true"/>
        </w:rPr>
        <w:t xml:space="preserve">، المکاسب و البیع للنائینی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حاشیة الإیروانی علی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جامع المسائل للفقیه المحقّق الفاضل اللنکرانی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کتاب البیع للإمام الخمینی رحمه الله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إرشاد الطالب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الحجر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 و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مع بقاء الموصی لا معنی لجواز تصرّف الوصیّ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لدلالة الحدیث النبوی المنجبر بعمل الأصحاب،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ولیّ من لا 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403:18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الطبعة الحجریّة، کتاب الحجر الفصل الرابع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126:21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أحکام الأطفال </w:t>
      </w:r>
      <w:r>
        <w:rPr>
          <w:rFonts w:eastAsia="IRNazanin" w:cs="IRNazanin"/>
          <w:b w:val="false"/>
          <w:bCs w:val="false"/>
          <w:i w:val="false"/>
          <w:iCs w:val="false"/>
          <w:color w:val="333333"/>
          <w:sz w:val="20"/>
          <w:szCs w:val="20"/>
        </w:rPr>
        <w:t>537/1</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535:16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ما ذهب إلیه الاصفهانی قدس سره؛ من أنّ للأب جواز الانتفاع بمال ولده من غیر سرف، و فیما اضطرّ إلیه، و لا یستفاد من هذه الروایات ولایة التصرّف و السلطنة علی جمیع التصرّفات، کما أنّه لا فرق بین الأخذ من مال الولد الصغیر أو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یستفاد منها عدم ضمان الأب فیما استفاد من ماله، 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منها الحکم التکلیفی و الوضعی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537:16</w:t>
      </w:r>
      <w:r>
        <w:rPr>
          <w:rFonts w:ascii="IRNazanin" w:hAnsi="IRNazanin" w:eastAsia="IRNazanin"/>
          <w:b w:val="false"/>
          <w:b w:val="false"/>
          <w:bCs w:val="false"/>
          <w:i w:val="false"/>
          <w:i w:val="false"/>
          <w:iCs w:val="false"/>
          <w:color w:val="333333"/>
          <w:sz w:val="20"/>
          <w:sz w:val="20"/>
          <w:szCs w:val="20"/>
          <w:rtl w:val="true"/>
        </w:rPr>
        <w:t xml:space="preserve">، المکاسب و البیع للمحقّق النائینی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مخدوش جدّاً، لأنّ الملکیّة التنزیلیّة أثرها کون الأب بمنزلة المالک الحقیقی، و تصرّفه بمنزلة تصرّف المالک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لکونه مقرضاً و مقترضاً بالاعتبارین؛ فإنّ الاعتبار و إن کان سهل المئونة، إلاّ أنّه لا یصحّ اعتبار مناقض لاعتبار آخر،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الإیروانی علی مکاسب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لیس فی سندها من یتأمّل فیه إلاّ سهل بن زیاد، و الأمر فیه سهل؛ لأنّ المشهور علی وثاقته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الحرّ العاملی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ذکرنا بعض الطرق تیمّناً و تبرّکاً باتّصال السلسلة بأصحاب العصمة علیهم السلام، لا لتوقّف العمل علیه؛ لتواتر الکتب و قیام القرائن علی صحّتها و ثبوتها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طریق الشیخ الحرّ إلی الشیخ الطوسی صحیح و طریق الشیخ إلی کتاب علی بن جعفر أیضاً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تطبیق الإمام علیه السلام لا یدلّ علی کون القاعدة بنفسها کلیّة عامّاً، و إلاّ فاللاّزم أن یستفاد منها الاختصاص التامّ المالکی کما هو ثابت للابن، مع أنّه لم یذهب إلیه أحد، و علی هذا فالتطبیق یدلّ علی دلالتها فی هذا المورد، و بما أنّ القاعدة تعبّدیة فلا یمکن استفادة حکم کلّی عامّ بالنسبة إلی جمیع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الاستناد إلی الأولویّة، لکن مرجع هذا إلی الدلیل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ما ذهب إلیه المحقّق الإیروانی و من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للمحقّق الفقیه الأراکی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الاستبصار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هو الصواب، و لکن فی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رواها فی الاستبصار و الوسائل عن حسین بن سعید، عن حمّاد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التهذیب الحسین بن حمّاد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الإیروانی علی المکاسب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إرشاد الطالب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بعد کون مورد بعض الأخبار هو الولد البالغ فلا وجه لدعوی 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مغنی المحتاج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الدارمی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البیهقی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فی المصنّف </w:t>
      </w:r>
      <w:r>
        <w:rPr>
          <w:rFonts w:eastAsia="IRNazanin" w:cs="IRNazanin"/>
          <w:b w:val="false"/>
          <w:bCs w:val="false"/>
          <w:i w:val="false"/>
          <w:iCs w:val="false"/>
          <w:color w:val="333333"/>
          <w:sz w:val="20"/>
          <w:szCs w:val="20"/>
        </w:rPr>
        <w:t>140:11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20143</w:t>
      </w:r>
      <w:r>
        <w:rPr>
          <w:rFonts w:ascii="IRNazanin" w:hAnsi="IRNazanin" w:eastAsia="IRNazanin"/>
          <w:b w:val="false"/>
          <w:b w:val="false"/>
          <w:bCs w:val="false"/>
          <w:i w:val="false"/>
          <w:i w:val="false"/>
          <w:iCs w:val="false"/>
          <w:color w:val="333333"/>
          <w:sz w:val="20"/>
          <w:sz w:val="20"/>
          <w:szCs w:val="20"/>
          <w:rtl w:val="true"/>
        </w:rPr>
        <w:t xml:space="preserve">، و ابن ماجة فی سننه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 و البیهقی </w:t>
      </w:r>
      <w:r>
        <w:rPr>
          <w:rFonts w:eastAsia="IRNazanin" w:cs="IRNazanin"/>
          <w:b w:val="false"/>
          <w:bCs w:val="false"/>
          <w:i w:val="false"/>
          <w:iCs w:val="false"/>
          <w:color w:val="333333"/>
          <w:sz w:val="20"/>
          <w:szCs w:val="20"/>
        </w:rPr>
        <w:t>276:15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21462</w:t>
      </w:r>
      <w:r>
        <w:rPr>
          <w:rFonts w:ascii="IRNazanin" w:hAnsi="IRNazanin" w:eastAsia="IRNazanin"/>
          <w:b w:val="false"/>
          <w:b w:val="false"/>
          <w:bCs w:val="false"/>
          <w:i w:val="false"/>
          <w:i w:val="false"/>
          <w:iCs w:val="false"/>
          <w:color w:val="333333"/>
          <w:sz w:val="20"/>
          <w:sz w:val="20"/>
          <w:szCs w:val="20"/>
          <w:rtl w:val="true"/>
        </w:rPr>
        <w:t xml:space="preserve">، و الحاکم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17573</w:t>
      </w:r>
      <w:r>
        <w:rPr>
          <w:rFonts w:ascii="IRNazanin" w:hAnsi="IRNazanin" w:eastAsia="IRNazanin"/>
          <w:b w:val="false"/>
          <w:b w:val="false"/>
          <w:bCs w:val="false"/>
          <w:i w:val="false"/>
          <w:i w:val="false"/>
          <w:iCs w:val="false"/>
          <w:color w:val="333333"/>
          <w:sz w:val="20"/>
          <w:sz w:val="20"/>
          <w:szCs w:val="20"/>
          <w:rtl w:val="true"/>
        </w:rPr>
        <w:t>، من حدیث یعلی العامری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للبهوتی الحنبلی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لابن شاس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لأبی الضیاع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المناهل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 مصباح الفقاهة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ضمن تراث الشیخ الأعظم </w:t>
      </w:r>
      <w:r>
        <w:rPr>
          <w:rFonts w:eastAsia="IRNazanin" w:cs="IRNazanin"/>
          <w:b w:val="false"/>
          <w:bCs w:val="false"/>
          <w:i w:val="false"/>
          <w:iCs w:val="false"/>
          <w:color w:val="333333"/>
          <w:sz w:val="20"/>
          <w:szCs w:val="20"/>
        </w:rPr>
        <w:t>542:16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الإیروانی علی مکاسب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الکلیّة لهذه القاعدة و التتبّع یثبته، کما أنّ وجود الأب فی المقام لا یمنع الجدّ الأدنی؛ بمعنی أنّ ولایة الجدّ الأدنی لیست فی رتبة مؤخّرة عن ولایة الأب، بل یشترکان؛ بمعنی نفوذ تصرّف أحدهما مع فقد تصرّف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لکن لم نعثر علیه فی جامع المقاصد و 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ج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یکون للجدّ الأعلی مع وجود الأدنی ولایة؟ فیه نظر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التذکرة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الحجر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الطبعة الحجریّة، جامع المقاصد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408:18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أدری ولیت شعری کیف یکون الحکم مبنیّاً علی الشفقة؛ فإنّا إذا قلنا بأنّ ثبوت الولایة للأب إنّما هو بجعل إلهیّ، فهی محدودة بما حدّده الشارع المقدّس، و الترتیب تابع له أیضاً، و إذا قلنا بأنّها لیست تأسیساً شرعیاً، بل سیرة العقلاء تدلّ علی ذلک، فهی مجملة من هذه الجهة جدّاً،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للتعرّض للشفقة أصلاً، ثمّ لو أغمضنا النظر عن ذلک، فکیف یمکن أن یقال إنّ شفقة الوصیّ فوق شفقة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ردّ المحتار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خفیّ أنّ الأدلّة الدالّة علی ثبوت الولایة للأب مطلقة و غیر مشروطة بالعدالة، سیّما ما ورد فی تزویج الأب أو الجدّ، و أیضاً ظاهر القاعدة الکلّیة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 مالک لأبیک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آبیة عن تقییدها بالعدالة، فبناء علی ذلک یحتاج التقیید إلی دلیل آخر یکون بیاناً عرفاً للأدلّة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للشیخ الأراکی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الظاهر هو الرکون فیما یرتبط بظلمه، و إلاّ فالرکون إلیه مثلاً لدفع ظالم أقوی لا إشکال فیه،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536:16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بین قبول الخبر و ثبوت الولایة، فیمکن ثبوت الولایة مع عدم قبول إخباراته و إقراراته،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شرطیّة العدالة بالنسبة إلی نفوذ تصرّف الولیّ مع قطع النظر عن إخباره أو إقراره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الاصفهانی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من ملک شیئاً ملک الإقرار به لیس معارضاً للآیة بنحو العموم من وجه، بل تخصیص أو تقیید للآیة الشریفة؛ بمعنی عدم وجوب التبیین فی هذا المورد،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ثبوت الإطلاق؛ فإنّ کلمة النبأ مطلقة جدّاً، و التعلیل بحسب المورد لا یکون مقیّداً، و إلاّ فاللاّزم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التبیین واجب فی مورد یکون عدمه موجباً للندامة، و لم یقل به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قدس سره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الإطلاق فی الأدلّة الدالّة علی ثبوت الولایة لا مجال لأخذ المتیقّن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للایروانی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102:26</w:t>
      </w:r>
      <w:r>
        <w:rPr>
          <w:rFonts w:ascii="IRNazanin" w:hAnsi="IRNazanin" w:eastAsia="IRNazanin"/>
          <w:b w:val="false"/>
          <w:b w:val="false"/>
          <w:bCs w:val="false"/>
          <w:i w:val="false"/>
          <w:i w:val="false"/>
          <w:iCs w:val="false"/>
          <w:color w:val="333333"/>
          <w:sz w:val="20"/>
          <w:sz w:val="20"/>
          <w:szCs w:val="20"/>
          <w:rtl w:val="true"/>
        </w:rPr>
        <w:t xml:space="preserve">، کتاب المکاسب، ضمن تراث الشیخ الأعظم </w:t>
      </w:r>
      <w:r>
        <w:rPr>
          <w:rFonts w:eastAsia="IRNazanin" w:cs="IRNazanin"/>
          <w:b w:val="false"/>
          <w:bCs w:val="false"/>
          <w:i w:val="false"/>
          <w:iCs w:val="false"/>
          <w:color w:val="333333"/>
          <w:sz w:val="20"/>
          <w:szCs w:val="20"/>
        </w:rPr>
        <w:t>535:16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للإمام الخمینی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إرشاد الطالب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حاشیة الایروانی علی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المکاسب و البیع للنائینی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کتاب البیع للأراکی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535:16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المکاسب للمحقّق الاصفهانی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297:13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الروایة تدلّ علی أنّه مع تصرّف الأب لیس لها أمر، و لا تدلّ علی أنّ امورها کلّها مسلوبة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للشیخ الأراکی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من نصّ القرآن آیة النبأ، و هذا بقرینة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275:11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کلام المحقّق الثانی فی جامع المقاصد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عنهما وسائل الشیعة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العبد،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297:28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لکاشف الغطاء المخطوط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کما حکی عنه فی هامش المکاسب، ضمن تراث الشیخ الأعظم </w:t>
      </w:r>
      <w:r>
        <w:rPr>
          <w:rFonts w:eastAsia="IRNazanin" w:cs="IRNazanin"/>
          <w:b w:val="false"/>
          <w:bCs w:val="false"/>
          <w:i w:val="false"/>
          <w:iCs w:val="false"/>
          <w:color w:val="333333"/>
          <w:sz w:val="20"/>
          <w:szCs w:val="20"/>
        </w:rPr>
        <w:t>540:16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540:16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للنائینی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الأحکام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لا رکاکة فی ذلک و إن أصرّ علیه النائینی قدس سره فی الفقه و الاُصول؛ و الوجه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یکون الاستناد إلی وجود المانع أقرب و أوفق إلی فهم المخاطب مع عدم وجود المقتضی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فیها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الاصفهانی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ضعف فی هذا الاحتمال، سیّما مع ما ورد من أنّ الولد و ماله لأبیه، فاحتمل أن یکون لحاظ حال الولیّ لا ینافی لحاظ حال المولّی علیه أیضاً، 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الولایة لیس مختصّاً لحال المولّی علیه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کتاب الحجر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الطالب إلی أسرار المکاسب، مع تصرّف 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الإیروانی علی مکاسب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القرینة علی ذلک عدم وجود ضابطة خاصّة للتفضیل، فکلّ شیء یُعدّ أحسن یتصوّر شیء أحسن منه، إلاّ أن یقال بأنّ ذلک عرفی موکول إلی تشخیص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التشکیک فی صدق الیتیم مع حیاة الجدّ موجب لعدم کون الخطاب عامّاً لجمیع الأفراد و لا أقلّ الشکّ فی عمومیّة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توضیح</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ورد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لمؤمنٍ مال أخیه إلاّ عن طیب نفسٍ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لأحدٍ أن یتصرّف فی مال غیره بغیر إذنه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لزوم کون التصرّف بالتی هی أحسن، لا یوجب تضییق الخطاب؛ فإنّ الخطاب بعدم جواز التقرّب عامّ یشمل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بما أنّ الموضوع هو الیتیم فالخطاب لا یشمل من لا یکون یتیماً، کمن کان له أب أو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للشیخ الفقیه الأراکی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إلی توجّه الضرر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إلی عدم المصلحة، فقد مرّ احتمال لحاظ الولیّ دون المولّی علیه فقط، فلا یستفاد من أصل جعل الولایة اشتراط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هذا من مصباح الفقاهة للسیّد الخوئی رحمه الله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542:16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لابن العربی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الطالب إلی أسرار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إمکان الفرق بین الأب و الجدّ من طرف، و بین سائر الأولیاء من طرف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الطالب إلی أسرار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المقام بالمعصیة مع الفارق جدّاً، و الظاهر فی الشرائط کلّها کونها شرطاً واقعیّاً فقط، و الزائد یحتاج إلی دلیل خاصّ، و المستفاد من ظواهر الأدلّة أیضاً ذلک،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الشرط علمیّاً یشبه جدّاً بعدم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تخریجه قریباً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للخطیب الشربینی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12099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شرح تبصرة المتعلّمین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و التعلیقات علیها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446:12</w:t>
      </w:r>
      <w:r>
        <w:rPr>
          <w:rFonts w:ascii="IRNazanin" w:hAnsi="IRNazanin" w:eastAsia="IRNazanin"/>
          <w:b w:val="false"/>
          <w:b w:val="false"/>
          <w:bCs w:val="false"/>
          <w:i w:val="false"/>
          <w:i w:val="false"/>
          <w:iCs w:val="false"/>
          <w:color w:val="333333"/>
          <w:sz w:val="20"/>
          <w:sz w:val="20"/>
          <w:szCs w:val="20"/>
          <w:rtl w:val="true"/>
        </w:rPr>
        <w:t xml:space="preserve">، مبانی العروة الوثقی، کتاب المضاربة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126:21</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403:18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126:21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للسیّد الخوئی، کتاب المضاربة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الکافی و التهذیب و الفقیه و الوسائل، و لکن فی الوسائل </w:t>
      </w:r>
      <w:r>
        <w:rPr>
          <w:rFonts w:eastAsia="IRNazanin" w:cs="IRNazanin"/>
          <w:b w:val="false"/>
          <w:bCs w:val="false"/>
          <w:i w:val="false"/>
          <w:iCs w:val="false"/>
          <w:color w:val="333333"/>
          <w:sz w:val="20"/>
          <w:szCs w:val="20"/>
        </w:rPr>
        <w:t>427:19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الصواب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السیّد الخرسان، و لکن فی الفقیه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أکبر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المیثمی، و کذا فی روضة المتّقین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العاصمی، فقد روی عن علی بن الحسن، و علی بن الحسن فضّال، و علی بن الحسن التیملی، و علی بن الحسن التیمی، و علی بن الحسن السلمی، و علی بن الحسن المیثمی، و جمیع هذه العناوین منطبقة علی شخص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کتاب المضاربة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یستفاد من هذه الروایة و هکذا الآتیة أنّ الوصیّ له الولایة علی مال الأطفال؛ سواء أوصی بذلک الموصی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سواء جعله وصیّاً علیهم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40485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لأبی الضیاء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لابن رشد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لابن إدریس القرافی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لعبد اللّه بن الخرشی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فقه أهل المدینة للمالکی،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آخر المبحث الثالث</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قریب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403:18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السادس من هذا الباب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الوکالة،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جامع الشتات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الحدائق الناظرة </w:t>
      </w:r>
      <w:r>
        <w:rPr>
          <w:rFonts w:eastAsia="IRNazanin" w:cs="IRNazanin"/>
          <w:b w:val="false"/>
          <w:bCs w:val="false"/>
          <w:i w:val="false"/>
          <w:iCs w:val="false"/>
          <w:color w:val="333333"/>
          <w:sz w:val="20"/>
          <w:szCs w:val="20"/>
        </w:rPr>
        <w:t>322:18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الأحکام الواضحة للشیخ الفقیه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397:21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الآیة الشریفة لا تدلّ علی من له الولایة علی التصرّف،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تعیّن الأولیاء، بل تدلّ علی أنّ من له الولایة الثابتة بدلیل آخر لا یجوز له التصرّف إلاّ بالّتی هی أحسن، أو تدلّ علی أنّ جمیع المکلّفین إذا أرادوا التصرّف و لو من جهة اشتراء مال الیتیم لا یجوز إلاّ بالأحسن، فالمشتری لمال الیتیم مخاطب أیضاً مع أنّه لیس ولیّاً، و بناءً علی ذلک لا تدلّ الآیة الشریفة علی أنّ الفقیه له التصرّف فی مال الیتیم 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تدلّ علی الحکم التکلیفی فقط کما ذهب إلیه السیّد الخوئی، بل تدلّ علی عدم جواز التصرّف تکلیفاً و وضعاً إلاّ بالّتی هی أحسن، فالآیة لا تدلّ علی الولایة، بل تدلّ علی التصرّفات بالنحو الّذی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المعنی ممنوع جدّاً؛ فإنّ الآیة بلحاظ الاستثناء تدلّ علی أنّ الیتیم إذا بلغ أشدّه فیجوز دفع ماله إلیه حتّی یتصرّف فیه بأیّ نحو شاء و أراد، 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القرب و عدم جوازه مختصّ بزمان عدم البلوغ، و إلاّ فبعده لا معنی للقرب أصلاً، و هذا یستفاد من الکشّاف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الایروانی علی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و کذا الوجه السابق لا تدلّ علی ثبوت الولایة، بل غایتهما الثبوت من باب الحسبة لا الولایة، و الفرق بینهما واضح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 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565:16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فصیّر عبد الحمید القیّم بماله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الاُصول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الاصفهانی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565:16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للنائینی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التمسّک فی المفهوم فی ما نحن فیه إنّما هو بالنسبة إلی أصل المراد، و لیس التمسّک بأصالة الإطلاق لإثبات کیفیّة المراد، فالمفهوم بالإطلاق یدلّ علی نفی ولایة غیر الفقیه حتّی عدول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استیحاش فی ذلک بعد إمکان تقییده بالأدلّة 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عندی فی عدم إرادة المماثلة فی جمیع الجهات؛ فإنّه مضافاً إلی ندرتها غایة الندرة أنّ العرف لا یفهم من العبارة ذلک المعنی؛ فإنّ التعبیر بالمثل عند العرف هو من کان شبیهاً أو قریباً إلیه فی رعایة المصلحة و حفظ الأمانة، و عدم تضییع حقوق الأیتام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یبعّده التعبیر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الخلافة فی نقل الروایة و الحدیث کانت من زمن النبی صلی الله علیه و آله لا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اللاّزم تفسیر کلمة الخلفاء مع قطع النظر عن ذیل الروایة بمعنی أنّه لو صدر من لسان الرسول صلی الله علیه و آله هذه العبارة فقط، لکان معناه الخلافة فی جمیع الاُمور و من یقوم مقامه فی کل الشئون إلاّ ما استثنی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للاصفهانی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للعراقی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الخلیفة فی جهة من الجهات لا یُعدّ عند العرف خلیفة؛ فإنّ الخلافة متقوّم لأکثر من جهة واحدة لو لم نقل بوجود غالب الجهات،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للایروانی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حقّهم أنّهم الراسخون فی العلم و عالمون بتأویله، اصول الکافی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خزنة علم اللّه و عیبة وحی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هم شجرة النبوّة و بیت الرحمة و معدن العلم و مختلف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للایروانی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للاصفهانی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هامش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99:18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553:16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ضمن تراث الشیخ الأعظم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ضمن تراث الشیخ الأعظم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شرح تبصرة المتعلِّمین کتاب القضاء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التنقیح فی شرح العروة، کتاب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حاشیة المکاسب للایروانی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معنی الحسبة و الدلیل علیها فی ولایة الحاکم علی تزویج الصغار ج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جعلناها من الاُمور الحسبیة یمکن أن یقال بأنّ الفقیه أولی بالتصرف من غیره، و الظاهر عدم وجود دلیل علی التعیّن فی هذا الفرض،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الفقه علی المذاهب الأربعة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تبیین الحقائق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 مواهب الجلیل و التاج و الإکلیل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الشرح الکبیر، المطبوع فی حاشیة الدسوقی للدردیر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الصغیر، المطبوع مع بلغة السالک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لابن قدامة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کتاب المکاسب، ضمن تراث الشیخ الأعظم </w:t>
      </w:r>
      <w:r>
        <w:rPr>
          <w:rFonts w:eastAsia="IRNazanin" w:cs="IRNazanin"/>
          <w:b w:val="false"/>
          <w:bCs w:val="false"/>
          <w:i w:val="false"/>
          <w:iCs w:val="false"/>
          <w:color w:val="333333"/>
          <w:sz w:val="20"/>
          <w:szCs w:val="20"/>
        </w:rPr>
        <w:t>573:16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مصباح الفقاهة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تفسیر آیات الأحکام لمحمّد علی السائس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577:16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المکاسب للاصفهانی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577:16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مع تصرّف</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المکاسب للاصفهانی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للأراکی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خلاف ما یستفاد من إطلاق بعض الروایات السابقة، کحسنة عبد اللّه بن یحیی الکاهلی،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الاصفهانی علی المکاسب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حاشیة المکاسب للایروانی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القواعد لکاشف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المصلحة للمولّی علیه،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ظاهرهم الإجماع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هامش کتاب المکاسب، ضمن تراث الشیخ الأعظم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للاصفهانی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574:16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للأراکی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نضد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المکاسب للاصفهانی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الفرض لعلّه خارج عن محلّ الکلام؛ فإنّه فی فرض التصرّف قد وقع النزاع فی الاشتراط،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الاصفهانی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الاصفهانی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و تصرّف</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579:16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للأراکی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580:16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577:16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334:22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577:16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ردّ المحتار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الشرح الکبیر لابن قدامة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370:13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للشیخ ضیاء الدین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الشهادات، ضمن تراث الشیخ الأعظم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الاجتهاد و التقلید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کتاب القضاء للسیّد الگلبایگانی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شروط سماع الدعوی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للمحقّق الآشتیانی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331:13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و الشهادات، ضمن تراث الشیخ الأعظم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جاء فیه و ما أمر اللّه أن یکفر به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الشهادات، ضمن تراث الشیخ الأعظم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 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للقاضی أبی یعلی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للماوردی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کشف القناع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الشرح الصغیر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الطالبین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أحکام المرأة و البیت المسلم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البحر الرائق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561:16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427:28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و إن کان صحیحاً بحسب الکبری الکلیّة، إلاّ أنّ انطباقها علی المقام غیر معلوم، فبملاحظة الأدلّة السابقة و أیضاً الحکمة الموجودة فی تولّی امور الأیتام، 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فرق بین المؤمن بحسب اصطلاحنا و غیر المؤمن، و علی هذا لا یصحّ أن یقال إنّ غیر المؤمن فاسق قطعاً، و إلاّ فلا معنی لقیام الفسّاق من المؤمنین مقام العدول،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593:22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429:28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الاصفهانی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324:18</w:t>
      </w:r>
      <w:r>
        <w:rPr>
          <w:rFonts w:ascii="IRNazanin" w:hAnsi="IRNazanin" w:eastAsia="IRNazanin"/>
          <w:b w:val="false"/>
          <w:b w:val="false"/>
          <w:bCs w:val="false"/>
          <w:i w:val="false"/>
          <w:i w:val="false"/>
          <w:iCs w:val="false"/>
          <w:color w:val="333333"/>
          <w:sz w:val="20"/>
          <w:sz w:val="20"/>
          <w:szCs w:val="20"/>
          <w:rtl w:val="true"/>
        </w:rPr>
        <w:t xml:space="preserve">، کتاب البیع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کلمة ولّی ظاهرة فی شخص معیّن، مع أنّ الولایة لعدول المؤمنین لیست منحصرة بفرد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567:16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لازم هذا الاحتمال، کون ولایة عدول المؤمنین مشروطة بإذن الإمام علیه السلام أو من یقوم مقامه مع أنّ ظاهر الفتاوی خلاف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592:22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266:11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427:28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ما ذهب إلیه السیّد الإمام الخمینی قدس سره؛ فإنّ التعبیر بالقیمومة و حتّی التعبیر بالولایة لا تدلّ إلاّ علی ثبوت الولایة و هو لا یلازم جواز نصب من یقوم مقامه أو عزله، بل هو تابع لدلیل الولایة، و فیما نحن فیه لا یستفاد من الأدلّة ذلک،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427:28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563:16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427:28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750:7</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فی فقه الإمام أحمد بن حنبل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المفصل فی أحکام المرأة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الاصفهانی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592:22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الاصفهانی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الاصفهانی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592:22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569:16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383:16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اقتبسنا ذلک من مصباح الفقاهة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الایروانی علی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403:18</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المکاسب، ضمن تراث الشیخ الأعظم </w:t>
      </w:r>
      <w:r>
        <w:rPr>
          <w:rFonts w:eastAsia="IRNazanin" w:cs="IRNazanin"/>
          <w:b w:val="false"/>
          <w:bCs w:val="false"/>
          <w:i w:val="false"/>
          <w:iCs w:val="false"/>
          <w:color w:val="333333"/>
          <w:sz w:val="20"/>
          <w:szCs w:val="20"/>
        </w:rPr>
        <w:t>535:16</w:t>
      </w:r>
      <w:r>
        <w:rPr>
          <w:rFonts w:ascii="IRNazanin" w:hAnsi="IRNazanin" w:eastAsia="IRNazanin"/>
          <w:b w:val="false"/>
          <w:b w:val="false"/>
          <w:bCs w:val="false"/>
          <w:i w:val="false"/>
          <w:i w:val="false"/>
          <w:iCs w:val="false"/>
          <w:color w:val="333333"/>
          <w:sz w:val="20"/>
          <w:sz w:val="20"/>
          <w:szCs w:val="20"/>
          <w:rtl w:val="true"/>
        </w:rPr>
        <w:t xml:space="preserve">، المکاسب و البیع للنائینی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الحاشیة علی المکاسب للاصفهانی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کتاب البیع للأراکی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البیع للإمام الخمینی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طفح الإناء طفوحاً، إذا امتلأ حتّی یفیض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ضمن تراث الشیخ الأعظم </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شرائط المتعاقدین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الواضحة للشیخ الفقیه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272:22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535:16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535:16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سند هذه الروایة إمّا صحیحة أو معتبرة؛ لأنّ أحمد بن محمّد هو أحمد بن محمّد العاصمی الکوفی و هو ثقة، و علیّ بن الحسن هو ابن فضّال بقرینة الراوی و المروی عنه، و الحسن بن علی هو ابن یوسف کما فی الفقیه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مثنّی بن الولید، فهو ثقة؛ لأنّه قال الکشّی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المثنی بن الولید و المثنّی بن عبد السلام کلّهم حنّاطون کوفیّون لا بأس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یروی عنه الأجلاّء کالبزنطی و ابن فضّال و عبد اللّه بن مسکان و 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 علیه السلام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اتّجر به فزکّه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زکاة علیه إلاّ أن یعمل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تلک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فإنّه قال علیه السلام فی جواب السائل الذی سأل بأنّه هل علی مال الیتیم 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إلاّ أن یتّجر به أو تعمل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فإنّ فیه قول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مال الیتیم زکاة إلاّ أن یتّجر به فإن اتّجر به، فالربح للیتیم، و إن وضع فعلی الذی یتّجر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الوسائل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لأنّه نفع محض له فیملک الولیّ</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فلیتّجر 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فلیتّجر فیه، سنن الدارقطنی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فلیتّجر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فلیتّجر له فیه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حجر فی تلخیص الحبیر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137:14</w:t>
      </w:r>
      <w:r>
        <w:rPr>
          <w:rFonts w:ascii="IRNazanin" w:hAnsi="IRNazanin" w:eastAsia="IRNazanin"/>
          <w:b w:val="false"/>
          <w:b w:val="false"/>
          <w:bCs w:val="false"/>
          <w:i w:val="false"/>
          <w:i w:val="false"/>
          <w:iCs w:val="false"/>
          <w:color w:val="333333"/>
          <w:sz w:val="20"/>
          <w:sz w:val="20"/>
          <w:szCs w:val="20"/>
          <w:rtl w:val="true"/>
        </w:rPr>
        <w:t xml:space="preserve">، و کذا فی هامش العزیز شرح المهذّب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مع حاشیة الدسوقی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بلغة السالک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حاشیة البنانی علی شرح الزرقانی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تبیین المسالک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التاج و الإکلیل </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التعلیل انحصار الجواز بالأب و الجدّ، مع أنّ الملاک فی جواز البیع أو الشراء بالنسبة إلی الوصی هو انتفاء التهمة، و هذا الملاک عامّ حتّی بالنسبة إلی غیر الأب و الجدّ من الحاکم أو أمینه أو عدول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یدلّ علیه إطلاق ما دلّ علی نفوذ التصرّف للمؤمن العادل،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الحکم فیه تکلیفیّ و لیس من قبیل الولایة حتّی یتمسّک بعمومه، و کیف کان، الظاهر من المحقّق و الجواهر أنّ جواز وقوعه لأحد طرفی العقد منحصر بالأب و الجدّ، مع أنّ العلاّمة قد صرّح للوصیّ أیضاً؛ فإذا قلنا للمؤمن العدل ولایة، فیجوز له أن یبیع مال الصبیّ عن نفسه بما یکون مصلحة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الإمام الشافعی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طلب المتاع بأکثر من ثمنه و لا تقتضی المصلحة إبقاءه،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الاستنماء ابتداءً لا دلیل علی وجوبه، و أمّا فی فرض الطلب هکذا فمن مصادیق لزوم رعایة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خَزَنَ الشیء خَزْناً جَعَلهُ فی خزانةٍ، لسان العرب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أصاب منه شیئاً فنقصَهُ،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یحصل من ریع الأرض أو اجرتها و نحو ذلک،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 الریع الزیادة و النماء،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الریع فضل کلّ شیء علی أصله، المصباح المنیر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یجب فیه الزکاة من أموال الطفل فعلی الوصیّ أن یخرج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مثل سلام کلّ ملکٍ ثابتٍ له أصل، کالدار و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اطلق علی المتاع، و الجمع عقارات و العقار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المضروب من الطین یبنی به دون أن یطبخ، المعجم الوسیط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الطبعة الحجریّة، المبسوط للطوسی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تکن فی النسخة المطبوعة، و الأصحّ ما أثبتناه کما فی مفتاح الکرامة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433:27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الحجر،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433:27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اللّهُ بِکُمُ الْیُسْرَ وَ لا یُرِیدُ بِکُمُ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جَعَلَ عَلَیْکُمْ فِی الدِّینِ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النافع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الطبعة الحجریّة، جامع المقاصد </w:t>
      </w:r>
      <w:r>
        <w:rPr>
          <w:rFonts w:eastAsia="IRNazanin" w:cs="IRNazanin"/>
          <w:b w:val="false"/>
          <w:bCs w:val="false"/>
          <w:i w:val="false"/>
          <w:iCs w:val="false"/>
          <w:color w:val="333333"/>
          <w:sz w:val="20"/>
          <w:szCs w:val="20"/>
        </w:rPr>
        <w:t>289:11</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226:22</w:t>
      </w:r>
      <w:r>
        <w:rPr>
          <w:rFonts w:ascii="IRNazanin" w:hAnsi="IRNazanin" w:eastAsia="IRNazanin"/>
          <w:b w:val="false"/>
          <w:b w:val="false"/>
          <w:bCs w:val="false"/>
          <w:i w:val="false"/>
          <w:i w:val="false"/>
          <w:iCs w:val="false"/>
          <w:color w:val="333333"/>
          <w:sz w:val="20"/>
          <w:sz w:val="20"/>
          <w:szCs w:val="20"/>
          <w:rtl w:val="true"/>
        </w:rPr>
        <w:t>، و الأصل فی جمیع هذه الصور قاعدة کلّ مدّع یسمع قوله فعلیه الیمین، و المراد من سماع قوله عدم تکلیفه بالبیِّنة أو بحجّةٍ أُخری فی الحکم له، و یسمع قول الوصیّ فی هذه المواضع مع یمینه، و هذه القاعدة من قواعد باب القضاء؛ بمعنی أنّ الحاکم فی مقام الحکم إذا سمع قول مدّع و لا یطلب منه البیّنة فلا یحکم له إلاّ بعد الیمین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منهاج الطالبین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مختصر اختلاف العلماء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تکملة البحر الرائق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المنابع المتقدّمة کلّها، و کذا منتهی الإرادات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و عقد الجواهر الثمینة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 من المصادر المتقدّمة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283:7</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مختصر اختلاف العلماء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اسم من الصُّلح بمعنی السِّلم، جاء فی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صالحه مصالحة، و صلاحاً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سالمه و صافاه،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صالحه علی الشیء، أی سلک معه مسلک المسالمة فی 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الاصطلاح، 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الصلح عقد سائغ شرّع لقطع التجاذب، إلاّ ما أحلّ حراماً، أو حرّم حلالاً، کالصلح علی استرقاق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فی الحدائق الناضرة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لا خلاف بین أصحابنا رضوان اللّه علیهم فی أنّه لا یشترط فی صحّة الصلح سبق 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جامع المقاصد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الجواهر </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الصلح عقد شرّع لقطع التجاذب و التنازع بین المتخاصمین، إلاّ أنّ ذلک فیه من الحکم التی لا یجب اطّرادها مثل المشقّة فی حکمة القصر و نقصان القیمة فی الردّ بالعیب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الحکم التی لا تقتضی تخصیصاً أو تقییداً؛ لعموم الدلیل أو إطلاقه المقتضی ثبوت الحکم فی غیر محلّها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فی بعض کتب أهل السنة أنّ الصلح معاقدة یرتفع بها النزاع بین الخصوم، و یتوصّل بها إلی الموافقة بین المختلفین، کما فی تبیین الحقائق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xml:space="preserve">، شرح منتهی الإرادات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انظر الموسوعة الفقهیّة الکویتیّة </w:t>
      </w:r>
      <w:r>
        <w:rPr>
          <w:rFonts w:eastAsia="IRNazanin" w:cs="IRNazanin"/>
          <w:b w:val="false"/>
          <w:bCs w:val="false"/>
          <w:i w:val="false"/>
          <w:iCs w:val="false"/>
          <w:color w:val="333333"/>
          <w:sz w:val="20"/>
          <w:szCs w:val="20"/>
        </w:rPr>
        <w:t>323:27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المبدع فی شرح المقنع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المنهجی علی مذهب الإمام الشافعی، المعاملات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ضاربه مضاربةً لفلان فی ماله، اتّجر له فیه أو اتّجر فیه علی أنّ له حصةً معیّنة من ربحه،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فی لسان العرب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المضاربة أن تعطی إنساناً من مالک ما یتّجر فیه علی أن یکون له سهم معلوم من الربح، و کأنّه من الضّرب فی الأرض لطلب الرّزق،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یَضْرِبُونَ فِی الْأَرْضِ یَبْتَغُونَ مِنْ فَضْلِ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فی الاصطلاح، قال فی التذکرة الطبع الحجریّة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شرعیّ لتجارة الإنسان بمال غیره بحصّةٍ من الربح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الشهید قدس سره فی المسالک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مفاعلة من الضرب فی الأرض؛ لأنّ العامل یضرب فیها للسعی علی التجارة و ابتغاء الربح بطلب صاحب المال، فکأنّ الضرب مسببٌ عنهما طرداً لباب المفاعلة فی طرفی الفاعل، أو من ضرب کلّ منهما فی الربح بسهم، أو لما فیه من الضرب بالمال و تقلیبه، و یقال للعامل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الّذی یضرب فی الأرض و یقلّبه، و لم یشتقّ أهل اللغة لربّ المال من المضاربة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لغة أهل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أهل الحجاز، فیسمّونه قراضاً إمّا من القرض؛ و هو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صاحب المال اقتطع من ماله قطعةً و سلّمها للعامل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المقارضة؛ و هی المساواة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المال هنا من جهة مالکه و العمل من جهة العامل، فقد تساویا فی قوام العقد بهما، أو لاشتراکهما فی الربح و تساویهما فی أصل استحقاقه و إن اختلفا</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الخبر ما رواه بکر بن حبیب،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دفع مال یتیم مضاربة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ربح فللیتیم، و إن کان وضیعةً فالّذی أعطی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446:12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العروة الوثقی، المضاربة و الشرکة و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الشیخ الفقیه الفاضل اللنکرانی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البضاعة طائفة من مالک تبعثها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و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بالکسر قطعة من المال تعدّ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عرّفها الفقهاء بأنّه بعث المال مع من یتّجر به تبرّعاً و الربح کلّه لربّ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منتهی الإرادات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قواعد الأحکام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446:12</w:t>
      </w:r>
      <w:r>
        <w:rPr>
          <w:rFonts w:ascii="IRNazanin" w:hAnsi="IRNazanin" w:eastAsia="IRNazanin"/>
          <w:b w:val="false"/>
          <w:b w:val="false"/>
          <w:bCs w:val="false"/>
          <w:i w:val="false"/>
          <w:i w:val="false"/>
          <w:iCs w:val="false"/>
          <w:color w:val="333333"/>
          <w:sz w:val="20"/>
          <w:sz w:val="20"/>
          <w:szCs w:val="20"/>
          <w:rtl w:val="true"/>
        </w:rPr>
        <w:t>، مبانی العروة الوثقی، کتاب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99:21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قاضی‌خان، المطبوع فی هامش الفتاوی الهندیّة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فی شرح المقنع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المحرّر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علی الشرح الصغیر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أنّ المشهور ذهبوا إلی جواز اقتراض الولیّ من مال الیتیم، فیمکن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الاقتراض جائزاً فالاتّجار لنفسه جائز قطعاً،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یستفاد الجواز ممّا ورد فی بعض النصوص الآتیة؛ من أنّه إذا کان عندک مال و ضمنته فلک الربح و أنت ضامن للمال، کما صرّح به فی خبر منصور الصیقل، فانتظر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ینتفض هذا الأصل بما ورد من أنّ الزرع للزارع و إن کان غاصباً، فإنّ الزرع من نماء الأرض مع أنّه لیس لمالک الأرض، و أیضاً ینتقض بالنماء المستوفاة علی القول بعدم ضمان الغاصب،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 اسم للشیء المرهون الذی یجمع علی رهان، کسهم و سهام، و معناه فی اللغة الثبوت و الدوام، رهن الرجل الدّابة أی أثبته و أدامه، و رهن فلان عند فلان الشیء حبسه عنده 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رهنته لسانی أی کففته و حبسته، فهو مرهون و رهین،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عرّفه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وثیقة دین المرتهن، أو عقد شرِّع لاستیثاق علی الدّین، تذکرة الفقهاء </w:t>
      </w:r>
      <w:r>
        <w:rPr>
          <w:rFonts w:eastAsia="IRNazanin" w:cs="IRNazanin"/>
          <w:b w:val="false"/>
          <w:bCs w:val="false"/>
          <w:i w:val="false"/>
          <w:iCs w:val="false"/>
          <w:color w:val="333333"/>
          <w:sz w:val="20"/>
          <w:szCs w:val="20"/>
        </w:rPr>
        <w:t>87:13</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الأحکام الواضحة للشیخ الفقیه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الجواهر </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کلام المحقّق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الرّهن وثیقة لدین المرتهن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لا یریدون بذلک أنّه حقیقة شرعیّة، بل المراد حقیقة عند المتشرّعة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المناقشات علی التعریف و الجواب عنها إلی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کلّ حال فلا ینبغی الالتفات إلی هذه المناقشات بعد أن کان الرهن باقیاً علی معناه اللغوی، و إنّما اعتبر الشارع فیه شرائط للصحیح منه، فهو حینئذ هنا حبس العین باللفظ المخصوص</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160:25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160:25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160:25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160:25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الطبعة الحجریّة، تحریر الأحکام الشرعیّة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160:25</w:t>
      </w:r>
      <w:r>
        <w:rPr>
          <w:rFonts w:ascii="IRNazanin" w:hAnsi="IRNazanin" w:eastAsia="IRNazanin"/>
          <w:b w:val="false"/>
          <w:b w:val="false"/>
          <w:bCs w:val="false"/>
          <w:i w:val="false"/>
          <w:i w:val="false"/>
          <w:iCs w:val="false"/>
          <w:color w:val="333333"/>
          <w:sz w:val="20"/>
          <w:sz w:val="20"/>
          <w:szCs w:val="20"/>
          <w:rtl w:val="true"/>
        </w:rPr>
        <w:t xml:space="preserve">، وسیلة النجاة للسیّد أبو الحسن الاصفهانی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477:4</w:t>
      </w:r>
      <w:r>
        <w:rPr>
          <w:rFonts w:ascii="IRNazanin" w:hAnsi="IRNazanin" w:eastAsia="IRNazanin"/>
          <w:b w:val="false"/>
          <w:b w:val="false"/>
          <w:bCs w:val="false"/>
          <w:i w:val="false"/>
          <w:i w:val="false"/>
          <w:iCs w:val="false"/>
          <w:color w:val="333333"/>
          <w:sz w:val="20"/>
          <w:sz w:val="20"/>
          <w:szCs w:val="20"/>
          <w:rtl w:val="true"/>
        </w:rPr>
        <w:t>، 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 وزان الحَصَی، و قد 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103:21</w:t>
      </w:r>
      <w:r>
        <w:rPr>
          <w:rFonts w:ascii="IRNazanin" w:hAnsi="IRNazanin" w:eastAsia="IRNazanin"/>
          <w:b w:val="false"/>
          <w:b w:val="false"/>
          <w:bCs w:val="false"/>
          <w:i w:val="false"/>
          <w:i w:val="false"/>
          <w:iCs w:val="false"/>
          <w:color w:val="333333"/>
          <w:sz w:val="20"/>
          <w:sz w:val="20"/>
          <w:szCs w:val="20"/>
          <w:rtl w:val="true"/>
        </w:rPr>
        <w:t>، 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کشف القناع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المحرّر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251:13</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المهذّب فی فقه الشافعی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نقلاً عن الکافی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326:18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کانَ فَقِیراً فَلْیَأْکُلْ بِالْمَعْرُوفِ</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إلی شرح المنهاج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أودعت زیداً مالاً دفعته إلیه لیکون عنده ودیعة، و الودیعة فعلیة بمعنی مفعولة، ما استودع، و جمعها ودائع،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عرّفها الفقهاء بأنّها استنابة فی الحفظ،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کشف الرموز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398:21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الإیداع فیما إذا أراد السفر و لم یصحبه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استصحاب الولیّ مال الصبیّ فی السفر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أعار الشیء إعارةً، أعطاه إیّاه عاریةً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العاریة بالتشدید و قد یخفّف فی الشعر،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اسم من الإعارة، سمّیت عاریةً لأنّها عار علی صاحبها، أو مأخوذة من عار الفرس إذا ذهب من صاحبه لخروجها من ید صاحبها، مجمع البحرین </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عرّفها الفقهاء بأنّها عقد ثمرته التبرّع بالمنفعة، أو هی عقد شُرّع لإباحة الانتفاع بعین من الأعیان علی وجه التبرّع، شرائع الإسلام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مسالک الأفهام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476:21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161:27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العاریة علی رضا المالک؛ و هو الولیّ هنا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جواهر الکلام </w:t>
      </w:r>
      <w:r>
        <w:rPr>
          <w:rFonts w:eastAsia="IRNazanin" w:cs="IRNazanin"/>
          <w:b w:val="false"/>
          <w:bCs w:val="false"/>
          <w:i w:val="false"/>
          <w:iCs w:val="false"/>
          <w:color w:val="333333"/>
          <w:sz w:val="20"/>
          <w:szCs w:val="20"/>
        </w:rPr>
        <w:t>161:27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مهذّب الإمام الشافعی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تشخیص المصلحة مقیّدة بحال الصغر، و إنّما هو بید 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المصلحة بالنسبة إلی بعد البلوغ فلیس فی دائرة ولایته و تشخیصه؛ فإنّا إذا التزمنا بعدم ذلک فیستلزم ثبوت ولایته إلی آخر عمر الصّبی، و هو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للمحقّق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للمحقّق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للشیخ مرتضی الآشتیانی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مع تصرّف یسیر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للشیخ مرتضی الآشتیانی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المقصود من هذه الصورة عدم العلم بالبلوغ و الرشد فی تلک المدّة حتّی بعد تمامیّة المدّة؛ بمعنی أنّه بعد انقضاء المدّة لا نعلم بلوغه أو رشده، و إلاّ إذا انکشف بعد الإجارة أنّ مقداراً من المدّة واقع فی زمن البلوغ فیرجع إلی الصورة الثانیة،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333:27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للشهید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العروة مع تعلیقات عدّة من الفقهاء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للرشتی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للآشتیانی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العلم بتحقّق الإجازة من الصبیّ بعد البلوغ لا یوجب غرراً منهیّاً عنه، و إلاّ یلزم أن تکون جمیع المعاملات الفضولیّة غرریّاً، و هو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بالاستصحاب نحرز عدم البلوغ، و الإحراز و لو کان تعبّدیّاً یکفی فی صحّة الولایة و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الإجارة،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333:27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مع التعلیقات لعدّة من الفقهاء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العظام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کتاب الإجارة للمحقّق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للرشتی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العظام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تعلیقة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67:10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334:27</w:t>
      </w:r>
      <w:r>
        <w:rPr>
          <w:rFonts w:ascii="IRNazanin" w:hAnsi="IRNazanin" w:eastAsia="IRNazanin"/>
          <w:b w:val="false"/>
          <w:b w:val="false"/>
          <w:bCs w:val="false"/>
          <w:i w:val="false"/>
          <w:i w:val="false"/>
          <w:iCs w:val="false"/>
          <w:color w:val="333333"/>
          <w:sz w:val="20"/>
          <w:sz w:val="20"/>
          <w:szCs w:val="20"/>
          <w:rtl w:val="true"/>
        </w:rPr>
        <w:t>، کتاب الإجارة للمحقّق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334:27</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الطبعة الحجریّة، مفتاح الکرامة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العظام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 کتاب الإجارة 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البیان یجری فی إجارة نفس الصبیّ حرفاً بحرف، و لم یظهر لی وجه الفرق بینها و بین إجارة أمواله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مضافاً إلی أنّه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 ان کان الأصل عدم الولایة، إلاّ أنّها ثابتة عند العقلاء؛ بمعنی أنّ ثبوت أصل الولایة أمر عقلائی و إن تصرّف الشارع فی الولیّ و خصّصها بالأب مثلاً أو الحاکم، و لکن أصلها أمر ثابت عند العقلاء بالنسبة إلی الصبیّ، و علی هذا یجب الرجوع إلی ما هو المرتکز عندهم؛ و هو عدم ثبوت الولایة بالنسبة إلی ما بعد البلوغ، و کون التصرّف لما بعده تصرّفاً فضولیّاً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بلزوم رعایة 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اقتضت المصلحة الإجارة إلی ما بعد البلوغ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ممّا لم یسمع؛ لإمکان تصرّف الصبیّ بعد البلوغ و إجازته فی فرض وجوبه المصلحة،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ف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333:27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إرشاد الأذهان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67:10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333:27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العظام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العظام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49:19</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334:27</w:t>
      </w:r>
      <w:r>
        <w:rPr>
          <w:rFonts w:ascii="IRNazanin" w:hAnsi="IRNazanin" w:eastAsia="IRNazanin"/>
          <w:b w:val="false"/>
          <w:b w:val="false"/>
          <w:bCs w:val="false"/>
          <w:i w:val="false"/>
          <w:i w:val="false"/>
          <w:iCs w:val="false"/>
          <w:color w:val="333333"/>
          <w:sz w:val="20"/>
          <w:sz w:val="20"/>
          <w:szCs w:val="20"/>
          <w:rtl w:val="true"/>
        </w:rPr>
        <w:t>، کتاب الإجارة للمحقّق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کتاب الإجارة للشیخ فیّاض الدّین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العظام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عندی فی المسائل کلّها أنّ الإجارة لا تبطل</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419:15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فقه الشافعیّ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التوضیح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خلیل الجندی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861:2</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xml:space="preserve">، التاج و الإکلیل </w:t>
      </w:r>
      <w:r>
        <w:rPr>
          <w:rFonts w:eastAsia="IRNazanin" w:cs="IRNazanin"/>
          <w:b w:val="false"/>
          <w:bCs w:val="false"/>
          <w:i w:val="false"/>
          <w:iCs w:val="false"/>
          <w:color w:val="333333"/>
          <w:sz w:val="20"/>
          <w:szCs w:val="20"/>
        </w:rPr>
        <w:t>565:7</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437:28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بالمتولّی لمال الیتیم من له علیه ولایة شرعیّة؛ سواء کان بالأصالة کالأب و الجدّ، أم لا کالوصیّ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المختلف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فالملتزم بظاهر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و هو الأنسب ظاهراً، کما أنّ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ما دارت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الأنسب ما أثبتناه فی المتن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إجمال فی الکفایة بعد کونها منوطة بالمعروف، و هو فی کلّ عمل أو مال بحسبه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المعروف بحسب المال و العمل، فلا یلاحظ فیه ما عداهما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الآیة تدلّ علی من کان غنیّاً قبل أخذ الاُجرة أو مقدار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مجال للاستدلال بها،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الروضة البهیّة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أکل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440:28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227:22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المعاملات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تفصیل الشریعة، کتاب الوقف و الصدقة و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مبانی منهاج الصالحین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439:28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مجال للاستدلال بهذا الدلیل؛ فإنّ مقتضاه استحقاق الاُجرة من دون أن یشترط بالفقر؛ بمعنی أنّ هذا الدلیل یدلّ علی الاستحقاق حتّی فی صورة الغناء، مع أنّه مخالف لصریح الآیة الشریفة،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الاستعفاف مستحبّ و لیس بواجب، و هذا بقرینة المقابلة؛ بمعنی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یدلّ علی الوجوب، مضافاً إلی أنّ الإعادة قرینة علی الاستحباب کما سیأتی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الأنسب أکلاً للنار فی بطونهم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لیس فی السند من لم یغمض عنه إلاّ علی بن السندی، و وثّقه الکشّی، حیث إنّه عنون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إسماعیل ثقة و هو علی بن سندی،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الفاضل الخراسانی فی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حکم من وجد علی جسده أو ثوبه المختصّ منیّاً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الشیخ عن أبی بصیر فی القوی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 یصیب بثوبه منیّاً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وسائل الشیعة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أنّه وقع فی سند هذا الحدیث علی بن السندی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المحقّق الفقیه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خصوص روایة هشام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أنّها صحیحة؛ لأنّه لیس فی السند من یتأمّل فیه إلاّ علی بن السندی، و الظاهر أنّه علی بن إسماعیل بن عیسی بن فرج السندی أو السرّی، کما حقّقه شیخنا رحمه الله فی تعلیقته الرجالیّة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تعلیقات للبهبهانی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ظاهر ما حکی عن الذخیرة من أنّه حسن کالصحیح، جامع الشتات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الرجال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إسماعیل، نصر بن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إسماعیل ثقة؛ و هو علی بن سندی، فلُقّب إسماعیل بالسندی، و فی الکشّی السّدی بدل السندی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الأسترابادی 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اتّحاد الکُلّ، رجال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شیئاً فنقصه،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لُطْتُ الحوض بالطین لوطاً، أی ملطتهُ به و طیّنْتُهُ، الصحاح للجوهری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لوط</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هنأت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طلیته بالقطران و القطران دواء للجرب، الصحاح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 یقال جرب البعیر جَرَباً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ناقة جرباء، مجمع البحرین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جرب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439:28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المستفاد من الروایات أنّ له اجرة مثل عمله؛ سواء کانت زائدة علی قدر الکفایة أم لا، و المقصود من المعروف فی الآیة بقرینة الروایات هو اجرة المثل،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هشام بن الحکم صریحة فی اجرة المثل، و بها یتصرّف فی بقیّة الروایات الواردة حتّی التعبیر بالقوت؛ فإنّه و إن کان ظاهراً فی مقدار کان موجباً لحفظ الولیّ و عدم تلفه، و لکن یؤوّل بأُجرة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أنّ المستفاد من مجموع الآیات و الروایات جواز أخذ الولیّ شیئاً ما، فیما إذا کان فقیراً، و هذا المقدار یکون أقلّ من اجرة المثل غالباً بل دائماً، و لا فرق فی الجواز بین قصد التبرّع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277:6</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302:11</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189:3</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تقاضاه الدین قبضه منه، لسان العرب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439:28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 عن الشیء أی منعها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ظلفت نفسی عن کذا أی کفّت، الصحاح </w:t>
      </w:r>
      <w:r>
        <w:rPr>
          <w:rFonts w:eastAsia="IRNazanin" w:cs="IRNazanin"/>
          <w:b w:val="false"/>
          <w:bCs w:val="false"/>
          <w:i w:val="false"/>
          <w:iCs w:val="false"/>
          <w:color w:val="333333"/>
          <w:sz w:val="20"/>
          <w:szCs w:val="20"/>
        </w:rPr>
        <w:t>1070:2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فی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یملک قوت سنته لا فعلاً و لا قوّةً، القاموس الفقهی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أو هو من لم یملک مئونة نفسه و عیاله الواجبی النفقة مقدار سنة کاملة، القواعد الفقهیّة للمحقّق البجنوردی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المستفاد من الموثقة قیدان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الاحتیاج، و عدم وجود شیء یقیمه، و لیس الثانی تفسیراً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استغراق الأوقات فی تدبیر شئونه لا یستفاد من الروایات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ورد التعبیر بأنّه قد شغل نفسه عن طلب المعیشة، و لکنه لا یدلّ علی ذلک؛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فلا یصیبنّ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440:28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کتاب الوصیة 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الاستدلال بهذه القاعدة تأمّل جدّاً؛ فإنّ التصرّف فی أموال الیتامی إنّما هو فی مقابل جعل الولایة و من آثار الولایة، و لیست معاوضةً فی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تحریر 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أسباب الضمان احترام عمل المسلم، فمن عمل عملاً لمصلحتک مع الإذن من حاکم الشرع أو مطلقاً، أو أمرته بأن یعمل لک عملاً فقام، فلیس معناه أنّه عمله مجّاناً، بل علیک اجرة المثل له؛ لأنّ عمل المسلم محترم إلاّ إذا قصد التبرّع، تحریر المجلّة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 فی هذه القاعدة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یحلّ لمؤمن مال أخیه إلاّ عن طیب نفس منه، وسائل الشیعة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اللفظ، و عوالی اللئالی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حرمة ماله کحرمة دمه، وسائل الشیعة </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المحقّق الاصفهانی فی حاشیة المکاسب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قاعدة الاحترام، فتارةً یستند فیها إلی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مال امرئ مسلم إلاّ عن طیب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بدعوی أنّه لا یحلّ بلا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یستند إلی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حرمة ماله کحرمة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السیّد الفقیه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أمر أحد لعامل بإتیان عمل ذی اجرةٍ فعمله بدون قصد المجّانیّة کان الآمر ضامناً للاُجرة، و ذلک لقاعدة الاحترام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معنی الاحترام عدم کون مال المسلم بمثابة المباحات الأصلیّة بحیث لا حرمة لها، و یسوغ لأیّ أحد أن یستولی علیها و یستوفیها عن قهر و جبر، و أنّه لو أجبره علی عمل استحقّ المجبور بدله و لزمه الخروج عن عهدته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للسیّد کاظم المصطفوی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ضمن تراث الشیخ الأعظم </w:t>
      </w:r>
      <w:r>
        <w:rPr>
          <w:rFonts w:eastAsia="IRNazanin" w:cs="IRNazanin"/>
          <w:b w:val="false"/>
          <w:bCs w:val="false"/>
          <w:i w:val="false"/>
          <w:iCs w:val="false"/>
          <w:color w:val="333333"/>
          <w:sz w:val="20"/>
          <w:szCs w:val="20"/>
        </w:rPr>
        <w:t>190:16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إضرار بهما فی صورة الفقر دون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کان الولیّ فقیراً أو غنیّاً</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441:28</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240:28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441:28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زبدة البیان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437:28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سنن أبی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من مال یتیمک غیر مسرف، و لا مباذرٍ، و لا متأثلٍ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متأثل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متّخذٍ منه أصل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أثلة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إباحته الأکل من مال الیتیم أن یکون ذلک علی معنی ما یستحقّه من العمل فیه و الاستصلاح له، و أن یأخذ منه بالمعروف علی قدر مثل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تقی مالک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تحفظ مالک بصرف مال الیتیم فی حاجتک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لأبی إسحاق الشیرازی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المحرّر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المبدع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منتهی الإرادات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فقه أحمد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لابن قدامة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المعونة علی مذهب عالم المدینة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الأصل التقویة و الإعانة، القاموس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مشتقّة من الزیادة؛ لأنّ الشفیع یضمّ المبیع إلی ملکه فیشفعه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المقصود منها فی اصطلاح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کان بین شریکین من ضیاع أو عقار أو حیوان أو متاع، ثمّ باع أحدهما نصیبه، کان لشریکه المطالبة بالشفعة، و وجب علیه مثل ثمنه الذی بیع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إرشاد الأذهان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286:12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313:20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290:37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139:18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کتاب الشفعة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290:37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الشفعة،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291:37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بشرائه شقص شریک الیتیم</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291:37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xml:space="preserve">، الطبعة الحجریّة، قواعد الأحکام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129:14</w:t>
      </w:r>
      <w:r>
        <w:rPr>
          <w:rFonts w:ascii="IRNazanin" w:hAnsi="IRNazanin" w:eastAsia="IRNazanin"/>
          <w:b w:val="false"/>
          <w:b w:val="false"/>
          <w:bCs w:val="false"/>
          <w:i w:val="false"/>
          <w:i w:val="false"/>
          <w:iCs w:val="false"/>
          <w:color w:val="333333"/>
          <w:sz w:val="20"/>
          <w:sz w:val="20"/>
          <w:szCs w:val="20"/>
          <w:rtl w:val="true"/>
        </w:rPr>
        <w:t xml:space="preserve">، منهاج الطالبین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و التاج و الإکلیل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الشقص و الشقیص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النصیب فی العین المشترکة من کلّ شیء، النهایة لابن الأثیر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الشقص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و النصیب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بمعنی طلب خیر الأمرین،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یختار ما یشاء،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الاختیار،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من تخیّرت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الاختیار الاصطفاء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ملک إقرار العقد و إزالته بعد وقوعه مدّة معلومة، جواهر الکلام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أو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فسخ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المکاسب، ضمن تراث الشیخ الأعظم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الخیار حقّ اصطفاء الفسخ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البیع للإمام الخمینی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للقاضی ابن البرّاج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الغنیة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جنّ من له الخیار أو اغمی علیه انتقل الخیار إلی ولیّه، بدلیل الإجماع المشار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رواه فی تهذیب الأحکام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للقاضی ابن البرّاج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مفتاح الکرامة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الکلام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القول لا یخلو عن قوّة</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ضمن تراث الشیخ الأعظم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الخالیة عن الأعواض و الأغراض، فإذا کثرت سمّی صاحبها وهّاباً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و الهبة ابتداءً من غیر عوضٍ و لا استحقاق،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نحله ینحله نحلاً بالضمّ، و النحلة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أهدی الهدیّة إلی فلان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بها إکراماً له و هدّی الهدیّة إلی فلان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أتحفه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فی الاصطلاح عرّف المحقّق الهبة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العقد المقتضی تملیک العین من غیر عوضٍ، تملیکاً منجّزاً مجرّداً عن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فی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الأثر الحاصل منه و لو بالمعاطاة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159:28</w:t>
      </w:r>
      <w:r>
        <w:rPr>
          <w:rFonts w:ascii="IRNazanin" w:hAnsi="IRNazanin" w:eastAsia="IRNazanin"/>
          <w:b w:val="false"/>
          <w:b w:val="false"/>
          <w:bCs w:val="false"/>
          <w:i w:val="false"/>
          <w:i w:val="false"/>
          <w:iCs w:val="false"/>
          <w:color w:val="333333"/>
          <w:sz w:val="20"/>
          <w:sz w:val="20"/>
          <w:szCs w:val="20"/>
          <w:rtl w:val="true"/>
        </w:rPr>
        <w:t xml:space="preserve">، و عرّفها بعض فقهاء أهل السنّة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تملیک المال بلا عوض حال حیاة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حلیة العلماء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 و الهدیة و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التملیک بلا عوض هبة، فإن انضمّ إلیه حمل الموهوب من مکان إلی مکان الموهوب له إعظاماً له أو إکراماً فهو هدیّة، و إن انضمّ إلیه کون التملیک للمحتاج تقرّباً إلی اللّه تعالی و طلباً لثواب الآخرة، فهو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منهاج الطالبین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قال الشیخ فی المبسوط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المهذّب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القرآن للراوندی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التطوّع عندنا بمنزلة الهبة فی جمیع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تحریر الأحکام الشرعیّة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الهدیّة و الهبة و الصدقة بمعنی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 إذا قصد الثواب و التقرّب إلی اللّه تعالی بالهبة سمّیت صدقة، و إن قصد بها التودّد و المواصلة سمّیت هدیة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فعلی هذا الهبة و العطیة و الهدیة و النحلة و الصدقة واحد معنی فی اصطلاح الفقهاء</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159:28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159:28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193:22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زید لمحمّد أبو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298:22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318:22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کتاب الهبة، مسألة </w:t>
      </w:r>
      <w:r>
        <w:rPr>
          <w:rFonts w:eastAsia="IRNazanin" w:cs="IRNazanin"/>
          <w:b w:val="false"/>
          <w:bCs w:val="false"/>
          <w:i w:val="false"/>
          <w:iCs w:val="false"/>
          <w:color w:val="333333"/>
          <w:sz w:val="20"/>
          <w:szCs w:val="20"/>
        </w:rPr>
        <w:t>1</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فقه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وجه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الصدقة تشمل الهبة و الهدیة کما سیأتی</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السند من لا توثیق له إلاّ قاسم بن سلیمان، و هو معتبر؛ لکثرة نقل الأجلّة عنه، مع أنّه من رجال تفسیر القمّی و کامل الزیارات</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316:22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218:22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177:28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للمرغینانی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490:7</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الطالبین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أثبتناه هو الصواب کما فی روضة الطالبین</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فقه الشافعی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الممهّدات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مع بلغة السالک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یجمع علی وقوف و أوقاف، و هو فی اللغة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کذا إذا حبسته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 و عرّفه المحقّق بأنّه عقد ثمرته تحبیس الأصل و إطلاق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الوقف شرعاً حبس مالٍ یمکن الانتفاع به مع بقاء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146:22</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کتاب الوقف،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إطلاق صحیح صفوان و عبید بن زرارة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قبض</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قبض</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مقتضی هذا البیان أنّ القبض لیس من الاُمور القصدیّة، مع وضوح کونه منها، و علی هذا فاللازم أو لا أقلّ الاحتیاط یقتضی لزوم قصد القبض و تجدید 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العروة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فی شرائع الإسلام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147:22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مطالب اولی النّهی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فقه الشافعیّ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الإکلیل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مع بلغة السالک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الشرح الکبیر مع الدسوقی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 الإکلیل مع مواهب الجلیل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الإسعاف فی أحکام الأوقاف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الإکلیل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الممهّدات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للقرافی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الإکلیل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 الإکلیل مع المواهب الجلیل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مع بلغة السالک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اولی النّهی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فی اللغة الإیصال، مأخوذ من وصّیت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الرجل؛ أی عهد إلیه، و سمّیت وصیّة لاتّصالها بأمر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عرّفها المحقّق بأنّها تملیک عین أو منفعة بعد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یفتقر إلی إیجاب و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ینتقل بها الملک إلی الموصی له بموت الموصی و قبول الموصی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المجموع بأنّ الوصیّة شرعاً تبرّع بحقّ مضاف و لو تقدیراً لما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کتاب الوصیة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334:16</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مطالب أُولی النهی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التاج و الإکلیل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المقدّمات و الممهّدات لابن رشد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الطالبین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فقه الشافعی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المطبوع فی هامش حاشیة الدسوقی علی الشرح الکبیر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 الشرح الصغیر المطبوع مع بلغة السالک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الموصی</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الشرح الکبیر للدردیر مع حاشیة الدسوقی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الشرح الصغیر للدردیر مع بلغة السالک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650:6</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الطبعة الحجریّة، إرشاد الأذهان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کتاب الوصیة 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و المواریث، ضمن تراث الشیخ الأعظم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کتاب النکاح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590:14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590:14</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المنهاج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المراد من أحمد بن محمّد هو العاصمی الکوفی، و علیّ بن الحسن هو ابن فضّال، و الحسن بن علی هو الحسن بن علی بن یوسف، کما قال السیّد البروجردی فی الموسوعة الرجالیّة بترتیب أسانید الکافی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المثنّی بن الولید، فقال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و المثنّی بن الولید و المثنّی عبد السلام کلّهم حنّاطون، کوفیّون، لا بأس بهم، اختیار معرفة الرجال،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فلا وجه لما استشکل فی مبانی المنهاج من أنّ الروایة ضعیفة بحسن بن علیّ، مبانی منهاج الصالحین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کتاب الوصیة 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298:16</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علی الشرح الصغیر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مع الشرح الکبیر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مع التاج و الإکلیل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کتاب الوصیة 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کالأب و الجدّ؛ فإنّ ولایتهما فی جمیع الاُمور ثابتةٌ بأصل الشرع، بخلاف الوصیّ؛ فإنّه نائب و مفوّض إلیه القیام بالاُمور بحسب الاستنابة و التفویض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427:28</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587:22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و المواریث، ضمن تراث الشیخ الأعظم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یدلّ علی وجوب إیصاء الوصی، مع أنّ الروایة إنّما هی دالّة علی الوصیة بالمال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الطبعة الحجریّة، مختلف الشیعة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587:22</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427:28</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592:14</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الشیخ الفقیه الفاضل اللنکرانی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265:11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و المواریث، ضمن تراث الشیخ الأعظم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588:22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591:14</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427:28</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591:14</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265:11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588:22</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إنّه أقام مقام الموصی بنصب الوصیّ، فدائرتها إنّما هی محدودة بما حدّده الموصی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الوصایة کالوکالة، فکما أنّه لیس للوکیل توکیل الغیر و إن أقام مقام الموکّل، فکذلک الوصیّ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265:11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427:28</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265:11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588:22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التفسیر مکابرة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قرءتها، و الأصحّ ما أثبتناه</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425:28</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588:22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428:28</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هو الظاهر من الروایة، فکأنّه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الوصیّ الثانی بحقّ الوصیّ الأوّل إن کان للأوّل قبل الإیصاء حقّ، و هذا الشرط بمعنی أنّ الوصیّ الأوّل کان مأذوناً من الموصی الأوّل بالنسبة إلی الإیصاء إلی الثانی فافهم، و بناءً علی ذلک یکون أصل 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جواز الإیصاء مع إذن الموصی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مفروغاً عنه، و إنّما کان السؤال عن اللزوم و عدمه، و علی هذا تکون الروایة ظاهرة الدلالة و لا إجمال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فی شرح المقنع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الإمام الشافعی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الطالبین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تکملة البحر الرائق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ذیل روایة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یحلّ لأحدٍ أن یتصرّف فی مال غیره بغیر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592:14</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592:14</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النکاح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الموصی، و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الموصی</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و المواریث، ضمن تراث الشیخ الأعظم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593:14</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کتاب النکاح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کتاب الوصیة 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593:14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کتاب النکاح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277:28</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و المواریث، ضمن تراث الشیخ الأعظم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علی مختصر خلیل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لأقرب المسالک علی الشرح الصغیر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و التاج و الإکلیل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595:22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429:28</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مع تعلیقات عدّة من الفقهاء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591:14</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591:14</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429:28</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269:11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594:22</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594:22</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595:22</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429:28</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الطبعة الحجریّة، جامع المقاصد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الإمام الشافعی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299:16</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الإقناع فی فقه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علی مختصر خلیل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لشرح مختصر خلیل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 فی محلّه فی کتاب الاجتهاد و التقلید عدم حجّیة خبر الواحد الثقة أو العدل فی الموضوعات و إنّما هو حجة فی الروایات و الأحکام، و بناءً علی ذلک یمکن أن یقال باحتفاف قول الرّجل بالقرائن المفیدة للعلم، سیّما مع تعبیره بالمسلم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فقه الشیعة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بحوث فی شرح العروة الوثقی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و المواریث، ضمن تراث الشیخ الأعظم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249:28</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637:22</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مبانی العروة الوثقی، کتاب النکاح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578:14</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مع تعلیقات عدّة من الفقهاء </w:t>
      </w:r>
      <w:r>
        <w:rPr>
          <w:rFonts w:eastAsia="IRNazanin" w:cs="IRNazanin"/>
          <w:b w:val="false"/>
          <w:bCs w:val="false"/>
          <w:i w:val="false"/>
          <w:iCs w:val="false"/>
          <w:color w:val="333333"/>
          <w:sz w:val="20"/>
          <w:szCs w:val="20"/>
        </w:rPr>
        <w:t>670:5</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کتاب النکاح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 محمّد بن أحمد بن یحیی، و لعلّه سهو من المقرّر أو من النسّاخ</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10156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لعلّه کان یبنی علی أصالة العدالة</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کتاب النکاح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الوصیة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579:14</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 المراد بقرینة الروایات هو أبو الحسن العسکری علیه السلام</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363:51</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کتاب النکاح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579:14</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249:28</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248:28</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636:22</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السرائر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347:28</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الوصیة 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347:28</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233:22</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 تبیین الحقائق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الطبعة الحجریّة، مهذّب الأحکام </w:t>
      </w:r>
      <w:r>
        <w:rPr>
          <w:rFonts w:eastAsia="IRNazanin" w:cs="IRNazanin"/>
          <w:b w:val="false"/>
          <w:bCs w:val="false"/>
          <w:i w:val="false"/>
          <w:iCs w:val="false"/>
          <w:color w:val="333333"/>
          <w:sz w:val="20"/>
          <w:szCs w:val="20"/>
        </w:rPr>
        <w:t>233:22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310:11</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159:41</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نفی الخلاف المتقدّم فی کلام الشهید الثانی رحمه الله</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354:28</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503:22</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اللّهُ بِکُمُ الْیُسْرَ وَ لا یُرِیدُ بِکُمُ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بها الإطلاقات الواردة فی قبول الشاهد مع الیمین، لاحظ الوسائل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354:28</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499:22</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کتاب الوصیة 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287/18</w:t>
      </w:r>
      <w:r>
        <w:rPr>
          <w:rFonts w:ascii="IRNazanin" w:hAnsi="IRNazanin" w:eastAsia="IRNazanin"/>
          <w:b w:val="false"/>
          <w:b w:val="false"/>
          <w:bCs w:val="false"/>
          <w:i w:val="false"/>
          <w:i w:val="false"/>
          <w:iCs w:val="false"/>
          <w:color w:val="333333"/>
          <w:sz w:val="20"/>
          <w:sz w:val="20"/>
          <w:szCs w:val="20"/>
          <w:rtl w:val="true"/>
        </w:rPr>
        <w:t>، من کتاب الشهادات</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511:12</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الطالبین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البیان فی فقه الشافعیّ </w:t>
      </w:r>
      <w:r>
        <w:rPr>
          <w:rFonts w:eastAsia="IRNazanin" w:cs="IRNazanin"/>
          <w:b w:val="false"/>
          <w:bCs w:val="false"/>
          <w:i w:val="false"/>
          <w:iCs w:val="false"/>
          <w:color w:val="333333"/>
          <w:sz w:val="20"/>
          <w:szCs w:val="20"/>
        </w:rPr>
        <w:t>330:13</w:t>
      </w:r>
      <w:r>
        <w:rPr>
          <w:rFonts w:ascii="IRNazanin" w:hAnsi="IRNazanin" w:eastAsia="IRNazanin"/>
          <w:b w:val="false"/>
          <w:b w:val="false"/>
          <w:bCs w:val="false"/>
          <w:i w:val="false"/>
          <w:i w:val="false"/>
          <w:iCs w:val="false"/>
          <w:color w:val="333333"/>
          <w:sz w:val="20"/>
          <w:sz w:val="20"/>
          <w:szCs w:val="20"/>
          <w:rtl w:val="true"/>
        </w:rPr>
        <w:t xml:space="preserve">، التهذیب فی فقه الشافعیّ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بلغة السالک و الشرح الصغیر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549:6</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فقه الشافعی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330:13</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تبیین الحقائق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التهذیب فی فقه الشافعیّ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منهاج الطالبین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277:13</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402:22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282:11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229:22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265:28</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الکافی لأبی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المهذّب للقاضی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الطبعة الحجریّة، الدروس الشرعیّة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282:11</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574:22</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415:28</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الطبعة الحجریّة، مسالک الأفهام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576:22</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576:22</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284:11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الدلیلان إنّما یدلاّن علی عدم لزوم القیام بالوصیّة فی فرض الحرج و الضرر، و لکن لا یدلاّن علی جواز الرّد،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578:22</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417:28</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419:28</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536:14</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344:11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417:28</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580:22</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415:28</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579:22</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وصیّة الأب لولده، و للأجنبی إذا لم یوجد غیره</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للشیرازی،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عنه فی مختلف الشیعة </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و لکن لم نجده فی المقنع المطبوع</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579:22</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و المواریث، ضمن تراث الشیخ الأعظم </w:t>
      </w:r>
      <w:r>
        <w:rPr>
          <w:rFonts w:eastAsia="IRNazanin" w:cs="IRNazanin"/>
          <w:b w:val="false"/>
          <w:bCs w:val="false"/>
          <w:i w:val="false"/>
          <w:iCs w:val="false"/>
          <w:color w:val="333333"/>
          <w:sz w:val="20"/>
          <w:szCs w:val="20"/>
        </w:rPr>
        <w:t>130:21</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مبانی المنهاج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420:28</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581:22</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الأمین هو أن یکون مال الغیر فی یده بإذن المالک، أو من اللّه من غیر خیانة له بالنسبة إلی ذلک المال، من فعل أو ترک یوجب تلفه أو نقصاً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للمحقّق البجنوردی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الاقتباس من الجواهر </w:t>
      </w:r>
      <w:r>
        <w:rPr>
          <w:rFonts w:eastAsia="IRNazanin" w:cs="IRNazanin"/>
          <w:b w:val="false"/>
          <w:bCs w:val="false"/>
          <w:i w:val="false"/>
          <w:iCs w:val="false"/>
          <w:color w:val="333333"/>
          <w:sz w:val="20"/>
          <w:szCs w:val="20"/>
        </w:rPr>
        <w:t>422:28</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العاریة،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الودیعة،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للشیخ الفقیه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الودیعة،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العاریة،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للمحقّق البجنوردی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لم نجده فی المصادر الحدیثیّة</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مادّة عمد</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422:28</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إدریس فی السرائر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یجوز لمن لیس بفقیه تولّی ذلک بحال، فإن تولاّه فإنّه لا یمضی شیء ممّا یفعله، لأنّه لیس له ذلک</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589:22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509:9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430:28</w:t>
      </w:r>
      <w:r>
        <w:rPr>
          <w:rFonts w:ascii="IRNazanin" w:hAnsi="IRNazanin" w:eastAsia="IRNazanin"/>
          <w:b w:val="false"/>
          <w:b w:val="false"/>
          <w:bCs w:val="false"/>
          <w:i w:val="false"/>
          <w:i w:val="false"/>
          <w:iCs w:val="false"/>
          <w:color w:val="333333"/>
          <w:sz w:val="20"/>
          <w:sz w:val="20"/>
          <w:szCs w:val="20"/>
          <w:rtl w:val="true"/>
        </w:rPr>
        <w:t xml:space="preserve">، کتاب الوصایا ضمن تراث الشیخ الأعظم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العاشر من الباب الرابع، المبحث الأوّل و الرابع</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فی الشرائع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یعتبر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الوصیّ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 الفاسق لا أمانة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 المسلم محلّ الأمانة، کما فی الوکالة و الاستیداع، و لأنّها ولایة تابعة لاختیار الموصی فیتحقّق بتعیّنه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فی تحریر الأحکام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الشیخ أنّ العدالة شرط فلا تصحّ الوصیّة إلی الفاسق و إن کان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منعه ابن إدریس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فیه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المختلف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عدالة الوصیّ، و منعوا من الوصیة إلی الفاسق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الأقرب عدم الاشتراط؛ لأنّها نیابة، فتتبع اختیار المنوب، کالوکالة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إنّه مستحبّ</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کتاب الوصیّة 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الإیصاء إلی العدل بوصف کونه عدلاً</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396:28</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277:11</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شرح المقنع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البحر الرائق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w:t>
      </w:r>
      <w:r>
        <w:rPr>
          <w:rFonts w:eastAsia="IRNazanin" w:cs="IRNazanin"/>
          <w:b w:val="false"/>
          <w:bCs w:val="false"/>
          <w:i w:val="false"/>
          <w:iCs w:val="false"/>
          <w:color w:val="333333"/>
          <w:sz w:val="20"/>
          <w:szCs w:val="20"/>
        </w:rPr>
        <w:t>636:12</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الحرشی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 الإکلیل مع مواهب الجلیل </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التحقیق فی مسألة أقصی مدّة الحمل فی الباب السادس ذیل البحث عن إلحاق الولد بأبیه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للفراش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تبیین الحقائق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الفروع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المبدع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بلغة السالک و الشرح الصغیر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الطالبین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 البیان فی مذهب الشافعی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375:16</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الطبعة الحجریّة، تحریر الأحکام الشرعیّة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374:16</w:t>
      </w:r>
      <w:r>
        <w:rPr>
          <w:rFonts w:ascii="IRNazanin" w:hAnsi="IRNazanin" w:eastAsia="IRNazanin"/>
          <w:b w:val="false"/>
          <w:b w:val="false"/>
          <w:bCs w:val="false"/>
          <w:i w:val="false"/>
          <w:i w:val="false"/>
          <w:iCs w:val="false"/>
          <w:color w:val="333333"/>
          <w:sz w:val="20"/>
          <w:sz w:val="20"/>
          <w:szCs w:val="20"/>
          <w:rtl w:val="true"/>
        </w:rPr>
        <w:t xml:space="preserve">، البیان فی مذهب الشافعی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لهذین، و الصواب ما أثبتناه</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475:6</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327:16</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العروة الوثقی، کتاب الوقف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189:22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للخوئی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الوقف 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فی فقه الشافعی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بشرح منهج الطلاب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image" Target="media/image2.jpeg"/><Relationship Id="rId634" Type="http://schemas.openxmlformats.org/officeDocument/2006/relationships/image" Target="media/image2.jpeg"/><Relationship Id="rId635" Type="http://schemas.openxmlformats.org/officeDocument/2006/relationships/footer" Target="footer628.xml"/><Relationship Id="rId636" Type="http://schemas.openxmlformats.org/officeDocument/2006/relationships/footnotes" Target="footnotes.xml"/><Relationship Id="rId637" Type="http://schemas.openxmlformats.org/officeDocument/2006/relationships/numbering" Target="numbering.xml"/><Relationship Id="rId638" Type="http://schemas.openxmlformats.org/officeDocument/2006/relationships/fontTable" Target="fontTable.xml"/><Relationship Id="rId639" Type="http://schemas.openxmlformats.org/officeDocument/2006/relationships/settings" Target="settings.xml"/><Relationship Id="rId6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641</Pages>
  <Words>60761</Words>
  <Characters>246142</Characters>
  <CharactersWithSpaces>303991</CharactersWithSpaces>
  <Paragraphs>2913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2026-08-22T06:59:09Z</dcterms:created>
  <dc:creator>ghaemiyeh.com</dc:creator>
  <dc:description/>
  <dc:language>en-US</dc:language>
  <cp:lastModifiedBy/>
  <dcterms:modified xsi:type="dcterms:W3CDTF">2026-08-22T10:29:47Z</dcterms:modified>
  <cp:revision>1</cp:revision>
  <dc:subject/>
  <dc:title>موسوعه احکام الاطفال و ادلتها مقارنه تفصیلیه بین مذهب الامامیه و المذاهب الاخری جلد 2</dc:title>
</cp:coreProperties>
</file>

<file path=docProps/custom.xml><?xml version="1.0" encoding="utf-8"?>
<Properties xmlns="http://schemas.openxmlformats.org/officeDocument/2006/custom-properties" xmlns:vt="http://schemas.openxmlformats.org/officeDocument/2006/docPropsVTypes"/>
</file>