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592.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7.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356.xml" ContentType="application/vnd.openxmlformats-officedocument.wordprocessingml.footer+xml"/>
  <Override PartName="/word/footer659.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559.xml" ContentType="application/vnd.openxmlformats-officedocument.wordprocessingml.footer+xml"/>
  <Override PartName="/word/footer696.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647.xml" ContentType="application/vnd.openxmlformats-officedocument.wordprocessingml.footer+xml"/>
  <Override PartName="/word/footer653.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65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663.xml" ContentType="application/vnd.openxmlformats-officedocument.wordprocessingml.footer+xml"/>
  <Override PartName="/word/footer701.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settings.xml" ContentType="application/vnd.openxmlformats-officedocument.wordprocessingml.settings+xml"/>
  <Override PartName="/word/footer55.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71.xml" ContentType="application/vnd.openxmlformats-officedocument.wordprocessingml.footer+xml"/>
  <Override PartName="/word/footer670.xml" ContentType="application/vnd.openxmlformats-officedocument.wordprocessingml.footer+xml"/>
  <Override PartName="/word/footer671.xml" ContentType="application/vnd.openxmlformats-officedocument.wordprocessingml.footer+xml"/>
  <Override PartName="/word/footer672.xml" ContentType="application/vnd.openxmlformats-officedocument.wordprocessingml.footer+xml"/>
  <Override PartName="/word/footer673.xml" ContentType="application/vnd.openxmlformats-officedocument.wordprocessingml.footer+xml"/>
  <Override PartName="/word/footer675.xml" ContentType="application/vnd.openxmlformats-officedocument.wordprocessingml.footer+xml"/>
  <Override PartName="/word/footer662.xml" ContentType="application/vnd.openxmlformats-officedocument.wordprocessingml.footer+xml"/>
  <Override PartName="/word/footer700.xml" ContentType="application/vnd.openxmlformats-officedocument.wordprocessingml.footer+xml"/>
  <Override PartName="/word/footer639.xml" ContentType="application/vnd.openxmlformats-officedocument.wordprocessingml.footer+xml"/>
  <Override PartName="/word/footer699.xml" ContentType="application/vnd.openxmlformats-officedocument.wordprocessingml.footer+xml"/>
  <Override PartName="/word/footer677.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97.xml" ContentType="application/vnd.openxmlformats-officedocument.wordprocessingml.footer+xml"/>
  <Override PartName="/word/footer674.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98.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591.xml" ContentType="application/vnd.openxmlformats-officedocument.wordprocessingml.footer+xml"/>
  <Override PartName="/word/footer648.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590.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87.xml" ContentType="application/vnd.openxmlformats-officedocument.wordprocessingml.footer+xml"/>
  <Override PartName="/word/footer64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583.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61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582.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موسوعه احکام الاطفال و ادلتها مقارنه تفصیلیه بین مذهب الامامیه و المذاهب الاخری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423774_73709187">
            <w:r>
              <w:rPr>
                <w:webHidden/>
                <w:rStyle w:val="IndexLink"/>
                <w:rtl w:val="true"/>
              </w:rPr>
              <w:t>اشارة</w:t>
            </w:r>
            <w:r>
              <w:rPr>
                <w:rStyle w:val="IndexLink"/>
                <w:rtl w:val="true"/>
              </w:rPr>
              <w:tab/>
            </w:r>
            <w:r>
              <w:rPr>
                <w:rStyle w:val="IndexLink"/>
              </w:rPr>
              <w:t>15</w:t>
            </w:r>
          </w:hyperlink>
        </w:p>
        <w:p>
          <w:pPr>
            <w:pStyle w:val="Contents2"/>
            <w:tabs>
              <w:tab w:val="clear" w:pos="8743"/>
              <w:tab w:val="right" w:pos="9026" w:leader="dot"/>
            </w:tabs>
            <w:rPr/>
          </w:pPr>
          <w:hyperlink w:anchor="__RefHeading___Toc9423776_73709187">
            <w:r>
              <w:rPr>
                <w:webHidden/>
                <w:rStyle w:val="IndexLink"/>
                <w:rtl w:val="true"/>
              </w:rPr>
              <w:t>اشارة</w:t>
            </w:r>
            <w:r>
              <w:rPr>
                <w:rStyle w:val="IndexLink"/>
                <w:rtl w:val="true"/>
              </w:rPr>
              <w:tab/>
            </w:r>
            <w:r>
              <w:rPr>
                <w:rStyle w:val="IndexLink"/>
              </w:rPr>
              <w:t>15</w:t>
            </w:r>
          </w:hyperlink>
        </w:p>
        <w:p>
          <w:pPr>
            <w:pStyle w:val="Contents2"/>
            <w:tabs>
              <w:tab w:val="clear" w:pos="8743"/>
              <w:tab w:val="right" w:pos="9026" w:leader="dot"/>
            </w:tabs>
            <w:rPr/>
          </w:pPr>
          <w:hyperlink w:anchor="__RefHeading___Toc9423778_73709187">
            <w:r>
              <w:rPr>
                <w:webHidden/>
                <w:rStyle w:val="IndexLink"/>
                <w:rtl w:val="true"/>
              </w:rPr>
              <w:t>مقدمات التحقیق</w:t>
            </w:r>
            <w:r>
              <w:rPr>
                <w:rStyle w:val="IndexLink"/>
                <w:rtl w:val="true"/>
              </w:rPr>
              <w:tab/>
            </w:r>
            <w:r>
              <w:rPr>
                <w:rStyle w:val="IndexLink"/>
              </w:rPr>
              <w:t>18</w:t>
            </w:r>
          </w:hyperlink>
        </w:p>
        <w:p>
          <w:pPr>
            <w:pStyle w:val="Contents3"/>
            <w:tabs>
              <w:tab w:val="clear" w:pos="8459"/>
              <w:tab w:val="right" w:pos="9026" w:leader="dot"/>
            </w:tabs>
            <w:rPr/>
          </w:pPr>
          <w:hyperlink w:anchor="__RefHeading___Toc9423780_73709187">
            <w:r>
              <w:rPr>
                <w:webHidden/>
                <w:rStyle w:val="IndexLink"/>
                <w:rtl w:val="true"/>
              </w:rPr>
              <w:t>مقدمة محمد جواد الفاضل اللنکرانی</w:t>
            </w:r>
            <w:r>
              <w:rPr>
                <w:rStyle w:val="IndexLink"/>
                <w:rtl w:val="true"/>
              </w:rPr>
              <w:tab/>
            </w:r>
            <w:r>
              <w:rPr>
                <w:rStyle w:val="IndexLink"/>
              </w:rPr>
              <w:t>18</w:t>
            </w:r>
          </w:hyperlink>
        </w:p>
        <w:p>
          <w:pPr>
            <w:pStyle w:val="Contents4"/>
            <w:tabs>
              <w:tab w:val="clear" w:pos="8176"/>
              <w:tab w:val="right" w:pos="9026" w:leader="dot"/>
            </w:tabs>
            <w:rPr/>
          </w:pPr>
          <w:hyperlink w:anchor="__RefHeading___Toc9423782_73709187">
            <w:r>
              <w:rPr>
                <w:webHidden/>
                <w:rStyle w:val="IndexLink"/>
                <w:rtl w:val="true"/>
              </w:rPr>
              <w:t>الفقه الشیعی، الممیزات و المعطیات</w:t>
            </w:r>
            <w:r>
              <w:rPr>
                <w:rStyle w:val="IndexLink"/>
                <w:rtl w:val="true"/>
              </w:rPr>
              <w:tab/>
            </w:r>
            <w:r>
              <w:rPr>
                <w:rStyle w:val="IndexLink"/>
              </w:rPr>
              <w:t>18</w:t>
            </w:r>
          </w:hyperlink>
        </w:p>
        <w:p>
          <w:pPr>
            <w:pStyle w:val="Contents3"/>
            <w:tabs>
              <w:tab w:val="clear" w:pos="8459"/>
              <w:tab w:val="right" w:pos="9026" w:leader="dot"/>
            </w:tabs>
            <w:rPr/>
          </w:pPr>
          <w:hyperlink w:anchor="__RefHeading___Toc9423784_73709187">
            <w:r>
              <w:rPr>
                <w:webHidden/>
                <w:rStyle w:val="IndexLink"/>
                <w:rtl w:val="true"/>
              </w:rPr>
              <w:t>مقدمة قدرة الله الأنصاری</w:t>
            </w:r>
            <w:r>
              <w:rPr>
                <w:rStyle w:val="IndexLink"/>
                <w:rtl w:val="true"/>
              </w:rPr>
              <w:tab/>
            </w:r>
            <w:r>
              <w:rPr>
                <w:rStyle w:val="IndexLink"/>
              </w:rPr>
              <w:t>36</w:t>
            </w:r>
          </w:hyperlink>
        </w:p>
        <w:p>
          <w:pPr>
            <w:pStyle w:val="Contents4"/>
            <w:tabs>
              <w:tab w:val="clear" w:pos="8176"/>
              <w:tab w:val="right" w:pos="9026" w:leader="dot"/>
            </w:tabs>
            <w:rPr/>
          </w:pPr>
          <w:hyperlink w:anchor="__RefHeading___Toc9423786_73709187">
            <w:r>
              <w:rPr>
                <w:webHidden/>
                <w:rStyle w:val="IndexLink"/>
                <w:rtl w:val="true"/>
              </w:rPr>
              <w:t>مدخل فی التعریف بعلم الفقه و بیان شأن الفقهاء</w:t>
            </w:r>
            <w:r>
              <w:rPr>
                <w:rStyle w:val="IndexLink"/>
                <w:rtl w:val="true"/>
              </w:rPr>
              <w:tab/>
            </w:r>
            <w:r>
              <w:rPr>
                <w:rStyle w:val="IndexLink"/>
              </w:rPr>
              <w:t>36</w:t>
            </w:r>
          </w:hyperlink>
        </w:p>
        <w:p>
          <w:pPr>
            <w:pStyle w:val="Contents5"/>
            <w:tabs>
              <w:tab w:val="clear" w:pos="7892"/>
              <w:tab w:val="right" w:pos="9026" w:leader="dot"/>
            </w:tabs>
            <w:rPr/>
          </w:pPr>
          <w:hyperlink w:anchor="__RefHeading___Toc9423788_73709187">
            <w:r>
              <w:rPr>
                <w:webHidden/>
                <w:rStyle w:val="IndexLink"/>
                <w:rtl w:val="true"/>
              </w:rPr>
              <w:t>اشارة</w:t>
            </w:r>
            <w:r>
              <w:rPr>
                <w:rStyle w:val="IndexLink"/>
                <w:rtl w:val="true"/>
              </w:rPr>
              <w:tab/>
            </w:r>
            <w:r>
              <w:rPr>
                <w:rStyle w:val="IndexLink"/>
              </w:rPr>
              <w:t>36</w:t>
            </w:r>
          </w:hyperlink>
        </w:p>
        <w:p>
          <w:pPr>
            <w:pStyle w:val="Contents5"/>
            <w:tabs>
              <w:tab w:val="clear" w:pos="7892"/>
              <w:tab w:val="right" w:pos="9026" w:leader="dot"/>
            </w:tabs>
            <w:rPr/>
          </w:pPr>
          <w:hyperlink w:anchor="__RefHeading___Toc9423790_73709187">
            <w:r>
              <w:rPr>
                <w:webHidden/>
                <w:rStyle w:val="IndexLink"/>
                <w:rtl w:val="true"/>
              </w:rPr>
              <w:t xml:space="preserve">أ </w:t>
            </w:r>
            <w:r>
              <w:rPr>
                <w:rStyle w:val="IndexLink"/>
                <w:rtl w:val="true"/>
              </w:rPr>
              <w:t xml:space="preserve">- </w:t>
            </w:r>
            <w:r>
              <w:rPr>
                <w:rStyle w:val="IndexLink"/>
                <w:rtl w:val="true"/>
              </w:rPr>
              <w:t>تمهید</w:t>
            </w:r>
            <w:r>
              <w:rPr>
                <w:rStyle w:val="IndexLink"/>
                <w:rtl w:val="true"/>
              </w:rPr>
              <w:t>:</w:t>
              <w:tab/>
            </w:r>
            <w:r>
              <w:rPr>
                <w:rStyle w:val="IndexLink"/>
              </w:rPr>
              <w:t>36</w:t>
            </w:r>
          </w:hyperlink>
        </w:p>
        <w:p>
          <w:pPr>
            <w:pStyle w:val="Contents5"/>
            <w:tabs>
              <w:tab w:val="clear" w:pos="7892"/>
              <w:tab w:val="right" w:pos="9026" w:leader="dot"/>
            </w:tabs>
            <w:rPr/>
          </w:pPr>
          <w:hyperlink w:anchor="__RefHeading___Toc9423792_73709187">
            <w:r>
              <w:rPr>
                <w:webHidden/>
                <w:rStyle w:val="IndexLink"/>
                <w:rtl w:val="true"/>
              </w:rPr>
              <w:t>(</w:t>
            </w:r>
            <w:r>
              <w:rPr>
                <w:rStyle w:val="IndexLink"/>
                <w:rtl w:val="true"/>
              </w:rPr>
              <w:t>ب</w:t>
            </w:r>
            <w:r>
              <w:rPr>
                <w:rStyle w:val="IndexLink"/>
                <w:rtl w:val="true"/>
              </w:rPr>
              <w:t xml:space="preserve">) </w:t>
            </w:r>
            <w:r>
              <w:rPr>
                <w:rStyle w:val="IndexLink"/>
                <w:rtl w:val="true"/>
              </w:rPr>
              <w:t>الحاجة إلی تألیف موسوعة أحکام الأطفال</w:t>
            </w:r>
            <w:r>
              <w:rPr>
                <w:rStyle w:val="IndexLink"/>
                <w:rtl w:val="true"/>
              </w:rPr>
              <w:tab/>
            </w:r>
            <w:r>
              <w:rPr>
                <w:rStyle w:val="IndexLink"/>
              </w:rPr>
              <w:t>38</w:t>
            </w:r>
          </w:hyperlink>
        </w:p>
        <w:p>
          <w:pPr>
            <w:pStyle w:val="Contents5"/>
            <w:tabs>
              <w:tab w:val="clear" w:pos="7892"/>
              <w:tab w:val="right" w:pos="9026" w:leader="dot"/>
            </w:tabs>
            <w:rPr/>
          </w:pPr>
          <w:hyperlink w:anchor="__RefHeading___Toc9423794_73709187">
            <w:r>
              <w:rPr>
                <w:webHidden/>
                <w:rStyle w:val="IndexLink"/>
                <w:rtl w:val="true"/>
              </w:rPr>
              <w:t>(</w:t>
            </w:r>
            <w:r>
              <w:rPr>
                <w:rStyle w:val="IndexLink"/>
                <w:rtl w:val="true"/>
              </w:rPr>
              <w:t>ج</w:t>
            </w:r>
            <w:r>
              <w:rPr>
                <w:rStyle w:val="IndexLink"/>
                <w:rtl w:val="true"/>
              </w:rPr>
              <w:t xml:space="preserve">) </w:t>
            </w:r>
            <w:r>
              <w:rPr>
                <w:rStyle w:val="IndexLink"/>
                <w:rtl w:val="true"/>
              </w:rPr>
              <w:t>الأهداف فی تألیف هذا الکتاب</w:t>
            </w:r>
            <w:r>
              <w:rPr>
                <w:rStyle w:val="IndexLink"/>
                <w:rtl w:val="true"/>
              </w:rPr>
              <w:tab/>
            </w:r>
            <w:r>
              <w:rPr>
                <w:rStyle w:val="IndexLink"/>
              </w:rPr>
              <w:t>41</w:t>
            </w:r>
          </w:hyperlink>
        </w:p>
        <w:p>
          <w:pPr>
            <w:pStyle w:val="Contents5"/>
            <w:tabs>
              <w:tab w:val="clear" w:pos="7892"/>
              <w:tab w:val="right" w:pos="9026" w:leader="dot"/>
            </w:tabs>
            <w:rPr/>
          </w:pPr>
          <w:hyperlink w:anchor="__RefHeading___Toc9423796_73709187">
            <w:r>
              <w:rPr>
                <w:webHidden/>
                <w:rStyle w:val="IndexLink"/>
                <w:rtl w:val="true"/>
              </w:rPr>
              <w:t>(</w:t>
            </w:r>
            <w:r>
              <w:rPr>
                <w:rStyle w:val="IndexLink"/>
                <w:rtl w:val="true"/>
              </w:rPr>
              <w:t>د</w:t>
            </w:r>
            <w:r>
              <w:rPr>
                <w:rStyle w:val="IndexLink"/>
                <w:rtl w:val="true"/>
              </w:rPr>
              <w:t xml:space="preserve">) </w:t>
            </w:r>
            <w:r>
              <w:rPr>
                <w:rStyle w:val="IndexLink"/>
                <w:rtl w:val="true"/>
              </w:rPr>
              <w:t>منهج البحث و ضوابطه</w:t>
            </w:r>
            <w:r>
              <w:rPr>
                <w:rStyle w:val="IndexLink"/>
                <w:rtl w:val="true"/>
              </w:rPr>
              <w:tab/>
            </w:r>
            <w:r>
              <w:rPr>
                <w:rStyle w:val="IndexLink"/>
              </w:rPr>
              <w:t>42</w:t>
            </w:r>
          </w:hyperlink>
        </w:p>
        <w:p>
          <w:pPr>
            <w:pStyle w:val="Contents5"/>
            <w:tabs>
              <w:tab w:val="clear" w:pos="7892"/>
              <w:tab w:val="right" w:pos="9026" w:leader="dot"/>
            </w:tabs>
            <w:rPr/>
          </w:pPr>
          <w:hyperlink w:anchor="__RefHeading___Toc9423798_73709187">
            <w:r>
              <w:rPr>
                <w:webHidden/>
                <w:rStyle w:val="IndexLink"/>
                <w:rtl w:val="true"/>
              </w:rPr>
              <w:t>(</w:t>
            </w:r>
            <w:r>
              <w:rPr>
                <w:rStyle w:val="IndexLink"/>
                <w:rtl w:val="true"/>
              </w:rPr>
              <w:t>ه</w:t>
            </w:r>
            <w:r>
              <w:rPr>
                <w:rStyle w:val="IndexLink"/>
                <w:rtl w:val="true"/>
              </w:rPr>
              <w:t xml:space="preserve">) </w:t>
            </w:r>
            <w:r>
              <w:rPr>
                <w:rStyle w:val="IndexLink"/>
                <w:rtl w:val="true"/>
              </w:rPr>
              <w:t>منهج العمل</w:t>
            </w:r>
            <w:r>
              <w:rPr>
                <w:rStyle w:val="IndexLink"/>
                <w:rtl w:val="true"/>
              </w:rPr>
              <w:tab/>
            </w:r>
            <w:r>
              <w:rPr>
                <w:rStyle w:val="IndexLink"/>
              </w:rPr>
              <w:t>45</w:t>
            </w:r>
          </w:hyperlink>
        </w:p>
        <w:p>
          <w:pPr>
            <w:pStyle w:val="Contents4"/>
            <w:tabs>
              <w:tab w:val="clear" w:pos="8176"/>
              <w:tab w:val="right" w:pos="9026" w:leader="dot"/>
            </w:tabs>
            <w:rPr/>
          </w:pPr>
          <w:hyperlink w:anchor="__RefHeading___Toc9423800_73709187">
            <w:r>
              <w:rPr>
                <w:webHidden/>
                <w:rStyle w:val="IndexLink"/>
                <w:rtl w:val="true"/>
              </w:rPr>
              <w:t>شکر و ثناء</w:t>
            </w:r>
            <w:r>
              <w:rPr>
                <w:rStyle w:val="IndexLink"/>
                <w:rtl w:val="true"/>
              </w:rPr>
              <w:tab/>
            </w:r>
            <w:r>
              <w:rPr>
                <w:rStyle w:val="IndexLink"/>
              </w:rPr>
              <w:t>46</w:t>
            </w:r>
          </w:hyperlink>
        </w:p>
        <w:p>
          <w:pPr>
            <w:pStyle w:val="Contents2"/>
            <w:tabs>
              <w:tab w:val="clear" w:pos="8743"/>
              <w:tab w:val="right" w:pos="9026" w:leader="dot"/>
            </w:tabs>
            <w:rPr/>
          </w:pPr>
          <w:hyperlink w:anchor="__RefHeading___Toc9423802_73709187">
            <w:r>
              <w:rPr>
                <w:webHidden/>
                <w:rStyle w:val="IndexLink"/>
                <w:rtl w:val="true"/>
              </w:rPr>
              <w:t>الباب الأوّل فی بیان وظائف الأبوین قبل التزویج و فی أیّام الحمل و بعد ولادته</w:t>
            </w:r>
            <w:r>
              <w:rPr>
                <w:rStyle w:val="IndexLink"/>
                <w:rtl w:val="true"/>
              </w:rPr>
              <w:tab/>
            </w:r>
            <w:r>
              <w:rPr>
                <w:rStyle w:val="IndexLink"/>
              </w:rPr>
              <w:t>48</w:t>
            </w:r>
          </w:hyperlink>
        </w:p>
        <w:p>
          <w:pPr>
            <w:pStyle w:val="Contents3"/>
            <w:tabs>
              <w:tab w:val="clear" w:pos="8459"/>
              <w:tab w:val="right" w:pos="9026" w:leader="dot"/>
            </w:tabs>
            <w:rPr/>
          </w:pPr>
          <w:hyperlink w:anchor="__RefHeading___Toc9423804_73709187">
            <w:r>
              <w:rPr>
                <w:webHidden/>
                <w:rStyle w:val="IndexLink"/>
                <w:rtl w:val="true"/>
              </w:rPr>
              <w:t>اشارة</w:t>
            </w:r>
            <w:r>
              <w:rPr>
                <w:rStyle w:val="IndexLink"/>
                <w:rtl w:val="true"/>
              </w:rPr>
              <w:tab/>
            </w:r>
            <w:r>
              <w:rPr>
                <w:rStyle w:val="IndexLink"/>
              </w:rPr>
              <w:t>48</w:t>
            </w:r>
          </w:hyperlink>
        </w:p>
        <w:p>
          <w:pPr>
            <w:pStyle w:val="Contents3"/>
            <w:tabs>
              <w:tab w:val="clear" w:pos="8459"/>
              <w:tab w:val="right" w:pos="9026" w:leader="dot"/>
            </w:tabs>
            <w:rPr/>
          </w:pPr>
          <w:hyperlink w:anchor="__RefHeading___Toc9423806_73709187">
            <w:r>
              <w:rPr>
                <w:webHidden/>
                <w:rStyle w:val="IndexLink"/>
                <w:rtl w:val="true"/>
              </w:rPr>
              <w:t>تمهید</w:t>
            </w:r>
            <w:r>
              <w:rPr>
                <w:rStyle w:val="IndexLink"/>
                <w:rtl w:val="true"/>
              </w:rPr>
              <w:t>:</w:t>
              <w:tab/>
            </w:r>
            <w:r>
              <w:rPr>
                <w:rStyle w:val="IndexLink"/>
              </w:rPr>
              <w:t>49</w:t>
            </w:r>
          </w:hyperlink>
        </w:p>
        <w:p>
          <w:pPr>
            <w:pStyle w:val="Contents3"/>
            <w:tabs>
              <w:tab w:val="clear" w:pos="8459"/>
              <w:tab w:val="right" w:pos="9026" w:leader="dot"/>
            </w:tabs>
            <w:rPr/>
          </w:pPr>
          <w:hyperlink w:anchor="__RefHeading___Toc9423808_73709187">
            <w:r>
              <w:rPr>
                <w:webHidden/>
                <w:rStyle w:val="IndexLink"/>
                <w:rtl w:val="true"/>
              </w:rPr>
              <w:t>الفصل الأول فی حکم استحباب الزواج أو وجوبه</w:t>
            </w:r>
            <w:r>
              <w:rPr>
                <w:rStyle w:val="IndexLink"/>
                <w:rtl w:val="true"/>
              </w:rPr>
              <w:tab/>
            </w:r>
            <w:r>
              <w:rPr>
                <w:rStyle w:val="IndexLink"/>
              </w:rPr>
              <w:t>51</w:t>
            </w:r>
          </w:hyperlink>
        </w:p>
        <w:p>
          <w:pPr>
            <w:pStyle w:val="Contents4"/>
            <w:tabs>
              <w:tab w:val="clear" w:pos="8176"/>
              <w:tab w:val="right" w:pos="9026" w:leader="dot"/>
            </w:tabs>
            <w:rPr/>
          </w:pPr>
          <w:hyperlink w:anchor="__RefHeading___Toc9423810_73709187">
            <w:r>
              <w:rPr>
                <w:webHidden/>
                <w:rStyle w:val="IndexLink"/>
                <w:rtl w:val="true"/>
              </w:rPr>
              <w:t>المبحث الأول</w:t>
            </w:r>
            <w:r>
              <w:rPr>
                <w:rStyle w:val="IndexLink"/>
                <w:rtl w:val="true"/>
              </w:rPr>
              <w:t xml:space="preserve">: </w:t>
            </w:r>
            <w:r>
              <w:rPr>
                <w:rStyle w:val="IndexLink"/>
                <w:rtl w:val="true"/>
              </w:rPr>
              <w:t>فی استحباب الزواج فی حدّ نفسه</w:t>
            </w:r>
            <w:r>
              <w:rPr>
                <w:rStyle w:val="IndexLink"/>
                <w:rtl w:val="true"/>
              </w:rPr>
              <w:tab/>
            </w:r>
            <w:r>
              <w:rPr>
                <w:rStyle w:val="IndexLink"/>
              </w:rPr>
              <w:t>51</w:t>
            </w:r>
          </w:hyperlink>
        </w:p>
        <w:p>
          <w:pPr>
            <w:pStyle w:val="Contents5"/>
            <w:tabs>
              <w:tab w:val="clear" w:pos="7892"/>
              <w:tab w:val="right" w:pos="9026" w:leader="dot"/>
            </w:tabs>
            <w:rPr/>
          </w:pPr>
          <w:hyperlink w:anchor="__RefHeading___Toc9423812_73709187">
            <w:r>
              <w:rPr>
                <w:webHidden/>
                <w:rStyle w:val="IndexLink"/>
                <w:rtl w:val="true"/>
              </w:rPr>
              <w:t>اشارة</w:t>
            </w:r>
            <w:r>
              <w:rPr>
                <w:rStyle w:val="IndexLink"/>
                <w:rtl w:val="true"/>
              </w:rPr>
              <w:tab/>
            </w:r>
            <w:r>
              <w:rPr>
                <w:rStyle w:val="IndexLink"/>
              </w:rPr>
              <w:t>51</w:t>
            </w:r>
          </w:hyperlink>
        </w:p>
        <w:p>
          <w:pPr>
            <w:pStyle w:val="Contents5"/>
            <w:tabs>
              <w:tab w:val="clear" w:pos="7892"/>
              <w:tab w:val="right" w:pos="9026" w:leader="dot"/>
            </w:tabs>
            <w:rPr/>
          </w:pPr>
          <w:hyperlink w:anchor="__RefHeading___Toc9423814_73709187">
            <w:r>
              <w:rPr>
                <w:webHidden/>
                <w:rStyle w:val="IndexLink"/>
                <w:rtl w:val="true"/>
              </w:rPr>
              <w:t>أمّا الکتاب</w:t>
            </w:r>
            <w:r>
              <w:rPr>
                <w:rStyle w:val="IndexLink"/>
                <w:rtl w:val="true"/>
              </w:rPr>
              <w:tab/>
            </w:r>
            <w:r>
              <w:rPr>
                <w:rStyle w:val="IndexLink"/>
              </w:rPr>
              <w:t>51</w:t>
            </w:r>
          </w:hyperlink>
        </w:p>
        <w:p>
          <w:pPr>
            <w:pStyle w:val="Contents5"/>
            <w:tabs>
              <w:tab w:val="clear" w:pos="7892"/>
              <w:tab w:val="right" w:pos="9026" w:leader="dot"/>
            </w:tabs>
            <w:rPr/>
          </w:pPr>
          <w:hyperlink w:anchor="__RefHeading___Toc9423816_73709187">
            <w:r>
              <w:rPr>
                <w:webHidden/>
                <w:rStyle w:val="IndexLink"/>
                <w:rtl w:val="true"/>
              </w:rPr>
              <w:t>و أمّا السنّة فطوائف</w:t>
            </w:r>
            <w:r>
              <w:rPr>
                <w:rStyle w:val="IndexLink"/>
                <w:rtl w:val="true"/>
              </w:rPr>
              <w:t>:</w:t>
              <w:tab/>
            </w:r>
            <w:r>
              <w:rPr>
                <w:rStyle w:val="IndexLink"/>
              </w:rPr>
              <w:t>52</w:t>
            </w:r>
          </w:hyperlink>
        </w:p>
        <w:p>
          <w:pPr>
            <w:pStyle w:val="Contents6"/>
            <w:tabs>
              <w:tab w:val="clear" w:pos="7609"/>
              <w:tab w:val="right" w:pos="9026" w:leader="dot"/>
            </w:tabs>
            <w:rPr/>
          </w:pPr>
          <w:hyperlink w:anchor="__RefHeading___Toc9423818_73709187">
            <w:r>
              <w:rPr>
                <w:webHidden/>
                <w:rStyle w:val="IndexLink"/>
                <w:rtl w:val="true"/>
              </w:rPr>
              <w:t>الطائفة الاُولی</w:t>
            </w:r>
            <w:r>
              <w:rPr>
                <w:rStyle w:val="IndexLink"/>
                <w:rtl w:val="true"/>
              </w:rPr>
              <w:t xml:space="preserve">: </w:t>
            </w:r>
            <w:r>
              <w:rPr>
                <w:rStyle w:val="IndexLink"/>
                <w:rtl w:val="true"/>
              </w:rPr>
              <w:t>ما جاء من أنَّ النکاح سنّة،</w:t>
            </w:r>
            <w:r>
              <w:rPr>
                <w:rStyle w:val="IndexLink"/>
                <w:rtl w:val="true"/>
              </w:rPr>
              <w:tab/>
            </w:r>
            <w:r>
              <w:rPr>
                <w:rStyle w:val="IndexLink"/>
              </w:rPr>
              <w:t>52</w:t>
            </w:r>
          </w:hyperlink>
        </w:p>
        <w:p>
          <w:pPr>
            <w:pStyle w:val="Contents6"/>
            <w:tabs>
              <w:tab w:val="clear" w:pos="7609"/>
              <w:tab w:val="right" w:pos="9026" w:leader="dot"/>
            </w:tabs>
            <w:rPr/>
          </w:pPr>
          <w:hyperlink w:anchor="__RefHeading___Toc9423820_73709187">
            <w:r>
              <w:rPr>
                <w:webHidden/>
                <w:rStyle w:val="IndexLink"/>
                <w:rtl w:val="true"/>
              </w:rPr>
              <w:t>الطائفة الثانیة</w:t>
            </w:r>
            <w:r>
              <w:rPr>
                <w:rStyle w:val="IndexLink"/>
                <w:rtl w:val="true"/>
              </w:rPr>
              <w:t xml:space="preserve">: </w:t>
            </w:r>
            <w:r>
              <w:rPr>
                <w:rStyle w:val="IndexLink"/>
                <w:rtl w:val="true"/>
              </w:rPr>
              <w:t>ما أمر فیها بالتزویج،</w:t>
            </w:r>
            <w:r>
              <w:rPr>
                <w:rStyle w:val="IndexLink"/>
                <w:rtl w:val="true"/>
              </w:rPr>
              <w:tab/>
            </w:r>
            <w:r>
              <w:rPr>
                <w:rStyle w:val="IndexLink"/>
              </w:rPr>
              <w:t>52</w:t>
            </w:r>
          </w:hyperlink>
        </w:p>
        <w:p>
          <w:pPr>
            <w:pStyle w:val="Contents6"/>
            <w:tabs>
              <w:tab w:val="clear" w:pos="7609"/>
              <w:tab w:val="right" w:pos="9026" w:leader="dot"/>
            </w:tabs>
            <w:rPr/>
          </w:pPr>
          <w:hyperlink w:anchor="__RefHeading___Toc9423822_73709187">
            <w:r>
              <w:rPr>
                <w:webHidden/>
                <w:rStyle w:val="IndexLink"/>
                <w:rtl w:val="true"/>
              </w:rPr>
              <w:t>الطائفة الثالثة</w:t>
            </w:r>
            <w:r>
              <w:rPr>
                <w:rStyle w:val="IndexLink"/>
                <w:rtl w:val="true"/>
              </w:rPr>
              <w:t xml:space="preserve">: </w:t>
            </w:r>
            <w:r>
              <w:rPr>
                <w:rStyle w:val="IndexLink"/>
                <w:rtl w:val="true"/>
              </w:rPr>
              <w:t>ما دَلّت علی کراهة العزوبة، و أفضلیة عبادة المتزوّج</w:t>
            </w:r>
            <w:r>
              <w:rPr>
                <w:rStyle w:val="IndexLink"/>
                <w:rtl w:val="true"/>
              </w:rPr>
              <w:tab/>
            </w:r>
            <w:r>
              <w:rPr>
                <w:rStyle w:val="IndexLink"/>
              </w:rPr>
              <w:t>53</w:t>
            </w:r>
          </w:hyperlink>
        </w:p>
        <w:p>
          <w:pPr>
            <w:pStyle w:val="Contents6"/>
            <w:tabs>
              <w:tab w:val="clear" w:pos="7609"/>
              <w:tab w:val="right" w:pos="9026" w:leader="dot"/>
            </w:tabs>
            <w:rPr/>
          </w:pPr>
          <w:hyperlink w:anchor="__RefHeading___Toc9423824_73709187">
            <w:r>
              <w:rPr>
                <w:webHidden/>
                <w:rStyle w:val="IndexLink"/>
                <w:rtl w:val="true"/>
              </w:rPr>
              <w:t>الطائفة الرابعة</w:t>
            </w:r>
            <w:r>
              <w:rPr>
                <w:rStyle w:val="IndexLink"/>
                <w:rtl w:val="true"/>
              </w:rPr>
              <w:t xml:space="preserve">: </w:t>
            </w:r>
            <w:r>
              <w:rPr>
                <w:rStyle w:val="IndexLink"/>
                <w:rtl w:val="true"/>
              </w:rPr>
              <w:t>و هی المقصود بالذکر خاصّة فی هذا المقام</w:t>
            </w:r>
            <w:r>
              <w:rPr>
                <w:rStyle w:val="IndexLink"/>
                <w:rtl w:val="true"/>
              </w:rPr>
              <w:tab/>
            </w:r>
            <w:r>
              <w:rPr>
                <w:rStyle w:val="IndexLink"/>
              </w:rPr>
              <w:t>53</w:t>
            </w:r>
          </w:hyperlink>
        </w:p>
        <w:p>
          <w:pPr>
            <w:pStyle w:val="Contents5"/>
            <w:tabs>
              <w:tab w:val="clear" w:pos="7892"/>
              <w:tab w:val="right" w:pos="9026" w:leader="dot"/>
            </w:tabs>
            <w:rPr/>
          </w:pPr>
          <w:hyperlink w:anchor="__RefHeading___Toc9423826_73709187">
            <w:r>
              <w:rPr>
                <w:webHidden/>
                <w:rStyle w:val="IndexLink"/>
                <w:rtl w:val="true"/>
              </w:rPr>
              <w:t>مذهب أهل السنّة فی المسألة</w:t>
            </w:r>
            <w:r>
              <w:rPr>
                <w:rStyle w:val="IndexLink"/>
                <w:rtl w:val="true"/>
              </w:rPr>
              <w:tab/>
            </w:r>
            <w:r>
              <w:rPr>
                <w:rStyle w:val="IndexLink"/>
              </w:rPr>
              <w:t>55</w:t>
            </w:r>
          </w:hyperlink>
        </w:p>
        <w:p>
          <w:pPr>
            <w:pStyle w:val="Contents4"/>
            <w:tabs>
              <w:tab w:val="clear" w:pos="8176"/>
              <w:tab w:val="right" w:pos="9026" w:leader="dot"/>
            </w:tabs>
            <w:rPr/>
          </w:pPr>
          <w:hyperlink w:anchor="__RefHeading___Toc9423828_73709187">
            <w:r>
              <w:rPr>
                <w:webHidden/>
                <w:rStyle w:val="IndexLink"/>
                <w:rtl w:val="true"/>
              </w:rPr>
              <w:t>المبحث الثانی</w:t>
            </w:r>
            <w:r>
              <w:rPr>
                <w:rStyle w:val="IndexLink"/>
                <w:rtl w:val="true"/>
              </w:rPr>
              <w:t xml:space="preserve">: </w:t>
            </w:r>
            <w:r>
              <w:rPr>
                <w:rStyle w:val="IndexLink"/>
                <w:rtl w:val="true"/>
              </w:rPr>
              <w:t>فی حکم الزواج ثانیاً و بالعرض</w:t>
            </w:r>
            <w:r>
              <w:rPr>
                <w:rStyle w:val="IndexLink"/>
                <w:rtl w:val="true"/>
              </w:rPr>
              <w:tab/>
            </w:r>
            <w:r>
              <w:rPr>
                <w:rStyle w:val="IndexLink"/>
              </w:rPr>
              <w:t>58</w:t>
            </w:r>
          </w:hyperlink>
        </w:p>
        <w:p>
          <w:pPr>
            <w:pStyle w:val="Contents3"/>
            <w:tabs>
              <w:tab w:val="clear" w:pos="8459"/>
              <w:tab w:val="right" w:pos="9026" w:leader="dot"/>
            </w:tabs>
            <w:rPr/>
          </w:pPr>
          <w:hyperlink w:anchor="__RefHeading___Toc9423830_73709187">
            <w:r>
              <w:rPr>
                <w:webHidden/>
                <w:rStyle w:val="IndexLink"/>
                <w:rtl w:val="true"/>
              </w:rPr>
              <w:t>الفصل الثانی فی بیان صفات الزوجین</w:t>
            </w:r>
            <w:r>
              <w:rPr>
                <w:rStyle w:val="IndexLink"/>
                <w:rtl w:val="true"/>
              </w:rPr>
              <w:tab/>
            </w:r>
            <w:r>
              <w:rPr>
                <w:rStyle w:val="IndexLink"/>
              </w:rPr>
              <w:t>61</w:t>
            </w:r>
          </w:hyperlink>
        </w:p>
        <w:p>
          <w:pPr>
            <w:pStyle w:val="Contents4"/>
            <w:tabs>
              <w:tab w:val="clear" w:pos="8176"/>
              <w:tab w:val="right" w:pos="9026" w:leader="dot"/>
            </w:tabs>
            <w:rPr/>
          </w:pPr>
          <w:hyperlink w:anchor="__RefHeading___Toc9423832_73709187">
            <w:r>
              <w:rPr>
                <w:webHidden/>
                <w:rStyle w:val="IndexLink"/>
                <w:rtl w:val="true"/>
              </w:rPr>
              <w:t>المبحث الأوّل</w:t>
            </w:r>
            <w:r>
              <w:rPr>
                <w:rStyle w:val="IndexLink"/>
                <w:rtl w:val="true"/>
              </w:rPr>
              <w:t xml:space="preserve">: </w:t>
            </w:r>
            <w:r>
              <w:rPr>
                <w:rStyle w:val="IndexLink"/>
                <w:rtl w:val="true"/>
              </w:rPr>
              <w:t>فی الصفات التی یستحبّ النکاح لأجلها</w:t>
            </w:r>
            <w:r>
              <w:rPr>
                <w:rStyle w:val="IndexLink"/>
                <w:rtl w:val="true"/>
              </w:rPr>
              <w:tab/>
            </w:r>
            <w:r>
              <w:rPr>
                <w:rStyle w:val="IndexLink"/>
              </w:rPr>
              <w:t>61</w:t>
            </w:r>
          </w:hyperlink>
        </w:p>
        <w:p>
          <w:pPr>
            <w:pStyle w:val="Contents5"/>
            <w:tabs>
              <w:tab w:val="clear" w:pos="7892"/>
              <w:tab w:val="right" w:pos="9026" w:leader="dot"/>
            </w:tabs>
            <w:rPr/>
          </w:pPr>
          <w:hyperlink w:anchor="__RefHeading___Toc9423834_73709187">
            <w:r>
              <w:rPr>
                <w:webHidden/>
                <w:rStyle w:val="IndexLink"/>
                <w:rtl w:val="true"/>
              </w:rPr>
              <w:t>اشارة</w:t>
            </w:r>
            <w:r>
              <w:rPr>
                <w:rStyle w:val="IndexLink"/>
                <w:rtl w:val="true"/>
              </w:rPr>
              <w:tab/>
            </w:r>
            <w:r>
              <w:rPr>
                <w:rStyle w:val="IndexLink"/>
              </w:rPr>
              <w:t>61</w:t>
            </w:r>
          </w:hyperlink>
        </w:p>
        <w:p>
          <w:pPr>
            <w:pStyle w:val="Contents5"/>
            <w:tabs>
              <w:tab w:val="clear" w:pos="7892"/>
              <w:tab w:val="right" w:pos="9026" w:leader="dot"/>
            </w:tabs>
            <w:rPr/>
          </w:pPr>
          <w:hyperlink w:anchor="__RefHeading___Toc9423836_73709187">
            <w:r>
              <w:rPr>
                <w:webHidden/>
                <w:rStyle w:val="IndexLink"/>
                <w:rtl w:val="true"/>
              </w:rPr>
              <w:t>صفات المرأة</w:t>
            </w:r>
            <w:r>
              <w:rPr>
                <w:rStyle w:val="IndexLink"/>
                <w:rtl w:val="true"/>
              </w:rPr>
              <w:tab/>
            </w:r>
            <w:r>
              <w:rPr>
                <w:rStyle w:val="IndexLink"/>
              </w:rPr>
              <w:t>63</w:t>
            </w:r>
          </w:hyperlink>
        </w:p>
        <w:p>
          <w:pPr>
            <w:pStyle w:val="Contents6"/>
            <w:tabs>
              <w:tab w:val="clear" w:pos="7609"/>
              <w:tab w:val="right" w:pos="9026" w:leader="dot"/>
            </w:tabs>
            <w:rPr/>
          </w:pPr>
          <w:hyperlink w:anchor="__RefHeading___Toc9423838_73709187">
            <w:r>
              <w:rPr>
                <w:webHidden/>
                <w:rStyle w:val="IndexLink"/>
                <w:rtl w:val="true"/>
              </w:rPr>
              <w:t xml:space="preserve">أ </w:t>
            </w:r>
            <w:r>
              <w:rPr>
                <w:rStyle w:val="IndexLink"/>
                <w:rtl w:val="true"/>
              </w:rPr>
              <w:t xml:space="preserve">- </w:t>
            </w:r>
            <w:r>
              <w:rPr>
                <w:rStyle w:val="IndexLink"/>
                <w:rtl w:val="true"/>
              </w:rPr>
              <w:t>أن تکون المرأة کریمة الأصل ذات دِینٍ‌</w:t>
            </w:r>
            <w:r>
              <w:rPr>
                <w:rStyle w:val="IndexLink"/>
                <w:rtl w:val="true"/>
              </w:rPr>
              <w:tab/>
            </w:r>
            <w:r>
              <w:rPr>
                <w:rStyle w:val="IndexLink"/>
              </w:rPr>
              <w:t>63</w:t>
            </w:r>
          </w:hyperlink>
        </w:p>
        <w:p>
          <w:pPr>
            <w:pStyle w:val="Contents6"/>
            <w:tabs>
              <w:tab w:val="clear" w:pos="7609"/>
              <w:tab w:val="right" w:pos="9026" w:leader="dot"/>
            </w:tabs>
            <w:rPr/>
          </w:pPr>
          <w:hyperlink w:anchor="__RefHeading___Toc9423840_73709187">
            <w:r>
              <w:rPr>
                <w:webHidden/>
                <w:rStyle w:val="IndexLink"/>
                <w:rtl w:val="true"/>
              </w:rPr>
              <w:t xml:space="preserve">ب </w:t>
            </w:r>
            <w:r>
              <w:rPr>
                <w:rStyle w:val="IndexLink"/>
                <w:rtl w:val="true"/>
              </w:rPr>
              <w:t xml:space="preserve">- </w:t>
            </w:r>
            <w:r>
              <w:rPr>
                <w:rStyle w:val="IndexLink"/>
                <w:rtl w:val="true"/>
              </w:rPr>
              <w:t>أن تکون باکرةً‌</w:t>
            </w:r>
            <w:r>
              <w:rPr>
                <w:rStyle w:val="IndexLink"/>
                <w:rtl w:val="true"/>
              </w:rPr>
              <w:tab/>
            </w:r>
            <w:r>
              <w:rPr>
                <w:rStyle w:val="IndexLink"/>
              </w:rPr>
              <w:t>64</w:t>
            </w:r>
          </w:hyperlink>
        </w:p>
        <w:p>
          <w:pPr>
            <w:pStyle w:val="Contents6"/>
            <w:tabs>
              <w:tab w:val="clear" w:pos="7609"/>
              <w:tab w:val="right" w:pos="9026" w:leader="dot"/>
            </w:tabs>
            <w:rPr/>
          </w:pPr>
          <w:hyperlink w:anchor="__RefHeading___Toc9423842_73709187">
            <w:r>
              <w:rPr>
                <w:webHidden/>
                <w:rStyle w:val="IndexLink"/>
                <w:rtl w:val="true"/>
              </w:rPr>
              <w:t xml:space="preserve">ج </w:t>
            </w:r>
            <w:r>
              <w:rPr>
                <w:rStyle w:val="IndexLink"/>
                <w:rtl w:val="true"/>
              </w:rPr>
              <w:t xml:space="preserve">- </w:t>
            </w:r>
            <w:r>
              <w:rPr>
                <w:rStyle w:val="IndexLink"/>
                <w:rtl w:val="true"/>
              </w:rPr>
              <w:t>أن تکون المرأة عفیفةً، ولوداً، و دوداً</w:t>
            </w:r>
            <w:r>
              <w:rPr>
                <w:rStyle w:val="IndexLink"/>
                <w:rtl w:val="true"/>
              </w:rPr>
              <w:tab/>
            </w:r>
            <w:r>
              <w:rPr>
                <w:rStyle w:val="IndexLink"/>
              </w:rPr>
              <w:t>65</w:t>
            </w:r>
          </w:hyperlink>
        </w:p>
        <w:p>
          <w:pPr>
            <w:pStyle w:val="Contents6"/>
            <w:tabs>
              <w:tab w:val="clear" w:pos="7609"/>
              <w:tab w:val="right" w:pos="9026" w:leader="dot"/>
            </w:tabs>
            <w:rPr/>
          </w:pPr>
          <w:hyperlink w:anchor="__RefHeading___Toc9423844_73709187">
            <w:r>
              <w:rPr>
                <w:webHidden/>
                <w:rStyle w:val="IndexLink"/>
                <w:rtl w:val="true"/>
              </w:rPr>
              <w:t xml:space="preserve">د </w:t>
            </w:r>
            <w:r>
              <w:rPr>
                <w:rStyle w:val="IndexLink"/>
                <w:rtl w:val="true"/>
              </w:rPr>
              <w:t xml:space="preserve">- </w:t>
            </w:r>
            <w:r>
              <w:rPr>
                <w:rStyle w:val="IndexLink"/>
                <w:rtl w:val="true"/>
              </w:rPr>
              <w:t>أن تکون جمیلةً ذات شعرٍ</w:t>
            </w:r>
            <w:r>
              <w:rPr>
                <w:rStyle w:val="IndexLink"/>
                <w:rtl w:val="true"/>
              </w:rPr>
              <w:tab/>
            </w:r>
            <w:r>
              <w:rPr>
                <w:rStyle w:val="IndexLink"/>
              </w:rPr>
              <w:t>66</w:t>
            </w:r>
          </w:hyperlink>
        </w:p>
        <w:p>
          <w:pPr>
            <w:pStyle w:val="Contents6"/>
            <w:tabs>
              <w:tab w:val="clear" w:pos="7609"/>
              <w:tab w:val="right" w:pos="9026" w:leader="dot"/>
            </w:tabs>
            <w:rPr/>
          </w:pPr>
          <w:hyperlink w:anchor="__RefHeading___Toc9423846_73709187">
            <w:r>
              <w:rPr>
                <w:webHidden/>
                <w:rStyle w:val="IndexLink"/>
                <w:rtl w:val="true"/>
              </w:rPr>
              <w:t xml:space="preserve">ه </w:t>
            </w:r>
            <w:r>
              <w:rPr>
                <w:rStyle w:val="IndexLink"/>
                <w:rtl w:val="true"/>
              </w:rPr>
              <w:t xml:space="preserve">- </w:t>
            </w:r>
            <w:r>
              <w:rPr>
                <w:rStyle w:val="IndexLink"/>
                <w:rtl w:val="true"/>
              </w:rPr>
              <w:t>أن تکون صالحة مطیعة</w:t>
            </w:r>
            <w:r>
              <w:rPr>
                <w:rStyle w:val="IndexLink"/>
                <w:rtl w:val="true"/>
              </w:rPr>
              <w:tab/>
            </w:r>
            <w:r>
              <w:rPr>
                <w:rStyle w:val="IndexLink"/>
              </w:rPr>
              <w:t>67</w:t>
            </w:r>
          </w:hyperlink>
        </w:p>
        <w:p>
          <w:pPr>
            <w:pStyle w:val="Contents6"/>
            <w:tabs>
              <w:tab w:val="clear" w:pos="7609"/>
              <w:tab w:val="right" w:pos="9026" w:leader="dot"/>
            </w:tabs>
            <w:rPr/>
          </w:pPr>
          <w:hyperlink w:anchor="__RefHeading___Toc9423848_73709187">
            <w:r>
              <w:rPr>
                <w:webHidden/>
                <w:rStyle w:val="IndexLink"/>
                <w:rtl w:val="true"/>
              </w:rPr>
              <w:t xml:space="preserve">و </w:t>
            </w:r>
            <w:r>
              <w:rPr>
                <w:rStyle w:val="IndexLink"/>
                <w:rtl w:val="true"/>
              </w:rPr>
              <w:t xml:space="preserve">- </w:t>
            </w:r>
            <w:r>
              <w:rPr>
                <w:rStyle w:val="IndexLink"/>
                <w:rtl w:val="true"/>
              </w:rPr>
              <w:t>أن تکون متوسطةً بین البیاض و السواد</w:t>
            </w:r>
            <w:r>
              <w:rPr>
                <w:rStyle w:val="IndexLink"/>
                <w:rtl w:val="true"/>
              </w:rPr>
              <w:tab/>
            </w:r>
            <w:r>
              <w:rPr>
                <w:rStyle w:val="IndexLink"/>
              </w:rPr>
              <w:t>68</w:t>
            </w:r>
          </w:hyperlink>
        </w:p>
        <w:p>
          <w:pPr>
            <w:pStyle w:val="Contents6"/>
            <w:tabs>
              <w:tab w:val="clear" w:pos="7609"/>
              <w:tab w:val="right" w:pos="9026" w:leader="dot"/>
            </w:tabs>
            <w:rPr/>
          </w:pPr>
          <w:hyperlink w:anchor="__RefHeading___Toc9423850_73709187">
            <w:r>
              <w:rPr>
                <w:webHidden/>
                <w:rStyle w:val="IndexLink"/>
                <w:rtl w:val="true"/>
              </w:rPr>
              <w:t xml:space="preserve">ز </w:t>
            </w:r>
            <w:r>
              <w:rPr>
                <w:rStyle w:val="IndexLink"/>
                <w:rtl w:val="true"/>
              </w:rPr>
              <w:t xml:space="preserve">- </w:t>
            </w:r>
            <w:r>
              <w:rPr>
                <w:rStyle w:val="IndexLink"/>
                <w:rtl w:val="true"/>
              </w:rPr>
              <w:t>أن تکون طیّبة الریح</w:t>
            </w:r>
            <w:r>
              <w:rPr>
                <w:rStyle w:val="IndexLink"/>
                <w:rtl w:val="true"/>
              </w:rPr>
              <w:tab/>
            </w:r>
            <w:r>
              <w:rPr>
                <w:rStyle w:val="IndexLink"/>
              </w:rPr>
              <w:t>69</w:t>
            </w:r>
          </w:hyperlink>
        </w:p>
        <w:p>
          <w:pPr>
            <w:pStyle w:val="Contents6"/>
            <w:tabs>
              <w:tab w:val="clear" w:pos="7609"/>
              <w:tab w:val="right" w:pos="9026" w:leader="dot"/>
            </w:tabs>
            <w:rPr/>
          </w:pPr>
          <w:hyperlink w:anchor="__RefHeading___Toc9423852_73709187">
            <w:r>
              <w:rPr>
                <w:webHidden/>
                <w:rStyle w:val="IndexLink"/>
                <w:rtl w:val="true"/>
              </w:rPr>
              <w:t xml:space="preserve">ح </w:t>
            </w:r>
            <w:r>
              <w:rPr>
                <w:rStyle w:val="IndexLink"/>
                <w:rtl w:val="true"/>
              </w:rPr>
              <w:t xml:space="preserve">- </w:t>
            </w:r>
            <w:r>
              <w:rPr>
                <w:rStyle w:val="IndexLink"/>
                <w:rtl w:val="true"/>
              </w:rPr>
              <w:t>أن تکون حدیدة النظر</w:t>
            </w:r>
            <w:r>
              <w:rPr>
                <w:rStyle w:val="IndexLink"/>
                <w:rtl w:val="true"/>
              </w:rPr>
              <w:tab/>
            </w:r>
            <w:r>
              <w:rPr>
                <w:rStyle w:val="IndexLink"/>
              </w:rPr>
              <w:t>69</w:t>
            </w:r>
          </w:hyperlink>
        </w:p>
        <w:p>
          <w:pPr>
            <w:pStyle w:val="Contents6"/>
            <w:tabs>
              <w:tab w:val="clear" w:pos="7609"/>
              <w:tab w:val="right" w:pos="9026" w:leader="dot"/>
            </w:tabs>
            <w:rPr/>
          </w:pPr>
          <w:hyperlink w:anchor="__RefHeading___Toc9423854_73709187">
            <w:r>
              <w:rPr>
                <w:webHidden/>
                <w:rStyle w:val="IndexLink"/>
                <w:rtl w:val="true"/>
              </w:rPr>
              <w:t xml:space="preserve">ط </w:t>
            </w:r>
            <w:r>
              <w:rPr>
                <w:rStyle w:val="IndexLink"/>
                <w:rtl w:val="true"/>
              </w:rPr>
              <w:t xml:space="preserve">- </w:t>
            </w:r>
            <w:r>
              <w:rPr>
                <w:rStyle w:val="IndexLink"/>
                <w:rtl w:val="true"/>
              </w:rPr>
              <w:t>أن تکون خفیفة المؤنة و المهر</w:t>
            </w:r>
            <w:r>
              <w:rPr>
                <w:rStyle w:val="IndexLink"/>
                <w:rtl w:val="true"/>
              </w:rPr>
              <w:tab/>
            </w:r>
            <w:r>
              <w:rPr>
                <w:rStyle w:val="IndexLink"/>
              </w:rPr>
              <w:t>70</w:t>
            </w:r>
          </w:hyperlink>
        </w:p>
        <w:p>
          <w:pPr>
            <w:pStyle w:val="Contents6"/>
            <w:tabs>
              <w:tab w:val="clear" w:pos="7609"/>
              <w:tab w:val="right" w:pos="9026" w:leader="dot"/>
            </w:tabs>
            <w:rPr/>
          </w:pPr>
          <w:hyperlink w:anchor="__RefHeading___Toc9423856_73709187">
            <w:r>
              <w:rPr>
                <w:webHidden/>
                <w:rStyle w:val="IndexLink"/>
                <w:rtl w:val="true"/>
              </w:rPr>
              <w:t xml:space="preserve">ی </w:t>
            </w:r>
            <w:r>
              <w:rPr>
                <w:rStyle w:val="IndexLink"/>
                <w:rtl w:val="true"/>
              </w:rPr>
              <w:t xml:space="preserve">- </w:t>
            </w:r>
            <w:r>
              <w:rPr>
                <w:rStyle w:val="IndexLink"/>
                <w:rtl w:val="true"/>
              </w:rPr>
              <w:t>أن تکون قریبة</w:t>
            </w:r>
            <w:r>
              <w:rPr>
                <w:rStyle w:val="IndexLink"/>
                <w:rtl w:val="true"/>
              </w:rPr>
              <w:tab/>
            </w:r>
            <w:r>
              <w:rPr>
                <w:rStyle w:val="IndexLink"/>
              </w:rPr>
              <w:t>71</w:t>
            </w:r>
          </w:hyperlink>
        </w:p>
        <w:p>
          <w:pPr>
            <w:pStyle w:val="Contents5"/>
            <w:tabs>
              <w:tab w:val="clear" w:pos="7892"/>
              <w:tab w:val="right" w:pos="9026" w:leader="dot"/>
            </w:tabs>
            <w:rPr/>
          </w:pPr>
          <w:hyperlink w:anchor="__RefHeading___Toc9423858_73709187">
            <w:r>
              <w:rPr>
                <w:webHidden/>
                <w:rStyle w:val="IndexLink"/>
                <w:rtl w:val="true"/>
              </w:rPr>
              <w:t>ما یستحبّ للمرأة و أهلها فی اختیارها الزوج</w:t>
            </w:r>
            <w:r>
              <w:rPr>
                <w:rStyle w:val="IndexLink"/>
                <w:rtl w:val="true"/>
              </w:rPr>
              <w:tab/>
            </w:r>
            <w:r>
              <w:rPr>
                <w:rStyle w:val="IndexLink"/>
              </w:rPr>
              <w:t>73</w:t>
            </w:r>
          </w:hyperlink>
        </w:p>
        <w:p>
          <w:pPr>
            <w:pStyle w:val="Contents4"/>
            <w:tabs>
              <w:tab w:val="clear" w:pos="8176"/>
              <w:tab w:val="right" w:pos="9026" w:leader="dot"/>
            </w:tabs>
            <w:rPr/>
          </w:pPr>
          <w:hyperlink w:anchor="__RefHeading___Toc9423860_73709187">
            <w:r>
              <w:rPr>
                <w:webHidden/>
                <w:rStyle w:val="IndexLink"/>
                <w:rtl w:val="true"/>
              </w:rPr>
              <w:t>المبحث الثانی</w:t>
            </w:r>
            <w:r>
              <w:rPr>
                <w:rStyle w:val="IndexLink"/>
                <w:rtl w:val="true"/>
              </w:rPr>
              <w:t xml:space="preserve">: </w:t>
            </w:r>
            <w:r>
              <w:rPr>
                <w:rStyle w:val="IndexLink"/>
                <w:rtl w:val="true"/>
              </w:rPr>
              <w:t>فی الصفات التی یکره التزویج من أجلها</w:t>
            </w:r>
            <w:r>
              <w:rPr>
                <w:rStyle w:val="IndexLink"/>
                <w:rtl w:val="true"/>
              </w:rPr>
              <w:tab/>
            </w:r>
            <w:r>
              <w:rPr>
                <w:rStyle w:val="IndexLink"/>
              </w:rPr>
              <w:t>76</w:t>
            </w:r>
          </w:hyperlink>
        </w:p>
        <w:p>
          <w:pPr>
            <w:pStyle w:val="Contents3"/>
            <w:tabs>
              <w:tab w:val="clear" w:pos="8459"/>
              <w:tab w:val="right" w:pos="9026" w:leader="dot"/>
            </w:tabs>
            <w:rPr/>
          </w:pPr>
          <w:hyperlink w:anchor="__RefHeading___Toc9423862_73709187">
            <w:r>
              <w:rPr>
                <w:webHidden/>
                <w:rStyle w:val="IndexLink"/>
                <w:rtl w:val="true"/>
              </w:rPr>
              <w:t>الفصل الثالث فی مسائل الخلوة</w:t>
            </w:r>
            <w:r>
              <w:rPr>
                <w:rStyle w:val="IndexLink"/>
                <w:rtl w:val="true"/>
              </w:rPr>
              <w:tab/>
            </w:r>
            <w:r>
              <w:rPr>
                <w:rStyle w:val="IndexLink"/>
              </w:rPr>
              <w:t>97</w:t>
            </w:r>
          </w:hyperlink>
        </w:p>
        <w:p>
          <w:pPr>
            <w:pStyle w:val="Contents4"/>
            <w:tabs>
              <w:tab w:val="clear" w:pos="8176"/>
              <w:tab w:val="right" w:pos="9026" w:leader="dot"/>
            </w:tabs>
            <w:rPr/>
          </w:pPr>
          <w:hyperlink w:anchor="__RefHeading___Toc9423864_73709187">
            <w:r>
              <w:rPr>
                <w:webHidden/>
                <w:rStyle w:val="IndexLink"/>
                <w:rtl w:val="true"/>
              </w:rPr>
              <w:t>تمهید</w:t>
            </w:r>
            <w:r>
              <w:rPr>
                <w:rStyle w:val="IndexLink"/>
                <w:rtl w:val="true"/>
              </w:rPr>
              <w:tab/>
            </w:r>
            <w:r>
              <w:rPr>
                <w:rStyle w:val="IndexLink"/>
              </w:rPr>
              <w:t>97</w:t>
            </w:r>
          </w:hyperlink>
        </w:p>
        <w:p>
          <w:pPr>
            <w:pStyle w:val="Contents4"/>
            <w:tabs>
              <w:tab w:val="clear" w:pos="8176"/>
              <w:tab w:val="right" w:pos="9026" w:leader="dot"/>
            </w:tabs>
            <w:rPr/>
          </w:pPr>
          <w:hyperlink w:anchor="__RefHeading___Toc9423866_73709187">
            <w:r>
              <w:rPr>
                <w:webHidden/>
                <w:rStyle w:val="IndexLink"/>
                <w:rtl w:val="true"/>
              </w:rPr>
              <w:t>المبحث الأول</w:t>
            </w:r>
            <w:r>
              <w:rPr>
                <w:rStyle w:val="IndexLink"/>
                <w:rtl w:val="true"/>
              </w:rPr>
              <w:t xml:space="preserve">: </w:t>
            </w:r>
            <w:r>
              <w:rPr>
                <w:rStyle w:val="IndexLink"/>
                <w:rtl w:val="true"/>
              </w:rPr>
              <w:t>فی المسائل المستحبّة عند الخلوة</w:t>
            </w:r>
            <w:r>
              <w:rPr>
                <w:rStyle w:val="IndexLink"/>
                <w:rtl w:val="true"/>
              </w:rPr>
              <w:tab/>
            </w:r>
            <w:r>
              <w:rPr>
                <w:rStyle w:val="IndexLink"/>
              </w:rPr>
              <w:t>99</w:t>
            </w:r>
          </w:hyperlink>
        </w:p>
        <w:p>
          <w:pPr>
            <w:pStyle w:val="Contents5"/>
            <w:tabs>
              <w:tab w:val="clear" w:pos="7892"/>
              <w:tab w:val="right" w:pos="9026" w:leader="dot"/>
            </w:tabs>
            <w:rPr/>
          </w:pPr>
          <w:hyperlink w:anchor="__RefHeading___Toc9423868_73709187">
            <w:r>
              <w:rPr>
                <w:webHidden/>
                <w:rStyle w:val="IndexLink"/>
                <w:rtl w:val="true"/>
              </w:rPr>
              <w:t>اشارة</w:t>
            </w:r>
            <w:r>
              <w:rPr>
                <w:rStyle w:val="IndexLink"/>
                <w:rtl w:val="true"/>
              </w:rPr>
              <w:tab/>
            </w:r>
            <w:r>
              <w:rPr>
                <w:rStyle w:val="IndexLink"/>
              </w:rPr>
              <w:t>99</w:t>
            </w:r>
          </w:hyperlink>
        </w:p>
        <w:p>
          <w:pPr>
            <w:pStyle w:val="Contents5"/>
            <w:tabs>
              <w:tab w:val="clear" w:pos="7892"/>
              <w:tab w:val="right" w:pos="9026" w:leader="dot"/>
            </w:tabs>
            <w:rPr/>
          </w:pPr>
          <w:hyperlink w:anchor="__RefHeading___Toc9423870_73709187">
            <w:r>
              <w:rPr>
                <w:webHidden/>
                <w:rStyle w:val="IndexLink"/>
                <w:rtl w:val="true"/>
              </w:rPr>
              <w:t xml:space="preserve">أ </w:t>
            </w:r>
            <w:r>
              <w:rPr>
                <w:rStyle w:val="IndexLink"/>
                <w:rtl w:val="true"/>
              </w:rPr>
              <w:t xml:space="preserve">- </w:t>
            </w:r>
            <w:r>
              <w:rPr>
                <w:rStyle w:val="IndexLink"/>
                <w:rtl w:val="true"/>
              </w:rPr>
              <w:t>ذکر اللّه تعالی و الاستعاذة به من الشیطان</w:t>
            </w:r>
            <w:r>
              <w:rPr>
                <w:rStyle w:val="IndexLink"/>
                <w:rtl w:val="true"/>
              </w:rPr>
              <w:tab/>
            </w:r>
            <w:r>
              <w:rPr>
                <w:rStyle w:val="IndexLink"/>
              </w:rPr>
              <w:t>99</w:t>
            </w:r>
          </w:hyperlink>
        </w:p>
        <w:p>
          <w:pPr>
            <w:pStyle w:val="Contents5"/>
            <w:tabs>
              <w:tab w:val="clear" w:pos="7892"/>
              <w:tab w:val="right" w:pos="9026" w:leader="dot"/>
            </w:tabs>
            <w:rPr/>
          </w:pPr>
          <w:hyperlink w:anchor="__RefHeading___Toc9423872_73709187">
            <w:r>
              <w:rPr>
                <w:webHidden/>
                <w:rStyle w:val="IndexLink"/>
                <w:rtl w:val="true"/>
              </w:rPr>
              <w:t xml:space="preserve">ب </w:t>
            </w:r>
            <w:r>
              <w:rPr>
                <w:rStyle w:val="IndexLink"/>
                <w:rtl w:val="true"/>
              </w:rPr>
              <w:t xml:space="preserve">- </w:t>
            </w:r>
            <w:r>
              <w:rPr>
                <w:rStyle w:val="IndexLink"/>
                <w:rtl w:val="true"/>
              </w:rPr>
              <w:t>أن یکون کلّ من الزوج و الزوجة حین الجماع علی طهارة</w:t>
            </w:r>
            <w:r>
              <w:rPr>
                <w:rStyle w:val="IndexLink"/>
                <w:rtl w:val="true"/>
              </w:rPr>
              <w:tab/>
            </w:r>
            <w:r>
              <w:rPr>
                <w:rStyle w:val="IndexLink"/>
              </w:rPr>
              <w:t>100</w:t>
            </w:r>
          </w:hyperlink>
        </w:p>
        <w:p>
          <w:pPr>
            <w:pStyle w:val="Contents5"/>
            <w:tabs>
              <w:tab w:val="clear" w:pos="7892"/>
              <w:tab w:val="right" w:pos="9026" w:leader="dot"/>
            </w:tabs>
            <w:rPr/>
          </w:pPr>
          <w:hyperlink w:anchor="__RefHeading___Toc9423874_73709187">
            <w:r>
              <w:rPr>
                <w:webHidden/>
                <w:rStyle w:val="IndexLink"/>
                <w:rtl w:val="true"/>
              </w:rPr>
              <w:t xml:space="preserve">ج </w:t>
            </w:r>
            <w:r>
              <w:rPr>
                <w:rStyle w:val="IndexLink"/>
                <w:rtl w:val="true"/>
              </w:rPr>
              <w:t xml:space="preserve">- </w:t>
            </w:r>
            <w:r>
              <w:rPr>
                <w:rStyle w:val="IndexLink"/>
                <w:rtl w:val="true"/>
              </w:rPr>
              <w:t>أن یکون الجماع فی لیالی مخصوصة</w:t>
            </w:r>
            <w:r>
              <w:rPr>
                <w:rStyle w:val="IndexLink"/>
                <w:rtl w:val="true"/>
              </w:rPr>
              <w:tab/>
            </w:r>
            <w:r>
              <w:rPr>
                <w:rStyle w:val="IndexLink"/>
              </w:rPr>
              <w:t>101</w:t>
            </w:r>
          </w:hyperlink>
        </w:p>
        <w:p>
          <w:pPr>
            <w:pStyle w:val="Contents5"/>
            <w:tabs>
              <w:tab w:val="clear" w:pos="7892"/>
              <w:tab w:val="right" w:pos="9026" w:leader="dot"/>
            </w:tabs>
            <w:rPr/>
          </w:pPr>
          <w:hyperlink w:anchor="__RefHeading___Toc9423876_73709187">
            <w:r>
              <w:rPr>
                <w:webHidden/>
                <w:rStyle w:val="IndexLink"/>
                <w:rtl w:val="true"/>
              </w:rPr>
              <w:t xml:space="preserve">د </w:t>
            </w:r>
            <w:r>
              <w:rPr>
                <w:rStyle w:val="IndexLink"/>
                <w:rtl w:val="true"/>
              </w:rPr>
              <w:t xml:space="preserve">- </w:t>
            </w:r>
            <w:r>
              <w:rPr>
                <w:rStyle w:val="IndexLink"/>
                <w:rtl w:val="true"/>
              </w:rPr>
              <w:t>أن تکون خرقة الرجل غیر خرقة المرأة</w:t>
            </w:r>
            <w:r>
              <w:rPr>
                <w:rStyle w:val="IndexLink"/>
                <w:rtl w:val="true"/>
              </w:rPr>
              <w:tab/>
            </w:r>
            <w:r>
              <w:rPr>
                <w:rStyle w:val="IndexLink"/>
              </w:rPr>
              <w:t>102</w:t>
            </w:r>
          </w:hyperlink>
        </w:p>
        <w:p>
          <w:pPr>
            <w:pStyle w:val="Contents4"/>
            <w:tabs>
              <w:tab w:val="clear" w:pos="8176"/>
              <w:tab w:val="right" w:pos="9026" w:leader="dot"/>
            </w:tabs>
            <w:rPr/>
          </w:pPr>
          <w:hyperlink w:anchor="__RefHeading___Toc9423878_73709187">
            <w:r>
              <w:rPr>
                <w:webHidden/>
                <w:rStyle w:val="IndexLink"/>
                <w:rtl w:val="true"/>
              </w:rPr>
              <w:t>المبحث الثانی</w:t>
            </w:r>
            <w:r>
              <w:rPr>
                <w:rStyle w:val="IndexLink"/>
                <w:rtl w:val="true"/>
              </w:rPr>
              <w:t>:</w:t>
              <w:tab/>
            </w:r>
            <w:r>
              <w:rPr>
                <w:rStyle w:val="IndexLink"/>
              </w:rPr>
              <w:t>103</w:t>
            </w:r>
          </w:hyperlink>
        </w:p>
        <w:p>
          <w:pPr>
            <w:pStyle w:val="Contents5"/>
            <w:tabs>
              <w:tab w:val="clear" w:pos="7892"/>
              <w:tab w:val="right" w:pos="9026" w:leader="dot"/>
            </w:tabs>
            <w:rPr/>
          </w:pPr>
          <w:hyperlink w:anchor="__RefHeading___Toc9423880_73709187">
            <w:r>
              <w:rPr>
                <w:webHidden/>
                <w:rStyle w:val="IndexLink"/>
                <w:rtl w:val="true"/>
              </w:rPr>
              <w:t>اشارة</w:t>
            </w:r>
            <w:r>
              <w:rPr>
                <w:rStyle w:val="IndexLink"/>
                <w:rtl w:val="true"/>
              </w:rPr>
              <w:tab/>
            </w:r>
            <w:r>
              <w:rPr>
                <w:rStyle w:val="IndexLink"/>
              </w:rPr>
              <w:t>103</w:t>
            </w:r>
          </w:hyperlink>
        </w:p>
        <w:p>
          <w:pPr>
            <w:pStyle w:val="Contents5"/>
            <w:tabs>
              <w:tab w:val="clear" w:pos="7892"/>
              <w:tab w:val="right" w:pos="9026" w:leader="dot"/>
            </w:tabs>
            <w:rPr/>
          </w:pPr>
          <w:hyperlink w:anchor="__RefHeading___Toc9423882_73709187">
            <w:r>
              <w:rPr>
                <w:webHidden/>
                <w:rStyle w:val="IndexLink"/>
                <w:rtl w:val="true"/>
              </w:rPr>
              <w:t>المطلب الأوّل</w:t>
            </w:r>
            <w:r>
              <w:rPr>
                <w:rStyle w:val="IndexLink"/>
                <w:rtl w:val="true"/>
              </w:rPr>
              <w:t xml:space="preserve">: </w:t>
            </w:r>
            <w:r>
              <w:rPr>
                <w:rStyle w:val="IndexLink"/>
                <w:rtl w:val="true"/>
              </w:rPr>
              <w:t>کراهة الجماع فی أوقات معیّنة</w:t>
            </w:r>
            <w:r>
              <w:rPr>
                <w:rStyle w:val="IndexLink"/>
                <w:rtl w:val="true"/>
              </w:rPr>
              <w:tab/>
            </w:r>
            <w:r>
              <w:rPr>
                <w:rStyle w:val="IndexLink"/>
              </w:rPr>
              <w:t>103</w:t>
            </w:r>
          </w:hyperlink>
        </w:p>
        <w:p>
          <w:pPr>
            <w:pStyle w:val="Contents5"/>
            <w:tabs>
              <w:tab w:val="clear" w:pos="7892"/>
              <w:tab w:val="right" w:pos="9026" w:leader="dot"/>
            </w:tabs>
            <w:rPr/>
          </w:pPr>
          <w:hyperlink w:anchor="__RefHeading___Toc9423884_73709187">
            <w:r>
              <w:rPr>
                <w:webHidden/>
                <w:rStyle w:val="IndexLink"/>
                <w:rtl w:val="true"/>
              </w:rPr>
              <w:t>المطلب الثانی</w:t>
            </w:r>
            <w:r>
              <w:rPr>
                <w:rStyle w:val="IndexLink"/>
                <w:rtl w:val="true"/>
              </w:rPr>
              <w:t xml:space="preserve">: </w:t>
            </w:r>
            <w:r>
              <w:rPr>
                <w:rStyle w:val="IndexLink"/>
                <w:rtl w:val="true"/>
              </w:rPr>
              <w:t>کراهة الجماع عند فعل شیء أو وقوعه</w:t>
            </w:r>
            <w:r>
              <w:rPr>
                <w:rStyle w:val="IndexLink"/>
                <w:rtl w:val="true"/>
              </w:rPr>
              <w:tab/>
            </w:r>
            <w:r>
              <w:rPr>
                <w:rStyle w:val="IndexLink"/>
              </w:rPr>
              <w:t>106</w:t>
            </w:r>
          </w:hyperlink>
        </w:p>
        <w:p>
          <w:pPr>
            <w:pStyle w:val="Contents6"/>
            <w:tabs>
              <w:tab w:val="clear" w:pos="7609"/>
              <w:tab w:val="right" w:pos="9026" w:leader="dot"/>
            </w:tabs>
            <w:rPr/>
          </w:pPr>
          <w:hyperlink w:anchor="__RefHeading___Toc9423886_73709187">
            <w:r>
              <w:rPr>
                <w:webHidden/>
                <w:rStyle w:val="IndexLink"/>
                <w:rtl w:val="true"/>
              </w:rPr>
              <w:t>اشارة</w:t>
            </w:r>
            <w:r>
              <w:rPr>
                <w:rStyle w:val="IndexLink"/>
                <w:rtl w:val="true"/>
              </w:rPr>
              <w:tab/>
            </w:r>
            <w:r>
              <w:rPr>
                <w:rStyle w:val="IndexLink"/>
              </w:rPr>
              <w:t>106</w:t>
            </w:r>
          </w:hyperlink>
        </w:p>
        <w:p>
          <w:pPr>
            <w:pStyle w:val="Contents6"/>
            <w:tabs>
              <w:tab w:val="clear" w:pos="7609"/>
              <w:tab w:val="right" w:pos="9026" w:leader="dot"/>
            </w:tabs>
            <w:rPr/>
          </w:pPr>
          <w:hyperlink w:anchor="__RefHeading___Toc9423888_73709187">
            <w:r>
              <w:rPr>
                <w:webHidden/>
                <w:rStyle w:val="IndexLink"/>
                <w:rtl w:val="true"/>
              </w:rPr>
              <w:t>إیضاح</w:t>
            </w:r>
            <w:r>
              <w:rPr>
                <w:rStyle w:val="IndexLink"/>
                <w:rtl w:val="true"/>
              </w:rPr>
              <w:tab/>
            </w:r>
            <w:r>
              <w:rPr>
                <w:rStyle w:val="IndexLink"/>
              </w:rPr>
              <w:t>110</w:t>
            </w:r>
          </w:hyperlink>
        </w:p>
        <w:p>
          <w:pPr>
            <w:pStyle w:val="Contents4"/>
            <w:tabs>
              <w:tab w:val="clear" w:pos="8176"/>
              <w:tab w:val="right" w:pos="9026" w:leader="dot"/>
            </w:tabs>
            <w:rPr/>
          </w:pPr>
          <w:hyperlink w:anchor="__RefHeading___Toc9423890_73709187">
            <w:r>
              <w:rPr>
                <w:webHidden/>
                <w:rStyle w:val="IndexLink"/>
                <w:rtl w:val="true"/>
              </w:rPr>
              <w:t>المبحث الثالث</w:t>
            </w:r>
            <w:r>
              <w:rPr>
                <w:rStyle w:val="IndexLink"/>
                <w:rtl w:val="true"/>
              </w:rPr>
              <w:t xml:space="preserve">: </w:t>
            </w:r>
            <w:r>
              <w:rPr>
                <w:rStyle w:val="IndexLink"/>
                <w:rtl w:val="true"/>
              </w:rPr>
              <w:t>حرمة الجماع فی أیّام الحیض</w:t>
            </w:r>
            <w:r>
              <w:rPr>
                <w:rStyle w:val="IndexLink"/>
                <w:rtl w:val="true"/>
              </w:rPr>
              <w:tab/>
            </w:r>
            <w:r>
              <w:rPr>
                <w:rStyle w:val="IndexLink"/>
              </w:rPr>
              <w:t>112</w:t>
            </w:r>
          </w:hyperlink>
        </w:p>
        <w:p>
          <w:pPr>
            <w:pStyle w:val="Contents3"/>
            <w:tabs>
              <w:tab w:val="clear" w:pos="8459"/>
              <w:tab w:val="right" w:pos="9026" w:leader="dot"/>
            </w:tabs>
            <w:rPr/>
          </w:pPr>
          <w:hyperlink w:anchor="__RefHeading___Toc9423892_73709187">
            <w:r>
              <w:rPr>
                <w:webHidden/>
                <w:rStyle w:val="IndexLink"/>
                <w:rtl w:val="true"/>
              </w:rPr>
              <w:t>الفصل الرابع فی مسائل تغذیة الحامل فی أیّام حملها</w:t>
            </w:r>
            <w:r>
              <w:rPr>
                <w:rStyle w:val="IndexLink"/>
                <w:rtl w:val="true"/>
              </w:rPr>
              <w:tab/>
            </w:r>
            <w:r>
              <w:rPr>
                <w:rStyle w:val="IndexLink"/>
              </w:rPr>
              <w:t>115</w:t>
            </w:r>
          </w:hyperlink>
        </w:p>
        <w:p>
          <w:pPr>
            <w:pStyle w:val="Contents4"/>
            <w:tabs>
              <w:tab w:val="clear" w:pos="8176"/>
              <w:tab w:val="right" w:pos="9026" w:leader="dot"/>
            </w:tabs>
            <w:rPr/>
          </w:pPr>
          <w:hyperlink w:anchor="__RefHeading___Toc9423894_73709187">
            <w:r>
              <w:rPr>
                <w:webHidden/>
                <w:rStyle w:val="IndexLink"/>
                <w:rtl w:val="true"/>
              </w:rPr>
              <w:t>اشارة</w:t>
            </w:r>
            <w:r>
              <w:rPr>
                <w:rStyle w:val="IndexLink"/>
                <w:rtl w:val="true"/>
              </w:rPr>
              <w:tab/>
            </w:r>
            <w:r>
              <w:rPr>
                <w:rStyle w:val="IndexLink"/>
              </w:rPr>
              <w:t>115</w:t>
            </w:r>
          </w:hyperlink>
        </w:p>
        <w:p>
          <w:pPr>
            <w:pStyle w:val="Contents4"/>
            <w:tabs>
              <w:tab w:val="clear" w:pos="8176"/>
              <w:tab w:val="right" w:pos="9026" w:leader="dot"/>
            </w:tabs>
            <w:rPr/>
          </w:pPr>
          <w:hyperlink w:anchor="__RefHeading___Toc9423896_73709187">
            <w:r>
              <w:rPr>
                <w:webHidden/>
                <w:rStyle w:val="IndexLink"/>
                <w:rtl w:val="true"/>
              </w:rPr>
              <w:t>المبحث الأوّل</w:t>
            </w:r>
            <w:r>
              <w:rPr>
                <w:rStyle w:val="IndexLink"/>
                <w:rtl w:val="true"/>
              </w:rPr>
              <w:t xml:space="preserve">: </w:t>
            </w:r>
            <w:r>
              <w:rPr>
                <w:rStyle w:val="IndexLink"/>
                <w:rtl w:val="true"/>
              </w:rPr>
              <w:t>فی استحباب أکل الحامل مأکولات خاصّة</w:t>
            </w:r>
            <w:r>
              <w:rPr>
                <w:rStyle w:val="IndexLink"/>
                <w:rtl w:val="true"/>
              </w:rPr>
              <w:tab/>
            </w:r>
            <w:r>
              <w:rPr>
                <w:rStyle w:val="IndexLink"/>
              </w:rPr>
              <w:t>115</w:t>
            </w:r>
          </w:hyperlink>
        </w:p>
        <w:p>
          <w:pPr>
            <w:pStyle w:val="Contents4"/>
            <w:tabs>
              <w:tab w:val="clear" w:pos="8176"/>
              <w:tab w:val="right" w:pos="9026" w:leader="dot"/>
            </w:tabs>
            <w:rPr/>
          </w:pPr>
          <w:hyperlink w:anchor="__RefHeading___Toc9423898_73709187">
            <w:r>
              <w:rPr>
                <w:webHidden/>
                <w:rStyle w:val="IndexLink"/>
                <w:rtl w:val="true"/>
              </w:rPr>
              <w:t>المبحث الثانی</w:t>
            </w:r>
            <w:r>
              <w:rPr>
                <w:rStyle w:val="IndexLink"/>
                <w:rtl w:val="true"/>
              </w:rPr>
              <w:t xml:space="preserve">: </w:t>
            </w:r>
            <w:r>
              <w:rPr>
                <w:rStyle w:val="IndexLink"/>
                <w:rtl w:val="true"/>
              </w:rPr>
              <w:t>اضطرار الحامل إلی أکل المحرّم</w:t>
            </w:r>
            <w:r>
              <w:rPr>
                <w:rStyle w:val="IndexLink"/>
                <w:rtl w:val="true"/>
              </w:rPr>
              <w:tab/>
            </w:r>
            <w:r>
              <w:rPr>
                <w:rStyle w:val="IndexLink"/>
              </w:rPr>
              <w:t>117</w:t>
            </w:r>
          </w:hyperlink>
        </w:p>
        <w:p>
          <w:pPr>
            <w:pStyle w:val="Contents3"/>
            <w:tabs>
              <w:tab w:val="clear" w:pos="8459"/>
              <w:tab w:val="right" w:pos="9026" w:leader="dot"/>
            </w:tabs>
            <w:rPr/>
          </w:pPr>
          <w:hyperlink w:anchor="__RefHeading___Toc9423900_73709187">
            <w:r>
              <w:rPr>
                <w:webHidden/>
                <w:rStyle w:val="IndexLink"/>
                <w:rtl w:val="true"/>
              </w:rPr>
              <w:t>الفصل الخامس فی أحکام الحمل</w:t>
            </w:r>
            <w:r>
              <w:rPr>
                <w:rStyle w:val="IndexLink"/>
                <w:rtl w:val="true"/>
              </w:rPr>
              <w:tab/>
            </w:r>
            <w:r>
              <w:rPr>
                <w:rStyle w:val="IndexLink"/>
              </w:rPr>
              <w:t>121</w:t>
            </w:r>
          </w:hyperlink>
        </w:p>
        <w:p>
          <w:pPr>
            <w:pStyle w:val="Contents4"/>
            <w:tabs>
              <w:tab w:val="clear" w:pos="8176"/>
              <w:tab w:val="right" w:pos="9026" w:leader="dot"/>
            </w:tabs>
            <w:rPr/>
          </w:pPr>
          <w:hyperlink w:anchor="__RefHeading___Toc9423902_73709187">
            <w:r>
              <w:rPr>
                <w:webHidden/>
                <w:rStyle w:val="IndexLink"/>
                <w:rtl w:val="true"/>
              </w:rPr>
              <w:t>منهج البحث</w:t>
            </w:r>
            <w:r>
              <w:rPr>
                <w:rStyle w:val="IndexLink"/>
                <w:rtl w:val="true"/>
              </w:rPr>
              <w:t>:</w:t>
              <w:tab/>
            </w:r>
            <w:r>
              <w:rPr>
                <w:rStyle w:val="IndexLink"/>
              </w:rPr>
              <w:t>121</w:t>
            </w:r>
          </w:hyperlink>
        </w:p>
        <w:p>
          <w:pPr>
            <w:pStyle w:val="Contents4"/>
            <w:tabs>
              <w:tab w:val="clear" w:pos="8176"/>
              <w:tab w:val="right" w:pos="9026" w:leader="dot"/>
            </w:tabs>
            <w:rPr/>
          </w:pPr>
          <w:hyperlink w:anchor="__RefHeading___Toc9423904_73709187">
            <w:r>
              <w:rPr>
                <w:webHidden/>
                <w:rStyle w:val="IndexLink"/>
                <w:rtl w:val="true"/>
              </w:rPr>
              <w:t>المبحث الأوّل</w:t>
            </w:r>
            <w:r>
              <w:rPr>
                <w:rStyle w:val="IndexLink"/>
                <w:rtl w:val="true"/>
              </w:rPr>
              <w:t xml:space="preserve">: </w:t>
            </w:r>
            <w:r>
              <w:rPr>
                <w:rStyle w:val="IndexLink"/>
                <w:rtl w:val="true"/>
              </w:rPr>
              <w:t>حکم تحدید النسل</w:t>
            </w:r>
            <w:r>
              <w:rPr>
                <w:rStyle w:val="IndexLink"/>
                <w:rtl w:val="true"/>
              </w:rPr>
              <w:tab/>
            </w:r>
            <w:r>
              <w:rPr>
                <w:rStyle w:val="IndexLink"/>
              </w:rPr>
              <w:t>122</w:t>
            </w:r>
          </w:hyperlink>
        </w:p>
        <w:p>
          <w:pPr>
            <w:pStyle w:val="Contents5"/>
            <w:tabs>
              <w:tab w:val="clear" w:pos="7892"/>
              <w:tab w:val="right" w:pos="9026" w:leader="dot"/>
            </w:tabs>
            <w:rPr/>
          </w:pPr>
          <w:hyperlink w:anchor="__RefHeading___Toc9423906_73709187">
            <w:r>
              <w:rPr>
                <w:webHidden/>
                <w:rStyle w:val="IndexLink"/>
                <w:rtl w:val="true"/>
              </w:rPr>
              <w:t>تمهید</w:t>
            </w:r>
            <w:r>
              <w:rPr>
                <w:rStyle w:val="IndexLink"/>
                <w:rtl w:val="true"/>
              </w:rPr>
              <w:tab/>
            </w:r>
            <w:r>
              <w:rPr>
                <w:rStyle w:val="IndexLink"/>
              </w:rPr>
              <w:t>122</w:t>
            </w:r>
          </w:hyperlink>
        </w:p>
        <w:p>
          <w:pPr>
            <w:pStyle w:val="Contents5"/>
            <w:tabs>
              <w:tab w:val="clear" w:pos="7892"/>
              <w:tab w:val="right" w:pos="9026" w:leader="dot"/>
            </w:tabs>
            <w:rPr/>
          </w:pPr>
          <w:hyperlink w:anchor="__RefHeading___Toc9423908_73709187">
            <w:r>
              <w:rPr>
                <w:webHidden/>
                <w:rStyle w:val="IndexLink"/>
                <w:rtl w:val="true"/>
              </w:rPr>
              <w:t>عدم جواز منع الحمل و التعقیم الدائم</w:t>
            </w:r>
            <w:r>
              <w:rPr>
                <w:rStyle w:val="IndexLink"/>
                <w:rtl w:val="true"/>
              </w:rPr>
              <w:tab/>
            </w:r>
            <w:r>
              <w:rPr>
                <w:rStyle w:val="IndexLink"/>
              </w:rPr>
              <w:t>125</w:t>
            </w:r>
          </w:hyperlink>
        </w:p>
        <w:p>
          <w:pPr>
            <w:pStyle w:val="Contents6"/>
            <w:tabs>
              <w:tab w:val="clear" w:pos="7609"/>
              <w:tab w:val="right" w:pos="9026" w:leader="dot"/>
            </w:tabs>
            <w:rPr/>
          </w:pPr>
          <w:hyperlink w:anchor="__RefHeading___Toc9423910_73709187">
            <w:r>
              <w:rPr>
                <w:webHidden/>
                <w:rStyle w:val="IndexLink"/>
                <w:rtl w:val="true"/>
              </w:rPr>
              <w:t>اشارة</w:t>
            </w:r>
            <w:r>
              <w:rPr>
                <w:rStyle w:val="IndexLink"/>
                <w:rtl w:val="true"/>
              </w:rPr>
              <w:tab/>
            </w:r>
            <w:r>
              <w:rPr>
                <w:rStyle w:val="IndexLink"/>
              </w:rPr>
              <w:t>125</w:t>
            </w:r>
          </w:hyperlink>
        </w:p>
        <w:p>
          <w:pPr>
            <w:pStyle w:val="Contents6"/>
            <w:tabs>
              <w:tab w:val="clear" w:pos="7609"/>
              <w:tab w:val="right" w:pos="9026" w:leader="dot"/>
            </w:tabs>
            <w:rPr/>
          </w:pPr>
          <w:hyperlink w:anchor="__RefHeading___Toc9423912_73709187">
            <w:r>
              <w:rPr>
                <w:webHidden/>
                <w:rStyle w:val="IndexLink"/>
                <w:rtl w:val="true"/>
              </w:rPr>
              <w:t>أدلّة هذا الحکم</w:t>
            </w:r>
            <w:r>
              <w:rPr>
                <w:rStyle w:val="IndexLink"/>
                <w:rtl w:val="true"/>
              </w:rPr>
              <w:tab/>
            </w:r>
            <w:r>
              <w:rPr>
                <w:rStyle w:val="IndexLink"/>
              </w:rPr>
              <w:t>127</w:t>
            </w:r>
          </w:hyperlink>
        </w:p>
        <w:p>
          <w:pPr>
            <w:pStyle w:val="Contents5"/>
            <w:tabs>
              <w:tab w:val="clear" w:pos="7892"/>
              <w:tab w:val="right" w:pos="9026" w:leader="dot"/>
            </w:tabs>
            <w:rPr/>
          </w:pPr>
          <w:hyperlink w:anchor="__RefHeading___Toc9423914_73709187">
            <w:r>
              <w:rPr>
                <w:webHidden/>
                <w:rStyle w:val="IndexLink"/>
                <w:rtl w:val="true"/>
              </w:rPr>
              <w:t>جواز التعقیم فی بعض الحالات خاصّة</w:t>
            </w:r>
            <w:r>
              <w:rPr>
                <w:rStyle w:val="IndexLink"/>
                <w:rtl w:val="true"/>
              </w:rPr>
              <w:tab/>
            </w:r>
            <w:r>
              <w:rPr>
                <w:rStyle w:val="IndexLink"/>
              </w:rPr>
              <w:t>133</w:t>
            </w:r>
          </w:hyperlink>
        </w:p>
        <w:p>
          <w:pPr>
            <w:pStyle w:val="Contents5"/>
            <w:tabs>
              <w:tab w:val="clear" w:pos="7892"/>
              <w:tab w:val="right" w:pos="9026" w:leader="dot"/>
            </w:tabs>
            <w:rPr/>
          </w:pPr>
          <w:hyperlink w:anchor="__RefHeading___Toc9423916_73709187">
            <w:r>
              <w:rPr>
                <w:webHidden/>
                <w:rStyle w:val="IndexLink"/>
                <w:rtl w:val="true"/>
              </w:rPr>
              <w:t>جواز المنع عن الحمل مؤقّتاً</w:t>
            </w:r>
            <w:r>
              <w:rPr>
                <w:rStyle w:val="IndexLink"/>
                <w:rtl w:val="true"/>
              </w:rPr>
              <w:tab/>
            </w:r>
            <w:r>
              <w:rPr>
                <w:rStyle w:val="IndexLink"/>
              </w:rPr>
              <w:t>135</w:t>
            </w:r>
          </w:hyperlink>
        </w:p>
        <w:p>
          <w:pPr>
            <w:pStyle w:val="Contents5"/>
            <w:tabs>
              <w:tab w:val="clear" w:pos="7892"/>
              <w:tab w:val="right" w:pos="9026" w:leader="dot"/>
            </w:tabs>
            <w:rPr/>
          </w:pPr>
          <w:hyperlink w:anchor="__RefHeading___Toc9423918_73709187">
            <w:r>
              <w:rPr>
                <w:webHidden/>
                <w:rStyle w:val="IndexLink"/>
                <w:rtl w:val="true"/>
              </w:rPr>
              <w:t>أولویّة تحدید النسل فی بعض الأزمنة</w:t>
            </w:r>
            <w:r>
              <w:rPr>
                <w:rStyle w:val="IndexLink"/>
                <w:rtl w:val="true"/>
              </w:rPr>
              <w:tab/>
            </w:r>
            <w:r>
              <w:rPr>
                <w:rStyle w:val="IndexLink"/>
              </w:rPr>
              <w:t>137</w:t>
            </w:r>
          </w:hyperlink>
        </w:p>
        <w:p>
          <w:pPr>
            <w:pStyle w:val="Contents5"/>
            <w:tabs>
              <w:tab w:val="clear" w:pos="7892"/>
              <w:tab w:val="right" w:pos="9026" w:leader="dot"/>
            </w:tabs>
            <w:rPr/>
          </w:pPr>
          <w:hyperlink w:anchor="__RefHeading___Toc9423920_73709187">
            <w:r>
              <w:rPr>
                <w:webHidden/>
                <w:rStyle w:val="IndexLink"/>
                <w:rtl w:val="true"/>
              </w:rPr>
              <w:t>عدم اعتبار رضا الزوجین فی المنع عن الحمل</w:t>
            </w:r>
            <w:r>
              <w:rPr>
                <w:rStyle w:val="IndexLink"/>
                <w:rtl w:val="true"/>
              </w:rPr>
              <w:tab/>
            </w:r>
            <w:r>
              <w:rPr>
                <w:rStyle w:val="IndexLink"/>
              </w:rPr>
              <w:t>139</w:t>
            </w:r>
          </w:hyperlink>
        </w:p>
        <w:p>
          <w:pPr>
            <w:pStyle w:val="Contents6"/>
            <w:tabs>
              <w:tab w:val="clear" w:pos="7609"/>
              <w:tab w:val="right" w:pos="9026" w:leader="dot"/>
            </w:tabs>
            <w:rPr/>
          </w:pPr>
          <w:hyperlink w:anchor="__RefHeading___Toc9423922_73709187">
            <w:r>
              <w:rPr>
                <w:webHidden/>
                <w:rStyle w:val="IndexLink"/>
                <w:rtl w:val="true"/>
              </w:rPr>
              <w:t>اشارة</w:t>
            </w:r>
            <w:r>
              <w:rPr>
                <w:rStyle w:val="IndexLink"/>
                <w:rtl w:val="true"/>
              </w:rPr>
              <w:tab/>
            </w:r>
            <w:r>
              <w:rPr>
                <w:rStyle w:val="IndexLink"/>
              </w:rPr>
              <w:t>139</w:t>
            </w:r>
          </w:hyperlink>
        </w:p>
        <w:p>
          <w:pPr>
            <w:pStyle w:val="Contents6"/>
            <w:tabs>
              <w:tab w:val="clear" w:pos="7609"/>
              <w:tab w:val="right" w:pos="9026" w:leader="dot"/>
            </w:tabs>
            <w:rPr/>
          </w:pPr>
          <w:hyperlink w:anchor="__RefHeading___Toc9423924_73709187">
            <w:r>
              <w:rPr>
                <w:webHidden/>
                <w:rStyle w:val="IndexLink"/>
                <w:rtl w:val="true"/>
              </w:rPr>
              <w:t>أدلّة هذا الحکم</w:t>
            </w:r>
            <w:r>
              <w:rPr>
                <w:rStyle w:val="IndexLink"/>
                <w:rtl w:val="true"/>
              </w:rPr>
              <w:tab/>
            </w:r>
            <w:r>
              <w:rPr>
                <w:rStyle w:val="IndexLink"/>
              </w:rPr>
              <w:t>141</w:t>
            </w:r>
          </w:hyperlink>
        </w:p>
        <w:p>
          <w:pPr>
            <w:pStyle w:val="Contents5"/>
            <w:tabs>
              <w:tab w:val="clear" w:pos="7892"/>
              <w:tab w:val="right" w:pos="9026" w:leader="dot"/>
            </w:tabs>
            <w:rPr/>
          </w:pPr>
          <w:hyperlink w:anchor="__RefHeading___Toc9423926_73709187">
            <w:r>
              <w:rPr>
                <w:webHidden/>
                <w:rStyle w:val="IndexLink"/>
                <w:rtl w:val="true"/>
              </w:rPr>
              <w:t>تحدید النسل عند فقهاء أهل السنّة</w:t>
            </w:r>
            <w:r>
              <w:rPr>
                <w:rStyle w:val="IndexLink"/>
                <w:rtl w:val="true"/>
              </w:rPr>
              <w:tab/>
            </w:r>
            <w:r>
              <w:rPr>
                <w:rStyle w:val="IndexLink"/>
              </w:rPr>
              <w:t>142</w:t>
            </w:r>
          </w:hyperlink>
        </w:p>
        <w:p>
          <w:pPr>
            <w:pStyle w:val="Contents4"/>
            <w:tabs>
              <w:tab w:val="clear" w:pos="8176"/>
              <w:tab w:val="right" w:pos="9026" w:leader="dot"/>
            </w:tabs>
            <w:rPr/>
          </w:pPr>
          <w:hyperlink w:anchor="__RefHeading___Toc9423928_73709187">
            <w:r>
              <w:rPr>
                <w:webHidden/>
                <w:rStyle w:val="IndexLink"/>
                <w:rtl w:val="true"/>
              </w:rPr>
              <w:t>المبحث الثانی</w:t>
            </w:r>
            <w:r>
              <w:rPr>
                <w:rStyle w:val="IndexLink"/>
                <w:rtl w:val="true"/>
              </w:rPr>
              <w:t xml:space="preserve">: </w:t>
            </w:r>
            <w:r>
              <w:rPr>
                <w:rStyle w:val="IndexLink"/>
                <w:rtl w:val="true"/>
              </w:rPr>
              <w:t>فی إجهاض الحَمل</w:t>
            </w:r>
            <w:r>
              <w:rPr>
                <w:rStyle w:val="IndexLink"/>
                <w:rtl w:val="true"/>
              </w:rPr>
              <w:tab/>
            </w:r>
            <w:r>
              <w:rPr>
                <w:rStyle w:val="IndexLink"/>
              </w:rPr>
              <w:t>144</w:t>
            </w:r>
          </w:hyperlink>
        </w:p>
        <w:p>
          <w:pPr>
            <w:pStyle w:val="Contents5"/>
            <w:tabs>
              <w:tab w:val="clear" w:pos="7892"/>
              <w:tab w:val="right" w:pos="9026" w:leader="dot"/>
            </w:tabs>
            <w:rPr/>
          </w:pPr>
          <w:hyperlink w:anchor="__RefHeading___Toc9423930_73709187">
            <w:r>
              <w:rPr>
                <w:webHidden/>
                <w:rStyle w:val="IndexLink"/>
                <w:rtl w:val="true"/>
              </w:rPr>
              <w:t xml:space="preserve">أ </w:t>
            </w:r>
            <w:r>
              <w:rPr>
                <w:rStyle w:val="IndexLink"/>
                <w:rtl w:val="true"/>
              </w:rPr>
              <w:t xml:space="preserve">- </w:t>
            </w:r>
            <w:r>
              <w:rPr>
                <w:rStyle w:val="IndexLink"/>
                <w:rtl w:val="true"/>
              </w:rPr>
              <w:t>الإجهاض لغةً و اصطلاحاً</w:t>
            </w:r>
            <w:r>
              <w:rPr>
                <w:rStyle w:val="IndexLink"/>
                <w:rtl w:val="true"/>
              </w:rPr>
              <w:t>:</w:t>
              <w:tab/>
            </w:r>
            <w:r>
              <w:rPr>
                <w:rStyle w:val="IndexLink"/>
              </w:rPr>
              <w:t>144</w:t>
            </w:r>
          </w:hyperlink>
        </w:p>
        <w:p>
          <w:pPr>
            <w:pStyle w:val="Contents5"/>
            <w:tabs>
              <w:tab w:val="clear" w:pos="7892"/>
              <w:tab w:val="right" w:pos="9026" w:leader="dot"/>
            </w:tabs>
            <w:rPr/>
          </w:pPr>
          <w:hyperlink w:anchor="__RefHeading___Toc9423932_73709187">
            <w:r>
              <w:rPr>
                <w:webHidden/>
                <w:rStyle w:val="IndexLink"/>
                <w:rtl w:val="true"/>
              </w:rPr>
              <w:t xml:space="preserve">ب </w:t>
            </w:r>
            <w:r>
              <w:rPr>
                <w:rStyle w:val="IndexLink"/>
                <w:rtl w:val="true"/>
              </w:rPr>
              <w:t xml:space="preserve">- </w:t>
            </w:r>
            <w:r>
              <w:rPr>
                <w:rStyle w:val="IndexLink"/>
                <w:rtl w:val="true"/>
              </w:rPr>
              <w:t>حکم الإجهاض فقهیّاً</w:t>
            </w:r>
            <w:r>
              <w:rPr>
                <w:rStyle w:val="IndexLink"/>
                <w:rtl w:val="true"/>
              </w:rPr>
              <w:tab/>
            </w:r>
            <w:r>
              <w:rPr>
                <w:rStyle w:val="IndexLink"/>
              </w:rPr>
              <w:t>145</w:t>
            </w:r>
          </w:hyperlink>
        </w:p>
        <w:p>
          <w:pPr>
            <w:pStyle w:val="Contents6"/>
            <w:tabs>
              <w:tab w:val="clear" w:pos="7609"/>
              <w:tab w:val="right" w:pos="9026" w:leader="dot"/>
            </w:tabs>
            <w:rPr/>
          </w:pPr>
          <w:hyperlink w:anchor="__RefHeading___Toc9423934_73709187">
            <w:r>
              <w:rPr>
                <w:webHidden/>
                <w:rStyle w:val="IndexLink"/>
                <w:rtl w:val="true"/>
              </w:rPr>
              <w:t>اشارة</w:t>
            </w:r>
            <w:r>
              <w:rPr>
                <w:rStyle w:val="IndexLink"/>
                <w:rtl w:val="true"/>
              </w:rPr>
              <w:tab/>
            </w:r>
            <w:r>
              <w:rPr>
                <w:rStyle w:val="IndexLink"/>
              </w:rPr>
              <w:t>145</w:t>
            </w:r>
          </w:hyperlink>
        </w:p>
        <w:p>
          <w:pPr>
            <w:pStyle w:val="Contents6"/>
            <w:tabs>
              <w:tab w:val="clear" w:pos="7609"/>
              <w:tab w:val="right" w:pos="9026" w:leader="dot"/>
            </w:tabs>
            <w:rPr/>
          </w:pPr>
          <w:hyperlink w:anchor="__RefHeading___Toc9423936_73709187">
            <w:r>
              <w:rPr>
                <w:webHidden/>
                <w:rStyle w:val="IndexLink"/>
                <w:rtl w:val="true"/>
              </w:rPr>
              <w:t>حرمة الإجهاض</w:t>
            </w:r>
            <w:r>
              <w:rPr>
                <w:rStyle w:val="IndexLink"/>
                <w:rtl w:val="true"/>
              </w:rPr>
              <w:tab/>
            </w:r>
            <w:r>
              <w:rPr>
                <w:rStyle w:val="IndexLink"/>
              </w:rPr>
              <w:t>147</w:t>
            </w:r>
          </w:hyperlink>
        </w:p>
        <w:p>
          <w:pPr>
            <w:pStyle w:val="Contents6"/>
            <w:tabs>
              <w:tab w:val="clear" w:pos="7609"/>
              <w:tab w:val="right" w:pos="9026" w:leader="dot"/>
            </w:tabs>
            <w:rPr/>
          </w:pPr>
          <w:hyperlink w:anchor="__RefHeading___Toc9423938_73709187">
            <w:r>
              <w:rPr>
                <w:webHidden/>
                <w:rStyle w:val="IndexLink"/>
                <w:rtl w:val="true"/>
              </w:rPr>
              <w:t>حکم الإجهاض عند فقهاء أهل السنّة</w:t>
            </w:r>
            <w:r>
              <w:rPr>
                <w:rStyle w:val="IndexLink"/>
                <w:rtl w:val="true"/>
              </w:rPr>
              <w:tab/>
            </w:r>
            <w:r>
              <w:rPr>
                <w:rStyle w:val="IndexLink"/>
              </w:rPr>
              <w:t>150</w:t>
            </w:r>
          </w:hyperlink>
        </w:p>
        <w:p>
          <w:pPr>
            <w:pStyle w:val="Contents4"/>
            <w:tabs>
              <w:tab w:val="clear" w:pos="8176"/>
              <w:tab w:val="right" w:pos="9026" w:leader="dot"/>
            </w:tabs>
            <w:rPr/>
          </w:pPr>
          <w:hyperlink w:anchor="__RefHeading___Toc9423940_73709187">
            <w:r>
              <w:rPr>
                <w:webHidden/>
                <w:rStyle w:val="IndexLink"/>
                <w:rtl w:val="true"/>
              </w:rPr>
              <w:t>المبحث الثالث</w:t>
            </w:r>
            <w:r>
              <w:rPr>
                <w:rStyle w:val="IndexLink"/>
                <w:rtl w:val="true"/>
              </w:rPr>
              <w:t xml:space="preserve">: </w:t>
            </w:r>
            <w:r>
              <w:rPr>
                <w:rStyle w:val="IndexLink"/>
                <w:rtl w:val="true"/>
              </w:rPr>
              <w:t>فی تزاحم الحقّین</w:t>
            </w:r>
            <w:r>
              <w:rPr>
                <w:rStyle w:val="IndexLink"/>
                <w:rtl w:val="true"/>
              </w:rPr>
              <w:tab/>
            </w:r>
            <w:r>
              <w:rPr>
                <w:rStyle w:val="IndexLink"/>
              </w:rPr>
              <w:t>153</w:t>
            </w:r>
          </w:hyperlink>
        </w:p>
        <w:p>
          <w:pPr>
            <w:pStyle w:val="Contents5"/>
            <w:tabs>
              <w:tab w:val="clear" w:pos="7892"/>
              <w:tab w:val="right" w:pos="9026" w:leader="dot"/>
            </w:tabs>
            <w:rPr/>
          </w:pPr>
          <w:hyperlink w:anchor="__RefHeading___Toc9423942_73709187">
            <w:r>
              <w:rPr>
                <w:webHidden/>
                <w:rStyle w:val="IndexLink"/>
                <w:rtl w:val="true"/>
              </w:rPr>
              <w:t>اشارة</w:t>
            </w:r>
            <w:r>
              <w:rPr>
                <w:rStyle w:val="IndexLink"/>
                <w:rtl w:val="true"/>
              </w:rPr>
              <w:tab/>
            </w:r>
            <w:r>
              <w:rPr>
                <w:rStyle w:val="IndexLink"/>
              </w:rPr>
              <w:t>153</w:t>
            </w:r>
          </w:hyperlink>
        </w:p>
        <w:p>
          <w:pPr>
            <w:pStyle w:val="Contents5"/>
            <w:tabs>
              <w:tab w:val="clear" w:pos="7892"/>
              <w:tab w:val="right" w:pos="9026" w:leader="dot"/>
            </w:tabs>
            <w:rPr/>
          </w:pPr>
          <w:hyperlink w:anchor="__RefHeading___Toc9423944_73709187">
            <w:r>
              <w:rPr>
                <w:webHidden/>
                <w:rStyle w:val="IndexLink"/>
                <w:rtl w:val="true"/>
              </w:rPr>
              <w:t>رأی أهل السنّة فی تزاحم حقّین</w:t>
            </w:r>
            <w:r>
              <w:rPr>
                <w:rStyle w:val="IndexLink"/>
                <w:rtl w:val="true"/>
              </w:rPr>
              <w:tab/>
            </w:r>
            <w:r>
              <w:rPr>
                <w:rStyle w:val="IndexLink"/>
              </w:rPr>
              <w:t>156</w:t>
            </w:r>
          </w:hyperlink>
        </w:p>
        <w:p>
          <w:pPr>
            <w:pStyle w:val="Contents4"/>
            <w:tabs>
              <w:tab w:val="clear" w:pos="8176"/>
              <w:tab w:val="right" w:pos="9026" w:leader="dot"/>
            </w:tabs>
            <w:rPr/>
          </w:pPr>
          <w:hyperlink w:anchor="__RefHeading___Toc9423946_73709187">
            <w:r>
              <w:rPr>
                <w:webHidden/>
                <w:rStyle w:val="IndexLink"/>
                <w:rtl w:val="true"/>
              </w:rPr>
              <w:t>المبحث الرابع</w:t>
            </w:r>
            <w:r>
              <w:rPr>
                <w:rStyle w:val="IndexLink"/>
                <w:rtl w:val="true"/>
              </w:rPr>
              <w:t xml:space="preserve">: </w:t>
            </w:r>
            <w:r>
              <w:rPr>
                <w:rStyle w:val="IndexLink"/>
                <w:rtl w:val="true"/>
              </w:rPr>
              <w:t>فی حیاة الحمل حین موت امّه</w:t>
            </w:r>
            <w:r>
              <w:rPr>
                <w:rStyle w:val="IndexLink"/>
                <w:rtl w:val="true"/>
              </w:rPr>
              <w:tab/>
            </w:r>
            <w:r>
              <w:rPr>
                <w:rStyle w:val="IndexLink"/>
              </w:rPr>
              <w:t>158</w:t>
            </w:r>
          </w:hyperlink>
        </w:p>
        <w:p>
          <w:pPr>
            <w:pStyle w:val="Contents5"/>
            <w:tabs>
              <w:tab w:val="clear" w:pos="7892"/>
              <w:tab w:val="right" w:pos="9026" w:leader="dot"/>
            </w:tabs>
            <w:rPr/>
          </w:pPr>
          <w:hyperlink w:anchor="__RefHeading___Toc9423948_73709187">
            <w:r>
              <w:rPr>
                <w:webHidden/>
                <w:rStyle w:val="IndexLink"/>
                <w:rtl w:val="true"/>
              </w:rPr>
              <w:t>اشارة</w:t>
            </w:r>
            <w:r>
              <w:rPr>
                <w:rStyle w:val="IndexLink"/>
                <w:rtl w:val="true"/>
              </w:rPr>
              <w:tab/>
            </w:r>
            <w:r>
              <w:rPr>
                <w:rStyle w:val="IndexLink"/>
              </w:rPr>
              <w:t>158</w:t>
            </w:r>
          </w:hyperlink>
        </w:p>
        <w:p>
          <w:pPr>
            <w:pStyle w:val="Contents5"/>
            <w:tabs>
              <w:tab w:val="clear" w:pos="7892"/>
              <w:tab w:val="right" w:pos="9026" w:leader="dot"/>
            </w:tabs>
            <w:rPr/>
          </w:pPr>
          <w:hyperlink w:anchor="__RefHeading___Toc9423950_73709187">
            <w:r>
              <w:rPr>
                <w:webHidden/>
                <w:rStyle w:val="IndexLink"/>
                <w:rtl w:val="true"/>
              </w:rPr>
              <w:t>آراء فقهاء أهل السنّة فی المسألة</w:t>
            </w:r>
            <w:r>
              <w:rPr>
                <w:rStyle w:val="IndexLink"/>
                <w:rtl w:val="true"/>
              </w:rPr>
              <w:tab/>
            </w:r>
            <w:r>
              <w:rPr>
                <w:rStyle w:val="IndexLink"/>
              </w:rPr>
              <w:t>160</w:t>
            </w:r>
          </w:hyperlink>
        </w:p>
        <w:p>
          <w:pPr>
            <w:pStyle w:val="Contents4"/>
            <w:tabs>
              <w:tab w:val="clear" w:pos="8176"/>
              <w:tab w:val="right" w:pos="9026" w:leader="dot"/>
            </w:tabs>
            <w:rPr/>
          </w:pPr>
          <w:hyperlink w:anchor="__RefHeading___Toc9423952_73709187">
            <w:r>
              <w:rPr>
                <w:webHidden/>
                <w:rStyle w:val="IndexLink"/>
                <w:rtl w:val="true"/>
              </w:rPr>
              <w:t>المبحث الرابع</w:t>
            </w:r>
            <w:r>
              <w:rPr>
                <w:rStyle w:val="IndexLink"/>
                <w:rtl w:val="true"/>
              </w:rPr>
              <w:t xml:space="preserve">: </w:t>
            </w:r>
            <w:r>
              <w:rPr>
                <w:rStyle w:val="IndexLink"/>
                <w:rtl w:val="true"/>
              </w:rPr>
              <w:t>حکم موت الحمل و حیاة الاُمّ‌</w:t>
            </w:r>
            <w:r>
              <w:rPr>
                <w:rStyle w:val="IndexLink"/>
                <w:rtl w:val="true"/>
              </w:rPr>
              <w:tab/>
            </w:r>
            <w:r>
              <w:rPr>
                <w:rStyle w:val="IndexLink"/>
              </w:rPr>
              <w:t>162</w:t>
            </w:r>
          </w:hyperlink>
        </w:p>
        <w:p>
          <w:pPr>
            <w:pStyle w:val="Contents5"/>
            <w:tabs>
              <w:tab w:val="clear" w:pos="7892"/>
              <w:tab w:val="right" w:pos="9026" w:leader="dot"/>
            </w:tabs>
            <w:rPr/>
          </w:pPr>
          <w:hyperlink w:anchor="__RefHeading___Toc9423954_73709187">
            <w:r>
              <w:rPr>
                <w:webHidden/>
                <w:rStyle w:val="IndexLink"/>
                <w:rtl w:val="true"/>
              </w:rPr>
              <w:t>اشارة</w:t>
            </w:r>
            <w:r>
              <w:rPr>
                <w:rStyle w:val="IndexLink"/>
                <w:rtl w:val="true"/>
              </w:rPr>
              <w:tab/>
            </w:r>
            <w:r>
              <w:rPr>
                <w:rStyle w:val="IndexLink"/>
              </w:rPr>
              <w:t>162</w:t>
            </w:r>
          </w:hyperlink>
        </w:p>
        <w:p>
          <w:pPr>
            <w:pStyle w:val="Contents5"/>
            <w:tabs>
              <w:tab w:val="clear" w:pos="7892"/>
              <w:tab w:val="right" w:pos="9026" w:leader="dot"/>
            </w:tabs>
            <w:rPr/>
          </w:pPr>
          <w:hyperlink w:anchor="__RefHeading___Toc9423956_73709187">
            <w:r>
              <w:rPr>
                <w:webHidden/>
                <w:rStyle w:val="IndexLink"/>
                <w:rtl w:val="true"/>
              </w:rPr>
              <w:t>رأی فقهاء أهل السنّة فی هذه المسألة</w:t>
            </w:r>
            <w:r>
              <w:rPr>
                <w:rStyle w:val="IndexLink"/>
                <w:rtl w:val="true"/>
              </w:rPr>
              <w:tab/>
            </w:r>
            <w:r>
              <w:rPr>
                <w:rStyle w:val="IndexLink"/>
              </w:rPr>
              <w:t>164</w:t>
            </w:r>
          </w:hyperlink>
        </w:p>
        <w:p>
          <w:pPr>
            <w:pStyle w:val="Contents3"/>
            <w:tabs>
              <w:tab w:val="clear" w:pos="8459"/>
              <w:tab w:val="right" w:pos="9026" w:leader="dot"/>
            </w:tabs>
            <w:rPr/>
          </w:pPr>
          <w:hyperlink w:anchor="__RefHeading___Toc9423958_73709187">
            <w:r>
              <w:rPr>
                <w:webHidden/>
                <w:rStyle w:val="IndexLink"/>
                <w:rtl w:val="true"/>
              </w:rPr>
              <w:t>الفصل السادس فی حقوق الحمل</w:t>
            </w:r>
            <w:r>
              <w:rPr>
                <w:rStyle w:val="IndexLink"/>
                <w:rtl w:val="true"/>
              </w:rPr>
              <w:tab/>
            </w:r>
            <w:r>
              <w:rPr>
                <w:rStyle w:val="IndexLink"/>
              </w:rPr>
              <w:t>165</w:t>
            </w:r>
          </w:hyperlink>
        </w:p>
        <w:p>
          <w:pPr>
            <w:pStyle w:val="Contents4"/>
            <w:tabs>
              <w:tab w:val="clear" w:pos="8176"/>
              <w:tab w:val="right" w:pos="9026" w:leader="dot"/>
            </w:tabs>
            <w:rPr/>
          </w:pPr>
          <w:hyperlink w:anchor="__RefHeading___Toc9423960_73709187">
            <w:r>
              <w:rPr>
                <w:webHidden/>
                <w:rStyle w:val="IndexLink"/>
                <w:rtl w:val="true"/>
              </w:rPr>
              <w:t>اشارة</w:t>
            </w:r>
            <w:r>
              <w:rPr>
                <w:rStyle w:val="IndexLink"/>
                <w:rtl w:val="true"/>
              </w:rPr>
              <w:tab/>
            </w:r>
            <w:r>
              <w:rPr>
                <w:rStyle w:val="IndexLink"/>
              </w:rPr>
              <w:t>165</w:t>
            </w:r>
          </w:hyperlink>
        </w:p>
        <w:p>
          <w:pPr>
            <w:pStyle w:val="Contents4"/>
            <w:tabs>
              <w:tab w:val="clear" w:pos="8176"/>
              <w:tab w:val="right" w:pos="9026" w:leader="dot"/>
            </w:tabs>
            <w:rPr/>
          </w:pPr>
          <w:hyperlink w:anchor="__RefHeading___Toc9423962_73709187">
            <w:r>
              <w:rPr>
                <w:webHidden/>
                <w:rStyle w:val="IndexLink"/>
                <w:rtl w:val="true"/>
              </w:rPr>
              <w:t>المبحث الأوّل</w:t>
            </w:r>
            <w:r>
              <w:rPr>
                <w:rStyle w:val="IndexLink"/>
                <w:rtl w:val="true"/>
              </w:rPr>
              <w:t xml:space="preserve">: </w:t>
            </w:r>
            <w:r>
              <w:rPr>
                <w:rStyle w:val="IndexLink"/>
                <w:rtl w:val="true"/>
              </w:rPr>
              <w:t>الوصیّة للحمل</w:t>
            </w:r>
            <w:r>
              <w:rPr>
                <w:rStyle w:val="IndexLink"/>
                <w:rtl w:val="true"/>
              </w:rPr>
              <w:tab/>
            </w:r>
            <w:r>
              <w:rPr>
                <w:rStyle w:val="IndexLink"/>
              </w:rPr>
              <w:t>166</w:t>
            </w:r>
          </w:hyperlink>
        </w:p>
        <w:p>
          <w:pPr>
            <w:pStyle w:val="Contents5"/>
            <w:tabs>
              <w:tab w:val="clear" w:pos="7892"/>
              <w:tab w:val="right" w:pos="9026" w:leader="dot"/>
            </w:tabs>
            <w:rPr/>
          </w:pPr>
          <w:hyperlink w:anchor="__RefHeading___Toc9423964_73709187">
            <w:r>
              <w:rPr>
                <w:webHidden/>
                <w:rStyle w:val="IndexLink"/>
                <w:rtl w:val="true"/>
              </w:rPr>
              <w:t>اشارة</w:t>
            </w:r>
            <w:r>
              <w:rPr>
                <w:rStyle w:val="IndexLink"/>
                <w:rtl w:val="true"/>
              </w:rPr>
              <w:tab/>
            </w:r>
            <w:r>
              <w:rPr>
                <w:rStyle w:val="IndexLink"/>
              </w:rPr>
              <w:t>166</w:t>
            </w:r>
          </w:hyperlink>
        </w:p>
        <w:p>
          <w:pPr>
            <w:pStyle w:val="Contents5"/>
            <w:tabs>
              <w:tab w:val="clear" w:pos="7892"/>
              <w:tab w:val="right" w:pos="9026" w:leader="dot"/>
            </w:tabs>
            <w:rPr/>
          </w:pPr>
          <w:hyperlink w:anchor="__RefHeading___Toc9423966_73709187">
            <w:r>
              <w:rPr>
                <w:webHidden/>
                <w:rStyle w:val="IndexLink"/>
                <w:rtl w:val="true"/>
              </w:rPr>
              <w:t>شرائط صحة الوصیّة للحمل</w:t>
            </w:r>
            <w:r>
              <w:rPr>
                <w:rStyle w:val="IndexLink"/>
                <w:rtl w:val="true"/>
              </w:rPr>
              <w:tab/>
            </w:r>
            <w:r>
              <w:rPr>
                <w:rStyle w:val="IndexLink"/>
              </w:rPr>
              <w:t>169</w:t>
            </w:r>
          </w:hyperlink>
        </w:p>
        <w:p>
          <w:pPr>
            <w:pStyle w:val="Contents6"/>
            <w:tabs>
              <w:tab w:val="clear" w:pos="7609"/>
              <w:tab w:val="right" w:pos="9026" w:leader="dot"/>
            </w:tabs>
            <w:rPr/>
          </w:pPr>
          <w:hyperlink w:anchor="__RefHeading___Toc9423968_73709187">
            <w:r>
              <w:rPr>
                <w:webHidden/>
                <w:rStyle w:val="IndexLink"/>
                <w:rtl w:val="true"/>
              </w:rPr>
              <w:t>اشارة</w:t>
            </w:r>
            <w:r>
              <w:rPr>
                <w:rStyle w:val="IndexLink"/>
                <w:rtl w:val="true"/>
              </w:rPr>
              <w:tab/>
            </w:r>
            <w:r>
              <w:rPr>
                <w:rStyle w:val="IndexLink"/>
              </w:rPr>
              <w:t>169</w:t>
            </w:r>
          </w:hyperlink>
        </w:p>
        <w:p>
          <w:pPr>
            <w:pStyle w:val="Contents6"/>
            <w:tabs>
              <w:tab w:val="clear" w:pos="7609"/>
              <w:tab w:val="right" w:pos="9026" w:leader="dot"/>
            </w:tabs>
            <w:rPr/>
          </w:pPr>
          <w:hyperlink w:anchor="__RefHeading___Toc9423970_73709187">
            <w:r>
              <w:rPr>
                <w:webHidden/>
                <w:rStyle w:val="IndexLink"/>
                <w:rtl w:val="true"/>
              </w:rPr>
              <w:t>فرعٌ‌</w:t>
            </w:r>
            <w:r>
              <w:rPr>
                <w:rStyle w:val="IndexLink"/>
                <w:rtl w:val="true"/>
              </w:rPr>
              <w:tab/>
            </w:r>
            <w:r>
              <w:rPr>
                <w:rStyle w:val="IndexLink"/>
              </w:rPr>
              <w:t>170</w:t>
            </w:r>
          </w:hyperlink>
        </w:p>
        <w:p>
          <w:pPr>
            <w:pStyle w:val="Contents5"/>
            <w:tabs>
              <w:tab w:val="clear" w:pos="7892"/>
              <w:tab w:val="right" w:pos="9026" w:leader="dot"/>
            </w:tabs>
            <w:rPr/>
          </w:pPr>
          <w:hyperlink w:anchor="__RefHeading___Toc9423972_73709187">
            <w:r>
              <w:rPr>
                <w:webHidden/>
                <w:rStyle w:val="IndexLink"/>
                <w:rtl w:val="true"/>
              </w:rPr>
              <w:t>آراء فقهاء أهل السنّة فی المسألة</w:t>
            </w:r>
            <w:r>
              <w:rPr>
                <w:rStyle w:val="IndexLink"/>
                <w:rtl w:val="true"/>
              </w:rPr>
              <w:tab/>
            </w:r>
            <w:r>
              <w:rPr>
                <w:rStyle w:val="IndexLink"/>
              </w:rPr>
              <w:t>170</w:t>
            </w:r>
          </w:hyperlink>
        </w:p>
        <w:p>
          <w:pPr>
            <w:pStyle w:val="Contents4"/>
            <w:tabs>
              <w:tab w:val="clear" w:pos="8176"/>
              <w:tab w:val="right" w:pos="9026" w:leader="dot"/>
            </w:tabs>
            <w:rPr/>
          </w:pPr>
          <w:hyperlink w:anchor="__RefHeading___Toc9423974_73709187">
            <w:r>
              <w:rPr>
                <w:webHidden/>
                <w:rStyle w:val="IndexLink"/>
                <w:rtl w:val="true"/>
              </w:rPr>
              <w:t>المبحث الثانی</w:t>
            </w:r>
            <w:r>
              <w:rPr>
                <w:rStyle w:val="IndexLink"/>
                <w:rtl w:val="true"/>
              </w:rPr>
              <w:t xml:space="preserve">: </w:t>
            </w:r>
            <w:r>
              <w:rPr>
                <w:rStyle w:val="IndexLink"/>
                <w:rtl w:val="true"/>
              </w:rPr>
              <w:t>میراث الحمل</w:t>
            </w:r>
            <w:r>
              <w:rPr>
                <w:rStyle w:val="IndexLink"/>
                <w:rtl w:val="true"/>
              </w:rPr>
              <w:tab/>
            </w:r>
            <w:r>
              <w:rPr>
                <w:rStyle w:val="IndexLink"/>
              </w:rPr>
              <w:t>172</w:t>
            </w:r>
          </w:hyperlink>
        </w:p>
        <w:p>
          <w:pPr>
            <w:pStyle w:val="Contents5"/>
            <w:tabs>
              <w:tab w:val="clear" w:pos="7892"/>
              <w:tab w:val="right" w:pos="9026" w:leader="dot"/>
            </w:tabs>
            <w:rPr/>
          </w:pPr>
          <w:hyperlink w:anchor="__RefHeading___Toc9423976_73709187">
            <w:r>
              <w:rPr>
                <w:webHidden/>
                <w:rStyle w:val="IndexLink"/>
                <w:rtl w:val="true"/>
              </w:rPr>
              <w:t>اشارة</w:t>
            </w:r>
            <w:r>
              <w:rPr>
                <w:rStyle w:val="IndexLink"/>
                <w:rtl w:val="true"/>
              </w:rPr>
              <w:tab/>
            </w:r>
            <w:r>
              <w:rPr>
                <w:rStyle w:val="IndexLink"/>
              </w:rPr>
              <w:t>172</w:t>
            </w:r>
          </w:hyperlink>
        </w:p>
        <w:p>
          <w:pPr>
            <w:pStyle w:val="Contents5"/>
            <w:tabs>
              <w:tab w:val="clear" w:pos="7892"/>
              <w:tab w:val="right" w:pos="9026" w:leader="dot"/>
            </w:tabs>
            <w:rPr/>
          </w:pPr>
          <w:hyperlink w:anchor="__RefHeading___Toc9423978_73709187">
            <w:r>
              <w:rPr>
                <w:webHidden/>
                <w:rStyle w:val="IndexLink"/>
                <w:rtl w:val="true"/>
              </w:rPr>
              <w:t>شرائط إرث الحمل</w:t>
            </w:r>
            <w:r>
              <w:rPr>
                <w:rStyle w:val="IndexLink"/>
                <w:rtl w:val="true"/>
              </w:rPr>
              <w:tab/>
            </w:r>
            <w:r>
              <w:rPr>
                <w:rStyle w:val="IndexLink"/>
              </w:rPr>
              <w:t>175</w:t>
            </w:r>
          </w:hyperlink>
        </w:p>
        <w:p>
          <w:pPr>
            <w:pStyle w:val="Contents5"/>
            <w:tabs>
              <w:tab w:val="clear" w:pos="7892"/>
              <w:tab w:val="right" w:pos="9026" w:leader="dot"/>
            </w:tabs>
            <w:rPr/>
          </w:pPr>
          <w:hyperlink w:anchor="__RefHeading___Toc9423980_73709187">
            <w:r>
              <w:rPr>
                <w:webHidden/>
                <w:rStyle w:val="IndexLink"/>
                <w:rtl w:val="true"/>
              </w:rPr>
              <w:t>رأی الجمهور من أهل السنّة فی المسألة</w:t>
            </w:r>
            <w:r>
              <w:rPr>
                <w:rStyle w:val="IndexLink"/>
                <w:rtl w:val="true"/>
              </w:rPr>
              <w:tab/>
            </w:r>
            <w:r>
              <w:rPr>
                <w:rStyle w:val="IndexLink"/>
              </w:rPr>
              <w:t>176</w:t>
            </w:r>
          </w:hyperlink>
        </w:p>
        <w:p>
          <w:pPr>
            <w:pStyle w:val="Contents4"/>
            <w:tabs>
              <w:tab w:val="clear" w:pos="8176"/>
              <w:tab w:val="right" w:pos="9026" w:leader="dot"/>
            </w:tabs>
            <w:rPr/>
          </w:pPr>
          <w:hyperlink w:anchor="__RefHeading___Toc9423982_73709187">
            <w:r>
              <w:rPr>
                <w:webHidden/>
                <w:rStyle w:val="IndexLink"/>
                <w:rtl w:val="true"/>
              </w:rPr>
              <w:t>المبحث الثالث</w:t>
            </w:r>
            <w:r>
              <w:rPr>
                <w:rStyle w:val="IndexLink"/>
                <w:rtl w:val="true"/>
              </w:rPr>
              <w:t xml:space="preserve">: </w:t>
            </w:r>
            <w:r>
              <w:rPr>
                <w:rStyle w:val="IndexLink"/>
                <w:rtl w:val="true"/>
              </w:rPr>
              <w:t>تأخیر الحدّ عن الحامل بسبب حملها</w:t>
            </w:r>
            <w:r>
              <w:rPr>
                <w:rStyle w:val="IndexLink"/>
                <w:rtl w:val="true"/>
              </w:rPr>
              <w:tab/>
            </w:r>
            <w:r>
              <w:rPr>
                <w:rStyle w:val="IndexLink"/>
              </w:rPr>
              <w:t>177</w:t>
            </w:r>
          </w:hyperlink>
        </w:p>
        <w:p>
          <w:pPr>
            <w:pStyle w:val="Contents5"/>
            <w:tabs>
              <w:tab w:val="clear" w:pos="7892"/>
              <w:tab w:val="right" w:pos="9026" w:leader="dot"/>
            </w:tabs>
            <w:rPr/>
          </w:pPr>
          <w:hyperlink w:anchor="__RefHeading___Toc9423984_73709187">
            <w:r>
              <w:rPr>
                <w:webHidden/>
                <w:rStyle w:val="IndexLink"/>
                <w:rtl w:val="true"/>
              </w:rPr>
              <w:t>اشارة</w:t>
            </w:r>
            <w:r>
              <w:rPr>
                <w:rStyle w:val="IndexLink"/>
                <w:rtl w:val="true"/>
              </w:rPr>
              <w:tab/>
            </w:r>
            <w:r>
              <w:rPr>
                <w:rStyle w:val="IndexLink"/>
              </w:rPr>
              <w:t>177</w:t>
            </w:r>
          </w:hyperlink>
        </w:p>
        <w:p>
          <w:pPr>
            <w:pStyle w:val="Contents5"/>
            <w:tabs>
              <w:tab w:val="clear" w:pos="7892"/>
              <w:tab w:val="right" w:pos="9026" w:leader="dot"/>
            </w:tabs>
            <w:rPr/>
          </w:pPr>
          <w:hyperlink w:anchor="__RefHeading___Toc9423986_73709187">
            <w:r>
              <w:rPr>
                <w:webHidden/>
                <w:rStyle w:val="IndexLink"/>
                <w:rtl w:val="true"/>
              </w:rPr>
              <w:t>المطلب الأوّل</w:t>
            </w:r>
            <w:r>
              <w:rPr>
                <w:rStyle w:val="IndexLink"/>
                <w:rtl w:val="true"/>
              </w:rPr>
              <w:t xml:space="preserve">: </w:t>
            </w:r>
            <w:r>
              <w:rPr>
                <w:rStyle w:val="IndexLink"/>
                <w:rtl w:val="true"/>
              </w:rPr>
              <w:t>عدم إقامة الحدّ علی الحامل</w:t>
            </w:r>
            <w:r>
              <w:rPr>
                <w:rStyle w:val="IndexLink"/>
                <w:rtl w:val="true"/>
              </w:rPr>
              <w:tab/>
            </w:r>
            <w:r>
              <w:rPr>
                <w:rStyle w:val="IndexLink"/>
              </w:rPr>
              <w:t>177</w:t>
            </w:r>
          </w:hyperlink>
        </w:p>
        <w:p>
          <w:pPr>
            <w:pStyle w:val="Contents6"/>
            <w:tabs>
              <w:tab w:val="clear" w:pos="7609"/>
              <w:tab w:val="right" w:pos="9026" w:leader="dot"/>
            </w:tabs>
            <w:rPr/>
          </w:pPr>
          <w:hyperlink w:anchor="__RefHeading___Toc9423988_73709187">
            <w:r>
              <w:rPr>
                <w:webHidden/>
                <w:rStyle w:val="IndexLink"/>
                <w:rtl w:val="true"/>
              </w:rPr>
              <w:t>اشارة</w:t>
            </w:r>
            <w:r>
              <w:rPr>
                <w:rStyle w:val="IndexLink"/>
                <w:rtl w:val="true"/>
              </w:rPr>
              <w:tab/>
            </w:r>
            <w:r>
              <w:rPr>
                <w:rStyle w:val="IndexLink"/>
              </w:rPr>
              <w:t>177</w:t>
            </w:r>
          </w:hyperlink>
        </w:p>
        <w:p>
          <w:pPr>
            <w:pStyle w:val="Contents6"/>
            <w:tabs>
              <w:tab w:val="clear" w:pos="7609"/>
              <w:tab w:val="right" w:pos="9026" w:leader="dot"/>
            </w:tabs>
            <w:rPr/>
          </w:pPr>
          <w:hyperlink w:anchor="__RefHeading___Toc9423990_73709187">
            <w:r>
              <w:rPr>
                <w:webHidden/>
                <w:rStyle w:val="IndexLink"/>
                <w:rtl w:val="true"/>
              </w:rPr>
              <w:t>إیراد و دفعه</w:t>
            </w:r>
            <w:r>
              <w:rPr>
                <w:rStyle w:val="IndexLink"/>
                <w:rtl w:val="true"/>
              </w:rPr>
              <w:tab/>
            </w:r>
            <w:r>
              <w:rPr>
                <w:rStyle w:val="IndexLink"/>
              </w:rPr>
              <w:t>180</w:t>
            </w:r>
          </w:hyperlink>
        </w:p>
        <w:p>
          <w:pPr>
            <w:pStyle w:val="Contents6"/>
            <w:tabs>
              <w:tab w:val="clear" w:pos="7609"/>
              <w:tab w:val="right" w:pos="9026" w:leader="dot"/>
            </w:tabs>
            <w:rPr/>
          </w:pPr>
          <w:hyperlink w:anchor="__RefHeading___Toc9423992_73709187">
            <w:r>
              <w:rPr>
                <w:webHidden/>
                <w:rStyle w:val="IndexLink"/>
                <w:rtl w:val="true"/>
              </w:rPr>
              <w:t>رأی المذاهب الأربعة فی تأخیر الحدّ عن الحامل</w:t>
            </w:r>
            <w:r>
              <w:rPr>
                <w:rStyle w:val="IndexLink"/>
                <w:rtl w:val="true"/>
              </w:rPr>
              <w:tab/>
            </w:r>
            <w:r>
              <w:rPr>
                <w:rStyle w:val="IndexLink"/>
              </w:rPr>
              <w:t>182</w:t>
            </w:r>
          </w:hyperlink>
        </w:p>
        <w:p>
          <w:pPr>
            <w:pStyle w:val="Contents5"/>
            <w:tabs>
              <w:tab w:val="clear" w:pos="7892"/>
              <w:tab w:val="right" w:pos="9026" w:leader="dot"/>
            </w:tabs>
            <w:rPr/>
          </w:pPr>
          <w:hyperlink w:anchor="__RefHeading___Toc9423994_73709187">
            <w:r>
              <w:rPr>
                <w:webHidden/>
                <w:rStyle w:val="IndexLink"/>
                <w:rtl w:val="true"/>
              </w:rPr>
              <w:t>المطلب الثانی</w:t>
            </w:r>
            <w:r>
              <w:rPr>
                <w:rStyle w:val="IndexLink"/>
                <w:rtl w:val="true"/>
              </w:rPr>
              <w:t xml:space="preserve">: </w:t>
            </w:r>
            <w:r>
              <w:rPr>
                <w:rStyle w:val="IndexLink"/>
                <w:rtl w:val="true"/>
              </w:rPr>
              <w:t>عدم إجراء القصاص علی الحامل</w:t>
            </w:r>
            <w:r>
              <w:rPr>
                <w:rStyle w:val="IndexLink"/>
                <w:rtl w:val="true"/>
              </w:rPr>
              <w:tab/>
            </w:r>
            <w:r>
              <w:rPr>
                <w:rStyle w:val="IndexLink"/>
              </w:rPr>
              <w:t>183</w:t>
            </w:r>
          </w:hyperlink>
        </w:p>
        <w:p>
          <w:pPr>
            <w:pStyle w:val="Contents6"/>
            <w:tabs>
              <w:tab w:val="clear" w:pos="7609"/>
              <w:tab w:val="right" w:pos="9026" w:leader="dot"/>
            </w:tabs>
            <w:rPr/>
          </w:pPr>
          <w:hyperlink w:anchor="__RefHeading___Toc9423996_73709187">
            <w:r>
              <w:rPr>
                <w:webHidden/>
                <w:rStyle w:val="IndexLink"/>
                <w:rtl w:val="true"/>
              </w:rPr>
              <w:t>اشارة</w:t>
            </w:r>
            <w:r>
              <w:rPr>
                <w:rStyle w:val="IndexLink"/>
                <w:rtl w:val="true"/>
              </w:rPr>
              <w:tab/>
            </w:r>
            <w:r>
              <w:rPr>
                <w:rStyle w:val="IndexLink"/>
              </w:rPr>
              <w:t>183</w:t>
            </w:r>
          </w:hyperlink>
        </w:p>
        <w:p>
          <w:pPr>
            <w:pStyle w:val="Contents6"/>
            <w:tabs>
              <w:tab w:val="clear" w:pos="7609"/>
              <w:tab w:val="right" w:pos="9026" w:leader="dot"/>
            </w:tabs>
            <w:rPr/>
          </w:pPr>
          <w:hyperlink w:anchor="__RefHeading___Toc9423998_73709187">
            <w:r>
              <w:rPr>
                <w:webHidden/>
                <w:rStyle w:val="IndexLink"/>
                <w:rtl w:val="true"/>
              </w:rPr>
              <w:t>توافق المذاهب الأربعة فی المسألة</w:t>
            </w:r>
            <w:r>
              <w:rPr>
                <w:rStyle w:val="IndexLink"/>
                <w:rtl w:val="true"/>
              </w:rPr>
              <w:tab/>
            </w:r>
            <w:r>
              <w:rPr>
                <w:rStyle w:val="IndexLink"/>
              </w:rPr>
              <w:t>185</w:t>
            </w:r>
          </w:hyperlink>
        </w:p>
        <w:p>
          <w:pPr>
            <w:pStyle w:val="Contents6"/>
            <w:tabs>
              <w:tab w:val="clear" w:pos="7609"/>
              <w:tab w:val="right" w:pos="9026" w:leader="dot"/>
            </w:tabs>
            <w:rPr/>
          </w:pPr>
          <w:hyperlink w:anchor="__RefHeading___Toc9424000_73709187">
            <w:r>
              <w:rPr>
                <w:webHidden/>
                <w:rStyle w:val="IndexLink"/>
                <w:rtl w:val="true"/>
              </w:rPr>
              <w:t>تنبیه</w:t>
            </w:r>
            <w:r>
              <w:rPr>
                <w:rStyle w:val="IndexLink"/>
                <w:rtl w:val="true"/>
              </w:rPr>
              <w:tab/>
            </w:r>
            <w:r>
              <w:rPr>
                <w:rStyle w:val="IndexLink"/>
              </w:rPr>
              <w:t>186</w:t>
            </w:r>
          </w:hyperlink>
        </w:p>
        <w:p>
          <w:pPr>
            <w:pStyle w:val="Contents3"/>
            <w:tabs>
              <w:tab w:val="clear" w:pos="8459"/>
              <w:tab w:val="right" w:pos="9026" w:leader="dot"/>
            </w:tabs>
            <w:rPr/>
          </w:pPr>
          <w:hyperlink w:anchor="__RefHeading___Toc9424002_73709187">
            <w:r>
              <w:rPr>
                <w:webHidden/>
                <w:rStyle w:val="IndexLink"/>
                <w:rtl w:val="true"/>
              </w:rPr>
              <w:t>الفصل السابع فی سنن الولادة</w:t>
            </w:r>
            <w:r>
              <w:rPr>
                <w:rStyle w:val="IndexLink"/>
                <w:rtl w:val="true"/>
              </w:rPr>
              <w:tab/>
            </w:r>
            <w:r>
              <w:rPr>
                <w:rStyle w:val="IndexLink"/>
              </w:rPr>
              <w:t>187</w:t>
            </w:r>
          </w:hyperlink>
        </w:p>
        <w:p>
          <w:pPr>
            <w:pStyle w:val="Contents4"/>
            <w:tabs>
              <w:tab w:val="clear" w:pos="8176"/>
              <w:tab w:val="right" w:pos="9026" w:leader="dot"/>
            </w:tabs>
            <w:rPr/>
          </w:pPr>
          <w:hyperlink w:anchor="__RefHeading___Toc9424004_73709187">
            <w:r>
              <w:rPr>
                <w:webHidden/>
                <w:rStyle w:val="IndexLink"/>
                <w:rtl w:val="true"/>
              </w:rPr>
              <w:t>المبحث الأول</w:t>
            </w:r>
            <w:r>
              <w:rPr>
                <w:rStyle w:val="IndexLink"/>
                <w:rtl w:val="true"/>
              </w:rPr>
              <w:t xml:space="preserve">: </w:t>
            </w:r>
            <w:r>
              <w:rPr>
                <w:rStyle w:val="IndexLink"/>
                <w:rtl w:val="true"/>
              </w:rPr>
              <w:t>استحباب غسل المولود</w:t>
            </w:r>
            <w:r>
              <w:rPr>
                <w:rStyle w:val="IndexLink"/>
                <w:rtl w:val="true"/>
              </w:rPr>
              <w:tab/>
            </w:r>
            <w:r>
              <w:rPr>
                <w:rStyle w:val="IndexLink"/>
              </w:rPr>
              <w:t>187</w:t>
            </w:r>
          </w:hyperlink>
        </w:p>
        <w:p>
          <w:pPr>
            <w:pStyle w:val="Contents5"/>
            <w:tabs>
              <w:tab w:val="clear" w:pos="7892"/>
              <w:tab w:val="right" w:pos="9026" w:leader="dot"/>
            </w:tabs>
            <w:rPr/>
          </w:pPr>
          <w:hyperlink w:anchor="__RefHeading___Toc9424006_73709187">
            <w:r>
              <w:rPr>
                <w:webHidden/>
                <w:rStyle w:val="IndexLink"/>
                <w:rtl w:val="true"/>
              </w:rPr>
              <w:t>اشارة</w:t>
            </w:r>
            <w:r>
              <w:rPr>
                <w:rStyle w:val="IndexLink"/>
                <w:rtl w:val="true"/>
              </w:rPr>
              <w:tab/>
            </w:r>
            <w:r>
              <w:rPr>
                <w:rStyle w:val="IndexLink"/>
              </w:rPr>
              <w:t>187</w:t>
            </w:r>
          </w:hyperlink>
        </w:p>
        <w:p>
          <w:pPr>
            <w:pStyle w:val="Contents5"/>
            <w:tabs>
              <w:tab w:val="clear" w:pos="7892"/>
              <w:tab w:val="right" w:pos="9026" w:leader="dot"/>
            </w:tabs>
            <w:rPr/>
          </w:pPr>
          <w:hyperlink w:anchor="__RefHeading___Toc9424008_73709187">
            <w:r>
              <w:rPr>
                <w:webHidden/>
                <w:rStyle w:val="IndexLink"/>
                <w:rtl w:val="true"/>
              </w:rPr>
              <w:t>وقت غسل المولود</w:t>
            </w:r>
            <w:r>
              <w:rPr>
                <w:rStyle w:val="IndexLink"/>
                <w:rtl w:val="true"/>
              </w:rPr>
              <w:tab/>
            </w:r>
            <w:r>
              <w:rPr>
                <w:rStyle w:val="IndexLink"/>
              </w:rPr>
              <w:t>188</w:t>
            </w:r>
          </w:hyperlink>
        </w:p>
        <w:p>
          <w:pPr>
            <w:pStyle w:val="Contents5"/>
            <w:tabs>
              <w:tab w:val="clear" w:pos="7892"/>
              <w:tab w:val="right" w:pos="9026" w:leader="dot"/>
            </w:tabs>
            <w:rPr/>
          </w:pPr>
          <w:hyperlink w:anchor="__RefHeading___Toc9424010_73709187">
            <w:r>
              <w:rPr>
                <w:webHidden/>
                <w:rStyle w:val="IndexLink"/>
                <w:rtl w:val="true"/>
              </w:rPr>
              <w:t>اعتبار النیّة و الترتیب فی غسل المولود</w:t>
            </w:r>
            <w:r>
              <w:rPr>
                <w:rStyle w:val="IndexLink"/>
                <w:rtl w:val="true"/>
              </w:rPr>
              <w:tab/>
            </w:r>
            <w:r>
              <w:rPr>
                <w:rStyle w:val="IndexLink"/>
              </w:rPr>
              <w:t>189</w:t>
            </w:r>
          </w:hyperlink>
        </w:p>
        <w:p>
          <w:pPr>
            <w:pStyle w:val="Contents4"/>
            <w:tabs>
              <w:tab w:val="clear" w:pos="8176"/>
              <w:tab w:val="right" w:pos="9026" w:leader="dot"/>
            </w:tabs>
            <w:rPr/>
          </w:pPr>
          <w:hyperlink w:anchor="__RefHeading___Toc9424012_73709187">
            <w:r>
              <w:rPr>
                <w:webHidden/>
                <w:rStyle w:val="IndexLink"/>
                <w:rtl w:val="true"/>
              </w:rPr>
              <w:t>المبحث الثانی</w:t>
            </w:r>
            <w:r>
              <w:rPr>
                <w:rStyle w:val="IndexLink"/>
                <w:rtl w:val="true"/>
              </w:rPr>
              <w:t xml:space="preserve">: </w:t>
            </w:r>
            <w:r>
              <w:rPr>
                <w:rStyle w:val="IndexLink"/>
                <w:rtl w:val="true"/>
              </w:rPr>
              <w:t>استحباب الأذان و الإقامة</w:t>
            </w:r>
            <w:r>
              <w:rPr>
                <w:rStyle w:val="IndexLink"/>
                <w:rtl w:val="true"/>
              </w:rPr>
              <w:tab/>
            </w:r>
            <w:r>
              <w:rPr>
                <w:rStyle w:val="IndexLink"/>
              </w:rPr>
              <w:t>190</w:t>
            </w:r>
          </w:hyperlink>
        </w:p>
        <w:p>
          <w:pPr>
            <w:pStyle w:val="Contents5"/>
            <w:tabs>
              <w:tab w:val="clear" w:pos="7892"/>
              <w:tab w:val="right" w:pos="9026" w:leader="dot"/>
            </w:tabs>
            <w:rPr/>
          </w:pPr>
          <w:hyperlink w:anchor="__RefHeading___Toc9424014_73709187">
            <w:r>
              <w:rPr>
                <w:webHidden/>
                <w:rStyle w:val="IndexLink"/>
                <w:rtl w:val="true"/>
              </w:rPr>
              <w:t>اشارة</w:t>
            </w:r>
            <w:r>
              <w:rPr>
                <w:rStyle w:val="IndexLink"/>
                <w:rtl w:val="true"/>
              </w:rPr>
              <w:tab/>
            </w:r>
            <w:r>
              <w:rPr>
                <w:rStyle w:val="IndexLink"/>
              </w:rPr>
              <w:t>190</w:t>
            </w:r>
          </w:hyperlink>
        </w:p>
        <w:p>
          <w:pPr>
            <w:pStyle w:val="Contents5"/>
            <w:tabs>
              <w:tab w:val="clear" w:pos="7892"/>
              <w:tab w:val="right" w:pos="9026" w:leader="dot"/>
            </w:tabs>
            <w:rPr/>
          </w:pPr>
          <w:hyperlink w:anchor="__RefHeading___Toc9424016_73709187">
            <w:r>
              <w:rPr>
                <w:webHidden/>
                <w:rStyle w:val="IndexLink"/>
                <w:rtl w:val="true"/>
              </w:rPr>
              <w:t>استحباب الأذان عند أهل السنّة</w:t>
            </w:r>
            <w:r>
              <w:rPr>
                <w:rStyle w:val="IndexLink"/>
                <w:rtl w:val="true"/>
              </w:rPr>
              <w:tab/>
            </w:r>
            <w:r>
              <w:rPr>
                <w:rStyle w:val="IndexLink"/>
              </w:rPr>
              <w:t>191</w:t>
            </w:r>
          </w:hyperlink>
        </w:p>
        <w:p>
          <w:pPr>
            <w:pStyle w:val="Contents4"/>
            <w:tabs>
              <w:tab w:val="clear" w:pos="8176"/>
              <w:tab w:val="right" w:pos="9026" w:leader="dot"/>
            </w:tabs>
            <w:rPr/>
          </w:pPr>
          <w:hyperlink w:anchor="__RefHeading___Toc9424018_73709187">
            <w:r>
              <w:rPr>
                <w:webHidden/>
                <w:rStyle w:val="IndexLink"/>
                <w:rtl w:val="true"/>
              </w:rPr>
              <w:t>المبحث الثالث</w:t>
            </w:r>
            <w:r>
              <w:rPr>
                <w:rStyle w:val="IndexLink"/>
                <w:rtl w:val="true"/>
              </w:rPr>
              <w:t xml:space="preserve">: </w:t>
            </w:r>
            <w:r>
              <w:rPr>
                <w:rStyle w:val="IndexLink"/>
                <w:rtl w:val="true"/>
              </w:rPr>
              <w:t>استحباب تحنیک المولود</w:t>
            </w:r>
            <w:r>
              <w:rPr>
                <w:rStyle w:val="IndexLink"/>
                <w:rtl w:val="true"/>
              </w:rPr>
              <w:tab/>
            </w:r>
            <w:r>
              <w:rPr>
                <w:rStyle w:val="IndexLink"/>
              </w:rPr>
              <w:t>192</w:t>
            </w:r>
          </w:hyperlink>
        </w:p>
        <w:p>
          <w:pPr>
            <w:pStyle w:val="Contents5"/>
            <w:tabs>
              <w:tab w:val="clear" w:pos="7892"/>
              <w:tab w:val="right" w:pos="9026" w:leader="dot"/>
            </w:tabs>
            <w:rPr/>
          </w:pPr>
          <w:hyperlink w:anchor="__RefHeading___Toc9424020_73709187">
            <w:r>
              <w:rPr>
                <w:webHidden/>
                <w:rStyle w:val="IndexLink"/>
                <w:rtl w:val="true"/>
              </w:rPr>
              <w:t>اشارة</w:t>
            </w:r>
            <w:r>
              <w:rPr>
                <w:rStyle w:val="IndexLink"/>
                <w:rtl w:val="true"/>
              </w:rPr>
              <w:tab/>
            </w:r>
            <w:r>
              <w:rPr>
                <w:rStyle w:val="IndexLink"/>
              </w:rPr>
              <w:t>192</w:t>
            </w:r>
          </w:hyperlink>
        </w:p>
        <w:p>
          <w:pPr>
            <w:pStyle w:val="Contents5"/>
            <w:tabs>
              <w:tab w:val="clear" w:pos="7892"/>
              <w:tab w:val="right" w:pos="9026" w:leader="dot"/>
            </w:tabs>
            <w:rPr/>
          </w:pPr>
          <w:hyperlink w:anchor="__RefHeading___Toc9424022_73709187">
            <w:r>
              <w:rPr>
                <w:webHidden/>
                <w:rStyle w:val="IndexLink"/>
                <w:rtl w:val="true"/>
              </w:rPr>
              <w:t>التحنیک عند أهل السنة</w:t>
            </w:r>
            <w:r>
              <w:rPr>
                <w:rStyle w:val="IndexLink"/>
                <w:rtl w:val="true"/>
              </w:rPr>
              <w:tab/>
            </w:r>
            <w:r>
              <w:rPr>
                <w:rStyle w:val="IndexLink"/>
              </w:rPr>
              <w:t>193</w:t>
            </w:r>
          </w:hyperlink>
        </w:p>
        <w:p>
          <w:pPr>
            <w:pStyle w:val="Contents4"/>
            <w:tabs>
              <w:tab w:val="clear" w:pos="8176"/>
              <w:tab w:val="right" w:pos="9026" w:leader="dot"/>
            </w:tabs>
            <w:rPr/>
          </w:pPr>
          <w:hyperlink w:anchor="__RefHeading___Toc9424024_73709187">
            <w:r>
              <w:rPr>
                <w:webHidden/>
                <w:rStyle w:val="IndexLink"/>
                <w:rtl w:val="true"/>
              </w:rPr>
              <w:t>المبحث الرابع</w:t>
            </w:r>
            <w:r>
              <w:rPr>
                <w:rStyle w:val="IndexLink"/>
                <w:rtl w:val="true"/>
              </w:rPr>
              <w:t xml:space="preserve">: </w:t>
            </w:r>
            <w:r>
              <w:rPr>
                <w:rStyle w:val="IndexLink"/>
                <w:rtl w:val="true"/>
              </w:rPr>
              <w:t>فی اسم المولود و الکنی و الألقاب له</w:t>
            </w:r>
            <w:r>
              <w:rPr>
                <w:rStyle w:val="IndexLink"/>
                <w:rtl w:val="true"/>
              </w:rPr>
              <w:tab/>
            </w:r>
            <w:r>
              <w:rPr>
                <w:rStyle w:val="IndexLink"/>
              </w:rPr>
              <w:t>194</w:t>
            </w:r>
          </w:hyperlink>
        </w:p>
        <w:p>
          <w:pPr>
            <w:pStyle w:val="Contents5"/>
            <w:tabs>
              <w:tab w:val="clear" w:pos="7892"/>
              <w:tab w:val="right" w:pos="9026" w:leader="dot"/>
            </w:tabs>
            <w:rPr/>
          </w:pPr>
          <w:hyperlink w:anchor="__RefHeading___Toc9424026_73709187">
            <w:r>
              <w:rPr>
                <w:webHidden/>
                <w:rStyle w:val="IndexLink"/>
                <w:rtl w:val="true"/>
              </w:rPr>
              <w:t>اشارة</w:t>
            </w:r>
            <w:r>
              <w:rPr>
                <w:rStyle w:val="IndexLink"/>
                <w:rtl w:val="true"/>
              </w:rPr>
              <w:tab/>
            </w:r>
            <w:r>
              <w:rPr>
                <w:rStyle w:val="IndexLink"/>
              </w:rPr>
              <w:t>194</w:t>
            </w:r>
          </w:hyperlink>
        </w:p>
        <w:p>
          <w:pPr>
            <w:pStyle w:val="Contents5"/>
            <w:tabs>
              <w:tab w:val="clear" w:pos="7892"/>
              <w:tab w:val="right" w:pos="9026" w:leader="dot"/>
            </w:tabs>
            <w:rPr/>
          </w:pPr>
          <w:hyperlink w:anchor="__RefHeading___Toc9424028_73709187">
            <w:r>
              <w:rPr>
                <w:webHidden/>
                <w:rStyle w:val="IndexLink"/>
                <w:rtl w:val="true"/>
              </w:rPr>
              <w:t>المطلب الأوّل</w:t>
            </w:r>
            <w:r>
              <w:rPr>
                <w:rStyle w:val="IndexLink"/>
                <w:rtl w:val="true"/>
              </w:rPr>
              <w:t xml:space="preserve">: </w:t>
            </w:r>
            <w:r>
              <w:rPr>
                <w:rStyle w:val="IndexLink"/>
                <w:rtl w:val="true"/>
              </w:rPr>
              <w:t>یستحبّ اختیار الأسماء الحسنة للمولود</w:t>
            </w:r>
            <w:r>
              <w:rPr>
                <w:rStyle w:val="IndexLink"/>
                <w:rtl w:val="true"/>
              </w:rPr>
              <w:tab/>
            </w:r>
            <w:r>
              <w:rPr>
                <w:rStyle w:val="IndexLink"/>
              </w:rPr>
              <w:t>194</w:t>
            </w:r>
          </w:hyperlink>
        </w:p>
        <w:p>
          <w:pPr>
            <w:pStyle w:val="Contents6"/>
            <w:tabs>
              <w:tab w:val="clear" w:pos="7609"/>
              <w:tab w:val="right" w:pos="9026" w:leader="dot"/>
            </w:tabs>
            <w:rPr/>
          </w:pPr>
          <w:hyperlink w:anchor="__RefHeading___Toc9424030_73709187">
            <w:r>
              <w:rPr>
                <w:webHidden/>
                <w:rStyle w:val="IndexLink"/>
                <w:rtl w:val="true"/>
              </w:rPr>
              <w:t>اشارة</w:t>
            </w:r>
            <w:r>
              <w:rPr>
                <w:rStyle w:val="IndexLink"/>
                <w:rtl w:val="true"/>
              </w:rPr>
              <w:tab/>
            </w:r>
            <w:r>
              <w:rPr>
                <w:rStyle w:val="IndexLink"/>
              </w:rPr>
              <w:t>194</w:t>
            </w:r>
          </w:hyperlink>
        </w:p>
        <w:p>
          <w:pPr>
            <w:pStyle w:val="Contents6"/>
            <w:tabs>
              <w:tab w:val="clear" w:pos="7609"/>
              <w:tab w:val="right" w:pos="9026" w:leader="dot"/>
            </w:tabs>
            <w:rPr/>
          </w:pPr>
          <w:hyperlink w:anchor="__RefHeading___Toc9424032_73709187">
            <w:r>
              <w:rPr>
                <w:webHidden/>
                <w:rStyle w:val="IndexLink"/>
                <w:rtl w:val="true"/>
              </w:rPr>
              <w:t>أفضلیّة أسماء الأنبیاء</w:t>
            </w:r>
            <w:r>
              <w:rPr>
                <w:rStyle w:val="IndexLink"/>
                <w:rtl w:val="true"/>
              </w:rPr>
              <w:tab/>
            </w:r>
            <w:r>
              <w:rPr>
                <w:rStyle w:val="IndexLink"/>
              </w:rPr>
              <w:t>195</w:t>
            </w:r>
          </w:hyperlink>
        </w:p>
        <w:p>
          <w:pPr>
            <w:pStyle w:val="Contents6"/>
            <w:tabs>
              <w:tab w:val="clear" w:pos="7609"/>
              <w:tab w:val="right" w:pos="9026" w:leader="dot"/>
            </w:tabs>
            <w:rPr/>
          </w:pPr>
          <w:hyperlink w:anchor="__RefHeading___Toc9424034_73709187">
            <w:r>
              <w:rPr>
                <w:webHidden/>
                <w:rStyle w:val="IndexLink"/>
                <w:rtl w:val="true"/>
              </w:rPr>
              <w:t>أفضل الأسماء عند أهل السنّة</w:t>
            </w:r>
            <w:r>
              <w:rPr>
                <w:rStyle w:val="IndexLink"/>
                <w:rtl w:val="true"/>
              </w:rPr>
              <w:tab/>
            </w:r>
            <w:r>
              <w:rPr>
                <w:rStyle w:val="IndexLink"/>
              </w:rPr>
              <w:t>197</w:t>
            </w:r>
          </w:hyperlink>
        </w:p>
        <w:p>
          <w:pPr>
            <w:pStyle w:val="Contents6"/>
            <w:tabs>
              <w:tab w:val="clear" w:pos="7609"/>
              <w:tab w:val="right" w:pos="9026" w:leader="dot"/>
            </w:tabs>
            <w:rPr/>
          </w:pPr>
          <w:hyperlink w:anchor="__RefHeading___Toc9424036_73709187">
            <w:r>
              <w:rPr>
                <w:webHidden/>
                <w:rStyle w:val="IndexLink"/>
                <w:rtl w:val="true"/>
              </w:rPr>
              <w:t>الأسماء القبیحة</w:t>
            </w:r>
            <w:r>
              <w:rPr>
                <w:rStyle w:val="IndexLink"/>
                <w:rtl w:val="true"/>
              </w:rPr>
              <w:tab/>
            </w:r>
            <w:r>
              <w:rPr>
                <w:rStyle w:val="IndexLink"/>
              </w:rPr>
              <w:t>197</w:t>
            </w:r>
          </w:hyperlink>
        </w:p>
        <w:p>
          <w:pPr>
            <w:pStyle w:val="Contents6"/>
            <w:tabs>
              <w:tab w:val="clear" w:pos="7609"/>
              <w:tab w:val="right" w:pos="9026" w:leader="dot"/>
            </w:tabs>
            <w:rPr/>
          </w:pPr>
          <w:hyperlink w:anchor="__RefHeading___Toc9424038_73709187">
            <w:r>
              <w:rPr>
                <w:webHidden/>
                <w:rStyle w:val="IndexLink"/>
                <w:rtl w:val="true"/>
              </w:rPr>
              <w:t>استحباب تغییر الأسماء القبیحة</w:t>
            </w:r>
            <w:r>
              <w:rPr>
                <w:rStyle w:val="IndexLink"/>
                <w:rtl w:val="true"/>
              </w:rPr>
              <w:tab/>
            </w:r>
            <w:r>
              <w:rPr>
                <w:rStyle w:val="IndexLink"/>
              </w:rPr>
              <w:t>199</w:t>
            </w:r>
          </w:hyperlink>
        </w:p>
        <w:p>
          <w:pPr>
            <w:pStyle w:val="Contents5"/>
            <w:tabs>
              <w:tab w:val="clear" w:pos="7892"/>
              <w:tab w:val="right" w:pos="9026" w:leader="dot"/>
            </w:tabs>
            <w:rPr/>
          </w:pPr>
          <w:hyperlink w:anchor="__RefHeading___Toc9424040_73709187">
            <w:r>
              <w:rPr>
                <w:webHidden/>
                <w:rStyle w:val="IndexLink"/>
                <w:rtl w:val="true"/>
              </w:rPr>
              <w:t>المطلب الثانی</w:t>
            </w:r>
            <w:r>
              <w:rPr>
                <w:rStyle w:val="IndexLink"/>
                <w:rtl w:val="true"/>
              </w:rPr>
              <w:t xml:space="preserve">: </w:t>
            </w:r>
            <w:r>
              <w:rPr>
                <w:rStyle w:val="IndexLink"/>
                <w:rtl w:val="true"/>
              </w:rPr>
              <w:t>وقت التّسمیة</w:t>
            </w:r>
            <w:r>
              <w:rPr>
                <w:rStyle w:val="IndexLink"/>
                <w:rtl w:val="true"/>
              </w:rPr>
              <w:tab/>
            </w:r>
            <w:r>
              <w:rPr>
                <w:rStyle w:val="IndexLink"/>
              </w:rPr>
              <w:t>200</w:t>
            </w:r>
          </w:hyperlink>
        </w:p>
        <w:p>
          <w:pPr>
            <w:pStyle w:val="Contents5"/>
            <w:tabs>
              <w:tab w:val="clear" w:pos="7892"/>
              <w:tab w:val="right" w:pos="9026" w:leader="dot"/>
            </w:tabs>
            <w:rPr/>
          </w:pPr>
          <w:hyperlink w:anchor="__RefHeading___Toc9424042_73709187">
            <w:r>
              <w:rPr>
                <w:webHidden/>
                <w:rStyle w:val="IndexLink"/>
                <w:rtl w:val="true"/>
              </w:rPr>
              <w:t>المطلب الثالث</w:t>
            </w:r>
            <w:r>
              <w:rPr>
                <w:rStyle w:val="IndexLink"/>
                <w:rtl w:val="true"/>
              </w:rPr>
              <w:t xml:space="preserve">: </w:t>
            </w:r>
            <w:r>
              <w:rPr>
                <w:rStyle w:val="IndexLink"/>
                <w:rtl w:val="true"/>
              </w:rPr>
              <w:t>الکنی و الألقاب الحسنة</w:t>
            </w:r>
            <w:r>
              <w:rPr>
                <w:rStyle w:val="IndexLink"/>
                <w:rtl w:val="true"/>
              </w:rPr>
              <w:tab/>
            </w:r>
            <w:r>
              <w:rPr>
                <w:rStyle w:val="IndexLink"/>
              </w:rPr>
              <w:t>201</w:t>
            </w:r>
          </w:hyperlink>
        </w:p>
        <w:p>
          <w:pPr>
            <w:pStyle w:val="Contents6"/>
            <w:tabs>
              <w:tab w:val="clear" w:pos="7609"/>
              <w:tab w:val="right" w:pos="9026" w:leader="dot"/>
            </w:tabs>
            <w:rPr/>
          </w:pPr>
          <w:hyperlink w:anchor="__RefHeading___Toc9424044_73709187">
            <w:r>
              <w:rPr>
                <w:webHidden/>
                <w:rStyle w:val="IndexLink"/>
                <w:rtl w:val="true"/>
              </w:rPr>
              <w:t>اشارة</w:t>
            </w:r>
            <w:r>
              <w:rPr>
                <w:rStyle w:val="IndexLink"/>
                <w:rtl w:val="true"/>
              </w:rPr>
              <w:tab/>
            </w:r>
            <w:r>
              <w:rPr>
                <w:rStyle w:val="IndexLink"/>
              </w:rPr>
              <w:t>201</w:t>
            </w:r>
          </w:hyperlink>
        </w:p>
        <w:p>
          <w:pPr>
            <w:pStyle w:val="Contents6"/>
            <w:tabs>
              <w:tab w:val="clear" w:pos="7609"/>
              <w:tab w:val="right" w:pos="9026" w:leader="dot"/>
            </w:tabs>
            <w:rPr/>
          </w:pPr>
          <w:hyperlink w:anchor="__RefHeading___Toc9424046_73709187">
            <w:r>
              <w:rPr>
                <w:webHidden/>
                <w:rStyle w:val="IndexLink"/>
                <w:rtl w:val="true"/>
              </w:rPr>
              <w:t>التکنّی باسم الأب أو الابن</w:t>
            </w:r>
            <w:r>
              <w:rPr>
                <w:rStyle w:val="IndexLink"/>
                <w:rtl w:val="true"/>
              </w:rPr>
              <w:tab/>
            </w:r>
            <w:r>
              <w:rPr>
                <w:rStyle w:val="IndexLink"/>
              </w:rPr>
              <w:t>203</w:t>
            </w:r>
          </w:hyperlink>
        </w:p>
        <w:p>
          <w:pPr>
            <w:pStyle w:val="Contents6"/>
            <w:tabs>
              <w:tab w:val="clear" w:pos="7609"/>
              <w:tab w:val="right" w:pos="9026" w:leader="dot"/>
            </w:tabs>
            <w:rPr/>
          </w:pPr>
          <w:hyperlink w:anchor="__RefHeading___Toc9424048_73709187">
            <w:r>
              <w:rPr>
                <w:webHidden/>
                <w:rStyle w:val="IndexLink"/>
                <w:rtl w:val="true"/>
              </w:rPr>
              <w:t>الکنی المنهیّ عنها</w:t>
            </w:r>
            <w:r>
              <w:rPr>
                <w:rStyle w:val="IndexLink"/>
                <w:rtl w:val="true"/>
              </w:rPr>
              <w:tab/>
            </w:r>
            <w:r>
              <w:rPr>
                <w:rStyle w:val="IndexLink"/>
              </w:rPr>
              <w:t>204</w:t>
            </w:r>
          </w:hyperlink>
        </w:p>
        <w:p>
          <w:pPr>
            <w:pStyle w:val="Contents4"/>
            <w:tabs>
              <w:tab w:val="clear" w:pos="8176"/>
              <w:tab w:val="right" w:pos="9026" w:leader="dot"/>
            </w:tabs>
            <w:rPr/>
          </w:pPr>
          <w:hyperlink w:anchor="__RefHeading___Toc9424050_73709187">
            <w:r>
              <w:rPr>
                <w:webHidden/>
                <w:rStyle w:val="IndexLink"/>
                <w:rtl w:val="true"/>
              </w:rPr>
              <w:t>المبحث الخامس</w:t>
            </w:r>
            <w:r>
              <w:rPr>
                <w:rStyle w:val="IndexLink"/>
                <w:rtl w:val="true"/>
              </w:rPr>
              <w:t xml:space="preserve">: </w:t>
            </w:r>
            <w:r>
              <w:rPr>
                <w:rStyle w:val="IndexLink"/>
                <w:rtl w:val="true"/>
              </w:rPr>
              <w:t>استحباب حلق رأس المولود و التصدّق بوزنه</w:t>
            </w:r>
            <w:r>
              <w:rPr>
                <w:rStyle w:val="IndexLink"/>
                <w:rtl w:val="true"/>
              </w:rPr>
              <w:tab/>
            </w:r>
            <w:r>
              <w:rPr>
                <w:rStyle w:val="IndexLink"/>
              </w:rPr>
              <w:t>205</w:t>
            </w:r>
          </w:hyperlink>
        </w:p>
        <w:p>
          <w:pPr>
            <w:pStyle w:val="Contents5"/>
            <w:tabs>
              <w:tab w:val="clear" w:pos="7892"/>
              <w:tab w:val="right" w:pos="9026" w:leader="dot"/>
            </w:tabs>
            <w:rPr/>
          </w:pPr>
          <w:hyperlink w:anchor="__RefHeading___Toc9424052_73709187">
            <w:r>
              <w:rPr>
                <w:webHidden/>
                <w:rStyle w:val="IndexLink"/>
                <w:rtl w:val="true"/>
              </w:rPr>
              <w:t>اشارة</w:t>
            </w:r>
            <w:r>
              <w:rPr>
                <w:rStyle w:val="IndexLink"/>
                <w:rtl w:val="true"/>
              </w:rPr>
              <w:tab/>
            </w:r>
            <w:r>
              <w:rPr>
                <w:rStyle w:val="IndexLink"/>
              </w:rPr>
              <w:t>205</w:t>
            </w:r>
          </w:hyperlink>
        </w:p>
        <w:p>
          <w:pPr>
            <w:pStyle w:val="Contents5"/>
            <w:tabs>
              <w:tab w:val="clear" w:pos="7892"/>
              <w:tab w:val="right" w:pos="9026" w:leader="dot"/>
            </w:tabs>
            <w:rPr/>
          </w:pPr>
          <w:hyperlink w:anchor="__RefHeading___Toc9424054_73709187">
            <w:r>
              <w:rPr>
                <w:webHidden/>
                <w:rStyle w:val="IndexLink"/>
                <w:rtl w:val="true"/>
              </w:rPr>
              <w:t>نظر أهل السنّة فی المسألة</w:t>
            </w:r>
            <w:r>
              <w:rPr>
                <w:rStyle w:val="IndexLink"/>
                <w:rtl w:val="true"/>
              </w:rPr>
              <w:tab/>
            </w:r>
            <w:r>
              <w:rPr>
                <w:rStyle w:val="IndexLink"/>
              </w:rPr>
              <w:t>206</w:t>
            </w:r>
          </w:hyperlink>
        </w:p>
        <w:p>
          <w:pPr>
            <w:pStyle w:val="Contents3"/>
            <w:tabs>
              <w:tab w:val="clear" w:pos="8459"/>
              <w:tab w:val="right" w:pos="9026" w:leader="dot"/>
            </w:tabs>
            <w:rPr/>
          </w:pPr>
          <w:hyperlink w:anchor="__RefHeading___Toc9424056_73709187">
            <w:r>
              <w:rPr>
                <w:webHidden/>
                <w:rStyle w:val="IndexLink"/>
                <w:rtl w:val="true"/>
              </w:rPr>
              <w:t>الفصل الثامن فی العقیقة</w:t>
            </w:r>
            <w:r>
              <w:rPr>
                <w:rStyle w:val="IndexLink"/>
                <w:rtl w:val="true"/>
              </w:rPr>
              <w:tab/>
            </w:r>
            <w:r>
              <w:rPr>
                <w:rStyle w:val="IndexLink"/>
              </w:rPr>
              <w:t>207</w:t>
            </w:r>
          </w:hyperlink>
        </w:p>
        <w:p>
          <w:pPr>
            <w:pStyle w:val="Contents4"/>
            <w:tabs>
              <w:tab w:val="clear" w:pos="8176"/>
              <w:tab w:val="right" w:pos="9026" w:leader="dot"/>
            </w:tabs>
            <w:rPr/>
          </w:pPr>
          <w:hyperlink w:anchor="__RefHeading___Toc9424058_73709187">
            <w:r>
              <w:rPr>
                <w:webHidden/>
                <w:rStyle w:val="IndexLink"/>
                <w:rtl w:val="true"/>
              </w:rPr>
              <w:t>المبحث الأوّل</w:t>
            </w:r>
            <w:r>
              <w:rPr>
                <w:rStyle w:val="IndexLink"/>
                <w:rtl w:val="true"/>
              </w:rPr>
              <w:t xml:space="preserve">: </w:t>
            </w:r>
            <w:r>
              <w:rPr>
                <w:rStyle w:val="IndexLink"/>
                <w:rtl w:val="true"/>
              </w:rPr>
              <w:t>حکم العقیقة</w:t>
            </w:r>
            <w:r>
              <w:rPr>
                <w:rStyle w:val="IndexLink"/>
                <w:rtl w:val="true"/>
              </w:rPr>
              <w:tab/>
            </w:r>
            <w:r>
              <w:rPr>
                <w:rStyle w:val="IndexLink"/>
              </w:rPr>
              <w:t>207</w:t>
            </w:r>
          </w:hyperlink>
        </w:p>
        <w:p>
          <w:pPr>
            <w:pStyle w:val="Contents5"/>
            <w:tabs>
              <w:tab w:val="clear" w:pos="7892"/>
              <w:tab w:val="right" w:pos="9026" w:leader="dot"/>
            </w:tabs>
            <w:rPr/>
          </w:pPr>
          <w:hyperlink w:anchor="__RefHeading___Toc9424060_73709187">
            <w:r>
              <w:rPr>
                <w:webHidden/>
                <w:rStyle w:val="IndexLink"/>
                <w:rtl w:val="true"/>
              </w:rPr>
              <w:t>اشارة</w:t>
            </w:r>
            <w:r>
              <w:rPr>
                <w:rStyle w:val="IndexLink"/>
                <w:rtl w:val="true"/>
              </w:rPr>
              <w:tab/>
            </w:r>
            <w:r>
              <w:rPr>
                <w:rStyle w:val="IndexLink"/>
              </w:rPr>
              <w:t>207</w:t>
            </w:r>
          </w:hyperlink>
        </w:p>
        <w:p>
          <w:pPr>
            <w:pStyle w:val="Contents5"/>
            <w:tabs>
              <w:tab w:val="clear" w:pos="7892"/>
              <w:tab w:val="right" w:pos="9026" w:leader="dot"/>
            </w:tabs>
            <w:rPr/>
          </w:pPr>
          <w:hyperlink w:anchor="__RefHeading___Toc9424062_73709187">
            <w:r>
              <w:rPr>
                <w:webHidden/>
                <w:rStyle w:val="IndexLink"/>
                <w:rtl w:val="true"/>
              </w:rPr>
              <w:t>أدلّة القول الثانی و الجواب عنها</w:t>
            </w:r>
            <w:r>
              <w:rPr>
                <w:rStyle w:val="IndexLink"/>
                <w:rtl w:val="true"/>
              </w:rPr>
              <w:tab/>
            </w:r>
            <w:r>
              <w:rPr>
                <w:rStyle w:val="IndexLink"/>
              </w:rPr>
              <w:t>210</w:t>
            </w:r>
          </w:hyperlink>
        </w:p>
        <w:p>
          <w:pPr>
            <w:pStyle w:val="Contents5"/>
            <w:tabs>
              <w:tab w:val="clear" w:pos="7892"/>
              <w:tab w:val="right" w:pos="9026" w:leader="dot"/>
            </w:tabs>
            <w:rPr/>
          </w:pPr>
          <w:hyperlink w:anchor="__RefHeading___Toc9424064_73709187">
            <w:r>
              <w:rPr>
                <w:webHidden/>
                <w:rStyle w:val="IndexLink"/>
                <w:rtl w:val="true"/>
              </w:rPr>
              <w:t>وقت العقیقة</w:t>
            </w:r>
            <w:r>
              <w:rPr>
                <w:rStyle w:val="IndexLink"/>
                <w:rtl w:val="true"/>
              </w:rPr>
              <w:tab/>
            </w:r>
            <w:r>
              <w:rPr>
                <w:rStyle w:val="IndexLink"/>
              </w:rPr>
              <w:t>212</w:t>
            </w:r>
          </w:hyperlink>
        </w:p>
        <w:p>
          <w:pPr>
            <w:pStyle w:val="Contents5"/>
            <w:tabs>
              <w:tab w:val="clear" w:pos="7892"/>
              <w:tab w:val="right" w:pos="9026" w:leader="dot"/>
            </w:tabs>
            <w:rPr/>
          </w:pPr>
          <w:hyperlink w:anchor="__RefHeading___Toc9424066_73709187">
            <w:r>
              <w:rPr>
                <w:webHidden/>
                <w:rStyle w:val="IndexLink"/>
                <w:rtl w:val="true"/>
              </w:rPr>
              <w:t>عقاق البالغ عن نفسه</w:t>
            </w:r>
            <w:r>
              <w:rPr>
                <w:rStyle w:val="IndexLink"/>
                <w:rtl w:val="true"/>
              </w:rPr>
              <w:tab/>
            </w:r>
            <w:r>
              <w:rPr>
                <w:rStyle w:val="IndexLink"/>
              </w:rPr>
              <w:t>212</w:t>
            </w:r>
          </w:hyperlink>
        </w:p>
        <w:p>
          <w:pPr>
            <w:pStyle w:val="Contents4"/>
            <w:tabs>
              <w:tab w:val="clear" w:pos="8176"/>
              <w:tab w:val="right" w:pos="9026" w:leader="dot"/>
            </w:tabs>
            <w:rPr/>
          </w:pPr>
          <w:hyperlink w:anchor="__RefHeading___Toc9424068_73709187">
            <w:r>
              <w:rPr>
                <w:webHidden/>
                <w:rStyle w:val="IndexLink"/>
                <w:rtl w:val="true"/>
              </w:rPr>
              <w:t>المبحث الثانی</w:t>
            </w:r>
            <w:r>
              <w:rPr>
                <w:rStyle w:val="IndexLink"/>
                <w:rtl w:val="true"/>
              </w:rPr>
              <w:t xml:space="preserve">: </w:t>
            </w:r>
            <w:r>
              <w:rPr>
                <w:rStyle w:val="IndexLink"/>
                <w:rtl w:val="true"/>
              </w:rPr>
              <w:t>شروط العقیقة</w:t>
            </w:r>
            <w:r>
              <w:rPr>
                <w:rStyle w:val="IndexLink"/>
                <w:rtl w:val="true"/>
              </w:rPr>
              <w:tab/>
            </w:r>
            <w:r>
              <w:rPr>
                <w:rStyle w:val="IndexLink"/>
              </w:rPr>
              <w:t>214</w:t>
            </w:r>
          </w:hyperlink>
        </w:p>
        <w:p>
          <w:pPr>
            <w:pStyle w:val="Contents4"/>
            <w:tabs>
              <w:tab w:val="clear" w:pos="8176"/>
              <w:tab w:val="right" w:pos="9026" w:leader="dot"/>
            </w:tabs>
            <w:rPr/>
          </w:pPr>
          <w:hyperlink w:anchor="__RefHeading___Toc9424070_73709187">
            <w:r>
              <w:rPr>
                <w:webHidden/>
                <w:rStyle w:val="IndexLink"/>
                <w:rtl w:val="true"/>
              </w:rPr>
              <w:t>المبحث الثالث</w:t>
            </w:r>
            <w:r>
              <w:rPr>
                <w:rStyle w:val="IndexLink"/>
                <w:rtl w:val="true"/>
              </w:rPr>
              <w:t xml:space="preserve">: </w:t>
            </w:r>
            <w:r>
              <w:rPr>
                <w:rStyle w:val="IndexLink"/>
                <w:rtl w:val="true"/>
              </w:rPr>
              <w:t>عدد العقیقة</w:t>
            </w:r>
            <w:r>
              <w:rPr>
                <w:rStyle w:val="IndexLink"/>
                <w:rtl w:val="true"/>
              </w:rPr>
              <w:tab/>
            </w:r>
            <w:r>
              <w:rPr>
                <w:rStyle w:val="IndexLink"/>
              </w:rPr>
              <w:t>216</w:t>
            </w:r>
          </w:hyperlink>
        </w:p>
        <w:p>
          <w:pPr>
            <w:pStyle w:val="Contents5"/>
            <w:tabs>
              <w:tab w:val="clear" w:pos="7892"/>
              <w:tab w:val="right" w:pos="9026" w:leader="dot"/>
            </w:tabs>
            <w:rPr/>
          </w:pPr>
          <w:hyperlink w:anchor="__RefHeading___Toc9424072_73709187">
            <w:r>
              <w:rPr>
                <w:webHidden/>
                <w:rStyle w:val="IndexLink"/>
                <w:rtl w:val="true"/>
              </w:rPr>
              <w:t>اشارة</w:t>
            </w:r>
            <w:r>
              <w:rPr>
                <w:rStyle w:val="IndexLink"/>
                <w:rtl w:val="true"/>
              </w:rPr>
              <w:tab/>
            </w:r>
            <w:r>
              <w:rPr>
                <w:rStyle w:val="IndexLink"/>
              </w:rPr>
              <w:t>216</w:t>
            </w:r>
          </w:hyperlink>
        </w:p>
        <w:p>
          <w:pPr>
            <w:pStyle w:val="Contents5"/>
            <w:tabs>
              <w:tab w:val="clear" w:pos="7892"/>
              <w:tab w:val="right" w:pos="9026" w:leader="dot"/>
            </w:tabs>
            <w:rPr/>
          </w:pPr>
          <w:hyperlink w:anchor="__RefHeading___Toc9424074_73709187">
            <w:r>
              <w:rPr>
                <w:webHidden/>
                <w:rStyle w:val="IndexLink"/>
                <w:rtl w:val="true"/>
              </w:rPr>
              <w:t>فرع</w:t>
            </w:r>
            <w:r>
              <w:rPr>
                <w:rStyle w:val="IndexLink"/>
                <w:rtl w:val="true"/>
              </w:rPr>
              <w:tab/>
            </w:r>
            <w:r>
              <w:rPr>
                <w:rStyle w:val="IndexLink"/>
              </w:rPr>
              <w:t>218</w:t>
            </w:r>
          </w:hyperlink>
        </w:p>
        <w:p>
          <w:pPr>
            <w:pStyle w:val="Contents4"/>
            <w:tabs>
              <w:tab w:val="clear" w:pos="8176"/>
              <w:tab w:val="right" w:pos="9026" w:leader="dot"/>
            </w:tabs>
            <w:rPr/>
          </w:pPr>
          <w:hyperlink w:anchor="__RefHeading___Toc9424076_73709187">
            <w:r>
              <w:rPr>
                <w:webHidden/>
                <w:rStyle w:val="IndexLink"/>
                <w:rtl w:val="true"/>
              </w:rPr>
              <w:t>المبحث الرابع</w:t>
            </w:r>
            <w:r>
              <w:rPr>
                <w:rStyle w:val="IndexLink"/>
                <w:rtl w:val="true"/>
              </w:rPr>
              <w:t xml:space="preserve">: </w:t>
            </w:r>
            <w:r>
              <w:rPr>
                <w:rStyle w:val="IndexLink"/>
                <w:rtl w:val="true"/>
              </w:rPr>
              <w:t>الدعاء عند العقیقة</w:t>
            </w:r>
            <w:r>
              <w:rPr>
                <w:rStyle w:val="IndexLink"/>
                <w:rtl w:val="true"/>
              </w:rPr>
              <w:tab/>
            </w:r>
            <w:r>
              <w:rPr>
                <w:rStyle w:val="IndexLink"/>
              </w:rPr>
              <w:t>219</w:t>
            </w:r>
          </w:hyperlink>
        </w:p>
        <w:p>
          <w:pPr>
            <w:pStyle w:val="Contents5"/>
            <w:tabs>
              <w:tab w:val="clear" w:pos="7892"/>
              <w:tab w:val="right" w:pos="9026" w:leader="dot"/>
            </w:tabs>
            <w:rPr/>
          </w:pPr>
          <w:hyperlink w:anchor="__RefHeading___Toc9424078_73709187">
            <w:r>
              <w:rPr>
                <w:webHidden/>
                <w:rStyle w:val="IndexLink"/>
                <w:rtl w:val="true"/>
              </w:rPr>
              <w:t>اشارة</w:t>
            </w:r>
            <w:r>
              <w:rPr>
                <w:rStyle w:val="IndexLink"/>
                <w:rtl w:val="true"/>
              </w:rPr>
              <w:tab/>
            </w:r>
            <w:r>
              <w:rPr>
                <w:rStyle w:val="IndexLink"/>
              </w:rPr>
              <w:t>219</w:t>
            </w:r>
          </w:hyperlink>
        </w:p>
        <w:p>
          <w:pPr>
            <w:pStyle w:val="Contents5"/>
            <w:tabs>
              <w:tab w:val="clear" w:pos="7892"/>
              <w:tab w:val="right" w:pos="9026" w:leader="dot"/>
            </w:tabs>
            <w:rPr/>
          </w:pPr>
          <w:hyperlink w:anchor="__RefHeading___Toc9424080_73709187">
            <w:r>
              <w:rPr>
                <w:webHidden/>
                <w:rStyle w:val="IndexLink"/>
                <w:rtl w:val="true"/>
              </w:rPr>
              <w:t>فرع</w:t>
            </w:r>
            <w:r>
              <w:rPr>
                <w:rStyle w:val="IndexLink"/>
                <w:rtl w:val="true"/>
              </w:rPr>
              <w:tab/>
            </w:r>
            <w:r>
              <w:rPr>
                <w:rStyle w:val="IndexLink"/>
              </w:rPr>
              <w:t>220</w:t>
            </w:r>
          </w:hyperlink>
        </w:p>
        <w:p>
          <w:pPr>
            <w:pStyle w:val="Contents4"/>
            <w:tabs>
              <w:tab w:val="clear" w:pos="8176"/>
              <w:tab w:val="right" w:pos="9026" w:leader="dot"/>
            </w:tabs>
            <w:rPr/>
          </w:pPr>
          <w:hyperlink w:anchor="__RefHeading___Toc9424082_73709187">
            <w:r>
              <w:rPr>
                <w:webHidden/>
                <w:rStyle w:val="IndexLink"/>
                <w:rtl w:val="true"/>
              </w:rPr>
              <w:t>المبحث الخامس</w:t>
            </w:r>
            <w:r>
              <w:rPr>
                <w:rStyle w:val="IndexLink"/>
                <w:rtl w:val="true"/>
              </w:rPr>
              <w:t xml:space="preserve">: </w:t>
            </w:r>
            <w:r>
              <w:rPr>
                <w:rStyle w:val="IndexLink"/>
                <w:rtl w:val="true"/>
              </w:rPr>
              <w:t>استحباب طبخ لحمها</w:t>
            </w:r>
            <w:r>
              <w:rPr>
                <w:rStyle w:val="IndexLink"/>
                <w:rtl w:val="true"/>
              </w:rPr>
              <w:tab/>
            </w:r>
            <w:r>
              <w:rPr>
                <w:rStyle w:val="IndexLink"/>
              </w:rPr>
              <w:t>222</w:t>
            </w:r>
          </w:hyperlink>
        </w:p>
        <w:p>
          <w:pPr>
            <w:pStyle w:val="Contents5"/>
            <w:tabs>
              <w:tab w:val="clear" w:pos="7892"/>
              <w:tab w:val="right" w:pos="9026" w:leader="dot"/>
            </w:tabs>
            <w:rPr/>
          </w:pPr>
          <w:hyperlink w:anchor="__RefHeading___Toc9424084_73709187">
            <w:r>
              <w:rPr>
                <w:webHidden/>
                <w:rStyle w:val="IndexLink"/>
                <w:rtl w:val="true"/>
              </w:rPr>
              <w:t>اشارة</w:t>
            </w:r>
            <w:r>
              <w:rPr>
                <w:rStyle w:val="IndexLink"/>
                <w:rtl w:val="true"/>
              </w:rPr>
              <w:tab/>
            </w:r>
            <w:r>
              <w:rPr>
                <w:rStyle w:val="IndexLink"/>
              </w:rPr>
              <w:t>222</w:t>
            </w:r>
          </w:hyperlink>
        </w:p>
        <w:p>
          <w:pPr>
            <w:pStyle w:val="Contents5"/>
            <w:tabs>
              <w:tab w:val="clear" w:pos="7892"/>
              <w:tab w:val="right" w:pos="9026" w:leader="dot"/>
            </w:tabs>
            <w:rPr/>
          </w:pPr>
          <w:hyperlink w:anchor="__RefHeading___Toc9424086_73709187">
            <w:r>
              <w:rPr>
                <w:webHidden/>
                <w:rStyle w:val="IndexLink"/>
                <w:rtl w:val="true"/>
              </w:rPr>
              <w:t>الفرع الأوّل</w:t>
            </w:r>
            <w:r>
              <w:rPr>
                <w:rStyle w:val="IndexLink"/>
                <w:rtl w:val="true"/>
              </w:rPr>
              <w:t xml:space="preserve">: </w:t>
            </w:r>
            <w:r>
              <w:rPr>
                <w:rStyle w:val="IndexLink"/>
                <w:rtl w:val="true"/>
              </w:rPr>
              <w:t>کراهة کسر عظامها</w:t>
            </w:r>
            <w:r>
              <w:rPr>
                <w:rStyle w:val="IndexLink"/>
                <w:rtl w:val="true"/>
              </w:rPr>
              <w:tab/>
            </w:r>
            <w:r>
              <w:rPr>
                <w:rStyle w:val="IndexLink"/>
              </w:rPr>
              <w:t>223</w:t>
            </w:r>
          </w:hyperlink>
        </w:p>
        <w:p>
          <w:pPr>
            <w:pStyle w:val="Contents5"/>
            <w:tabs>
              <w:tab w:val="clear" w:pos="7892"/>
              <w:tab w:val="right" w:pos="9026" w:leader="dot"/>
            </w:tabs>
            <w:rPr/>
          </w:pPr>
          <w:hyperlink w:anchor="__RefHeading___Toc9424088_73709187">
            <w:r>
              <w:rPr>
                <w:webHidden/>
                <w:rStyle w:val="IndexLink"/>
                <w:rtl w:val="true"/>
              </w:rPr>
              <w:t>الفرع الثانی</w:t>
            </w:r>
            <w:r>
              <w:rPr>
                <w:rStyle w:val="IndexLink"/>
                <w:rtl w:val="true"/>
              </w:rPr>
              <w:t xml:space="preserve">: </w:t>
            </w:r>
            <w:r>
              <w:rPr>
                <w:rStyle w:val="IndexLink"/>
                <w:rtl w:val="true"/>
              </w:rPr>
              <w:t>کراهة أکل الوالدین من العقیقة</w:t>
            </w:r>
            <w:r>
              <w:rPr>
                <w:rStyle w:val="IndexLink"/>
                <w:rtl w:val="true"/>
              </w:rPr>
              <w:tab/>
            </w:r>
            <w:r>
              <w:rPr>
                <w:rStyle w:val="IndexLink"/>
              </w:rPr>
              <w:t>223</w:t>
            </w:r>
          </w:hyperlink>
        </w:p>
        <w:p>
          <w:pPr>
            <w:pStyle w:val="Contents3"/>
            <w:tabs>
              <w:tab w:val="clear" w:pos="8459"/>
              <w:tab w:val="right" w:pos="9026" w:leader="dot"/>
            </w:tabs>
            <w:rPr/>
          </w:pPr>
          <w:hyperlink w:anchor="__RefHeading___Toc9424090_73709187">
            <w:r>
              <w:rPr>
                <w:webHidden/>
                <w:rStyle w:val="IndexLink"/>
                <w:rtl w:val="true"/>
              </w:rPr>
              <w:t>الفصل التاسع فی الختان و ثقب الاُذن و الولیمة</w:t>
            </w:r>
            <w:r>
              <w:rPr>
                <w:rStyle w:val="IndexLink"/>
                <w:rtl w:val="true"/>
              </w:rPr>
              <w:tab/>
            </w:r>
            <w:r>
              <w:rPr>
                <w:rStyle w:val="IndexLink"/>
              </w:rPr>
              <w:t>225</w:t>
            </w:r>
          </w:hyperlink>
        </w:p>
        <w:p>
          <w:pPr>
            <w:pStyle w:val="Contents4"/>
            <w:tabs>
              <w:tab w:val="clear" w:pos="8176"/>
              <w:tab w:val="right" w:pos="9026" w:leader="dot"/>
            </w:tabs>
            <w:rPr/>
          </w:pPr>
          <w:hyperlink w:anchor="__RefHeading___Toc9424092_73709187">
            <w:r>
              <w:rPr>
                <w:webHidden/>
                <w:rStyle w:val="IndexLink"/>
                <w:rtl w:val="true"/>
              </w:rPr>
              <w:t>المبحث الأوّل</w:t>
            </w:r>
            <w:r>
              <w:rPr>
                <w:rStyle w:val="IndexLink"/>
                <w:rtl w:val="true"/>
              </w:rPr>
              <w:t xml:space="preserve">: </w:t>
            </w:r>
            <w:r>
              <w:rPr>
                <w:rStyle w:val="IndexLink"/>
                <w:rtl w:val="true"/>
              </w:rPr>
              <w:t>استحباب الختان فی الیوم السابع</w:t>
            </w:r>
            <w:r>
              <w:rPr>
                <w:rStyle w:val="IndexLink"/>
                <w:rtl w:val="true"/>
              </w:rPr>
              <w:tab/>
            </w:r>
            <w:r>
              <w:rPr>
                <w:rStyle w:val="IndexLink"/>
              </w:rPr>
              <w:t>225</w:t>
            </w:r>
          </w:hyperlink>
        </w:p>
        <w:p>
          <w:pPr>
            <w:pStyle w:val="Contents5"/>
            <w:tabs>
              <w:tab w:val="clear" w:pos="7892"/>
              <w:tab w:val="right" w:pos="9026" w:leader="dot"/>
            </w:tabs>
            <w:rPr/>
          </w:pPr>
          <w:hyperlink w:anchor="__RefHeading___Toc9424094_73709187">
            <w:r>
              <w:rPr>
                <w:webHidden/>
                <w:rStyle w:val="IndexLink"/>
                <w:rtl w:val="true"/>
              </w:rPr>
              <w:t>اشارة</w:t>
            </w:r>
            <w:r>
              <w:rPr>
                <w:rStyle w:val="IndexLink"/>
                <w:rtl w:val="true"/>
              </w:rPr>
              <w:tab/>
            </w:r>
            <w:r>
              <w:rPr>
                <w:rStyle w:val="IndexLink"/>
              </w:rPr>
              <w:t>225</w:t>
            </w:r>
          </w:hyperlink>
        </w:p>
        <w:p>
          <w:pPr>
            <w:pStyle w:val="Contents5"/>
            <w:tabs>
              <w:tab w:val="clear" w:pos="7892"/>
              <w:tab w:val="right" w:pos="9026" w:leader="dot"/>
            </w:tabs>
            <w:rPr/>
          </w:pPr>
          <w:hyperlink w:anchor="__RefHeading___Toc9424096_73709187">
            <w:r>
              <w:rPr>
                <w:webHidden/>
                <w:rStyle w:val="IndexLink"/>
                <w:rtl w:val="true"/>
              </w:rPr>
              <w:t>جواز تأخیر الختان إلی البلوغ</w:t>
            </w:r>
            <w:r>
              <w:rPr>
                <w:rStyle w:val="IndexLink"/>
                <w:rtl w:val="true"/>
              </w:rPr>
              <w:tab/>
            </w:r>
            <w:r>
              <w:rPr>
                <w:rStyle w:val="IndexLink"/>
              </w:rPr>
              <w:t>226</w:t>
            </w:r>
          </w:hyperlink>
        </w:p>
        <w:p>
          <w:pPr>
            <w:pStyle w:val="Contents5"/>
            <w:tabs>
              <w:tab w:val="clear" w:pos="7892"/>
              <w:tab w:val="right" w:pos="9026" w:leader="dot"/>
            </w:tabs>
            <w:rPr/>
          </w:pPr>
          <w:hyperlink w:anchor="__RefHeading___Toc9424098_73709187">
            <w:r>
              <w:rPr>
                <w:webHidden/>
                <w:rStyle w:val="IndexLink"/>
                <w:rtl w:val="true"/>
              </w:rPr>
              <w:t>وجوب الختان بعد البلوغ</w:t>
            </w:r>
            <w:r>
              <w:rPr>
                <w:rStyle w:val="IndexLink"/>
                <w:rtl w:val="true"/>
              </w:rPr>
              <w:tab/>
            </w:r>
            <w:r>
              <w:rPr>
                <w:rStyle w:val="IndexLink"/>
              </w:rPr>
              <w:t>227</w:t>
            </w:r>
          </w:hyperlink>
        </w:p>
        <w:p>
          <w:pPr>
            <w:pStyle w:val="Contents5"/>
            <w:tabs>
              <w:tab w:val="clear" w:pos="7892"/>
              <w:tab w:val="right" w:pos="9026" w:leader="dot"/>
            </w:tabs>
            <w:rPr/>
          </w:pPr>
          <w:hyperlink w:anchor="__RefHeading___Toc9424100_73709187">
            <w:r>
              <w:rPr>
                <w:webHidden/>
                <w:rStyle w:val="IndexLink"/>
                <w:rtl w:val="true"/>
              </w:rPr>
              <w:t>الدعاء عند الختان</w:t>
            </w:r>
            <w:r>
              <w:rPr>
                <w:rStyle w:val="IndexLink"/>
                <w:rtl w:val="true"/>
              </w:rPr>
              <w:tab/>
            </w:r>
            <w:r>
              <w:rPr>
                <w:rStyle w:val="IndexLink"/>
              </w:rPr>
              <w:t>228</w:t>
            </w:r>
          </w:hyperlink>
        </w:p>
        <w:p>
          <w:pPr>
            <w:pStyle w:val="Contents5"/>
            <w:tabs>
              <w:tab w:val="clear" w:pos="7892"/>
              <w:tab w:val="right" w:pos="9026" w:leader="dot"/>
            </w:tabs>
            <w:rPr/>
          </w:pPr>
          <w:hyperlink w:anchor="__RefHeading___Toc9424102_73709187">
            <w:r>
              <w:rPr>
                <w:webHidden/>
                <w:rStyle w:val="IndexLink"/>
                <w:rtl w:val="true"/>
              </w:rPr>
              <w:t>الختان عند أهل السنّة</w:t>
            </w:r>
            <w:r>
              <w:rPr>
                <w:rStyle w:val="IndexLink"/>
                <w:rtl w:val="true"/>
              </w:rPr>
              <w:tab/>
            </w:r>
            <w:r>
              <w:rPr>
                <w:rStyle w:val="IndexLink"/>
              </w:rPr>
              <w:t>228</w:t>
            </w:r>
          </w:hyperlink>
        </w:p>
        <w:p>
          <w:pPr>
            <w:pStyle w:val="Contents4"/>
            <w:tabs>
              <w:tab w:val="clear" w:pos="8176"/>
              <w:tab w:val="right" w:pos="9026" w:leader="dot"/>
            </w:tabs>
            <w:rPr/>
          </w:pPr>
          <w:hyperlink w:anchor="__RefHeading___Toc9424104_73709187">
            <w:r>
              <w:rPr>
                <w:webHidden/>
                <w:rStyle w:val="IndexLink"/>
                <w:rtl w:val="true"/>
              </w:rPr>
              <w:t>المبحث الثانی</w:t>
            </w:r>
            <w:r>
              <w:rPr>
                <w:rStyle w:val="IndexLink"/>
                <w:rtl w:val="true"/>
              </w:rPr>
              <w:t xml:space="preserve">: </w:t>
            </w:r>
            <w:r>
              <w:rPr>
                <w:rStyle w:val="IndexLink"/>
                <w:rtl w:val="true"/>
              </w:rPr>
              <w:t>استحباب الخفض و الختان فی النساء</w:t>
            </w:r>
            <w:r>
              <w:rPr>
                <w:rStyle w:val="IndexLink"/>
                <w:rtl w:val="true"/>
              </w:rPr>
              <w:tab/>
            </w:r>
            <w:r>
              <w:rPr>
                <w:rStyle w:val="IndexLink"/>
              </w:rPr>
              <w:t>231</w:t>
            </w:r>
          </w:hyperlink>
        </w:p>
        <w:p>
          <w:pPr>
            <w:pStyle w:val="Contents5"/>
            <w:tabs>
              <w:tab w:val="clear" w:pos="7892"/>
              <w:tab w:val="right" w:pos="9026" w:leader="dot"/>
            </w:tabs>
            <w:rPr/>
          </w:pPr>
          <w:hyperlink w:anchor="__RefHeading___Toc9424106_73709187">
            <w:r>
              <w:rPr>
                <w:webHidden/>
                <w:rStyle w:val="IndexLink"/>
                <w:rtl w:val="true"/>
              </w:rPr>
              <w:t>اشارة</w:t>
            </w:r>
            <w:r>
              <w:rPr>
                <w:rStyle w:val="IndexLink"/>
                <w:rtl w:val="true"/>
              </w:rPr>
              <w:tab/>
            </w:r>
            <w:r>
              <w:rPr>
                <w:rStyle w:val="IndexLink"/>
              </w:rPr>
              <w:t>231</w:t>
            </w:r>
          </w:hyperlink>
        </w:p>
        <w:p>
          <w:pPr>
            <w:pStyle w:val="Contents5"/>
            <w:tabs>
              <w:tab w:val="clear" w:pos="7892"/>
              <w:tab w:val="right" w:pos="9026" w:leader="dot"/>
            </w:tabs>
            <w:rPr/>
          </w:pPr>
          <w:hyperlink w:anchor="__RefHeading___Toc9424108_73709187">
            <w:r>
              <w:rPr>
                <w:webHidden/>
                <w:rStyle w:val="IndexLink"/>
                <w:rtl w:val="true"/>
              </w:rPr>
              <w:t>الخفض عند أهل السنّة</w:t>
            </w:r>
            <w:r>
              <w:rPr>
                <w:rStyle w:val="IndexLink"/>
                <w:rtl w:val="true"/>
              </w:rPr>
              <w:tab/>
            </w:r>
            <w:r>
              <w:rPr>
                <w:rStyle w:val="IndexLink"/>
              </w:rPr>
              <w:t>232</w:t>
            </w:r>
          </w:hyperlink>
        </w:p>
        <w:p>
          <w:pPr>
            <w:pStyle w:val="Contents4"/>
            <w:tabs>
              <w:tab w:val="clear" w:pos="8176"/>
              <w:tab w:val="right" w:pos="9026" w:leader="dot"/>
            </w:tabs>
            <w:rPr/>
          </w:pPr>
          <w:hyperlink w:anchor="__RefHeading___Toc9424110_73709187">
            <w:r>
              <w:rPr>
                <w:webHidden/>
                <w:rStyle w:val="IndexLink"/>
                <w:rtl w:val="true"/>
              </w:rPr>
              <w:t>المبحث الثالث</w:t>
            </w:r>
            <w:r>
              <w:rPr>
                <w:rStyle w:val="IndexLink"/>
                <w:rtl w:val="true"/>
              </w:rPr>
              <w:t xml:space="preserve">: </w:t>
            </w:r>
            <w:r>
              <w:rPr>
                <w:rStyle w:val="IndexLink"/>
                <w:rtl w:val="true"/>
              </w:rPr>
              <w:t>استحباب ثقب أُذن المولود</w:t>
            </w:r>
            <w:r>
              <w:rPr>
                <w:rStyle w:val="IndexLink"/>
                <w:rtl w:val="true"/>
              </w:rPr>
              <w:tab/>
            </w:r>
            <w:r>
              <w:rPr>
                <w:rStyle w:val="IndexLink"/>
              </w:rPr>
              <w:t>233</w:t>
            </w:r>
          </w:hyperlink>
        </w:p>
        <w:p>
          <w:pPr>
            <w:pStyle w:val="Contents5"/>
            <w:tabs>
              <w:tab w:val="clear" w:pos="7892"/>
              <w:tab w:val="right" w:pos="9026" w:leader="dot"/>
            </w:tabs>
            <w:rPr/>
          </w:pPr>
          <w:hyperlink w:anchor="__RefHeading___Toc9424112_73709187">
            <w:r>
              <w:rPr>
                <w:webHidden/>
                <w:rStyle w:val="IndexLink"/>
                <w:rtl w:val="true"/>
              </w:rPr>
              <w:t>اشارة</w:t>
            </w:r>
            <w:r>
              <w:rPr>
                <w:rStyle w:val="IndexLink"/>
                <w:rtl w:val="true"/>
              </w:rPr>
              <w:tab/>
            </w:r>
            <w:r>
              <w:rPr>
                <w:rStyle w:val="IndexLink"/>
              </w:rPr>
              <w:t>233</w:t>
            </w:r>
          </w:hyperlink>
        </w:p>
        <w:p>
          <w:pPr>
            <w:pStyle w:val="Contents5"/>
            <w:tabs>
              <w:tab w:val="clear" w:pos="7892"/>
              <w:tab w:val="right" w:pos="9026" w:leader="dot"/>
            </w:tabs>
            <w:rPr/>
          </w:pPr>
          <w:hyperlink w:anchor="__RefHeading___Toc9424114_73709187">
            <w:r>
              <w:rPr>
                <w:webHidden/>
                <w:rStyle w:val="IndexLink"/>
                <w:rtl w:val="true"/>
              </w:rPr>
              <w:t>ثقب الاُذن عند فقهاء أهل السنّة</w:t>
            </w:r>
            <w:r>
              <w:rPr>
                <w:rStyle w:val="IndexLink"/>
                <w:rtl w:val="true"/>
              </w:rPr>
              <w:tab/>
            </w:r>
            <w:r>
              <w:rPr>
                <w:rStyle w:val="IndexLink"/>
              </w:rPr>
              <w:t>234</w:t>
            </w:r>
          </w:hyperlink>
        </w:p>
        <w:p>
          <w:pPr>
            <w:pStyle w:val="Contents4"/>
            <w:tabs>
              <w:tab w:val="clear" w:pos="8176"/>
              <w:tab w:val="right" w:pos="9026" w:leader="dot"/>
            </w:tabs>
            <w:rPr/>
          </w:pPr>
          <w:hyperlink w:anchor="__RefHeading___Toc9424116_73709187">
            <w:r>
              <w:rPr>
                <w:webHidden/>
                <w:rStyle w:val="IndexLink"/>
                <w:rtl w:val="true"/>
              </w:rPr>
              <w:t>المبحث الرابع</w:t>
            </w:r>
            <w:r>
              <w:rPr>
                <w:rStyle w:val="IndexLink"/>
                <w:rtl w:val="true"/>
              </w:rPr>
              <w:t xml:space="preserve">: </w:t>
            </w:r>
            <w:r>
              <w:rPr>
                <w:rStyle w:val="IndexLink"/>
                <w:rtl w:val="true"/>
              </w:rPr>
              <w:t>استحباب الولیمة عند الولادة</w:t>
            </w:r>
            <w:r>
              <w:rPr>
                <w:rStyle w:val="IndexLink"/>
                <w:rtl w:val="true"/>
              </w:rPr>
              <w:tab/>
            </w:r>
            <w:r>
              <w:rPr>
                <w:rStyle w:val="IndexLink"/>
              </w:rPr>
              <w:t>235</w:t>
            </w:r>
          </w:hyperlink>
        </w:p>
        <w:p>
          <w:pPr>
            <w:pStyle w:val="Contents5"/>
            <w:tabs>
              <w:tab w:val="clear" w:pos="7892"/>
              <w:tab w:val="right" w:pos="9026" w:leader="dot"/>
            </w:tabs>
            <w:rPr/>
          </w:pPr>
          <w:hyperlink w:anchor="__RefHeading___Toc9424118_73709187">
            <w:r>
              <w:rPr>
                <w:webHidden/>
                <w:rStyle w:val="IndexLink"/>
                <w:rtl w:val="true"/>
              </w:rPr>
              <w:t>اشارة</w:t>
            </w:r>
            <w:r>
              <w:rPr>
                <w:rStyle w:val="IndexLink"/>
                <w:rtl w:val="true"/>
              </w:rPr>
              <w:tab/>
            </w:r>
            <w:r>
              <w:rPr>
                <w:rStyle w:val="IndexLink"/>
              </w:rPr>
              <w:t>235</w:t>
            </w:r>
          </w:hyperlink>
        </w:p>
        <w:p>
          <w:pPr>
            <w:pStyle w:val="Contents5"/>
            <w:tabs>
              <w:tab w:val="clear" w:pos="7892"/>
              <w:tab w:val="right" w:pos="9026" w:leader="dot"/>
            </w:tabs>
            <w:rPr/>
          </w:pPr>
          <w:hyperlink w:anchor="__RefHeading___Toc9424120_73709187">
            <w:r>
              <w:rPr>
                <w:webHidden/>
                <w:rStyle w:val="IndexLink"/>
                <w:rtl w:val="true"/>
              </w:rPr>
              <w:t>الولیمة عند أهل السنّة</w:t>
            </w:r>
            <w:r>
              <w:rPr>
                <w:rStyle w:val="IndexLink"/>
                <w:rtl w:val="true"/>
              </w:rPr>
              <w:tab/>
            </w:r>
            <w:r>
              <w:rPr>
                <w:rStyle w:val="IndexLink"/>
              </w:rPr>
              <w:t>236</w:t>
            </w:r>
          </w:hyperlink>
        </w:p>
        <w:p>
          <w:pPr>
            <w:pStyle w:val="Contents5"/>
            <w:tabs>
              <w:tab w:val="clear" w:pos="7892"/>
              <w:tab w:val="right" w:pos="9026" w:leader="dot"/>
            </w:tabs>
            <w:rPr/>
          </w:pPr>
          <w:hyperlink w:anchor="__RefHeading___Toc9424122_73709187">
            <w:r>
              <w:rPr>
                <w:webHidden/>
                <w:rStyle w:val="IndexLink"/>
                <w:rtl w:val="true"/>
              </w:rPr>
              <w:t>فرع فی استحباب التهنئة</w:t>
            </w:r>
            <w:r>
              <w:rPr>
                <w:rStyle w:val="IndexLink"/>
                <w:rtl w:val="true"/>
              </w:rPr>
              <w:tab/>
            </w:r>
            <w:r>
              <w:rPr>
                <w:rStyle w:val="IndexLink"/>
              </w:rPr>
              <w:t>237</w:t>
            </w:r>
          </w:hyperlink>
        </w:p>
        <w:p>
          <w:pPr>
            <w:pStyle w:val="Contents3"/>
            <w:tabs>
              <w:tab w:val="clear" w:pos="8459"/>
              <w:tab w:val="right" w:pos="9026" w:leader="dot"/>
            </w:tabs>
            <w:rPr/>
          </w:pPr>
          <w:hyperlink w:anchor="__RefHeading___Toc9424124_73709187">
            <w:r>
              <w:rPr>
                <w:webHidden/>
                <w:rStyle w:val="IndexLink"/>
                <w:rtl w:val="true"/>
              </w:rPr>
              <w:t>الفصل العاشر فی الرضاع</w:t>
            </w:r>
            <w:r>
              <w:rPr>
                <w:rStyle w:val="IndexLink"/>
                <w:rtl w:val="true"/>
              </w:rPr>
              <w:tab/>
            </w:r>
            <w:r>
              <w:rPr>
                <w:rStyle w:val="IndexLink"/>
              </w:rPr>
              <w:t>239</w:t>
            </w:r>
          </w:hyperlink>
        </w:p>
        <w:p>
          <w:pPr>
            <w:pStyle w:val="Contents4"/>
            <w:tabs>
              <w:tab w:val="clear" w:pos="8176"/>
              <w:tab w:val="right" w:pos="9026" w:leader="dot"/>
            </w:tabs>
            <w:rPr/>
          </w:pPr>
          <w:hyperlink w:anchor="__RefHeading___Toc9424126_73709187">
            <w:r>
              <w:rPr>
                <w:webHidden/>
                <w:rStyle w:val="IndexLink"/>
                <w:rtl w:val="true"/>
              </w:rPr>
              <w:t>تمهید</w:t>
            </w:r>
            <w:r>
              <w:rPr>
                <w:rStyle w:val="IndexLink"/>
                <w:rtl w:val="true"/>
              </w:rPr>
              <w:tab/>
            </w:r>
            <w:r>
              <w:rPr>
                <w:rStyle w:val="IndexLink"/>
              </w:rPr>
              <w:t>239</w:t>
            </w:r>
          </w:hyperlink>
        </w:p>
        <w:p>
          <w:pPr>
            <w:pStyle w:val="Contents4"/>
            <w:tabs>
              <w:tab w:val="clear" w:pos="8176"/>
              <w:tab w:val="right" w:pos="9026" w:leader="dot"/>
            </w:tabs>
            <w:rPr/>
          </w:pPr>
          <w:hyperlink w:anchor="__RefHeading___Toc9424128_73709187">
            <w:r>
              <w:rPr>
                <w:webHidden/>
                <w:rStyle w:val="IndexLink"/>
                <w:rtl w:val="true"/>
              </w:rPr>
              <w:t>المبحث الأوّل</w:t>
            </w:r>
            <w:r>
              <w:rPr>
                <w:rStyle w:val="IndexLink"/>
                <w:rtl w:val="true"/>
              </w:rPr>
              <w:t xml:space="preserve">: </w:t>
            </w:r>
            <w:r>
              <w:rPr>
                <w:rStyle w:val="IndexLink"/>
                <w:rtl w:val="true"/>
              </w:rPr>
              <w:t>حکم الإرضاع</w:t>
            </w:r>
            <w:r>
              <w:rPr>
                <w:rStyle w:val="IndexLink"/>
                <w:rtl w:val="true"/>
              </w:rPr>
              <w:tab/>
            </w:r>
            <w:r>
              <w:rPr>
                <w:rStyle w:val="IndexLink"/>
              </w:rPr>
              <w:t>241</w:t>
            </w:r>
          </w:hyperlink>
        </w:p>
        <w:p>
          <w:pPr>
            <w:pStyle w:val="Contents5"/>
            <w:tabs>
              <w:tab w:val="clear" w:pos="7892"/>
              <w:tab w:val="right" w:pos="9026" w:leader="dot"/>
            </w:tabs>
            <w:rPr/>
          </w:pPr>
          <w:hyperlink w:anchor="__RefHeading___Toc9424130_73709187">
            <w:r>
              <w:rPr>
                <w:webHidden/>
                <w:rStyle w:val="IndexLink"/>
                <w:rtl w:val="true"/>
              </w:rPr>
              <w:t>اشارة</w:t>
            </w:r>
            <w:r>
              <w:rPr>
                <w:rStyle w:val="IndexLink"/>
                <w:rtl w:val="true"/>
              </w:rPr>
              <w:tab/>
            </w:r>
            <w:r>
              <w:rPr>
                <w:rStyle w:val="IndexLink"/>
              </w:rPr>
              <w:t>241</w:t>
            </w:r>
          </w:hyperlink>
        </w:p>
        <w:p>
          <w:pPr>
            <w:pStyle w:val="Contents5"/>
            <w:tabs>
              <w:tab w:val="clear" w:pos="7892"/>
              <w:tab w:val="right" w:pos="9026" w:leader="dot"/>
            </w:tabs>
            <w:rPr/>
          </w:pPr>
          <w:hyperlink w:anchor="__RefHeading___Toc9424132_73709187">
            <w:r>
              <w:rPr>
                <w:webHidden/>
                <w:rStyle w:val="IndexLink"/>
                <w:rtl w:val="true"/>
              </w:rPr>
              <w:t>حکم الإرضاع عند أهل السنّة</w:t>
            </w:r>
            <w:r>
              <w:rPr>
                <w:rStyle w:val="IndexLink"/>
                <w:rtl w:val="true"/>
              </w:rPr>
              <w:tab/>
            </w:r>
            <w:r>
              <w:rPr>
                <w:rStyle w:val="IndexLink"/>
              </w:rPr>
              <w:t>244</w:t>
            </w:r>
          </w:hyperlink>
        </w:p>
        <w:p>
          <w:pPr>
            <w:pStyle w:val="Contents4"/>
            <w:tabs>
              <w:tab w:val="clear" w:pos="8176"/>
              <w:tab w:val="right" w:pos="9026" w:leader="dot"/>
            </w:tabs>
            <w:rPr/>
          </w:pPr>
          <w:hyperlink w:anchor="__RefHeading___Toc9424134_73709187">
            <w:r>
              <w:rPr>
                <w:webHidden/>
                <w:rStyle w:val="IndexLink"/>
                <w:rtl w:val="true"/>
              </w:rPr>
              <w:t>المبحث الثانی</w:t>
            </w:r>
            <w:r>
              <w:rPr>
                <w:rStyle w:val="IndexLink"/>
                <w:rtl w:val="true"/>
              </w:rPr>
              <w:t xml:space="preserve">: </w:t>
            </w:r>
            <w:r>
              <w:rPr>
                <w:rStyle w:val="IndexLink"/>
                <w:rtl w:val="true"/>
              </w:rPr>
              <w:t>تقدّم الأمّ فی الإرضاع</w:t>
            </w:r>
            <w:r>
              <w:rPr>
                <w:rStyle w:val="IndexLink"/>
                <w:rtl w:val="true"/>
              </w:rPr>
              <w:tab/>
            </w:r>
            <w:r>
              <w:rPr>
                <w:rStyle w:val="IndexLink"/>
              </w:rPr>
              <w:t>248</w:t>
            </w:r>
          </w:hyperlink>
        </w:p>
        <w:p>
          <w:pPr>
            <w:pStyle w:val="Contents5"/>
            <w:tabs>
              <w:tab w:val="clear" w:pos="7892"/>
              <w:tab w:val="right" w:pos="9026" w:leader="dot"/>
            </w:tabs>
            <w:rPr/>
          </w:pPr>
          <w:hyperlink w:anchor="__RefHeading___Toc9424136_73709187">
            <w:r>
              <w:rPr>
                <w:webHidden/>
                <w:rStyle w:val="IndexLink"/>
                <w:rtl w:val="true"/>
              </w:rPr>
              <w:t>اشارة</w:t>
            </w:r>
            <w:r>
              <w:rPr>
                <w:rStyle w:val="IndexLink"/>
                <w:rtl w:val="true"/>
              </w:rPr>
              <w:tab/>
            </w:r>
            <w:r>
              <w:rPr>
                <w:rStyle w:val="IndexLink"/>
              </w:rPr>
              <w:t>248</w:t>
            </w:r>
          </w:hyperlink>
        </w:p>
        <w:p>
          <w:pPr>
            <w:pStyle w:val="Contents5"/>
            <w:tabs>
              <w:tab w:val="clear" w:pos="7892"/>
              <w:tab w:val="right" w:pos="9026" w:leader="dot"/>
            </w:tabs>
            <w:rPr/>
          </w:pPr>
          <w:hyperlink w:anchor="__RefHeading___Toc9424138_73709187">
            <w:r>
              <w:rPr>
                <w:webHidden/>
                <w:rStyle w:val="IndexLink"/>
                <w:rtl w:val="true"/>
              </w:rPr>
              <w:t>استحباب الرضاع فی حولین کاملین</w:t>
            </w:r>
            <w:r>
              <w:rPr>
                <w:rStyle w:val="IndexLink"/>
                <w:rtl w:val="true"/>
              </w:rPr>
              <w:tab/>
            </w:r>
            <w:r>
              <w:rPr>
                <w:rStyle w:val="IndexLink"/>
              </w:rPr>
              <w:t>251</w:t>
            </w:r>
          </w:hyperlink>
        </w:p>
        <w:p>
          <w:pPr>
            <w:pStyle w:val="Contents5"/>
            <w:tabs>
              <w:tab w:val="clear" w:pos="7892"/>
              <w:tab w:val="right" w:pos="9026" w:leader="dot"/>
            </w:tabs>
            <w:rPr/>
          </w:pPr>
          <w:hyperlink w:anchor="__RefHeading___Toc9424140_73709187">
            <w:r>
              <w:rPr>
                <w:webHidden/>
                <w:rStyle w:val="IndexLink"/>
                <w:rtl w:val="true"/>
              </w:rPr>
              <w:t>حکم إرضاع الولد أکثر من حولین</w:t>
            </w:r>
            <w:r>
              <w:rPr>
                <w:rStyle w:val="IndexLink"/>
                <w:rtl w:val="true"/>
              </w:rPr>
              <w:tab/>
            </w:r>
            <w:r>
              <w:rPr>
                <w:rStyle w:val="IndexLink"/>
              </w:rPr>
              <w:t>252</w:t>
            </w:r>
          </w:hyperlink>
        </w:p>
        <w:p>
          <w:pPr>
            <w:pStyle w:val="Contents6"/>
            <w:tabs>
              <w:tab w:val="clear" w:pos="7609"/>
              <w:tab w:val="right" w:pos="9026" w:leader="dot"/>
            </w:tabs>
            <w:rPr/>
          </w:pPr>
          <w:hyperlink w:anchor="__RefHeading___Toc9424142_73709187">
            <w:r>
              <w:rPr>
                <w:webHidden/>
                <w:rStyle w:val="IndexLink"/>
                <w:rtl w:val="true"/>
              </w:rPr>
              <w:t>اشارة</w:t>
            </w:r>
            <w:r>
              <w:rPr>
                <w:rStyle w:val="IndexLink"/>
                <w:rtl w:val="true"/>
              </w:rPr>
              <w:tab/>
            </w:r>
            <w:r>
              <w:rPr>
                <w:rStyle w:val="IndexLink"/>
              </w:rPr>
              <w:t>252</w:t>
            </w:r>
          </w:hyperlink>
        </w:p>
        <w:p>
          <w:pPr>
            <w:pStyle w:val="Contents6"/>
            <w:tabs>
              <w:tab w:val="clear" w:pos="7609"/>
              <w:tab w:val="right" w:pos="9026" w:leader="dot"/>
            </w:tabs>
            <w:rPr/>
          </w:pPr>
          <w:hyperlink w:anchor="__RefHeading___Toc9424144_73709187">
            <w:r>
              <w:rPr>
                <w:webHidden/>
                <w:rStyle w:val="IndexLink"/>
                <w:rtl w:val="true"/>
              </w:rPr>
              <w:t>فرع</w:t>
            </w:r>
            <w:r>
              <w:rPr>
                <w:rStyle w:val="IndexLink"/>
                <w:rtl w:val="true"/>
              </w:rPr>
              <w:tab/>
            </w:r>
            <w:r>
              <w:rPr>
                <w:rStyle w:val="IndexLink"/>
              </w:rPr>
              <w:t>257</w:t>
            </w:r>
          </w:hyperlink>
        </w:p>
        <w:p>
          <w:pPr>
            <w:pStyle w:val="Contents5"/>
            <w:tabs>
              <w:tab w:val="clear" w:pos="7892"/>
              <w:tab w:val="right" w:pos="9026" w:leader="dot"/>
            </w:tabs>
            <w:rPr/>
          </w:pPr>
          <w:hyperlink w:anchor="__RefHeading___Toc9424146_73709187">
            <w:r>
              <w:rPr>
                <w:webHidden/>
                <w:rStyle w:val="IndexLink"/>
                <w:rtl w:val="true"/>
              </w:rPr>
              <w:t>إرضاع الولد أکثر من حولین عند فقهاء أهل السنّة</w:t>
            </w:r>
            <w:r>
              <w:rPr>
                <w:rStyle w:val="IndexLink"/>
                <w:rtl w:val="true"/>
              </w:rPr>
              <w:tab/>
            </w:r>
            <w:r>
              <w:rPr>
                <w:rStyle w:val="IndexLink"/>
              </w:rPr>
              <w:t>258</w:t>
            </w:r>
          </w:hyperlink>
        </w:p>
        <w:p>
          <w:pPr>
            <w:pStyle w:val="Contents4"/>
            <w:tabs>
              <w:tab w:val="clear" w:pos="8176"/>
              <w:tab w:val="right" w:pos="9026" w:leader="dot"/>
            </w:tabs>
            <w:rPr/>
          </w:pPr>
          <w:hyperlink w:anchor="__RefHeading___Toc9424148_73709187">
            <w:r>
              <w:rPr>
                <w:webHidden/>
                <w:rStyle w:val="IndexLink"/>
                <w:rtl w:val="true"/>
              </w:rPr>
              <w:t>المبحث الثالث</w:t>
            </w:r>
            <w:r>
              <w:rPr>
                <w:rStyle w:val="IndexLink"/>
                <w:rtl w:val="true"/>
              </w:rPr>
              <w:t xml:space="preserve">: </w:t>
            </w:r>
            <w:r>
              <w:rPr>
                <w:rStyle w:val="IndexLink"/>
                <w:rtl w:val="true"/>
              </w:rPr>
              <w:t>فی استحقاق الأمّ أجرة الرضاع</w:t>
            </w:r>
            <w:r>
              <w:rPr>
                <w:rStyle w:val="IndexLink"/>
                <w:rtl w:val="true"/>
              </w:rPr>
              <w:tab/>
            </w:r>
            <w:r>
              <w:rPr>
                <w:rStyle w:val="IndexLink"/>
              </w:rPr>
              <w:t>260</w:t>
            </w:r>
          </w:hyperlink>
        </w:p>
        <w:p>
          <w:pPr>
            <w:pStyle w:val="Contents5"/>
            <w:tabs>
              <w:tab w:val="clear" w:pos="7892"/>
              <w:tab w:val="right" w:pos="9026" w:leader="dot"/>
            </w:tabs>
            <w:rPr/>
          </w:pPr>
          <w:hyperlink w:anchor="__RefHeading___Toc9424150_73709187">
            <w:r>
              <w:rPr>
                <w:webHidden/>
                <w:rStyle w:val="IndexLink"/>
                <w:rtl w:val="true"/>
              </w:rPr>
              <w:t>اشارة</w:t>
            </w:r>
            <w:r>
              <w:rPr>
                <w:rStyle w:val="IndexLink"/>
                <w:rtl w:val="true"/>
              </w:rPr>
              <w:tab/>
            </w:r>
            <w:r>
              <w:rPr>
                <w:rStyle w:val="IndexLink"/>
              </w:rPr>
              <w:t>260</w:t>
            </w:r>
          </w:hyperlink>
        </w:p>
        <w:p>
          <w:pPr>
            <w:pStyle w:val="Contents5"/>
            <w:tabs>
              <w:tab w:val="clear" w:pos="7892"/>
              <w:tab w:val="right" w:pos="9026" w:leader="dot"/>
            </w:tabs>
            <w:rPr/>
          </w:pPr>
          <w:hyperlink w:anchor="__RefHeading___Toc9424152_73709187">
            <w:r>
              <w:rPr>
                <w:webHidden/>
                <w:rStyle w:val="IndexLink"/>
                <w:rtl w:val="true"/>
              </w:rPr>
              <w:t>استحباب اختیار العاقلة و</w:t>
            </w:r>
            <w:r>
              <w:rPr>
                <w:rStyle w:val="IndexLink"/>
                <w:rtl w:val="true"/>
              </w:rPr>
              <w:t xml:space="preserve">... </w:t>
            </w:r>
            <w:r>
              <w:rPr>
                <w:rStyle w:val="IndexLink"/>
                <w:rtl w:val="true"/>
              </w:rPr>
              <w:t>للرضاع</w:t>
            </w:r>
            <w:r>
              <w:rPr>
                <w:rStyle w:val="IndexLink"/>
                <w:rtl w:val="true"/>
              </w:rPr>
              <w:tab/>
            </w:r>
            <w:r>
              <w:rPr>
                <w:rStyle w:val="IndexLink"/>
              </w:rPr>
              <w:t>262</w:t>
            </w:r>
          </w:hyperlink>
        </w:p>
        <w:p>
          <w:pPr>
            <w:pStyle w:val="Contents5"/>
            <w:tabs>
              <w:tab w:val="clear" w:pos="7892"/>
              <w:tab w:val="right" w:pos="9026" w:leader="dot"/>
            </w:tabs>
            <w:rPr/>
          </w:pPr>
          <w:hyperlink w:anchor="__RefHeading___Toc9424154_73709187">
            <w:r>
              <w:rPr>
                <w:webHidden/>
                <w:rStyle w:val="IndexLink"/>
                <w:rtl w:val="true"/>
              </w:rPr>
              <w:t>إیضاح</w:t>
            </w:r>
            <w:r>
              <w:rPr>
                <w:rStyle w:val="IndexLink"/>
                <w:rtl w:val="true"/>
              </w:rPr>
              <w:tab/>
            </w:r>
            <w:r>
              <w:rPr>
                <w:rStyle w:val="IndexLink"/>
              </w:rPr>
              <w:t>264</w:t>
            </w:r>
          </w:hyperlink>
        </w:p>
        <w:p>
          <w:pPr>
            <w:pStyle w:val="Contents4"/>
            <w:tabs>
              <w:tab w:val="clear" w:pos="8176"/>
              <w:tab w:val="right" w:pos="9026" w:leader="dot"/>
            </w:tabs>
            <w:rPr/>
          </w:pPr>
          <w:hyperlink w:anchor="__RefHeading___Toc9424156_73709187">
            <w:r>
              <w:rPr>
                <w:webHidden/>
                <w:rStyle w:val="IndexLink"/>
                <w:rtl w:val="true"/>
              </w:rPr>
              <w:t>المبحث الرابع</w:t>
            </w:r>
            <w:r>
              <w:rPr>
                <w:rStyle w:val="IndexLink"/>
                <w:rtl w:val="true"/>
              </w:rPr>
              <w:t xml:space="preserve">: </w:t>
            </w:r>
            <w:r>
              <w:rPr>
                <w:rStyle w:val="IndexLink"/>
                <w:rtl w:val="true"/>
              </w:rPr>
              <w:t>الرضاع و نشر الحرمة</w:t>
            </w:r>
            <w:r>
              <w:rPr>
                <w:rStyle w:val="IndexLink"/>
                <w:rtl w:val="true"/>
              </w:rPr>
              <w:tab/>
            </w:r>
            <w:r>
              <w:rPr>
                <w:rStyle w:val="IndexLink"/>
              </w:rPr>
              <w:t>265</w:t>
            </w:r>
          </w:hyperlink>
        </w:p>
        <w:p>
          <w:pPr>
            <w:pStyle w:val="Contents5"/>
            <w:tabs>
              <w:tab w:val="clear" w:pos="7892"/>
              <w:tab w:val="right" w:pos="9026" w:leader="dot"/>
            </w:tabs>
            <w:rPr/>
          </w:pPr>
          <w:hyperlink w:anchor="__RefHeading___Toc9424158_73709187">
            <w:r>
              <w:rPr>
                <w:webHidden/>
                <w:rStyle w:val="IndexLink"/>
                <w:rtl w:val="true"/>
              </w:rPr>
              <w:t>اشارة</w:t>
            </w:r>
            <w:r>
              <w:rPr>
                <w:rStyle w:val="IndexLink"/>
                <w:rtl w:val="true"/>
              </w:rPr>
              <w:tab/>
            </w:r>
            <w:r>
              <w:rPr>
                <w:rStyle w:val="IndexLink"/>
              </w:rPr>
              <w:t>265</w:t>
            </w:r>
          </w:hyperlink>
        </w:p>
        <w:p>
          <w:pPr>
            <w:pStyle w:val="Contents5"/>
            <w:tabs>
              <w:tab w:val="clear" w:pos="7892"/>
              <w:tab w:val="right" w:pos="9026" w:leader="dot"/>
            </w:tabs>
            <w:rPr/>
          </w:pPr>
          <w:hyperlink w:anchor="__RefHeading___Toc9424160_73709187">
            <w:r>
              <w:rPr>
                <w:webHidden/>
                <w:rStyle w:val="IndexLink"/>
                <w:rtl w:val="true"/>
              </w:rPr>
              <w:t>معنی الحدیث النبویّ صلی الله علیه و آله</w:t>
            </w:r>
            <w:r>
              <w:rPr>
                <w:rStyle w:val="IndexLink"/>
                <w:rtl w:val="true"/>
              </w:rPr>
              <w:tab/>
            </w:r>
            <w:r>
              <w:rPr>
                <w:rStyle w:val="IndexLink"/>
              </w:rPr>
              <w:t>267</w:t>
            </w:r>
          </w:hyperlink>
        </w:p>
        <w:p>
          <w:pPr>
            <w:pStyle w:val="Contents5"/>
            <w:tabs>
              <w:tab w:val="clear" w:pos="7892"/>
              <w:tab w:val="right" w:pos="9026" w:leader="dot"/>
            </w:tabs>
            <w:rPr/>
          </w:pPr>
          <w:hyperlink w:anchor="__RefHeading___Toc9424162_73709187">
            <w:r>
              <w:rPr>
                <w:webHidden/>
                <w:rStyle w:val="IndexLink"/>
                <w:rtl w:val="true"/>
              </w:rPr>
              <w:t>الأحکام المترتّبة علی الرضاع</w:t>
            </w:r>
            <w:r>
              <w:rPr>
                <w:rStyle w:val="IndexLink"/>
                <w:rtl w:val="true"/>
              </w:rPr>
              <w:tab/>
            </w:r>
            <w:r>
              <w:rPr>
                <w:rStyle w:val="IndexLink"/>
              </w:rPr>
              <w:t>267</w:t>
            </w:r>
          </w:hyperlink>
        </w:p>
        <w:p>
          <w:pPr>
            <w:pStyle w:val="Contents4"/>
            <w:tabs>
              <w:tab w:val="clear" w:pos="8176"/>
              <w:tab w:val="right" w:pos="9026" w:leader="dot"/>
            </w:tabs>
            <w:rPr/>
          </w:pPr>
          <w:hyperlink w:anchor="__RefHeading___Toc9424164_73709187">
            <w:r>
              <w:rPr>
                <w:webHidden/>
                <w:rStyle w:val="IndexLink"/>
                <w:rtl w:val="true"/>
              </w:rPr>
              <w:t>المبحث الخامس</w:t>
            </w:r>
            <w:r>
              <w:rPr>
                <w:rStyle w:val="IndexLink"/>
                <w:rtl w:val="true"/>
              </w:rPr>
              <w:t xml:space="preserve">: </w:t>
            </w:r>
            <w:r>
              <w:rPr>
                <w:rStyle w:val="IndexLink"/>
                <w:rtl w:val="true"/>
              </w:rPr>
              <w:t>شروط نشر الحرمة</w:t>
            </w:r>
            <w:r>
              <w:rPr>
                <w:rStyle w:val="IndexLink"/>
                <w:rtl w:val="true"/>
              </w:rPr>
              <w:tab/>
            </w:r>
            <w:r>
              <w:rPr>
                <w:rStyle w:val="IndexLink"/>
              </w:rPr>
              <w:t>272</w:t>
            </w:r>
          </w:hyperlink>
        </w:p>
        <w:p>
          <w:pPr>
            <w:pStyle w:val="Contents5"/>
            <w:tabs>
              <w:tab w:val="clear" w:pos="7892"/>
              <w:tab w:val="right" w:pos="9026" w:leader="dot"/>
            </w:tabs>
            <w:rPr/>
          </w:pPr>
          <w:hyperlink w:anchor="__RefHeading___Toc9424166_73709187">
            <w:r>
              <w:rPr>
                <w:webHidden/>
                <w:rStyle w:val="IndexLink"/>
                <w:rtl w:val="true"/>
              </w:rPr>
              <w:t>اشارة</w:t>
            </w:r>
            <w:r>
              <w:rPr>
                <w:rStyle w:val="IndexLink"/>
                <w:rtl w:val="true"/>
              </w:rPr>
              <w:tab/>
            </w:r>
            <w:r>
              <w:rPr>
                <w:rStyle w:val="IndexLink"/>
              </w:rPr>
              <w:t>272</w:t>
            </w:r>
          </w:hyperlink>
        </w:p>
        <w:p>
          <w:pPr>
            <w:pStyle w:val="Contents5"/>
            <w:tabs>
              <w:tab w:val="clear" w:pos="7892"/>
              <w:tab w:val="right" w:pos="9026" w:leader="dot"/>
            </w:tabs>
            <w:rPr/>
          </w:pPr>
          <w:hyperlink w:anchor="__RefHeading___Toc9424168_73709187">
            <w:r>
              <w:rPr>
                <w:webHidden/>
                <w:rStyle w:val="IndexLink"/>
                <w:rtl w:val="true"/>
              </w:rPr>
              <w:t>المطلب الأوّل</w:t>
            </w:r>
            <w:r>
              <w:rPr>
                <w:rStyle w:val="IndexLink"/>
                <w:rtl w:val="true"/>
              </w:rPr>
              <w:t xml:space="preserve">: </w:t>
            </w:r>
            <w:r>
              <w:rPr>
                <w:rStyle w:val="IndexLink"/>
                <w:rtl w:val="true"/>
              </w:rPr>
              <w:t>فی شروط المرضعة</w:t>
            </w:r>
            <w:r>
              <w:rPr>
                <w:rStyle w:val="IndexLink"/>
                <w:rtl w:val="true"/>
              </w:rPr>
              <w:tab/>
            </w:r>
            <w:r>
              <w:rPr>
                <w:rStyle w:val="IndexLink"/>
              </w:rPr>
              <w:t>272</w:t>
            </w:r>
          </w:hyperlink>
        </w:p>
        <w:p>
          <w:pPr>
            <w:pStyle w:val="Contents6"/>
            <w:tabs>
              <w:tab w:val="clear" w:pos="7609"/>
              <w:tab w:val="right" w:pos="9026" w:leader="dot"/>
            </w:tabs>
            <w:rPr/>
          </w:pPr>
          <w:hyperlink w:anchor="__RefHeading___Toc9424170_73709187">
            <w:r>
              <w:rPr>
                <w:webHidden/>
                <w:rStyle w:val="IndexLink"/>
                <w:rtl w:val="true"/>
              </w:rPr>
              <w:t>الأوّل</w:t>
            </w:r>
            <w:r>
              <w:rPr>
                <w:rStyle w:val="IndexLink"/>
                <w:rtl w:val="true"/>
              </w:rPr>
              <w:t xml:space="preserve">: </w:t>
            </w:r>
            <w:r>
              <w:rPr>
                <w:rStyle w:val="IndexLink"/>
                <w:rtl w:val="true"/>
              </w:rPr>
              <w:t>أن تکون حیّة</w:t>
            </w:r>
            <w:r>
              <w:rPr>
                <w:rStyle w:val="IndexLink"/>
                <w:rtl w:val="true"/>
              </w:rPr>
              <w:tab/>
            </w:r>
            <w:r>
              <w:rPr>
                <w:rStyle w:val="IndexLink"/>
              </w:rPr>
              <w:t>272</w:t>
            </w:r>
          </w:hyperlink>
        </w:p>
        <w:p>
          <w:pPr>
            <w:pStyle w:val="Contents6"/>
            <w:tabs>
              <w:tab w:val="clear" w:pos="7609"/>
              <w:tab w:val="right" w:pos="9026" w:leader="dot"/>
            </w:tabs>
            <w:rPr/>
          </w:pPr>
          <w:hyperlink w:anchor="__RefHeading___Toc9424172_73709187">
            <w:r>
              <w:rPr>
                <w:webHidden/>
                <w:rStyle w:val="IndexLink"/>
                <w:rtl w:val="true"/>
              </w:rPr>
              <w:t>الثانی</w:t>
            </w:r>
            <w:r>
              <w:rPr>
                <w:rStyle w:val="IndexLink"/>
                <w:rtl w:val="true"/>
              </w:rPr>
              <w:t xml:space="preserve">: </w:t>
            </w:r>
            <w:r>
              <w:rPr>
                <w:rStyle w:val="IndexLink"/>
                <w:rtl w:val="true"/>
              </w:rPr>
              <w:t>أن یکون لبن المرضعة عن وط‌ء صحیح</w:t>
            </w:r>
            <w:r>
              <w:rPr>
                <w:rStyle w:val="IndexLink"/>
                <w:rtl w:val="true"/>
              </w:rPr>
              <w:tab/>
            </w:r>
            <w:r>
              <w:rPr>
                <w:rStyle w:val="IndexLink"/>
              </w:rPr>
              <w:t>273</w:t>
            </w:r>
          </w:hyperlink>
        </w:p>
        <w:p>
          <w:pPr>
            <w:pStyle w:val="Contents6"/>
            <w:tabs>
              <w:tab w:val="clear" w:pos="7609"/>
              <w:tab w:val="right" w:pos="9026" w:leader="dot"/>
            </w:tabs>
            <w:rPr/>
          </w:pPr>
          <w:hyperlink w:anchor="__RefHeading___Toc9424174_73709187">
            <w:r>
              <w:rPr>
                <w:webHidden/>
                <w:rStyle w:val="IndexLink"/>
                <w:rtl w:val="true"/>
              </w:rPr>
              <w:t>نظر أهل السنّة فی الشرط الثانی</w:t>
            </w:r>
            <w:r>
              <w:rPr>
                <w:rStyle w:val="IndexLink"/>
                <w:rtl w:val="true"/>
              </w:rPr>
              <w:tab/>
            </w:r>
            <w:r>
              <w:rPr>
                <w:rStyle w:val="IndexLink"/>
              </w:rPr>
              <w:t>275</w:t>
            </w:r>
          </w:hyperlink>
        </w:p>
        <w:p>
          <w:pPr>
            <w:pStyle w:val="Contents6"/>
            <w:tabs>
              <w:tab w:val="clear" w:pos="7609"/>
              <w:tab w:val="right" w:pos="9026" w:leader="dot"/>
            </w:tabs>
            <w:rPr/>
          </w:pPr>
          <w:hyperlink w:anchor="__RefHeading___Toc9424176_73709187">
            <w:r>
              <w:rPr>
                <w:webHidden/>
                <w:rStyle w:val="IndexLink"/>
                <w:rtl w:val="true"/>
              </w:rPr>
              <w:t>الثالث</w:t>
            </w:r>
            <w:r>
              <w:rPr>
                <w:rStyle w:val="IndexLink"/>
                <w:rtl w:val="true"/>
              </w:rPr>
              <w:t xml:space="preserve">: </w:t>
            </w:r>
            <w:r>
              <w:rPr>
                <w:rStyle w:val="IndexLink"/>
                <w:rtl w:val="true"/>
              </w:rPr>
              <w:t>أن یکون اللبن من النکاح الذی حصل منه الولد</w:t>
            </w:r>
            <w:r>
              <w:rPr>
                <w:rStyle w:val="IndexLink"/>
                <w:rtl w:val="true"/>
              </w:rPr>
              <w:tab/>
            </w:r>
            <w:r>
              <w:rPr>
                <w:rStyle w:val="IndexLink"/>
              </w:rPr>
              <w:t>276</w:t>
            </w:r>
          </w:hyperlink>
        </w:p>
        <w:p>
          <w:pPr>
            <w:pStyle w:val="Contents6"/>
            <w:tabs>
              <w:tab w:val="clear" w:pos="7609"/>
              <w:tab w:val="right" w:pos="9026" w:leader="dot"/>
            </w:tabs>
            <w:rPr/>
          </w:pPr>
          <w:hyperlink w:anchor="__RefHeading___Toc9424178_73709187">
            <w:r>
              <w:rPr>
                <w:webHidden/>
                <w:rStyle w:val="IndexLink"/>
                <w:rtl w:val="true"/>
              </w:rPr>
              <w:t>الرابع</w:t>
            </w:r>
            <w:r>
              <w:rPr>
                <w:rStyle w:val="IndexLink"/>
                <w:rtl w:val="true"/>
              </w:rPr>
              <w:t xml:space="preserve">: </w:t>
            </w:r>
            <w:r>
              <w:rPr>
                <w:rStyle w:val="IndexLink"/>
                <w:rtl w:val="true"/>
              </w:rPr>
              <w:t>أن یکون الإرضاع بعد انفصال الولد</w:t>
            </w:r>
            <w:r>
              <w:rPr>
                <w:rStyle w:val="IndexLink"/>
                <w:rtl w:val="true"/>
              </w:rPr>
              <w:tab/>
            </w:r>
            <w:r>
              <w:rPr>
                <w:rStyle w:val="IndexLink"/>
              </w:rPr>
              <w:t>276</w:t>
            </w:r>
          </w:hyperlink>
        </w:p>
        <w:p>
          <w:pPr>
            <w:pStyle w:val="Contents6"/>
            <w:tabs>
              <w:tab w:val="clear" w:pos="7609"/>
              <w:tab w:val="right" w:pos="9026" w:leader="dot"/>
            </w:tabs>
            <w:rPr/>
          </w:pPr>
          <w:hyperlink w:anchor="__RefHeading___Toc9424180_73709187">
            <w:r>
              <w:rPr>
                <w:webHidden/>
                <w:rStyle w:val="IndexLink"/>
                <w:rtl w:val="true"/>
              </w:rPr>
              <w:t>عدم اشتراط بقاء المرأة فی حبال الرجل</w:t>
            </w:r>
            <w:r>
              <w:rPr>
                <w:rStyle w:val="IndexLink"/>
                <w:rtl w:val="true"/>
              </w:rPr>
              <w:tab/>
            </w:r>
            <w:r>
              <w:rPr>
                <w:rStyle w:val="IndexLink"/>
              </w:rPr>
              <w:t>278</w:t>
            </w:r>
          </w:hyperlink>
        </w:p>
        <w:p>
          <w:pPr>
            <w:pStyle w:val="Contents5"/>
            <w:tabs>
              <w:tab w:val="clear" w:pos="7892"/>
              <w:tab w:val="right" w:pos="9026" w:leader="dot"/>
            </w:tabs>
            <w:rPr/>
          </w:pPr>
          <w:hyperlink w:anchor="__RefHeading___Toc9424182_73709187">
            <w:r>
              <w:rPr>
                <w:webHidden/>
                <w:rStyle w:val="IndexLink"/>
                <w:rtl w:val="true"/>
              </w:rPr>
              <w:t>المطلب الثانی</w:t>
            </w:r>
            <w:r>
              <w:rPr>
                <w:rStyle w:val="IndexLink"/>
                <w:rtl w:val="true"/>
              </w:rPr>
              <w:t xml:space="preserve">: </w:t>
            </w:r>
            <w:r>
              <w:rPr>
                <w:rStyle w:val="IndexLink"/>
                <w:rtl w:val="true"/>
              </w:rPr>
              <w:t>فی شروط المرتضع</w:t>
            </w:r>
            <w:r>
              <w:rPr>
                <w:rStyle w:val="IndexLink"/>
                <w:rtl w:val="true"/>
              </w:rPr>
              <w:tab/>
            </w:r>
            <w:r>
              <w:rPr>
                <w:rStyle w:val="IndexLink"/>
              </w:rPr>
              <w:t>279</w:t>
            </w:r>
          </w:hyperlink>
        </w:p>
        <w:p>
          <w:pPr>
            <w:pStyle w:val="Contents6"/>
            <w:tabs>
              <w:tab w:val="clear" w:pos="7609"/>
              <w:tab w:val="right" w:pos="9026" w:leader="dot"/>
            </w:tabs>
            <w:rPr/>
          </w:pPr>
          <w:hyperlink w:anchor="__RefHeading___Toc9424184_73709187">
            <w:r>
              <w:rPr>
                <w:webHidden/>
                <w:rStyle w:val="IndexLink"/>
                <w:rtl w:val="true"/>
              </w:rPr>
              <w:t>اشارة</w:t>
            </w:r>
            <w:r>
              <w:rPr>
                <w:rStyle w:val="IndexLink"/>
                <w:rtl w:val="true"/>
              </w:rPr>
              <w:tab/>
            </w:r>
            <w:r>
              <w:rPr>
                <w:rStyle w:val="IndexLink"/>
              </w:rPr>
              <w:t>279</w:t>
            </w:r>
          </w:hyperlink>
        </w:p>
        <w:p>
          <w:pPr>
            <w:pStyle w:val="Contents6"/>
            <w:tabs>
              <w:tab w:val="clear" w:pos="7609"/>
              <w:tab w:val="right" w:pos="9026" w:leader="dot"/>
            </w:tabs>
            <w:rPr/>
          </w:pPr>
          <w:hyperlink w:anchor="__RefHeading___Toc9424186_73709187">
            <w:r>
              <w:rPr>
                <w:webHidden/>
                <w:rStyle w:val="IndexLink"/>
                <w:rtl w:val="true"/>
              </w:rPr>
              <w:t>اعتبار سنّ المرتضع فی الحولین عند فقهاء أهل السنّة</w:t>
            </w:r>
            <w:r>
              <w:rPr>
                <w:rStyle w:val="IndexLink"/>
                <w:rtl w:val="true"/>
              </w:rPr>
              <w:tab/>
            </w:r>
            <w:r>
              <w:rPr>
                <w:rStyle w:val="IndexLink"/>
              </w:rPr>
              <w:t>281</w:t>
            </w:r>
          </w:hyperlink>
        </w:p>
        <w:p>
          <w:pPr>
            <w:pStyle w:val="Contents6"/>
            <w:tabs>
              <w:tab w:val="clear" w:pos="7609"/>
              <w:tab w:val="right" w:pos="9026" w:leader="dot"/>
            </w:tabs>
            <w:rPr/>
          </w:pPr>
          <w:hyperlink w:anchor="__RefHeading___Toc9424188_73709187">
            <w:r>
              <w:rPr>
                <w:webHidden/>
                <w:rStyle w:val="IndexLink"/>
                <w:rtl w:val="true"/>
              </w:rPr>
              <w:t>عدم اعتبار الحولین فی ولد المرضعة</w:t>
            </w:r>
            <w:r>
              <w:rPr>
                <w:rStyle w:val="IndexLink"/>
                <w:rtl w:val="true"/>
              </w:rPr>
              <w:tab/>
            </w:r>
            <w:r>
              <w:rPr>
                <w:rStyle w:val="IndexLink"/>
              </w:rPr>
              <w:t>284</w:t>
            </w:r>
          </w:hyperlink>
        </w:p>
        <w:p>
          <w:pPr>
            <w:pStyle w:val="Contents5"/>
            <w:tabs>
              <w:tab w:val="clear" w:pos="7892"/>
              <w:tab w:val="right" w:pos="9026" w:leader="dot"/>
            </w:tabs>
            <w:rPr/>
          </w:pPr>
          <w:hyperlink w:anchor="__RefHeading___Toc9424190_73709187">
            <w:r>
              <w:rPr>
                <w:webHidden/>
                <w:rStyle w:val="IndexLink"/>
                <w:rtl w:val="true"/>
              </w:rPr>
              <w:t>المطلب الثالث</w:t>
            </w:r>
            <w:r>
              <w:rPr>
                <w:rStyle w:val="IndexLink"/>
                <w:rtl w:val="true"/>
              </w:rPr>
              <w:t xml:space="preserve">: </w:t>
            </w:r>
            <w:r>
              <w:rPr>
                <w:rStyle w:val="IndexLink"/>
                <w:rtl w:val="true"/>
              </w:rPr>
              <w:t>فیما یعتبر فی الرضاع</w:t>
            </w:r>
            <w:r>
              <w:rPr>
                <w:rStyle w:val="IndexLink"/>
                <w:rtl w:val="true"/>
              </w:rPr>
              <w:tab/>
            </w:r>
            <w:r>
              <w:rPr>
                <w:rStyle w:val="IndexLink"/>
              </w:rPr>
              <w:t>286</w:t>
            </w:r>
          </w:hyperlink>
        </w:p>
        <w:p>
          <w:pPr>
            <w:pStyle w:val="Contents6"/>
            <w:tabs>
              <w:tab w:val="clear" w:pos="7609"/>
              <w:tab w:val="right" w:pos="9026" w:leader="dot"/>
            </w:tabs>
            <w:rPr/>
          </w:pPr>
          <w:hyperlink w:anchor="__RefHeading___Toc9424192_73709187">
            <w:r>
              <w:rPr>
                <w:webHidden/>
                <w:rStyle w:val="IndexLink"/>
                <w:rtl w:val="true"/>
              </w:rPr>
              <w:t>اشارة</w:t>
            </w:r>
            <w:r>
              <w:rPr>
                <w:rStyle w:val="IndexLink"/>
                <w:rtl w:val="true"/>
              </w:rPr>
              <w:tab/>
            </w:r>
            <w:r>
              <w:rPr>
                <w:rStyle w:val="IndexLink"/>
              </w:rPr>
              <w:t>286</w:t>
            </w:r>
          </w:hyperlink>
        </w:p>
        <w:p>
          <w:pPr>
            <w:pStyle w:val="Contents6"/>
            <w:tabs>
              <w:tab w:val="clear" w:pos="7609"/>
              <w:tab w:val="right" w:pos="9026" w:leader="dot"/>
            </w:tabs>
            <w:rPr/>
          </w:pPr>
          <w:hyperlink w:anchor="__RefHeading___Toc9424194_73709187">
            <w:r>
              <w:rPr>
                <w:webHidden/>
                <w:rStyle w:val="IndexLink"/>
                <w:rtl w:val="true"/>
              </w:rPr>
              <w:t>عدم انتشار الحرمة بین المرتضعین مع تعدّد الفحل و إن اتّحد المرضعة</w:t>
            </w:r>
            <w:r>
              <w:rPr>
                <w:rStyle w:val="IndexLink"/>
                <w:rtl w:val="true"/>
              </w:rPr>
              <w:tab/>
            </w:r>
            <w:r>
              <w:rPr>
                <w:rStyle w:val="IndexLink"/>
              </w:rPr>
              <w:t>288</w:t>
            </w:r>
          </w:hyperlink>
        </w:p>
        <w:p>
          <w:pPr>
            <w:pStyle w:val="Contents6"/>
            <w:tabs>
              <w:tab w:val="clear" w:pos="7609"/>
              <w:tab w:val="right" w:pos="9026" w:leader="dot"/>
            </w:tabs>
            <w:rPr/>
          </w:pPr>
          <w:hyperlink w:anchor="__RefHeading___Toc9424196_73709187">
            <w:r>
              <w:rPr>
                <w:webHidden/>
                <w:rStyle w:val="IndexLink"/>
                <w:rtl w:val="true"/>
              </w:rPr>
              <w:t>رأی أهل السنّة فی الامتصاص من الثدی</w:t>
            </w:r>
            <w:r>
              <w:rPr>
                <w:rStyle w:val="IndexLink"/>
                <w:rtl w:val="true"/>
              </w:rPr>
              <w:tab/>
            </w:r>
            <w:r>
              <w:rPr>
                <w:rStyle w:val="IndexLink"/>
              </w:rPr>
              <w:t>293</w:t>
            </w:r>
          </w:hyperlink>
        </w:p>
        <w:p>
          <w:pPr>
            <w:pStyle w:val="Contents6"/>
            <w:tabs>
              <w:tab w:val="clear" w:pos="7609"/>
              <w:tab w:val="right" w:pos="9026" w:leader="dot"/>
            </w:tabs>
            <w:rPr/>
          </w:pPr>
          <w:hyperlink w:anchor="__RefHeading___Toc9424198_73709187">
            <w:r>
              <w:rPr>
                <w:webHidden/>
                <w:rStyle w:val="IndexLink"/>
                <w:rtl w:val="true"/>
              </w:rPr>
              <w:t>ثمّ إنّ للأصحاب فی تحدید الرضاع المحرّم تقدیرات ثلاثة</w:t>
            </w:r>
            <w:r>
              <w:rPr>
                <w:rStyle w:val="IndexLink"/>
                <w:rtl w:val="true"/>
              </w:rPr>
              <w:tab/>
            </w:r>
            <w:r>
              <w:rPr>
                <w:rStyle w:val="IndexLink"/>
              </w:rPr>
              <w:t>295</w:t>
            </w:r>
          </w:hyperlink>
        </w:p>
        <w:p>
          <w:pPr>
            <w:pStyle w:val="Contents6"/>
            <w:tabs>
              <w:tab w:val="clear" w:pos="7609"/>
              <w:tab w:val="right" w:pos="9026" w:leader="dot"/>
            </w:tabs>
            <w:rPr/>
          </w:pPr>
          <w:hyperlink w:anchor="__RefHeading___Toc9424200_73709187">
            <w:r>
              <w:rPr>
                <w:webHidden/>
                <w:rStyle w:val="IndexLink"/>
                <w:rtl w:val="true"/>
              </w:rPr>
              <w:t>الأوّل</w:t>
            </w:r>
            <w:r>
              <w:rPr>
                <w:rStyle w:val="IndexLink"/>
                <w:rtl w:val="true"/>
              </w:rPr>
              <w:t xml:space="preserve">: </w:t>
            </w:r>
            <w:r>
              <w:rPr>
                <w:rStyle w:val="IndexLink"/>
                <w:rtl w:val="true"/>
              </w:rPr>
              <w:t>التقدیر بالزمان،</w:t>
            </w:r>
            <w:r>
              <w:rPr>
                <w:rStyle w:val="IndexLink"/>
                <w:rtl w:val="true"/>
              </w:rPr>
              <w:tab/>
            </w:r>
            <w:r>
              <w:rPr>
                <w:rStyle w:val="IndexLink"/>
              </w:rPr>
              <w:t>295</w:t>
            </w:r>
          </w:hyperlink>
        </w:p>
        <w:p>
          <w:pPr>
            <w:pStyle w:val="Contents6"/>
            <w:tabs>
              <w:tab w:val="clear" w:pos="7609"/>
              <w:tab w:val="right" w:pos="9026" w:leader="dot"/>
            </w:tabs>
            <w:rPr/>
          </w:pPr>
          <w:hyperlink w:anchor="__RefHeading___Toc9424202_73709187">
            <w:r>
              <w:rPr>
                <w:webHidden/>
                <w:rStyle w:val="IndexLink"/>
                <w:rtl w:val="true"/>
              </w:rPr>
              <w:t>الثانی</w:t>
            </w:r>
            <w:r>
              <w:rPr>
                <w:rStyle w:val="IndexLink"/>
                <w:rtl w:val="true"/>
              </w:rPr>
              <w:t xml:space="preserve">: </w:t>
            </w:r>
            <w:r>
              <w:rPr>
                <w:rStyle w:val="IndexLink"/>
                <w:rtl w:val="true"/>
              </w:rPr>
              <w:t>التقدیر بالعدد،</w:t>
            </w:r>
            <w:r>
              <w:rPr>
                <w:rStyle w:val="IndexLink"/>
                <w:rtl w:val="true"/>
              </w:rPr>
              <w:tab/>
            </w:r>
            <w:r>
              <w:rPr>
                <w:rStyle w:val="IndexLink"/>
              </w:rPr>
              <w:t>296</w:t>
            </w:r>
          </w:hyperlink>
        </w:p>
        <w:p>
          <w:pPr>
            <w:pStyle w:val="Contents6"/>
            <w:tabs>
              <w:tab w:val="clear" w:pos="7609"/>
              <w:tab w:val="right" w:pos="9026" w:leader="dot"/>
            </w:tabs>
            <w:rPr/>
          </w:pPr>
          <w:hyperlink w:anchor="__RefHeading___Toc9424204_73709187">
            <w:r>
              <w:rPr>
                <w:webHidden/>
                <w:rStyle w:val="IndexLink"/>
                <w:rtl w:val="true"/>
              </w:rPr>
              <w:t>استدلال القائلین بالعشر</w:t>
            </w:r>
            <w:r>
              <w:rPr>
                <w:rStyle w:val="IndexLink"/>
                <w:rtl w:val="true"/>
              </w:rPr>
              <w:tab/>
            </w:r>
            <w:r>
              <w:rPr>
                <w:rStyle w:val="IndexLink"/>
              </w:rPr>
              <w:t>298</w:t>
            </w:r>
          </w:hyperlink>
        </w:p>
        <w:p>
          <w:pPr>
            <w:pStyle w:val="Contents6"/>
            <w:tabs>
              <w:tab w:val="clear" w:pos="7609"/>
              <w:tab w:val="right" w:pos="9026" w:leader="dot"/>
            </w:tabs>
            <w:rPr/>
          </w:pPr>
          <w:hyperlink w:anchor="__RefHeading___Toc9424206_73709187">
            <w:r>
              <w:rPr>
                <w:webHidden/>
                <w:rStyle w:val="IndexLink"/>
                <w:rtl w:val="true"/>
              </w:rPr>
              <w:t>التحقیق فی المسألة</w:t>
            </w:r>
            <w:r>
              <w:rPr>
                <w:rStyle w:val="IndexLink"/>
                <w:rtl w:val="true"/>
              </w:rPr>
              <w:tab/>
            </w:r>
            <w:r>
              <w:rPr>
                <w:rStyle w:val="IndexLink"/>
              </w:rPr>
              <w:t>300</w:t>
            </w:r>
          </w:hyperlink>
        </w:p>
        <w:p>
          <w:pPr>
            <w:pStyle w:val="Contents6"/>
            <w:tabs>
              <w:tab w:val="clear" w:pos="7609"/>
              <w:tab w:val="right" w:pos="9026" w:leader="dot"/>
            </w:tabs>
            <w:rPr/>
          </w:pPr>
          <w:hyperlink w:anchor="__RefHeading___Toc9424208_73709187">
            <w:r>
              <w:rPr>
                <w:webHidden/>
                <w:rStyle w:val="IndexLink"/>
                <w:rtl w:val="true"/>
              </w:rPr>
              <w:t>استدلال القائلین بالخمس عشرة</w:t>
            </w:r>
            <w:r>
              <w:rPr>
                <w:rStyle w:val="IndexLink"/>
                <w:rtl w:val="true"/>
              </w:rPr>
              <w:tab/>
            </w:r>
            <w:r>
              <w:rPr>
                <w:rStyle w:val="IndexLink"/>
              </w:rPr>
              <w:t>304</w:t>
            </w:r>
          </w:hyperlink>
        </w:p>
        <w:p>
          <w:pPr>
            <w:pStyle w:val="Contents6"/>
            <w:tabs>
              <w:tab w:val="clear" w:pos="7609"/>
              <w:tab w:val="right" w:pos="9026" w:leader="dot"/>
            </w:tabs>
            <w:rPr/>
          </w:pPr>
          <w:hyperlink w:anchor="__RefHeading___Toc9424210_73709187">
            <w:r>
              <w:rPr>
                <w:webHidden/>
                <w:rStyle w:val="IndexLink"/>
                <w:rtl w:val="true"/>
              </w:rPr>
              <w:t>الثالث</w:t>
            </w:r>
            <w:r>
              <w:rPr>
                <w:rStyle w:val="IndexLink"/>
                <w:rtl w:val="true"/>
              </w:rPr>
              <w:t xml:space="preserve">: </w:t>
            </w:r>
            <w:r>
              <w:rPr>
                <w:rStyle w:val="IndexLink"/>
                <w:rtl w:val="true"/>
              </w:rPr>
              <w:t>التقدیر بالأثر</w:t>
            </w:r>
            <w:r>
              <w:rPr>
                <w:rStyle w:val="IndexLink"/>
                <w:rtl w:val="true"/>
              </w:rPr>
              <w:tab/>
            </w:r>
            <w:r>
              <w:rPr>
                <w:rStyle w:val="IndexLink"/>
              </w:rPr>
              <w:t>305</w:t>
            </w:r>
          </w:hyperlink>
        </w:p>
        <w:p>
          <w:pPr>
            <w:pStyle w:val="Contents6"/>
            <w:tabs>
              <w:tab w:val="clear" w:pos="7609"/>
              <w:tab w:val="right" w:pos="9026" w:leader="dot"/>
            </w:tabs>
            <w:rPr/>
          </w:pPr>
          <w:hyperlink w:anchor="__RefHeading___Toc9424212_73709187">
            <w:r>
              <w:rPr>
                <w:webHidden/>
                <w:rStyle w:val="IndexLink"/>
                <w:rtl w:val="true"/>
              </w:rPr>
              <w:t>آراء أهل السنّة فی تحدید الرضاع</w:t>
            </w:r>
            <w:r>
              <w:rPr>
                <w:rStyle w:val="IndexLink"/>
                <w:rtl w:val="true"/>
              </w:rPr>
              <w:tab/>
            </w:r>
            <w:r>
              <w:rPr>
                <w:rStyle w:val="IndexLink"/>
              </w:rPr>
              <w:t>307</w:t>
            </w:r>
          </w:hyperlink>
        </w:p>
        <w:p>
          <w:pPr>
            <w:pStyle w:val="Contents6"/>
            <w:tabs>
              <w:tab w:val="clear" w:pos="7609"/>
              <w:tab w:val="right" w:pos="9026" w:leader="dot"/>
            </w:tabs>
            <w:rPr/>
          </w:pPr>
          <w:hyperlink w:anchor="__RefHeading___Toc9424214_73709187">
            <w:r>
              <w:rPr>
                <w:webHidden/>
                <w:rStyle w:val="IndexLink"/>
                <w:rtl w:val="true"/>
              </w:rPr>
              <w:t>المعتبر فی الرضعات</w:t>
            </w:r>
            <w:r>
              <w:rPr>
                <w:rStyle w:val="IndexLink"/>
                <w:rtl w:val="true"/>
              </w:rPr>
              <w:tab/>
            </w:r>
            <w:r>
              <w:rPr>
                <w:rStyle w:val="IndexLink"/>
              </w:rPr>
              <w:t>308</w:t>
            </w:r>
          </w:hyperlink>
        </w:p>
        <w:p>
          <w:pPr>
            <w:pStyle w:val="Contents2"/>
            <w:tabs>
              <w:tab w:val="clear" w:pos="8743"/>
              <w:tab w:val="right" w:pos="9026" w:leader="dot"/>
            </w:tabs>
            <w:rPr/>
          </w:pPr>
          <w:hyperlink w:anchor="__RefHeading___Toc9424216_73709187">
            <w:r>
              <w:rPr>
                <w:webHidden/>
                <w:rStyle w:val="IndexLink"/>
                <w:rtl w:val="true"/>
              </w:rPr>
              <w:t>الباب الثانی فی الحضانة</w:t>
            </w:r>
            <w:r>
              <w:rPr>
                <w:rStyle w:val="IndexLink"/>
                <w:rtl w:val="true"/>
              </w:rPr>
              <w:tab/>
            </w:r>
            <w:r>
              <w:rPr>
                <w:rStyle w:val="IndexLink"/>
              </w:rPr>
              <w:t>311</w:t>
            </w:r>
          </w:hyperlink>
        </w:p>
        <w:p>
          <w:pPr>
            <w:pStyle w:val="Contents3"/>
            <w:tabs>
              <w:tab w:val="clear" w:pos="8459"/>
              <w:tab w:val="right" w:pos="9026" w:leader="dot"/>
            </w:tabs>
            <w:rPr/>
          </w:pPr>
          <w:hyperlink w:anchor="__RefHeading___Toc9424218_73709187">
            <w:r>
              <w:rPr>
                <w:webHidden/>
                <w:rStyle w:val="IndexLink"/>
                <w:rtl w:val="true"/>
              </w:rPr>
              <w:t>اشارة</w:t>
            </w:r>
            <w:r>
              <w:rPr>
                <w:rStyle w:val="IndexLink"/>
                <w:rtl w:val="true"/>
              </w:rPr>
              <w:tab/>
            </w:r>
            <w:r>
              <w:rPr>
                <w:rStyle w:val="IndexLink"/>
              </w:rPr>
              <w:t>311</w:t>
            </w:r>
          </w:hyperlink>
        </w:p>
        <w:p>
          <w:pPr>
            <w:pStyle w:val="Contents3"/>
            <w:tabs>
              <w:tab w:val="clear" w:pos="8459"/>
              <w:tab w:val="right" w:pos="9026" w:leader="dot"/>
            </w:tabs>
            <w:rPr/>
          </w:pPr>
          <w:hyperlink w:anchor="__RefHeading___Toc9424220_73709187">
            <w:r>
              <w:rPr>
                <w:webHidden/>
                <w:rStyle w:val="IndexLink"/>
                <w:rtl w:val="true"/>
              </w:rPr>
              <w:t>فصل</w:t>
            </w:r>
            <w:r>
              <w:rPr>
                <w:rStyle w:val="IndexLink"/>
                <w:rtl w:val="true"/>
              </w:rPr>
              <w:tab/>
            </w:r>
            <w:r>
              <w:rPr>
                <w:rStyle w:val="IndexLink"/>
              </w:rPr>
              <w:t>312</w:t>
            </w:r>
          </w:hyperlink>
        </w:p>
        <w:p>
          <w:pPr>
            <w:pStyle w:val="Contents4"/>
            <w:tabs>
              <w:tab w:val="clear" w:pos="8176"/>
              <w:tab w:val="right" w:pos="9026" w:leader="dot"/>
            </w:tabs>
            <w:rPr/>
          </w:pPr>
          <w:hyperlink w:anchor="__RefHeading___Toc9424222_73709187">
            <w:r>
              <w:rPr>
                <w:webHidden/>
                <w:rStyle w:val="IndexLink"/>
                <w:rtl w:val="true"/>
              </w:rPr>
              <w:t>تمهید</w:t>
            </w:r>
            <w:r>
              <w:rPr>
                <w:rStyle w:val="IndexLink"/>
                <w:rtl w:val="true"/>
              </w:rPr>
              <w:tab/>
            </w:r>
            <w:r>
              <w:rPr>
                <w:rStyle w:val="IndexLink"/>
              </w:rPr>
              <w:t>312</w:t>
            </w:r>
          </w:hyperlink>
        </w:p>
        <w:p>
          <w:pPr>
            <w:pStyle w:val="Contents4"/>
            <w:tabs>
              <w:tab w:val="clear" w:pos="8176"/>
              <w:tab w:val="right" w:pos="9026" w:leader="dot"/>
            </w:tabs>
            <w:rPr/>
          </w:pPr>
          <w:hyperlink w:anchor="__RefHeading___Toc9424224_73709187">
            <w:r>
              <w:rPr>
                <w:webHidden/>
                <w:rStyle w:val="IndexLink"/>
                <w:rtl w:val="true"/>
              </w:rPr>
              <w:t>المبحث الأوّل</w:t>
            </w:r>
            <w:r>
              <w:rPr>
                <w:rStyle w:val="IndexLink"/>
                <w:rtl w:val="true"/>
              </w:rPr>
              <w:t xml:space="preserve">: </w:t>
            </w:r>
            <w:r>
              <w:rPr>
                <w:rStyle w:val="IndexLink"/>
                <w:rtl w:val="true"/>
              </w:rPr>
              <w:t>الحضانة لغةً و اصطلاحاً</w:t>
            </w:r>
            <w:r>
              <w:rPr>
                <w:rStyle w:val="IndexLink"/>
                <w:rtl w:val="true"/>
              </w:rPr>
              <w:tab/>
            </w:r>
            <w:r>
              <w:rPr>
                <w:rStyle w:val="IndexLink"/>
              </w:rPr>
              <w:t>314</w:t>
            </w:r>
          </w:hyperlink>
        </w:p>
        <w:p>
          <w:pPr>
            <w:pStyle w:val="Contents5"/>
            <w:tabs>
              <w:tab w:val="clear" w:pos="7892"/>
              <w:tab w:val="right" w:pos="9026" w:leader="dot"/>
            </w:tabs>
            <w:rPr/>
          </w:pPr>
          <w:hyperlink w:anchor="__RefHeading___Toc9424226_73709187">
            <w:r>
              <w:rPr>
                <w:webHidden/>
                <w:rStyle w:val="IndexLink"/>
                <w:rtl w:val="true"/>
              </w:rPr>
              <w:t>الحضانة لغةً</w:t>
            </w:r>
            <w:r>
              <w:rPr>
                <w:rStyle w:val="IndexLink"/>
                <w:rtl w:val="true"/>
              </w:rPr>
              <w:t>:</w:t>
              <w:tab/>
            </w:r>
            <w:r>
              <w:rPr>
                <w:rStyle w:val="IndexLink"/>
              </w:rPr>
              <w:t>314</w:t>
            </w:r>
          </w:hyperlink>
        </w:p>
        <w:p>
          <w:pPr>
            <w:pStyle w:val="Contents5"/>
            <w:tabs>
              <w:tab w:val="clear" w:pos="7892"/>
              <w:tab w:val="right" w:pos="9026" w:leader="dot"/>
            </w:tabs>
            <w:rPr/>
          </w:pPr>
          <w:hyperlink w:anchor="__RefHeading___Toc9424228_73709187">
            <w:r>
              <w:rPr>
                <w:webHidden/>
                <w:rStyle w:val="IndexLink"/>
                <w:rtl w:val="true"/>
              </w:rPr>
              <w:t>الحضانة اصطلاحاً</w:t>
            </w:r>
            <w:r>
              <w:rPr>
                <w:rStyle w:val="IndexLink"/>
                <w:rtl w:val="true"/>
              </w:rPr>
              <w:tab/>
            </w:r>
            <w:r>
              <w:rPr>
                <w:rStyle w:val="IndexLink"/>
              </w:rPr>
              <w:t>314</w:t>
            </w:r>
          </w:hyperlink>
        </w:p>
        <w:p>
          <w:pPr>
            <w:pStyle w:val="Contents5"/>
            <w:tabs>
              <w:tab w:val="clear" w:pos="7892"/>
              <w:tab w:val="right" w:pos="9026" w:leader="dot"/>
            </w:tabs>
            <w:rPr/>
          </w:pPr>
          <w:hyperlink w:anchor="__RefHeading___Toc9424230_73709187">
            <w:r>
              <w:rPr>
                <w:webHidden/>
                <w:rStyle w:val="IndexLink"/>
                <w:rtl w:val="true"/>
              </w:rPr>
              <w:t>مفهوم الحضانة عند فقهاء أهل السنّة</w:t>
            </w:r>
            <w:r>
              <w:rPr>
                <w:rStyle w:val="IndexLink"/>
                <w:rtl w:val="true"/>
              </w:rPr>
              <w:tab/>
            </w:r>
            <w:r>
              <w:rPr>
                <w:rStyle w:val="IndexLink"/>
              </w:rPr>
              <w:t>316</w:t>
            </w:r>
          </w:hyperlink>
        </w:p>
        <w:p>
          <w:pPr>
            <w:pStyle w:val="Contents4"/>
            <w:tabs>
              <w:tab w:val="clear" w:pos="8176"/>
              <w:tab w:val="right" w:pos="9026" w:leader="dot"/>
            </w:tabs>
            <w:rPr/>
          </w:pPr>
          <w:hyperlink w:anchor="__RefHeading___Toc9424232_73709187">
            <w:r>
              <w:rPr>
                <w:webHidden/>
                <w:rStyle w:val="IndexLink"/>
                <w:rtl w:val="true"/>
              </w:rPr>
              <w:t>المبحث الثانی</w:t>
            </w:r>
            <w:r>
              <w:rPr>
                <w:rStyle w:val="IndexLink"/>
                <w:rtl w:val="true"/>
              </w:rPr>
              <w:t xml:space="preserve">: </w:t>
            </w:r>
            <w:r>
              <w:rPr>
                <w:rStyle w:val="IndexLink"/>
                <w:rtl w:val="true"/>
              </w:rPr>
              <w:t>حکم الحضانة و أدلّتها</w:t>
            </w:r>
            <w:r>
              <w:rPr>
                <w:rStyle w:val="IndexLink"/>
                <w:rtl w:val="true"/>
              </w:rPr>
              <w:tab/>
            </w:r>
            <w:r>
              <w:rPr>
                <w:rStyle w:val="IndexLink"/>
              </w:rPr>
              <w:t>318</w:t>
            </w:r>
          </w:hyperlink>
        </w:p>
        <w:p>
          <w:pPr>
            <w:pStyle w:val="Contents5"/>
            <w:tabs>
              <w:tab w:val="clear" w:pos="7892"/>
              <w:tab w:val="right" w:pos="9026" w:leader="dot"/>
            </w:tabs>
            <w:rPr/>
          </w:pPr>
          <w:hyperlink w:anchor="__RefHeading___Toc9424234_73709187">
            <w:r>
              <w:rPr>
                <w:webHidden/>
                <w:rStyle w:val="IndexLink"/>
                <w:rtl w:val="true"/>
              </w:rPr>
              <w:t>اشارة</w:t>
            </w:r>
            <w:r>
              <w:rPr>
                <w:rStyle w:val="IndexLink"/>
                <w:rtl w:val="true"/>
              </w:rPr>
              <w:tab/>
            </w:r>
            <w:r>
              <w:rPr>
                <w:rStyle w:val="IndexLink"/>
              </w:rPr>
              <w:t>318</w:t>
            </w:r>
          </w:hyperlink>
        </w:p>
        <w:p>
          <w:pPr>
            <w:pStyle w:val="Contents5"/>
            <w:tabs>
              <w:tab w:val="clear" w:pos="7892"/>
              <w:tab w:val="right" w:pos="9026" w:leader="dot"/>
            </w:tabs>
            <w:rPr/>
          </w:pPr>
          <w:hyperlink w:anchor="__RefHeading___Toc9424236_73709187">
            <w:r>
              <w:rPr>
                <w:webHidden/>
                <w:rStyle w:val="IndexLink"/>
                <w:rtl w:val="true"/>
              </w:rPr>
              <w:t>و یمکن أن یستدلّ علی أصل وجوبها فی الجملة بالأدلّة الأربعة</w:t>
            </w:r>
            <w:r>
              <w:rPr>
                <w:rStyle w:val="IndexLink"/>
                <w:rtl w:val="true"/>
              </w:rPr>
              <w:t>:</w:t>
              <w:tab/>
            </w:r>
            <w:r>
              <w:rPr>
                <w:rStyle w:val="IndexLink"/>
              </w:rPr>
              <w:t>318</w:t>
            </w:r>
          </w:hyperlink>
        </w:p>
        <w:p>
          <w:pPr>
            <w:pStyle w:val="Contents6"/>
            <w:tabs>
              <w:tab w:val="clear" w:pos="7609"/>
              <w:tab w:val="right" w:pos="9026" w:leader="dot"/>
            </w:tabs>
            <w:rPr/>
          </w:pPr>
          <w:hyperlink w:anchor="__RefHeading___Toc9424238_73709187">
            <w:r>
              <w:rPr>
                <w:webHidden/>
                <w:rStyle w:val="IndexLink"/>
                <w:rtl w:val="true"/>
              </w:rPr>
              <w:t xml:space="preserve">أ </w:t>
            </w:r>
            <w:r>
              <w:rPr>
                <w:rStyle w:val="IndexLink"/>
                <w:rtl w:val="true"/>
              </w:rPr>
              <w:t xml:space="preserve">- </w:t>
            </w:r>
            <w:r>
              <w:rPr>
                <w:rStyle w:val="IndexLink"/>
                <w:rtl w:val="true"/>
              </w:rPr>
              <w:t>الکتاب</w:t>
            </w:r>
            <w:r>
              <w:rPr>
                <w:rStyle w:val="IndexLink"/>
                <w:rtl w:val="true"/>
              </w:rPr>
              <w:t>:</w:t>
              <w:tab/>
            </w:r>
            <w:r>
              <w:rPr>
                <w:rStyle w:val="IndexLink"/>
              </w:rPr>
              <w:t>318</w:t>
            </w:r>
          </w:hyperlink>
        </w:p>
        <w:p>
          <w:pPr>
            <w:pStyle w:val="Contents6"/>
            <w:tabs>
              <w:tab w:val="clear" w:pos="7609"/>
              <w:tab w:val="right" w:pos="9026" w:leader="dot"/>
            </w:tabs>
            <w:rPr/>
          </w:pPr>
          <w:hyperlink w:anchor="__RefHeading___Toc9424240_73709187">
            <w:r>
              <w:rPr>
                <w:webHidden/>
                <w:rStyle w:val="IndexLink"/>
                <w:rtl w:val="true"/>
              </w:rPr>
              <w:t xml:space="preserve">ب </w:t>
            </w:r>
            <w:r>
              <w:rPr>
                <w:rStyle w:val="IndexLink"/>
                <w:rtl w:val="true"/>
              </w:rPr>
              <w:t xml:space="preserve">- </w:t>
            </w:r>
            <w:r>
              <w:rPr>
                <w:rStyle w:val="IndexLink"/>
                <w:rtl w:val="true"/>
              </w:rPr>
              <w:t>السنّة</w:t>
            </w:r>
            <w:r>
              <w:rPr>
                <w:rStyle w:val="IndexLink"/>
                <w:rtl w:val="true"/>
              </w:rPr>
              <w:t>:</w:t>
              <w:tab/>
            </w:r>
            <w:r>
              <w:rPr>
                <w:rStyle w:val="IndexLink"/>
              </w:rPr>
              <w:t>320</w:t>
            </w:r>
          </w:hyperlink>
        </w:p>
        <w:p>
          <w:pPr>
            <w:pStyle w:val="Contents6"/>
            <w:tabs>
              <w:tab w:val="clear" w:pos="7609"/>
              <w:tab w:val="right" w:pos="9026" w:leader="dot"/>
            </w:tabs>
            <w:rPr/>
          </w:pPr>
          <w:hyperlink w:anchor="__RefHeading___Toc9424242_73709187">
            <w:r>
              <w:rPr>
                <w:webHidden/>
                <w:rStyle w:val="IndexLink"/>
                <w:rtl w:val="true"/>
              </w:rPr>
              <w:t xml:space="preserve">ج </w:t>
            </w:r>
            <w:r>
              <w:rPr>
                <w:rStyle w:val="IndexLink"/>
                <w:rtl w:val="true"/>
              </w:rPr>
              <w:t xml:space="preserve">- </w:t>
            </w:r>
            <w:r>
              <w:rPr>
                <w:rStyle w:val="IndexLink"/>
                <w:rtl w:val="true"/>
              </w:rPr>
              <w:t>العقل</w:t>
            </w:r>
            <w:r>
              <w:rPr>
                <w:rStyle w:val="IndexLink"/>
                <w:rtl w:val="true"/>
              </w:rPr>
              <w:t>:</w:t>
              <w:tab/>
            </w:r>
            <w:r>
              <w:rPr>
                <w:rStyle w:val="IndexLink"/>
              </w:rPr>
              <w:t>323</w:t>
            </w:r>
          </w:hyperlink>
        </w:p>
        <w:p>
          <w:pPr>
            <w:pStyle w:val="Contents6"/>
            <w:tabs>
              <w:tab w:val="clear" w:pos="7609"/>
              <w:tab w:val="right" w:pos="9026" w:leader="dot"/>
            </w:tabs>
            <w:rPr/>
          </w:pPr>
          <w:hyperlink w:anchor="__RefHeading___Toc9424244_73709187">
            <w:r>
              <w:rPr>
                <w:webHidden/>
                <w:rStyle w:val="IndexLink"/>
                <w:rtl w:val="true"/>
              </w:rPr>
              <w:t xml:space="preserve">د </w:t>
            </w:r>
            <w:r>
              <w:rPr>
                <w:rStyle w:val="IndexLink"/>
                <w:rtl w:val="true"/>
              </w:rPr>
              <w:t xml:space="preserve">- </w:t>
            </w:r>
            <w:r>
              <w:rPr>
                <w:rStyle w:val="IndexLink"/>
                <w:rtl w:val="true"/>
              </w:rPr>
              <w:t>الإجماع</w:t>
            </w:r>
            <w:r>
              <w:rPr>
                <w:rStyle w:val="IndexLink"/>
                <w:rtl w:val="true"/>
              </w:rPr>
              <w:tab/>
            </w:r>
            <w:r>
              <w:rPr>
                <w:rStyle w:val="IndexLink"/>
              </w:rPr>
              <w:t>323</w:t>
            </w:r>
          </w:hyperlink>
        </w:p>
        <w:p>
          <w:pPr>
            <w:pStyle w:val="Contents5"/>
            <w:tabs>
              <w:tab w:val="clear" w:pos="7892"/>
              <w:tab w:val="right" w:pos="9026" w:leader="dot"/>
            </w:tabs>
            <w:rPr/>
          </w:pPr>
          <w:hyperlink w:anchor="__RefHeading___Toc9424246_73709187">
            <w:r>
              <w:rPr>
                <w:webHidden/>
                <w:rStyle w:val="IndexLink"/>
                <w:rtl w:val="true"/>
              </w:rPr>
              <w:t>هل وجوب الحضانة عینی أم کفائی؟</w:t>
            </w:r>
            <w:r>
              <w:rPr>
                <w:rStyle w:val="IndexLink"/>
                <w:rtl w:val="true"/>
              </w:rPr>
              <w:tab/>
            </w:r>
            <w:r>
              <w:rPr>
                <w:rStyle w:val="IndexLink"/>
              </w:rPr>
              <w:t>324</w:t>
            </w:r>
          </w:hyperlink>
        </w:p>
        <w:p>
          <w:pPr>
            <w:pStyle w:val="Contents5"/>
            <w:tabs>
              <w:tab w:val="clear" w:pos="7892"/>
              <w:tab w:val="right" w:pos="9026" w:leader="dot"/>
            </w:tabs>
            <w:rPr/>
          </w:pPr>
          <w:hyperlink w:anchor="__RefHeading___Toc9424248_73709187">
            <w:r>
              <w:rPr>
                <w:webHidden/>
                <w:rStyle w:val="IndexLink"/>
                <w:rtl w:val="true"/>
              </w:rPr>
              <w:t>هل الحضانة حکم أو حقّ؟</w:t>
            </w:r>
            <w:r>
              <w:rPr>
                <w:rStyle w:val="IndexLink"/>
                <w:rtl w:val="true"/>
              </w:rPr>
              <w:tab/>
            </w:r>
            <w:r>
              <w:rPr>
                <w:rStyle w:val="IndexLink"/>
              </w:rPr>
              <w:t>325</w:t>
            </w:r>
          </w:hyperlink>
        </w:p>
        <w:p>
          <w:pPr>
            <w:pStyle w:val="Contents5"/>
            <w:tabs>
              <w:tab w:val="clear" w:pos="7892"/>
              <w:tab w:val="right" w:pos="9026" w:leader="dot"/>
            </w:tabs>
            <w:rPr/>
          </w:pPr>
          <w:hyperlink w:anchor="__RefHeading___Toc9424250_73709187">
            <w:r>
              <w:rPr>
                <w:webHidden/>
                <w:rStyle w:val="IndexLink"/>
                <w:rtl w:val="true"/>
              </w:rPr>
              <w:t>رأی فقهاء أهل السنّة فی وجوب الحضانة</w:t>
            </w:r>
            <w:r>
              <w:rPr>
                <w:rStyle w:val="IndexLink"/>
                <w:rtl w:val="true"/>
              </w:rPr>
              <w:tab/>
            </w:r>
            <w:r>
              <w:rPr>
                <w:rStyle w:val="IndexLink"/>
              </w:rPr>
              <w:t>328</w:t>
            </w:r>
          </w:hyperlink>
        </w:p>
        <w:p>
          <w:pPr>
            <w:pStyle w:val="Contents4"/>
            <w:tabs>
              <w:tab w:val="clear" w:pos="8176"/>
              <w:tab w:val="right" w:pos="9026" w:leader="dot"/>
            </w:tabs>
            <w:rPr/>
          </w:pPr>
          <w:hyperlink w:anchor="__RefHeading___Toc9424252_73709187">
            <w:r>
              <w:rPr>
                <w:webHidden/>
                <w:rStyle w:val="IndexLink"/>
                <w:rtl w:val="true"/>
              </w:rPr>
              <w:t>المبحث الثالث</w:t>
            </w:r>
            <w:r>
              <w:rPr>
                <w:rStyle w:val="IndexLink"/>
                <w:rtl w:val="true"/>
              </w:rPr>
              <w:t xml:space="preserve">: </w:t>
            </w:r>
            <w:r>
              <w:rPr>
                <w:rStyle w:val="IndexLink"/>
                <w:rtl w:val="true"/>
              </w:rPr>
              <w:t>المستحقّون للحضانة و مراتبهم</w:t>
            </w:r>
            <w:r>
              <w:rPr>
                <w:rStyle w:val="IndexLink"/>
                <w:rtl w:val="true"/>
              </w:rPr>
              <w:tab/>
            </w:r>
            <w:r>
              <w:rPr>
                <w:rStyle w:val="IndexLink"/>
              </w:rPr>
              <w:t>330</w:t>
            </w:r>
          </w:hyperlink>
        </w:p>
        <w:p>
          <w:pPr>
            <w:pStyle w:val="Contents5"/>
            <w:tabs>
              <w:tab w:val="clear" w:pos="7892"/>
              <w:tab w:val="right" w:pos="9026" w:leader="dot"/>
            </w:tabs>
            <w:rPr/>
          </w:pPr>
          <w:hyperlink w:anchor="__RefHeading___Toc9424254_73709187">
            <w:r>
              <w:rPr>
                <w:webHidden/>
                <w:rStyle w:val="IndexLink"/>
                <w:rtl w:val="true"/>
              </w:rPr>
              <w:t>اشارة</w:t>
            </w:r>
            <w:r>
              <w:rPr>
                <w:rStyle w:val="IndexLink"/>
                <w:rtl w:val="true"/>
              </w:rPr>
              <w:tab/>
            </w:r>
            <w:r>
              <w:rPr>
                <w:rStyle w:val="IndexLink"/>
              </w:rPr>
              <w:t>330</w:t>
            </w:r>
          </w:hyperlink>
        </w:p>
        <w:p>
          <w:pPr>
            <w:pStyle w:val="Contents5"/>
            <w:tabs>
              <w:tab w:val="clear" w:pos="7892"/>
              <w:tab w:val="right" w:pos="9026" w:leader="dot"/>
            </w:tabs>
            <w:rPr/>
          </w:pPr>
          <w:hyperlink w:anchor="__RefHeading___Toc9424256_73709187">
            <w:r>
              <w:rPr>
                <w:webHidden/>
                <w:rStyle w:val="IndexLink"/>
                <w:rtl w:val="true"/>
              </w:rPr>
              <w:t>مراتب الاستحقاق فی الفقه الإمامی</w:t>
            </w:r>
            <w:r>
              <w:rPr>
                <w:rStyle w:val="IndexLink"/>
                <w:rtl w:val="true"/>
              </w:rPr>
              <w:tab/>
            </w:r>
            <w:r>
              <w:rPr>
                <w:rStyle w:val="IndexLink"/>
              </w:rPr>
              <w:t>330</w:t>
            </w:r>
          </w:hyperlink>
        </w:p>
        <w:p>
          <w:pPr>
            <w:pStyle w:val="Contents6"/>
            <w:tabs>
              <w:tab w:val="clear" w:pos="7609"/>
              <w:tab w:val="right" w:pos="9026" w:leader="dot"/>
            </w:tabs>
            <w:rPr/>
          </w:pPr>
          <w:hyperlink w:anchor="__RefHeading___Toc9424258_73709187">
            <w:r>
              <w:rPr>
                <w:webHidden/>
                <w:rStyle w:val="IndexLink"/>
                <w:rtl w:val="true"/>
              </w:rPr>
              <w:t>اشارة</w:t>
            </w:r>
            <w:r>
              <w:rPr>
                <w:rStyle w:val="IndexLink"/>
                <w:rtl w:val="true"/>
              </w:rPr>
              <w:tab/>
            </w:r>
            <w:r>
              <w:rPr>
                <w:rStyle w:val="IndexLink"/>
              </w:rPr>
              <w:t>330</w:t>
            </w:r>
          </w:hyperlink>
        </w:p>
        <w:p>
          <w:pPr>
            <w:pStyle w:val="Contents6"/>
            <w:tabs>
              <w:tab w:val="clear" w:pos="7609"/>
              <w:tab w:val="right" w:pos="9026" w:leader="dot"/>
            </w:tabs>
            <w:rPr/>
          </w:pPr>
          <w:hyperlink w:anchor="__RefHeading___Toc9424260_73709187">
            <w:r>
              <w:rPr>
                <w:webHidden/>
                <w:rStyle w:val="IndexLink"/>
                <w:rtl w:val="true"/>
              </w:rPr>
              <w:t xml:space="preserve">أ </w:t>
            </w:r>
            <w:r>
              <w:rPr>
                <w:rStyle w:val="IndexLink"/>
                <w:rtl w:val="true"/>
              </w:rPr>
              <w:t xml:space="preserve">- </w:t>
            </w:r>
            <w:r>
              <w:rPr>
                <w:rStyle w:val="IndexLink"/>
                <w:rtl w:val="true"/>
              </w:rPr>
              <w:t>تقدّم الأمّ فی الحضانة مدّة الرضاع</w:t>
            </w:r>
            <w:r>
              <w:rPr>
                <w:rStyle w:val="IndexLink"/>
                <w:rtl w:val="true"/>
              </w:rPr>
              <w:tab/>
            </w:r>
            <w:r>
              <w:rPr>
                <w:rStyle w:val="IndexLink"/>
              </w:rPr>
              <w:t>330</w:t>
            </w:r>
          </w:hyperlink>
        </w:p>
        <w:p>
          <w:pPr>
            <w:pStyle w:val="Contents6"/>
            <w:tabs>
              <w:tab w:val="clear" w:pos="7609"/>
              <w:tab w:val="right" w:pos="9026" w:leader="dot"/>
            </w:tabs>
            <w:rPr/>
          </w:pPr>
          <w:hyperlink w:anchor="__RefHeading___Toc9424262_73709187">
            <w:r>
              <w:rPr>
                <w:webHidden/>
                <w:rStyle w:val="IndexLink"/>
                <w:rtl w:val="true"/>
              </w:rPr>
              <w:t>أمّا مختار المشهور</w:t>
            </w:r>
            <w:r>
              <w:rPr>
                <w:rStyle w:val="IndexLink"/>
                <w:rtl w:val="true"/>
              </w:rPr>
              <w:tab/>
            </w:r>
            <w:r>
              <w:rPr>
                <w:rStyle w:val="IndexLink"/>
              </w:rPr>
              <w:t>330</w:t>
            </w:r>
          </w:hyperlink>
        </w:p>
        <w:p>
          <w:pPr>
            <w:pStyle w:val="Contents6"/>
            <w:tabs>
              <w:tab w:val="clear" w:pos="7609"/>
              <w:tab w:val="right" w:pos="9026" w:leader="dot"/>
            </w:tabs>
            <w:rPr/>
          </w:pPr>
          <w:hyperlink w:anchor="__RefHeading___Toc9424264_73709187">
            <w:r>
              <w:rPr>
                <w:webHidden/>
                <w:rStyle w:val="IndexLink"/>
                <w:rtl w:val="true"/>
              </w:rPr>
              <w:t>و المستند لقول المشهور دلیلان</w:t>
            </w:r>
            <w:r>
              <w:rPr>
                <w:rStyle w:val="IndexLink"/>
                <w:rtl w:val="true"/>
              </w:rPr>
              <w:t>:</w:t>
              <w:tab/>
            </w:r>
            <w:r>
              <w:rPr>
                <w:rStyle w:val="IndexLink"/>
              </w:rPr>
              <w:t>331</w:t>
            </w:r>
          </w:hyperlink>
        </w:p>
        <w:p>
          <w:pPr>
            <w:pStyle w:val="Contents6"/>
            <w:tabs>
              <w:tab w:val="clear" w:pos="7609"/>
              <w:tab w:val="right" w:pos="9026" w:leader="dot"/>
            </w:tabs>
            <w:rPr/>
          </w:pPr>
          <w:hyperlink w:anchor="__RefHeading___Toc9424266_73709187">
            <w:r>
              <w:rPr>
                <w:webHidden/>
                <w:rStyle w:val="IndexLink"/>
                <w:rtl w:val="true"/>
              </w:rPr>
              <w:t>الأوّل</w:t>
            </w:r>
            <w:r>
              <w:rPr>
                <w:rStyle w:val="IndexLink"/>
                <w:rtl w:val="true"/>
              </w:rPr>
              <w:t xml:space="preserve">: </w:t>
            </w:r>
            <w:r>
              <w:rPr>
                <w:rStyle w:val="IndexLink"/>
                <w:rtl w:val="true"/>
              </w:rPr>
              <w:t>الروایات التی تقدّم ذکرها</w:t>
            </w:r>
            <w:r>
              <w:rPr>
                <w:rStyle w:val="IndexLink"/>
                <w:rtl w:val="true"/>
              </w:rPr>
              <w:tab/>
            </w:r>
            <w:r>
              <w:rPr>
                <w:rStyle w:val="IndexLink"/>
              </w:rPr>
              <w:t>331</w:t>
            </w:r>
          </w:hyperlink>
        </w:p>
        <w:p>
          <w:pPr>
            <w:pStyle w:val="Contents6"/>
            <w:tabs>
              <w:tab w:val="clear" w:pos="7609"/>
              <w:tab w:val="right" w:pos="9026" w:leader="dot"/>
            </w:tabs>
            <w:rPr/>
          </w:pPr>
          <w:hyperlink w:anchor="__RefHeading___Toc9424268_73709187">
            <w:r>
              <w:rPr>
                <w:webHidden/>
                <w:rStyle w:val="IndexLink"/>
                <w:rtl w:val="true"/>
              </w:rPr>
              <w:t>الثانی</w:t>
            </w:r>
            <w:r>
              <w:rPr>
                <w:rStyle w:val="IndexLink"/>
                <w:rtl w:val="true"/>
              </w:rPr>
              <w:t xml:space="preserve">: </w:t>
            </w:r>
            <w:r>
              <w:rPr>
                <w:rStyle w:val="IndexLink"/>
                <w:rtl w:val="true"/>
              </w:rPr>
              <w:t>السیرة</w:t>
            </w:r>
            <w:r>
              <w:rPr>
                <w:rStyle w:val="IndexLink"/>
                <w:rtl w:val="true"/>
              </w:rPr>
              <w:tab/>
            </w:r>
            <w:r>
              <w:rPr>
                <w:rStyle w:val="IndexLink"/>
              </w:rPr>
              <w:t>333</w:t>
            </w:r>
          </w:hyperlink>
        </w:p>
        <w:p>
          <w:pPr>
            <w:pStyle w:val="Contents6"/>
            <w:tabs>
              <w:tab w:val="clear" w:pos="7609"/>
              <w:tab w:val="right" w:pos="9026" w:leader="dot"/>
            </w:tabs>
            <w:rPr/>
          </w:pPr>
          <w:hyperlink w:anchor="__RefHeading___Toc9424270_73709187">
            <w:r>
              <w:rPr>
                <w:webHidden/>
                <w:rStyle w:val="IndexLink"/>
                <w:rtl w:val="true"/>
              </w:rPr>
              <w:t>مستند القول الثانی</w:t>
            </w:r>
            <w:r>
              <w:rPr>
                <w:rStyle w:val="IndexLink"/>
                <w:rtl w:val="true"/>
              </w:rPr>
              <w:tab/>
            </w:r>
            <w:r>
              <w:rPr>
                <w:rStyle w:val="IndexLink"/>
              </w:rPr>
              <w:t>334</w:t>
            </w:r>
          </w:hyperlink>
        </w:p>
        <w:p>
          <w:pPr>
            <w:pStyle w:val="Contents6"/>
            <w:tabs>
              <w:tab w:val="clear" w:pos="7609"/>
              <w:tab w:val="right" w:pos="9026" w:leader="dot"/>
            </w:tabs>
            <w:rPr/>
          </w:pPr>
          <w:hyperlink w:anchor="__RefHeading___Toc9424272_73709187">
            <w:r>
              <w:rPr>
                <w:webHidden/>
                <w:rStyle w:val="IndexLink"/>
                <w:rtl w:val="true"/>
              </w:rPr>
              <w:t>آراء المذاهب الأربعة فی تقدّم الأمّ للحضانة</w:t>
            </w:r>
            <w:r>
              <w:rPr>
                <w:rStyle w:val="IndexLink"/>
                <w:rtl w:val="true"/>
              </w:rPr>
              <w:tab/>
            </w:r>
            <w:r>
              <w:rPr>
                <w:rStyle w:val="IndexLink"/>
              </w:rPr>
              <w:t>335</w:t>
            </w:r>
          </w:hyperlink>
        </w:p>
        <w:p>
          <w:pPr>
            <w:pStyle w:val="Contents6"/>
            <w:tabs>
              <w:tab w:val="clear" w:pos="7609"/>
              <w:tab w:val="right" w:pos="9026" w:leader="dot"/>
            </w:tabs>
            <w:rPr/>
          </w:pPr>
          <w:hyperlink w:anchor="__RefHeading___Toc9424274_73709187">
            <w:r>
              <w:rPr>
                <w:webHidden/>
                <w:rStyle w:val="IndexLink"/>
                <w:rtl w:val="true"/>
              </w:rPr>
              <w:t>مدّة استحقاق الأمّ فی الحضانة</w:t>
            </w:r>
            <w:r>
              <w:rPr>
                <w:rStyle w:val="IndexLink"/>
                <w:rtl w:val="true"/>
              </w:rPr>
              <w:tab/>
            </w:r>
            <w:r>
              <w:rPr>
                <w:rStyle w:val="IndexLink"/>
              </w:rPr>
              <w:t>335</w:t>
            </w:r>
          </w:hyperlink>
        </w:p>
        <w:p>
          <w:pPr>
            <w:pStyle w:val="Contents6"/>
            <w:tabs>
              <w:tab w:val="clear" w:pos="7609"/>
              <w:tab w:val="right" w:pos="9026" w:leader="dot"/>
            </w:tabs>
            <w:rPr/>
          </w:pPr>
          <w:hyperlink w:anchor="__RefHeading___Toc9424276_73709187">
            <w:r>
              <w:rPr>
                <w:webHidden/>
                <w:rStyle w:val="IndexLink"/>
                <w:rtl w:val="true"/>
              </w:rPr>
              <w:t>رفع التعارض بین الأخبار</w:t>
            </w:r>
            <w:r>
              <w:rPr>
                <w:rStyle w:val="IndexLink"/>
                <w:rtl w:val="true"/>
              </w:rPr>
              <w:tab/>
            </w:r>
            <w:r>
              <w:rPr>
                <w:rStyle w:val="IndexLink"/>
              </w:rPr>
              <w:t>339</w:t>
            </w:r>
          </w:hyperlink>
        </w:p>
        <w:p>
          <w:pPr>
            <w:pStyle w:val="Contents6"/>
            <w:tabs>
              <w:tab w:val="clear" w:pos="7609"/>
              <w:tab w:val="right" w:pos="9026" w:leader="dot"/>
            </w:tabs>
            <w:rPr/>
          </w:pPr>
          <w:hyperlink w:anchor="__RefHeading___Toc9424278_73709187">
            <w:r>
              <w:rPr>
                <w:webHidden/>
                <w:rStyle w:val="IndexLink"/>
                <w:rtl w:val="true"/>
              </w:rPr>
              <w:t>مدّة استحقاق الأمّ الحضانة عند فقهاء المذاهب الأربعة</w:t>
            </w:r>
            <w:r>
              <w:rPr>
                <w:rStyle w:val="IndexLink"/>
                <w:rtl w:val="true"/>
              </w:rPr>
              <w:tab/>
            </w:r>
            <w:r>
              <w:rPr>
                <w:rStyle w:val="IndexLink"/>
              </w:rPr>
              <w:t>341</w:t>
            </w:r>
          </w:hyperlink>
        </w:p>
        <w:p>
          <w:pPr>
            <w:pStyle w:val="Contents6"/>
            <w:tabs>
              <w:tab w:val="clear" w:pos="7609"/>
              <w:tab w:val="right" w:pos="9026" w:leader="dot"/>
            </w:tabs>
            <w:rPr/>
          </w:pPr>
          <w:hyperlink w:anchor="__RefHeading___Toc9424280_73709187">
            <w:r>
              <w:rPr>
                <w:webHidden/>
                <w:rStyle w:val="IndexLink"/>
                <w:rtl w:val="true"/>
              </w:rPr>
              <w:t>ب</w:t>
            </w:r>
            <w:r>
              <w:rPr>
                <w:rStyle w:val="IndexLink"/>
                <w:rtl w:val="true"/>
              </w:rPr>
              <w:t xml:space="preserve">: </w:t>
            </w:r>
            <w:r>
              <w:rPr>
                <w:rStyle w:val="IndexLink"/>
                <w:rtl w:val="true"/>
              </w:rPr>
              <w:t>تقدّم أحد الأبوین علی سائر الأرحام</w:t>
            </w:r>
            <w:r>
              <w:rPr>
                <w:rStyle w:val="IndexLink"/>
                <w:rtl w:val="true"/>
              </w:rPr>
              <w:tab/>
            </w:r>
            <w:r>
              <w:rPr>
                <w:rStyle w:val="IndexLink"/>
              </w:rPr>
              <w:t>343</w:t>
            </w:r>
          </w:hyperlink>
        </w:p>
        <w:p>
          <w:pPr>
            <w:pStyle w:val="Contents6"/>
            <w:tabs>
              <w:tab w:val="clear" w:pos="7609"/>
              <w:tab w:val="right" w:pos="9026" w:leader="dot"/>
            </w:tabs>
            <w:rPr/>
          </w:pPr>
          <w:hyperlink w:anchor="__RefHeading___Toc9424282_73709187">
            <w:r>
              <w:rPr>
                <w:webHidden/>
                <w:rStyle w:val="IndexLink"/>
                <w:rtl w:val="true"/>
              </w:rPr>
              <w:t xml:space="preserve">ج </w:t>
            </w:r>
            <w:r>
              <w:rPr>
                <w:rStyle w:val="IndexLink"/>
                <w:rtl w:val="true"/>
              </w:rPr>
              <w:t xml:space="preserve">- </w:t>
            </w:r>
            <w:r>
              <w:rPr>
                <w:rStyle w:val="IndexLink"/>
                <w:rtl w:val="true"/>
              </w:rPr>
              <w:t>تقدّم الجدّ من جهة الأب علی سائر الأرحام</w:t>
            </w:r>
            <w:r>
              <w:rPr>
                <w:rStyle w:val="IndexLink"/>
                <w:rtl w:val="true"/>
              </w:rPr>
              <w:tab/>
            </w:r>
            <w:r>
              <w:rPr>
                <w:rStyle w:val="IndexLink"/>
              </w:rPr>
              <w:t>345</w:t>
            </w:r>
          </w:hyperlink>
        </w:p>
        <w:p>
          <w:pPr>
            <w:pStyle w:val="Contents6"/>
            <w:tabs>
              <w:tab w:val="clear" w:pos="7609"/>
              <w:tab w:val="right" w:pos="9026" w:leader="dot"/>
            </w:tabs>
            <w:rPr/>
          </w:pPr>
          <w:hyperlink w:anchor="__RefHeading___Toc9424284_73709187">
            <w:r>
              <w:rPr>
                <w:webHidden/>
                <w:rStyle w:val="IndexLink"/>
                <w:rtl w:val="true"/>
              </w:rPr>
              <w:t>القول الأوّل</w:t>
            </w:r>
            <w:r>
              <w:rPr>
                <w:rStyle w:val="IndexLink"/>
                <w:rtl w:val="true"/>
              </w:rPr>
              <w:t>:</w:t>
              <w:tab/>
            </w:r>
            <w:r>
              <w:rPr>
                <w:rStyle w:val="IndexLink"/>
              </w:rPr>
              <w:t>346</w:t>
            </w:r>
          </w:hyperlink>
        </w:p>
        <w:p>
          <w:pPr>
            <w:pStyle w:val="Contents6"/>
            <w:tabs>
              <w:tab w:val="clear" w:pos="7609"/>
              <w:tab w:val="right" w:pos="9026" w:leader="dot"/>
            </w:tabs>
            <w:rPr/>
          </w:pPr>
          <w:hyperlink w:anchor="__RefHeading___Toc9424286_73709187">
            <w:r>
              <w:rPr>
                <w:webHidden/>
                <w:rStyle w:val="IndexLink"/>
                <w:rtl w:val="true"/>
              </w:rPr>
              <w:t>القول الثانی</w:t>
            </w:r>
            <w:r>
              <w:rPr>
                <w:rStyle w:val="IndexLink"/>
                <w:rtl w:val="true"/>
              </w:rPr>
              <w:t>:</w:t>
              <w:tab/>
            </w:r>
            <w:r>
              <w:rPr>
                <w:rStyle w:val="IndexLink"/>
              </w:rPr>
              <w:t>346</w:t>
            </w:r>
          </w:hyperlink>
        </w:p>
        <w:p>
          <w:pPr>
            <w:pStyle w:val="Contents6"/>
            <w:tabs>
              <w:tab w:val="clear" w:pos="7609"/>
              <w:tab w:val="right" w:pos="9026" w:leader="dot"/>
            </w:tabs>
            <w:rPr/>
          </w:pPr>
          <w:hyperlink w:anchor="__RefHeading___Toc9424288_73709187">
            <w:r>
              <w:rPr>
                <w:webHidden/>
                <w:rStyle w:val="IndexLink"/>
                <w:rtl w:val="true"/>
              </w:rPr>
              <w:t>القول الثالث</w:t>
            </w:r>
            <w:r>
              <w:rPr>
                <w:rStyle w:val="IndexLink"/>
                <w:rtl w:val="true"/>
              </w:rPr>
              <w:t>:</w:t>
              <w:tab/>
            </w:r>
            <w:r>
              <w:rPr>
                <w:rStyle w:val="IndexLink"/>
              </w:rPr>
              <w:t>347</w:t>
            </w:r>
          </w:hyperlink>
        </w:p>
        <w:p>
          <w:pPr>
            <w:pStyle w:val="Contents6"/>
            <w:tabs>
              <w:tab w:val="clear" w:pos="7609"/>
              <w:tab w:val="right" w:pos="9026" w:leader="dot"/>
            </w:tabs>
            <w:rPr/>
          </w:pPr>
          <w:hyperlink w:anchor="__RefHeading___Toc9424290_73709187">
            <w:r>
              <w:rPr>
                <w:webHidden/>
                <w:rStyle w:val="IndexLink"/>
                <w:rtl w:val="true"/>
              </w:rPr>
              <w:t>القول الرابع</w:t>
            </w:r>
            <w:r>
              <w:rPr>
                <w:rStyle w:val="IndexLink"/>
                <w:rtl w:val="true"/>
              </w:rPr>
              <w:t>:</w:t>
              <w:tab/>
            </w:r>
            <w:r>
              <w:rPr>
                <w:rStyle w:val="IndexLink"/>
              </w:rPr>
              <w:t>347</w:t>
            </w:r>
          </w:hyperlink>
        </w:p>
        <w:p>
          <w:pPr>
            <w:pStyle w:val="Contents6"/>
            <w:tabs>
              <w:tab w:val="clear" w:pos="7609"/>
              <w:tab w:val="right" w:pos="9026" w:leader="dot"/>
            </w:tabs>
            <w:rPr/>
          </w:pPr>
          <w:hyperlink w:anchor="__RefHeading___Toc9424292_73709187">
            <w:r>
              <w:rPr>
                <w:webHidden/>
                <w:rStyle w:val="IndexLink"/>
                <w:rtl w:val="true"/>
              </w:rPr>
              <w:t>القول الخامس</w:t>
            </w:r>
            <w:r>
              <w:rPr>
                <w:rStyle w:val="IndexLink"/>
                <w:rtl w:val="true"/>
              </w:rPr>
              <w:t>:</w:t>
              <w:tab/>
            </w:r>
            <w:r>
              <w:rPr>
                <w:rStyle w:val="IndexLink"/>
              </w:rPr>
              <w:t>347</w:t>
            </w:r>
          </w:hyperlink>
        </w:p>
        <w:p>
          <w:pPr>
            <w:pStyle w:val="Contents6"/>
            <w:tabs>
              <w:tab w:val="clear" w:pos="7609"/>
              <w:tab w:val="right" w:pos="9026" w:leader="dot"/>
            </w:tabs>
            <w:rPr/>
          </w:pPr>
          <w:hyperlink w:anchor="__RefHeading___Toc9424294_73709187">
            <w:r>
              <w:rPr>
                <w:webHidden/>
                <w:rStyle w:val="IndexLink"/>
                <w:rtl w:val="true"/>
              </w:rPr>
              <w:t>القول السادس</w:t>
            </w:r>
            <w:r>
              <w:rPr>
                <w:rStyle w:val="IndexLink"/>
                <w:rtl w:val="true"/>
              </w:rPr>
              <w:t>:</w:t>
              <w:tab/>
            </w:r>
            <w:r>
              <w:rPr>
                <w:rStyle w:val="IndexLink"/>
              </w:rPr>
              <w:t>348</w:t>
            </w:r>
          </w:hyperlink>
        </w:p>
        <w:p>
          <w:pPr>
            <w:pStyle w:val="Contents5"/>
            <w:tabs>
              <w:tab w:val="clear" w:pos="7892"/>
              <w:tab w:val="right" w:pos="9026" w:leader="dot"/>
            </w:tabs>
            <w:rPr/>
          </w:pPr>
          <w:hyperlink w:anchor="__RefHeading___Toc9424296_73709187">
            <w:r>
              <w:rPr>
                <w:webHidden/>
                <w:rStyle w:val="IndexLink"/>
                <w:rtl w:val="true"/>
              </w:rPr>
              <w:t>مذهب أهل السنّة فی المستحقّین للحضانة</w:t>
            </w:r>
            <w:r>
              <w:rPr>
                <w:rStyle w:val="IndexLink"/>
                <w:rtl w:val="true"/>
              </w:rPr>
              <w:tab/>
            </w:r>
            <w:r>
              <w:rPr>
                <w:rStyle w:val="IndexLink"/>
              </w:rPr>
              <w:t>350</w:t>
            </w:r>
          </w:hyperlink>
        </w:p>
        <w:p>
          <w:pPr>
            <w:pStyle w:val="Contents6"/>
            <w:tabs>
              <w:tab w:val="clear" w:pos="7609"/>
              <w:tab w:val="right" w:pos="9026" w:leader="dot"/>
            </w:tabs>
            <w:rPr/>
          </w:pPr>
          <w:hyperlink w:anchor="__RefHeading___Toc9424298_73709187">
            <w:r>
              <w:rPr>
                <w:webHidden/>
                <w:rStyle w:val="IndexLink"/>
                <w:rtl w:val="true"/>
              </w:rPr>
              <w:t>اشارة</w:t>
            </w:r>
            <w:r>
              <w:rPr>
                <w:rStyle w:val="IndexLink"/>
                <w:rtl w:val="true"/>
              </w:rPr>
              <w:tab/>
            </w:r>
            <w:r>
              <w:rPr>
                <w:rStyle w:val="IndexLink"/>
              </w:rPr>
              <w:t>350</w:t>
            </w:r>
          </w:hyperlink>
        </w:p>
        <w:p>
          <w:pPr>
            <w:pStyle w:val="Contents6"/>
            <w:tabs>
              <w:tab w:val="clear" w:pos="7609"/>
              <w:tab w:val="right" w:pos="9026" w:leader="dot"/>
            </w:tabs>
            <w:rPr/>
          </w:pPr>
          <w:hyperlink w:anchor="__RefHeading___Toc9424300_73709187">
            <w:r>
              <w:rPr>
                <w:webHidden/>
                <w:rStyle w:val="IndexLink"/>
                <w:rtl w:val="true"/>
              </w:rPr>
              <w:t xml:space="preserve">أ </w:t>
            </w:r>
            <w:r>
              <w:rPr>
                <w:rStyle w:val="IndexLink"/>
                <w:rtl w:val="true"/>
              </w:rPr>
              <w:t xml:space="preserve">- </w:t>
            </w:r>
            <w:r>
              <w:rPr>
                <w:rStyle w:val="IndexLink"/>
                <w:rtl w:val="true"/>
              </w:rPr>
              <w:t>الحنفیّة</w:t>
            </w:r>
            <w:r>
              <w:rPr>
                <w:rStyle w:val="IndexLink"/>
                <w:rtl w:val="true"/>
              </w:rPr>
              <w:tab/>
            </w:r>
            <w:r>
              <w:rPr>
                <w:rStyle w:val="IndexLink"/>
              </w:rPr>
              <w:t>350</w:t>
            </w:r>
          </w:hyperlink>
        </w:p>
        <w:p>
          <w:pPr>
            <w:pStyle w:val="Contents6"/>
            <w:tabs>
              <w:tab w:val="clear" w:pos="7609"/>
              <w:tab w:val="right" w:pos="9026" w:leader="dot"/>
            </w:tabs>
            <w:rPr/>
          </w:pPr>
          <w:hyperlink w:anchor="__RefHeading___Toc9424302_73709187">
            <w:r>
              <w:rPr>
                <w:webHidden/>
                <w:rStyle w:val="IndexLink"/>
                <w:rtl w:val="true"/>
              </w:rPr>
              <w:t xml:space="preserve">ب </w:t>
            </w:r>
            <w:r>
              <w:rPr>
                <w:rStyle w:val="IndexLink"/>
                <w:rtl w:val="true"/>
              </w:rPr>
              <w:t xml:space="preserve">- </w:t>
            </w:r>
            <w:r>
              <w:rPr>
                <w:rStyle w:val="IndexLink"/>
                <w:rtl w:val="true"/>
              </w:rPr>
              <w:t>الشافعیة</w:t>
            </w:r>
            <w:r>
              <w:rPr>
                <w:rStyle w:val="IndexLink"/>
                <w:rtl w:val="true"/>
              </w:rPr>
              <w:t>:</w:t>
              <w:tab/>
            </w:r>
            <w:r>
              <w:rPr>
                <w:rStyle w:val="IndexLink"/>
              </w:rPr>
              <w:t>350</w:t>
            </w:r>
          </w:hyperlink>
        </w:p>
        <w:p>
          <w:pPr>
            <w:pStyle w:val="Contents6"/>
            <w:tabs>
              <w:tab w:val="clear" w:pos="7609"/>
              <w:tab w:val="right" w:pos="9026" w:leader="dot"/>
            </w:tabs>
            <w:rPr/>
          </w:pPr>
          <w:hyperlink w:anchor="__RefHeading___Toc9424304_73709187">
            <w:r>
              <w:rPr>
                <w:webHidden/>
                <w:rStyle w:val="IndexLink"/>
                <w:rtl w:val="true"/>
              </w:rPr>
              <w:t xml:space="preserve">ج </w:t>
            </w:r>
            <w:r>
              <w:rPr>
                <w:rStyle w:val="IndexLink"/>
                <w:rtl w:val="true"/>
              </w:rPr>
              <w:t xml:space="preserve">- </w:t>
            </w:r>
            <w:r>
              <w:rPr>
                <w:rStyle w:val="IndexLink"/>
                <w:rtl w:val="true"/>
              </w:rPr>
              <w:t>الحنابلة</w:t>
            </w:r>
            <w:r>
              <w:rPr>
                <w:rStyle w:val="IndexLink"/>
                <w:rtl w:val="true"/>
              </w:rPr>
              <w:t>:</w:t>
              <w:tab/>
            </w:r>
            <w:r>
              <w:rPr>
                <w:rStyle w:val="IndexLink"/>
              </w:rPr>
              <w:t>351</w:t>
            </w:r>
          </w:hyperlink>
        </w:p>
        <w:p>
          <w:pPr>
            <w:pStyle w:val="Contents6"/>
            <w:tabs>
              <w:tab w:val="clear" w:pos="7609"/>
              <w:tab w:val="right" w:pos="9026" w:leader="dot"/>
            </w:tabs>
            <w:rPr/>
          </w:pPr>
          <w:hyperlink w:anchor="__RefHeading___Toc9424306_73709187">
            <w:r>
              <w:rPr>
                <w:webHidden/>
                <w:rStyle w:val="IndexLink"/>
                <w:rtl w:val="true"/>
              </w:rPr>
              <w:t xml:space="preserve">د </w:t>
            </w:r>
            <w:r>
              <w:rPr>
                <w:rStyle w:val="IndexLink"/>
                <w:rtl w:val="true"/>
              </w:rPr>
              <w:t xml:space="preserve">- </w:t>
            </w:r>
            <w:r>
              <w:rPr>
                <w:rStyle w:val="IndexLink"/>
                <w:rtl w:val="true"/>
              </w:rPr>
              <w:t>المالکیّة</w:t>
            </w:r>
            <w:r>
              <w:rPr>
                <w:rStyle w:val="IndexLink"/>
                <w:rtl w:val="true"/>
              </w:rPr>
              <w:t>:</w:t>
              <w:tab/>
            </w:r>
            <w:r>
              <w:rPr>
                <w:rStyle w:val="IndexLink"/>
              </w:rPr>
              <w:t>351</w:t>
            </w:r>
          </w:hyperlink>
        </w:p>
        <w:p>
          <w:pPr>
            <w:pStyle w:val="Contents4"/>
            <w:tabs>
              <w:tab w:val="clear" w:pos="8176"/>
              <w:tab w:val="right" w:pos="9026" w:leader="dot"/>
            </w:tabs>
            <w:rPr/>
          </w:pPr>
          <w:hyperlink w:anchor="__RefHeading___Toc9424308_73709187">
            <w:r>
              <w:rPr>
                <w:webHidden/>
                <w:rStyle w:val="IndexLink"/>
                <w:rtl w:val="true"/>
              </w:rPr>
              <w:t>المبحث الرابع</w:t>
            </w:r>
            <w:r>
              <w:rPr>
                <w:rStyle w:val="IndexLink"/>
                <w:rtl w:val="true"/>
              </w:rPr>
              <w:t xml:space="preserve">: </w:t>
            </w:r>
            <w:r>
              <w:rPr>
                <w:rStyle w:val="IndexLink"/>
                <w:rtl w:val="true"/>
              </w:rPr>
              <w:t>فی شروط المستحقّین للحضانة</w:t>
            </w:r>
            <w:r>
              <w:rPr>
                <w:rStyle w:val="IndexLink"/>
                <w:rtl w:val="true"/>
              </w:rPr>
              <w:tab/>
            </w:r>
            <w:r>
              <w:rPr>
                <w:rStyle w:val="IndexLink"/>
              </w:rPr>
              <w:t>353</w:t>
            </w:r>
          </w:hyperlink>
        </w:p>
        <w:p>
          <w:pPr>
            <w:pStyle w:val="Contents5"/>
            <w:tabs>
              <w:tab w:val="clear" w:pos="7892"/>
              <w:tab w:val="right" w:pos="9026" w:leader="dot"/>
            </w:tabs>
            <w:rPr/>
          </w:pPr>
          <w:hyperlink w:anchor="__RefHeading___Toc9424310_73709187">
            <w:r>
              <w:rPr>
                <w:webHidden/>
                <w:rStyle w:val="IndexLink"/>
                <w:rtl w:val="true"/>
              </w:rPr>
              <w:t>اشارة</w:t>
            </w:r>
            <w:r>
              <w:rPr>
                <w:rStyle w:val="IndexLink"/>
                <w:rtl w:val="true"/>
              </w:rPr>
              <w:tab/>
            </w:r>
            <w:r>
              <w:rPr>
                <w:rStyle w:val="IndexLink"/>
              </w:rPr>
              <w:t>353</w:t>
            </w:r>
          </w:hyperlink>
        </w:p>
        <w:p>
          <w:pPr>
            <w:pStyle w:val="Contents5"/>
            <w:tabs>
              <w:tab w:val="clear" w:pos="7892"/>
              <w:tab w:val="right" w:pos="9026" w:leader="dot"/>
            </w:tabs>
            <w:rPr/>
          </w:pPr>
          <w:hyperlink w:anchor="__RefHeading___Toc9424312_73709187">
            <w:r>
              <w:rPr>
                <w:webHidden/>
                <w:rStyle w:val="IndexLink"/>
                <w:rtl w:val="true"/>
              </w:rPr>
              <w:t>الشرط الاوّل</w:t>
            </w:r>
            <w:r>
              <w:rPr>
                <w:rStyle w:val="IndexLink"/>
                <w:rtl w:val="true"/>
              </w:rPr>
              <w:t xml:space="preserve">: </w:t>
            </w:r>
            <w:r>
              <w:rPr>
                <w:rStyle w:val="IndexLink"/>
                <w:rtl w:val="true"/>
              </w:rPr>
              <w:t>الإسلام</w:t>
            </w:r>
            <w:r>
              <w:rPr>
                <w:rStyle w:val="IndexLink"/>
                <w:rtl w:val="true"/>
              </w:rPr>
              <w:tab/>
            </w:r>
            <w:r>
              <w:rPr>
                <w:rStyle w:val="IndexLink"/>
              </w:rPr>
              <w:t>353</w:t>
            </w:r>
          </w:hyperlink>
        </w:p>
        <w:p>
          <w:pPr>
            <w:pStyle w:val="Contents6"/>
            <w:tabs>
              <w:tab w:val="clear" w:pos="7609"/>
              <w:tab w:val="right" w:pos="9026" w:leader="dot"/>
            </w:tabs>
            <w:rPr/>
          </w:pPr>
          <w:hyperlink w:anchor="__RefHeading___Toc9424314_73709187">
            <w:r>
              <w:rPr>
                <w:webHidden/>
                <w:rStyle w:val="IndexLink"/>
                <w:rtl w:val="true"/>
              </w:rPr>
              <w:t>اشارة</w:t>
            </w:r>
            <w:r>
              <w:rPr>
                <w:rStyle w:val="IndexLink"/>
                <w:rtl w:val="true"/>
              </w:rPr>
              <w:tab/>
            </w:r>
            <w:r>
              <w:rPr>
                <w:rStyle w:val="IndexLink"/>
              </w:rPr>
              <w:t>353</w:t>
            </w:r>
          </w:hyperlink>
        </w:p>
        <w:p>
          <w:pPr>
            <w:pStyle w:val="Contents6"/>
            <w:tabs>
              <w:tab w:val="clear" w:pos="7609"/>
              <w:tab w:val="right" w:pos="9026" w:leader="dot"/>
            </w:tabs>
            <w:rPr/>
          </w:pPr>
          <w:hyperlink w:anchor="__RefHeading___Toc9424316_73709187">
            <w:r>
              <w:rPr>
                <w:webHidden/>
                <w:rStyle w:val="IndexLink"/>
                <w:rtl w:val="true"/>
              </w:rPr>
              <w:t>رأی أهل السنّة</w:t>
            </w:r>
            <w:r>
              <w:rPr>
                <w:rStyle w:val="IndexLink"/>
                <w:rtl w:val="true"/>
              </w:rPr>
              <w:tab/>
            </w:r>
            <w:r>
              <w:rPr>
                <w:rStyle w:val="IndexLink"/>
              </w:rPr>
              <w:t>355</w:t>
            </w:r>
          </w:hyperlink>
        </w:p>
        <w:p>
          <w:pPr>
            <w:pStyle w:val="Contents5"/>
            <w:tabs>
              <w:tab w:val="clear" w:pos="7892"/>
              <w:tab w:val="right" w:pos="9026" w:leader="dot"/>
            </w:tabs>
            <w:rPr/>
          </w:pPr>
          <w:hyperlink w:anchor="__RefHeading___Toc9424318_73709187">
            <w:r>
              <w:rPr>
                <w:webHidden/>
                <w:rStyle w:val="IndexLink"/>
                <w:rtl w:val="true"/>
              </w:rPr>
              <w:t>الشرط الثانی</w:t>
            </w:r>
            <w:r>
              <w:rPr>
                <w:rStyle w:val="IndexLink"/>
                <w:rtl w:val="true"/>
              </w:rPr>
              <w:t xml:space="preserve">: </w:t>
            </w:r>
            <w:r>
              <w:rPr>
                <w:rStyle w:val="IndexLink"/>
                <w:rtl w:val="true"/>
              </w:rPr>
              <w:t>الحرّیة</w:t>
            </w:r>
            <w:r>
              <w:rPr>
                <w:rStyle w:val="IndexLink"/>
                <w:rtl w:val="true"/>
              </w:rPr>
              <w:tab/>
            </w:r>
            <w:r>
              <w:rPr>
                <w:rStyle w:val="IndexLink"/>
              </w:rPr>
              <w:t>356</w:t>
            </w:r>
          </w:hyperlink>
        </w:p>
        <w:p>
          <w:pPr>
            <w:pStyle w:val="Contents5"/>
            <w:tabs>
              <w:tab w:val="clear" w:pos="7892"/>
              <w:tab w:val="right" w:pos="9026" w:leader="dot"/>
            </w:tabs>
            <w:rPr/>
          </w:pPr>
          <w:hyperlink w:anchor="__RefHeading___Toc9424320_73709187">
            <w:r>
              <w:rPr>
                <w:webHidden/>
                <w:rStyle w:val="IndexLink"/>
                <w:rtl w:val="true"/>
              </w:rPr>
              <w:t>الشرط الثالث</w:t>
            </w:r>
            <w:r>
              <w:rPr>
                <w:rStyle w:val="IndexLink"/>
                <w:rtl w:val="true"/>
              </w:rPr>
              <w:t xml:space="preserve">: </w:t>
            </w:r>
            <w:r>
              <w:rPr>
                <w:rStyle w:val="IndexLink"/>
                <w:rtl w:val="true"/>
              </w:rPr>
              <w:t>القدرة</w:t>
            </w:r>
            <w:r>
              <w:rPr>
                <w:rStyle w:val="IndexLink"/>
                <w:rtl w:val="true"/>
              </w:rPr>
              <w:tab/>
            </w:r>
            <w:r>
              <w:rPr>
                <w:rStyle w:val="IndexLink"/>
              </w:rPr>
              <w:t>358</w:t>
            </w:r>
          </w:hyperlink>
        </w:p>
        <w:p>
          <w:pPr>
            <w:pStyle w:val="Contents5"/>
            <w:tabs>
              <w:tab w:val="clear" w:pos="7892"/>
              <w:tab w:val="right" w:pos="9026" w:leader="dot"/>
            </w:tabs>
            <w:rPr/>
          </w:pPr>
          <w:hyperlink w:anchor="__RefHeading___Toc9424322_73709187">
            <w:r>
              <w:rPr>
                <w:webHidden/>
                <w:rStyle w:val="IndexLink"/>
                <w:rtl w:val="true"/>
              </w:rPr>
              <w:t>الشرط الرابع</w:t>
            </w:r>
            <w:r>
              <w:rPr>
                <w:rStyle w:val="IndexLink"/>
                <w:rtl w:val="true"/>
              </w:rPr>
              <w:t xml:space="preserve">: </w:t>
            </w:r>
            <w:r>
              <w:rPr>
                <w:rStyle w:val="IndexLink"/>
                <w:rtl w:val="true"/>
              </w:rPr>
              <w:t>الصحّة</w:t>
            </w:r>
            <w:r>
              <w:rPr>
                <w:rStyle w:val="IndexLink"/>
                <w:rtl w:val="true"/>
              </w:rPr>
              <w:tab/>
            </w:r>
            <w:r>
              <w:rPr>
                <w:rStyle w:val="IndexLink"/>
              </w:rPr>
              <w:t>359</w:t>
            </w:r>
          </w:hyperlink>
        </w:p>
        <w:p>
          <w:pPr>
            <w:pStyle w:val="Contents6"/>
            <w:tabs>
              <w:tab w:val="clear" w:pos="7609"/>
              <w:tab w:val="right" w:pos="9026" w:leader="dot"/>
            </w:tabs>
            <w:rPr/>
          </w:pPr>
          <w:hyperlink w:anchor="__RefHeading___Toc9424324_73709187">
            <w:r>
              <w:rPr>
                <w:webHidden/>
                <w:rStyle w:val="IndexLink"/>
                <w:rtl w:val="true"/>
              </w:rPr>
              <w:t>اشارة</w:t>
            </w:r>
            <w:r>
              <w:rPr>
                <w:rStyle w:val="IndexLink"/>
                <w:rtl w:val="true"/>
              </w:rPr>
              <w:tab/>
            </w:r>
            <w:r>
              <w:rPr>
                <w:rStyle w:val="IndexLink"/>
              </w:rPr>
              <w:t>359</w:t>
            </w:r>
          </w:hyperlink>
        </w:p>
        <w:p>
          <w:pPr>
            <w:pStyle w:val="Contents6"/>
            <w:tabs>
              <w:tab w:val="clear" w:pos="7609"/>
              <w:tab w:val="right" w:pos="9026" w:leader="dot"/>
            </w:tabs>
            <w:rPr/>
          </w:pPr>
          <w:hyperlink w:anchor="__RefHeading___Toc9424326_73709187">
            <w:r>
              <w:rPr>
                <w:webHidden/>
                <w:rStyle w:val="IndexLink"/>
                <w:rtl w:val="true"/>
              </w:rPr>
              <w:t>رأی بعض فقهاء أهل السنّة</w:t>
            </w:r>
            <w:r>
              <w:rPr>
                <w:rStyle w:val="IndexLink"/>
                <w:rtl w:val="true"/>
              </w:rPr>
              <w:tab/>
            </w:r>
            <w:r>
              <w:rPr>
                <w:rStyle w:val="IndexLink"/>
              </w:rPr>
              <w:t>360</w:t>
            </w:r>
          </w:hyperlink>
        </w:p>
        <w:p>
          <w:pPr>
            <w:pStyle w:val="Contents5"/>
            <w:tabs>
              <w:tab w:val="clear" w:pos="7892"/>
              <w:tab w:val="right" w:pos="9026" w:leader="dot"/>
            </w:tabs>
            <w:rPr/>
          </w:pPr>
          <w:hyperlink w:anchor="__RefHeading___Toc9424328_73709187">
            <w:r>
              <w:rPr>
                <w:webHidden/>
                <w:rStyle w:val="IndexLink"/>
                <w:rtl w:val="true"/>
              </w:rPr>
              <w:t>الشرط الخامس</w:t>
            </w:r>
            <w:r>
              <w:rPr>
                <w:rStyle w:val="IndexLink"/>
                <w:rtl w:val="true"/>
              </w:rPr>
              <w:t xml:space="preserve">: </w:t>
            </w:r>
            <w:r>
              <w:rPr>
                <w:rStyle w:val="IndexLink"/>
                <w:rtl w:val="true"/>
              </w:rPr>
              <w:t>أن تکون عاقلة</w:t>
            </w:r>
            <w:r>
              <w:rPr>
                <w:rStyle w:val="IndexLink"/>
                <w:rtl w:val="true"/>
              </w:rPr>
              <w:tab/>
            </w:r>
            <w:r>
              <w:rPr>
                <w:rStyle w:val="IndexLink"/>
              </w:rPr>
              <w:t>361</w:t>
            </w:r>
          </w:hyperlink>
        </w:p>
        <w:p>
          <w:pPr>
            <w:pStyle w:val="Contents5"/>
            <w:tabs>
              <w:tab w:val="clear" w:pos="7892"/>
              <w:tab w:val="right" w:pos="9026" w:leader="dot"/>
            </w:tabs>
            <w:rPr/>
          </w:pPr>
          <w:hyperlink w:anchor="__RefHeading___Toc9424330_73709187">
            <w:r>
              <w:rPr>
                <w:webHidden/>
                <w:rStyle w:val="IndexLink"/>
                <w:rtl w:val="true"/>
              </w:rPr>
              <w:t>الشرط السادس</w:t>
            </w:r>
            <w:r>
              <w:rPr>
                <w:rStyle w:val="IndexLink"/>
                <w:rtl w:val="true"/>
              </w:rPr>
              <w:t xml:space="preserve">: </w:t>
            </w:r>
            <w:r>
              <w:rPr>
                <w:rStyle w:val="IndexLink"/>
                <w:rtl w:val="true"/>
              </w:rPr>
              <w:t>أن لا تکون الحاضنة متزوّجة من أجنبی</w:t>
            </w:r>
            <w:r>
              <w:rPr>
                <w:rStyle w:val="IndexLink"/>
                <w:rtl w:val="true"/>
              </w:rPr>
              <w:tab/>
            </w:r>
            <w:r>
              <w:rPr>
                <w:rStyle w:val="IndexLink"/>
              </w:rPr>
              <w:t>362</w:t>
            </w:r>
          </w:hyperlink>
        </w:p>
        <w:p>
          <w:pPr>
            <w:pStyle w:val="Contents6"/>
            <w:tabs>
              <w:tab w:val="clear" w:pos="7609"/>
              <w:tab w:val="right" w:pos="9026" w:leader="dot"/>
            </w:tabs>
            <w:rPr/>
          </w:pPr>
          <w:hyperlink w:anchor="__RefHeading___Toc9424332_73709187">
            <w:r>
              <w:rPr>
                <w:webHidden/>
                <w:rStyle w:val="IndexLink"/>
                <w:rtl w:val="true"/>
              </w:rPr>
              <w:t>اشارة</w:t>
            </w:r>
            <w:r>
              <w:rPr>
                <w:rStyle w:val="IndexLink"/>
                <w:rtl w:val="true"/>
              </w:rPr>
              <w:tab/>
            </w:r>
            <w:r>
              <w:rPr>
                <w:rStyle w:val="IndexLink"/>
              </w:rPr>
              <w:t>362</w:t>
            </w:r>
          </w:hyperlink>
        </w:p>
        <w:p>
          <w:pPr>
            <w:pStyle w:val="Contents6"/>
            <w:tabs>
              <w:tab w:val="clear" w:pos="7609"/>
              <w:tab w:val="right" w:pos="9026" w:leader="dot"/>
            </w:tabs>
            <w:rPr/>
          </w:pPr>
          <w:hyperlink w:anchor="__RefHeading___Toc9424334_73709187">
            <w:r>
              <w:rPr>
                <w:webHidden/>
                <w:rStyle w:val="IndexLink"/>
                <w:rtl w:val="true"/>
              </w:rPr>
              <w:t>آراء المذاهب الأربعة</w:t>
            </w:r>
            <w:r>
              <w:rPr>
                <w:rStyle w:val="IndexLink"/>
                <w:rtl w:val="true"/>
              </w:rPr>
              <w:tab/>
            </w:r>
            <w:r>
              <w:rPr>
                <w:rStyle w:val="IndexLink"/>
              </w:rPr>
              <w:t>364</w:t>
            </w:r>
          </w:hyperlink>
        </w:p>
        <w:p>
          <w:pPr>
            <w:pStyle w:val="Contents5"/>
            <w:tabs>
              <w:tab w:val="clear" w:pos="7892"/>
              <w:tab w:val="right" w:pos="9026" w:leader="dot"/>
            </w:tabs>
            <w:rPr/>
          </w:pPr>
          <w:hyperlink w:anchor="__RefHeading___Toc9424336_73709187">
            <w:r>
              <w:rPr>
                <w:webHidden/>
                <w:rStyle w:val="IndexLink"/>
                <w:rtl w:val="true"/>
              </w:rPr>
              <w:t>الشرط السابع</w:t>
            </w:r>
            <w:r>
              <w:rPr>
                <w:rStyle w:val="IndexLink"/>
                <w:rtl w:val="true"/>
              </w:rPr>
              <w:t xml:space="preserve">: </w:t>
            </w:r>
            <w:r>
              <w:rPr>
                <w:rStyle w:val="IndexLink"/>
                <w:rtl w:val="true"/>
              </w:rPr>
              <w:t>أن تکون مُقیمة</w:t>
            </w:r>
            <w:r>
              <w:rPr>
                <w:rStyle w:val="IndexLink"/>
                <w:rtl w:val="true"/>
              </w:rPr>
              <w:tab/>
            </w:r>
            <w:r>
              <w:rPr>
                <w:rStyle w:val="IndexLink"/>
              </w:rPr>
              <w:t>365</w:t>
            </w:r>
          </w:hyperlink>
        </w:p>
        <w:p>
          <w:pPr>
            <w:pStyle w:val="Contents6"/>
            <w:tabs>
              <w:tab w:val="clear" w:pos="7609"/>
              <w:tab w:val="right" w:pos="9026" w:leader="dot"/>
            </w:tabs>
            <w:rPr/>
          </w:pPr>
          <w:hyperlink w:anchor="__RefHeading___Toc9424338_73709187">
            <w:r>
              <w:rPr>
                <w:webHidden/>
                <w:rStyle w:val="IndexLink"/>
                <w:rtl w:val="true"/>
              </w:rPr>
              <w:t>اشارة</w:t>
            </w:r>
            <w:r>
              <w:rPr>
                <w:rStyle w:val="IndexLink"/>
                <w:rtl w:val="true"/>
              </w:rPr>
              <w:tab/>
            </w:r>
            <w:r>
              <w:rPr>
                <w:rStyle w:val="IndexLink"/>
              </w:rPr>
              <w:t>365</w:t>
            </w:r>
          </w:hyperlink>
        </w:p>
        <w:p>
          <w:pPr>
            <w:pStyle w:val="Contents6"/>
            <w:tabs>
              <w:tab w:val="clear" w:pos="7609"/>
              <w:tab w:val="right" w:pos="9026" w:leader="dot"/>
            </w:tabs>
            <w:rPr/>
          </w:pPr>
          <w:hyperlink w:anchor="__RefHeading___Toc9424340_73709187">
            <w:r>
              <w:rPr>
                <w:webHidden/>
                <w:rStyle w:val="IndexLink"/>
                <w:rtl w:val="true"/>
              </w:rPr>
              <w:t>رأی أهل السنّة</w:t>
            </w:r>
            <w:r>
              <w:rPr>
                <w:rStyle w:val="IndexLink"/>
                <w:rtl w:val="true"/>
              </w:rPr>
              <w:tab/>
            </w:r>
            <w:r>
              <w:rPr>
                <w:rStyle w:val="IndexLink"/>
              </w:rPr>
              <w:t>366</w:t>
            </w:r>
          </w:hyperlink>
        </w:p>
        <w:p>
          <w:pPr>
            <w:pStyle w:val="Contents6"/>
            <w:tabs>
              <w:tab w:val="clear" w:pos="7609"/>
              <w:tab w:val="right" w:pos="9026" w:leader="dot"/>
            </w:tabs>
            <w:rPr/>
          </w:pPr>
          <w:hyperlink w:anchor="__RefHeading___Toc9424342_73709187">
            <w:r>
              <w:rPr>
                <w:webHidden/>
                <w:rStyle w:val="IndexLink"/>
                <w:rtl w:val="true"/>
              </w:rPr>
              <w:t>فرع</w:t>
            </w:r>
            <w:r>
              <w:rPr>
                <w:rStyle w:val="IndexLink"/>
                <w:rtl w:val="true"/>
              </w:rPr>
              <w:tab/>
            </w:r>
            <w:r>
              <w:rPr>
                <w:rStyle w:val="IndexLink"/>
              </w:rPr>
              <w:t>367</w:t>
            </w:r>
          </w:hyperlink>
        </w:p>
        <w:p>
          <w:pPr>
            <w:pStyle w:val="Contents5"/>
            <w:tabs>
              <w:tab w:val="clear" w:pos="7892"/>
              <w:tab w:val="right" w:pos="9026" w:leader="dot"/>
            </w:tabs>
            <w:rPr/>
          </w:pPr>
          <w:hyperlink w:anchor="__RefHeading___Toc9424344_73709187">
            <w:r>
              <w:rPr>
                <w:webHidden/>
                <w:rStyle w:val="IndexLink"/>
                <w:rtl w:val="true"/>
              </w:rPr>
              <w:t>الشرط الثامن</w:t>
            </w:r>
            <w:r>
              <w:rPr>
                <w:rStyle w:val="IndexLink"/>
                <w:rtl w:val="true"/>
              </w:rPr>
              <w:t xml:space="preserve">: </w:t>
            </w:r>
            <w:r>
              <w:rPr>
                <w:rStyle w:val="IndexLink"/>
                <w:rtl w:val="true"/>
              </w:rPr>
              <w:t>أن تکون أمینة</w:t>
            </w:r>
            <w:r>
              <w:rPr>
                <w:rStyle w:val="IndexLink"/>
                <w:rtl w:val="true"/>
              </w:rPr>
              <w:tab/>
            </w:r>
            <w:r>
              <w:rPr>
                <w:rStyle w:val="IndexLink"/>
              </w:rPr>
              <w:t>367</w:t>
            </w:r>
          </w:hyperlink>
        </w:p>
        <w:p>
          <w:pPr>
            <w:pStyle w:val="Contents6"/>
            <w:tabs>
              <w:tab w:val="clear" w:pos="7609"/>
              <w:tab w:val="right" w:pos="9026" w:leader="dot"/>
            </w:tabs>
            <w:rPr/>
          </w:pPr>
          <w:hyperlink w:anchor="__RefHeading___Toc9424346_73709187">
            <w:r>
              <w:rPr>
                <w:webHidden/>
                <w:rStyle w:val="IndexLink"/>
                <w:rtl w:val="true"/>
              </w:rPr>
              <w:t>اشارة</w:t>
            </w:r>
            <w:r>
              <w:rPr>
                <w:rStyle w:val="IndexLink"/>
                <w:rtl w:val="true"/>
              </w:rPr>
              <w:tab/>
            </w:r>
            <w:r>
              <w:rPr>
                <w:rStyle w:val="IndexLink"/>
              </w:rPr>
              <w:t>367</w:t>
            </w:r>
          </w:hyperlink>
        </w:p>
        <w:p>
          <w:pPr>
            <w:pStyle w:val="Contents6"/>
            <w:tabs>
              <w:tab w:val="clear" w:pos="7609"/>
              <w:tab w:val="right" w:pos="9026" w:leader="dot"/>
            </w:tabs>
            <w:rPr/>
          </w:pPr>
          <w:hyperlink w:anchor="__RefHeading___Toc9424348_73709187">
            <w:r>
              <w:rPr>
                <w:webHidden/>
                <w:rStyle w:val="IndexLink"/>
                <w:rtl w:val="true"/>
              </w:rPr>
              <w:t>رأی أهل السنّة</w:t>
            </w:r>
            <w:r>
              <w:rPr>
                <w:rStyle w:val="IndexLink"/>
                <w:rtl w:val="true"/>
              </w:rPr>
              <w:tab/>
            </w:r>
            <w:r>
              <w:rPr>
                <w:rStyle w:val="IndexLink"/>
              </w:rPr>
              <w:t>369</w:t>
            </w:r>
          </w:hyperlink>
        </w:p>
        <w:p>
          <w:pPr>
            <w:pStyle w:val="Contents6"/>
            <w:tabs>
              <w:tab w:val="clear" w:pos="7609"/>
              <w:tab w:val="right" w:pos="9026" w:leader="dot"/>
            </w:tabs>
            <w:rPr/>
          </w:pPr>
          <w:hyperlink w:anchor="__RefHeading___Toc9424350_73709187">
            <w:r>
              <w:rPr>
                <w:webHidden/>
                <w:rStyle w:val="IndexLink"/>
                <w:rtl w:val="true"/>
              </w:rPr>
              <w:t>فرع</w:t>
            </w:r>
            <w:r>
              <w:rPr>
                <w:rStyle w:val="IndexLink"/>
                <w:rtl w:val="true"/>
              </w:rPr>
              <w:tab/>
            </w:r>
            <w:r>
              <w:rPr>
                <w:rStyle w:val="IndexLink"/>
              </w:rPr>
              <w:t>370</w:t>
            </w:r>
          </w:hyperlink>
        </w:p>
        <w:p>
          <w:pPr>
            <w:pStyle w:val="Contents4"/>
            <w:tabs>
              <w:tab w:val="clear" w:pos="8176"/>
              <w:tab w:val="right" w:pos="9026" w:leader="dot"/>
            </w:tabs>
            <w:rPr/>
          </w:pPr>
          <w:hyperlink w:anchor="__RefHeading___Toc9424352_73709187">
            <w:r>
              <w:rPr>
                <w:webHidden/>
                <w:rStyle w:val="IndexLink"/>
                <w:rtl w:val="true"/>
              </w:rPr>
              <w:t>المبحث الخامس</w:t>
            </w:r>
            <w:r>
              <w:rPr>
                <w:rStyle w:val="IndexLink"/>
                <w:rtl w:val="true"/>
              </w:rPr>
              <w:t xml:space="preserve">: </w:t>
            </w:r>
            <w:r>
              <w:rPr>
                <w:rStyle w:val="IndexLink"/>
                <w:rtl w:val="true"/>
              </w:rPr>
              <w:t>فی أَمَد الحضانة</w:t>
            </w:r>
            <w:r>
              <w:rPr>
                <w:rStyle w:val="IndexLink"/>
                <w:rtl w:val="true"/>
              </w:rPr>
              <w:tab/>
            </w:r>
            <w:r>
              <w:rPr>
                <w:rStyle w:val="IndexLink"/>
              </w:rPr>
              <w:t>373</w:t>
            </w:r>
          </w:hyperlink>
        </w:p>
        <w:p>
          <w:pPr>
            <w:pStyle w:val="Contents5"/>
            <w:tabs>
              <w:tab w:val="clear" w:pos="7892"/>
              <w:tab w:val="right" w:pos="9026" w:leader="dot"/>
            </w:tabs>
            <w:rPr/>
          </w:pPr>
          <w:hyperlink w:anchor="__RefHeading___Toc9424354_73709187">
            <w:r>
              <w:rPr>
                <w:webHidden/>
                <w:rStyle w:val="IndexLink"/>
                <w:rtl w:val="true"/>
              </w:rPr>
              <w:t>اشارة</w:t>
            </w:r>
            <w:r>
              <w:rPr>
                <w:rStyle w:val="IndexLink"/>
                <w:rtl w:val="true"/>
              </w:rPr>
              <w:tab/>
            </w:r>
            <w:r>
              <w:rPr>
                <w:rStyle w:val="IndexLink"/>
              </w:rPr>
              <w:t>373</w:t>
            </w:r>
          </w:hyperlink>
        </w:p>
        <w:p>
          <w:pPr>
            <w:pStyle w:val="Contents5"/>
            <w:tabs>
              <w:tab w:val="clear" w:pos="7892"/>
              <w:tab w:val="right" w:pos="9026" w:leader="dot"/>
            </w:tabs>
            <w:rPr/>
          </w:pPr>
          <w:hyperlink w:anchor="__RefHeading___Toc9424356_73709187">
            <w:r>
              <w:rPr>
                <w:webHidden/>
                <w:rStyle w:val="IndexLink"/>
                <w:rtl w:val="true"/>
              </w:rPr>
              <w:t>أدلّة هذا الحکم</w:t>
            </w:r>
            <w:r>
              <w:rPr>
                <w:rStyle w:val="IndexLink"/>
                <w:rtl w:val="true"/>
              </w:rPr>
              <w:tab/>
            </w:r>
            <w:r>
              <w:rPr>
                <w:rStyle w:val="IndexLink"/>
              </w:rPr>
              <w:t>374</w:t>
            </w:r>
          </w:hyperlink>
        </w:p>
        <w:p>
          <w:pPr>
            <w:pStyle w:val="Contents5"/>
            <w:tabs>
              <w:tab w:val="clear" w:pos="7892"/>
              <w:tab w:val="right" w:pos="9026" w:leader="dot"/>
            </w:tabs>
            <w:rPr/>
          </w:pPr>
          <w:hyperlink w:anchor="__RefHeading___Toc9424358_73709187">
            <w:r>
              <w:rPr>
                <w:webHidden/>
                <w:rStyle w:val="IndexLink"/>
                <w:rtl w:val="true"/>
              </w:rPr>
              <w:t>آراء مذاهب أهل السنّة فی مدّة الحضانة و تخییر المحضون</w:t>
            </w:r>
            <w:r>
              <w:rPr>
                <w:rStyle w:val="IndexLink"/>
                <w:rtl w:val="true"/>
              </w:rPr>
              <w:tab/>
            </w:r>
            <w:r>
              <w:rPr>
                <w:rStyle w:val="IndexLink"/>
              </w:rPr>
              <w:t>376</w:t>
            </w:r>
          </w:hyperlink>
        </w:p>
        <w:p>
          <w:pPr>
            <w:pStyle w:val="Contents4"/>
            <w:tabs>
              <w:tab w:val="clear" w:pos="8176"/>
              <w:tab w:val="right" w:pos="9026" w:leader="dot"/>
            </w:tabs>
            <w:rPr/>
          </w:pPr>
          <w:hyperlink w:anchor="__RefHeading___Toc9424360_73709187">
            <w:r>
              <w:rPr>
                <w:webHidden/>
                <w:rStyle w:val="IndexLink"/>
                <w:rtl w:val="true"/>
              </w:rPr>
              <w:t>المبحث السادس</w:t>
            </w:r>
            <w:r>
              <w:rPr>
                <w:rStyle w:val="IndexLink"/>
                <w:rtl w:val="true"/>
              </w:rPr>
              <w:t xml:space="preserve">: </w:t>
            </w:r>
            <w:r>
              <w:rPr>
                <w:rStyle w:val="IndexLink"/>
                <w:rtl w:val="true"/>
              </w:rPr>
              <w:t>أخذ الأجرة علی الحضانة</w:t>
            </w:r>
            <w:r>
              <w:rPr>
                <w:rStyle w:val="IndexLink"/>
                <w:rtl w:val="true"/>
              </w:rPr>
              <w:tab/>
            </w:r>
            <w:r>
              <w:rPr>
                <w:rStyle w:val="IndexLink"/>
              </w:rPr>
              <w:t>379</w:t>
            </w:r>
          </w:hyperlink>
        </w:p>
        <w:p>
          <w:pPr>
            <w:pStyle w:val="Contents5"/>
            <w:tabs>
              <w:tab w:val="clear" w:pos="7892"/>
              <w:tab w:val="right" w:pos="9026" w:leader="dot"/>
            </w:tabs>
            <w:rPr/>
          </w:pPr>
          <w:hyperlink w:anchor="__RefHeading___Toc9424362_73709187">
            <w:r>
              <w:rPr>
                <w:webHidden/>
                <w:rStyle w:val="IndexLink"/>
                <w:rtl w:val="true"/>
              </w:rPr>
              <w:t>اشارة</w:t>
            </w:r>
            <w:r>
              <w:rPr>
                <w:rStyle w:val="IndexLink"/>
                <w:rtl w:val="true"/>
              </w:rPr>
              <w:tab/>
            </w:r>
            <w:r>
              <w:rPr>
                <w:rStyle w:val="IndexLink"/>
              </w:rPr>
              <w:t>379</w:t>
            </w:r>
          </w:hyperlink>
        </w:p>
        <w:p>
          <w:pPr>
            <w:pStyle w:val="Contents5"/>
            <w:tabs>
              <w:tab w:val="clear" w:pos="7892"/>
              <w:tab w:val="right" w:pos="9026" w:leader="dot"/>
            </w:tabs>
            <w:rPr/>
          </w:pPr>
          <w:hyperlink w:anchor="__RefHeading___Toc9424364_73709187">
            <w:r>
              <w:rPr>
                <w:webHidden/>
                <w:rStyle w:val="IndexLink"/>
                <w:rtl w:val="true"/>
              </w:rPr>
              <w:t>آراء مذاهب أهل السنّة فی المسألة</w:t>
            </w:r>
            <w:r>
              <w:rPr>
                <w:rStyle w:val="IndexLink"/>
                <w:rtl w:val="true"/>
              </w:rPr>
              <w:tab/>
            </w:r>
            <w:r>
              <w:rPr>
                <w:rStyle w:val="IndexLink"/>
              </w:rPr>
              <w:t>385</w:t>
            </w:r>
          </w:hyperlink>
        </w:p>
        <w:p>
          <w:pPr>
            <w:pStyle w:val="Contents5"/>
            <w:tabs>
              <w:tab w:val="clear" w:pos="7892"/>
              <w:tab w:val="right" w:pos="9026" w:leader="dot"/>
            </w:tabs>
            <w:rPr/>
          </w:pPr>
          <w:hyperlink w:anchor="__RefHeading___Toc9424366_73709187">
            <w:r>
              <w:rPr>
                <w:webHidden/>
                <w:rStyle w:val="IndexLink"/>
                <w:rtl w:val="true"/>
              </w:rPr>
              <w:t>بقاء حقّ الحضانة مع إسقاط حق الرضاع</w:t>
            </w:r>
            <w:r>
              <w:rPr>
                <w:rStyle w:val="IndexLink"/>
                <w:rtl w:val="true"/>
              </w:rPr>
              <w:tab/>
            </w:r>
            <w:r>
              <w:rPr>
                <w:rStyle w:val="IndexLink"/>
              </w:rPr>
              <w:t>387</w:t>
            </w:r>
          </w:hyperlink>
        </w:p>
        <w:p>
          <w:pPr>
            <w:pStyle w:val="Contents5"/>
            <w:tabs>
              <w:tab w:val="clear" w:pos="7892"/>
              <w:tab w:val="right" w:pos="9026" w:leader="dot"/>
            </w:tabs>
            <w:rPr/>
          </w:pPr>
          <w:hyperlink w:anchor="__RefHeading___Toc9424368_73709187">
            <w:r>
              <w:rPr>
                <w:webHidden/>
                <w:rStyle w:val="IndexLink"/>
                <w:rtl w:val="true"/>
              </w:rPr>
              <w:t>أدلّة القولین</w:t>
            </w:r>
            <w:r>
              <w:rPr>
                <w:rStyle w:val="IndexLink"/>
                <w:rtl w:val="true"/>
              </w:rPr>
              <w:t>:</w:t>
              <w:tab/>
            </w:r>
            <w:r>
              <w:rPr>
                <w:rStyle w:val="IndexLink"/>
              </w:rPr>
              <w:t>388</w:t>
            </w:r>
          </w:hyperlink>
        </w:p>
        <w:p>
          <w:pPr>
            <w:pStyle w:val="Contents2"/>
            <w:tabs>
              <w:tab w:val="clear" w:pos="8743"/>
              <w:tab w:val="right" w:pos="9026" w:leader="dot"/>
            </w:tabs>
            <w:rPr/>
          </w:pPr>
          <w:hyperlink w:anchor="__RefHeading___Toc9424370_73709187">
            <w:r>
              <w:rPr>
                <w:webHidden/>
                <w:rStyle w:val="IndexLink"/>
                <w:rtl w:val="true"/>
              </w:rPr>
              <w:t>الباب الثالث فی نفقة الأطفال</w:t>
            </w:r>
            <w:r>
              <w:rPr>
                <w:rStyle w:val="IndexLink"/>
                <w:rtl w:val="true"/>
              </w:rPr>
              <w:tab/>
            </w:r>
            <w:r>
              <w:rPr>
                <w:rStyle w:val="IndexLink"/>
              </w:rPr>
              <w:t>391</w:t>
            </w:r>
          </w:hyperlink>
        </w:p>
        <w:p>
          <w:pPr>
            <w:pStyle w:val="Contents3"/>
            <w:tabs>
              <w:tab w:val="clear" w:pos="8459"/>
              <w:tab w:val="right" w:pos="9026" w:leader="dot"/>
            </w:tabs>
            <w:rPr/>
          </w:pPr>
          <w:hyperlink w:anchor="__RefHeading___Toc9424372_73709187">
            <w:r>
              <w:rPr>
                <w:webHidden/>
                <w:rStyle w:val="IndexLink"/>
                <w:rtl w:val="true"/>
              </w:rPr>
              <w:t>اشارة</w:t>
            </w:r>
            <w:r>
              <w:rPr>
                <w:rStyle w:val="IndexLink"/>
                <w:rtl w:val="true"/>
              </w:rPr>
              <w:tab/>
            </w:r>
            <w:r>
              <w:rPr>
                <w:rStyle w:val="IndexLink"/>
              </w:rPr>
              <w:t>391</w:t>
            </w:r>
          </w:hyperlink>
        </w:p>
        <w:p>
          <w:pPr>
            <w:pStyle w:val="Contents3"/>
            <w:tabs>
              <w:tab w:val="clear" w:pos="8459"/>
              <w:tab w:val="right" w:pos="9026" w:leader="dot"/>
            </w:tabs>
            <w:rPr/>
          </w:pPr>
          <w:hyperlink w:anchor="__RefHeading___Toc9424374_73709187">
            <w:r>
              <w:rPr>
                <w:webHidden/>
                <w:rStyle w:val="IndexLink"/>
                <w:rtl w:val="true"/>
              </w:rPr>
              <w:t>تمهیدٌ</w:t>
            </w:r>
            <w:r>
              <w:rPr>
                <w:rStyle w:val="IndexLink"/>
                <w:rtl w:val="true"/>
              </w:rPr>
              <w:tab/>
            </w:r>
            <w:r>
              <w:rPr>
                <w:rStyle w:val="IndexLink"/>
              </w:rPr>
              <w:t>392</w:t>
            </w:r>
          </w:hyperlink>
        </w:p>
        <w:p>
          <w:pPr>
            <w:pStyle w:val="Contents3"/>
            <w:tabs>
              <w:tab w:val="clear" w:pos="8459"/>
              <w:tab w:val="right" w:pos="9026" w:leader="dot"/>
            </w:tabs>
            <w:rPr/>
          </w:pPr>
          <w:hyperlink w:anchor="__RefHeading___Toc9424376_73709187">
            <w:r>
              <w:rPr>
                <w:webHidden/>
                <w:rStyle w:val="IndexLink"/>
                <w:rtl w:val="true"/>
              </w:rPr>
              <w:t>الفصل الاوّل</w:t>
            </w:r>
            <w:r>
              <w:rPr>
                <w:rStyle w:val="IndexLink"/>
                <w:rtl w:val="true"/>
              </w:rPr>
              <w:t>:</w:t>
              <w:tab/>
            </w:r>
            <w:r>
              <w:rPr>
                <w:rStyle w:val="IndexLink"/>
              </w:rPr>
              <w:t>394</w:t>
            </w:r>
          </w:hyperlink>
        </w:p>
        <w:p>
          <w:pPr>
            <w:pStyle w:val="Contents4"/>
            <w:tabs>
              <w:tab w:val="clear" w:pos="8176"/>
              <w:tab w:val="right" w:pos="9026" w:leader="dot"/>
            </w:tabs>
            <w:rPr/>
          </w:pPr>
          <w:hyperlink w:anchor="__RefHeading___Toc9424378_73709187">
            <w:r>
              <w:rPr>
                <w:webHidden/>
                <w:rStyle w:val="IndexLink"/>
                <w:rtl w:val="true"/>
              </w:rPr>
              <w:t>اشارة</w:t>
            </w:r>
            <w:r>
              <w:rPr>
                <w:rStyle w:val="IndexLink"/>
                <w:rtl w:val="true"/>
              </w:rPr>
              <w:tab/>
            </w:r>
            <w:r>
              <w:rPr>
                <w:rStyle w:val="IndexLink"/>
              </w:rPr>
              <w:t>394</w:t>
            </w:r>
          </w:hyperlink>
        </w:p>
        <w:p>
          <w:pPr>
            <w:pStyle w:val="Contents4"/>
            <w:tabs>
              <w:tab w:val="clear" w:pos="8176"/>
              <w:tab w:val="right" w:pos="9026" w:leader="dot"/>
            </w:tabs>
            <w:rPr/>
          </w:pPr>
          <w:hyperlink w:anchor="__RefHeading___Toc9424380_73709187">
            <w:r>
              <w:rPr>
                <w:webHidden/>
                <w:rStyle w:val="IndexLink"/>
                <w:rtl w:val="true"/>
              </w:rPr>
              <w:t>المبحث الأوّل</w:t>
            </w:r>
            <w:r>
              <w:rPr>
                <w:rStyle w:val="IndexLink"/>
                <w:rtl w:val="true"/>
              </w:rPr>
              <w:t xml:space="preserve">: </w:t>
            </w:r>
            <w:r>
              <w:rPr>
                <w:rStyle w:val="IndexLink"/>
                <w:rtl w:val="true"/>
              </w:rPr>
              <w:t>فی حکم النفقة و أدلّتها</w:t>
            </w:r>
            <w:r>
              <w:rPr>
                <w:rStyle w:val="IndexLink"/>
                <w:rtl w:val="true"/>
              </w:rPr>
              <w:tab/>
            </w:r>
            <w:r>
              <w:rPr>
                <w:rStyle w:val="IndexLink"/>
              </w:rPr>
              <w:t>394</w:t>
            </w:r>
          </w:hyperlink>
        </w:p>
        <w:p>
          <w:pPr>
            <w:pStyle w:val="Contents5"/>
            <w:tabs>
              <w:tab w:val="clear" w:pos="7892"/>
              <w:tab w:val="right" w:pos="9026" w:leader="dot"/>
            </w:tabs>
            <w:rPr/>
          </w:pPr>
          <w:hyperlink w:anchor="__RefHeading___Toc9424382_73709187">
            <w:r>
              <w:rPr>
                <w:webHidden/>
                <w:rStyle w:val="IndexLink"/>
                <w:rtl w:val="true"/>
              </w:rPr>
              <w:t>النفقة فی اللغة</w:t>
            </w:r>
            <w:r>
              <w:rPr>
                <w:rStyle w:val="IndexLink"/>
                <w:rtl w:val="true"/>
              </w:rPr>
              <w:tab/>
            </w:r>
            <w:r>
              <w:rPr>
                <w:rStyle w:val="IndexLink"/>
              </w:rPr>
              <w:t>394</w:t>
            </w:r>
          </w:hyperlink>
        </w:p>
        <w:p>
          <w:pPr>
            <w:pStyle w:val="Contents5"/>
            <w:tabs>
              <w:tab w:val="clear" w:pos="7892"/>
              <w:tab w:val="right" w:pos="9026" w:leader="dot"/>
            </w:tabs>
            <w:rPr/>
          </w:pPr>
          <w:hyperlink w:anchor="__RefHeading___Toc9424384_73709187">
            <w:r>
              <w:rPr>
                <w:webHidden/>
                <w:rStyle w:val="IndexLink"/>
                <w:rtl w:val="true"/>
              </w:rPr>
              <w:t>النفقة اصطلاحاً</w:t>
            </w:r>
            <w:r>
              <w:rPr>
                <w:rStyle w:val="IndexLink"/>
                <w:rtl w:val="true"/>
              </w:rPr>
              <w:t>:</w:t>
              <w:tab/>
            </w:r>
            <w:r>
              <w:rPr>
                <w:rStyle w:val="IndexLink"/>
              </w:rPr>
              <w:t>395</w:t>
            </w:r>
          </w:hyperlink>
        </w:p>
        <w:p>
          <w:pPr>
            <w:pStyle w:val="Contents5"/>
            <w:tabs>
              <w:tab w:val="clear" w:pos="7892"/>
              <w:tab w:val="right" w:pos="9026" w:leader="dot"/>
            </w:tabs>
            <w:rPr/>
          </w:pPr>
          <w:hyperlink w:anchor="__RefHeading___Toc9424386_73709187">
            <w:r>
              <w:rPr>
                <w:webHidden/>
                <w:rStyle w:val="IndexLink"/>
                <w:rtl w:val="true"/>
              </w:rPr>
              <w:t>حکم النفقة</w:t>
            </w:r>
            <w:r>
              <w:rPr>
                <w:rStyle w:val="IndexLink"/>
                <w:rtl w:val="true"/>
              </w:rPr>
              <w:tab/>
            </w:r>
            <w:r>
              <w:rPr>
                <w:rStyle w:val="IndexLink"/>
              </w:rPr>
              <w:t>395</w:t>
            </w:r>
          </w:hyperlink>
        </w:p>
        <w:p>
          <w:pPr>
            <w:pStyle w:val="Contents5"/>
            <w:tabs>
              <w:tab w:val="clear" w:pos="7892"/>
              <w:tab w:val="right" w:pos="9026" w:leader="dot"/>
            </w:tabs>
            <w:rPr/>
          </w:pPr>
          <w:hyperlink w:anchor="__RefHeading___Toc9424388_73709187">
            <w:r>
              <w:rPr>
                <w:webHidden/>
                <w:rStyle w:val="IndexLink"/>
                <w:rtl w:val="true"/>
              </w:rPr>
              <w:t>قول فقهاء أهل السنّة فی المسألة</w:t>
            </w:r>
            <w:r>
              <w:rPr>
                <w:rStyle w:val="IndexLink"/>
                <w:rtl w:val="true"/>
              </w:rPr>
              <w:t>:</w:t>
              <w:tab/>
            </w:r>
            <w:r>
              <w:rPr>
                <w:rStyle w:val="IndexLink"/>
              </w:rPr>
              <w:t>396</w:t>
            </w:r>
          </w:hyperlink>
        </w:p>
        <w:p>
          <w:pPr>
            <w:pStyle w:val="Contents5"/>
            <w:tabs>
              <w:tab w:val="clear" w:pos="7892"/>
              <w:tab w:val="right" w:pos="9026" w:leader="dot"/>
            </w:tabs>
            <w:rPr/>
          </w:pPr>
          <w:hyperlink w:anchor="__RefHeading___Toc9424390_73709187">
            <w:r>
              <w:rPr>
                <w:webHidden/>
                <w:rStyle w:val="IndexLink"/>
                <w:rtl w:val="true"/>
              </w:rPr>
              <w:t>أدلّة وجوب نفقة الصبیان</w:t>
            </w:r>
            <w:r>
              <w:rPr>
                <w:rStyle w:val="IndexLink"/>
                <w:rtl w:val="true"/>
              </w:rPr>
              <w:tab/>
            </w:r>
            <w:r>
              <w:rPr>
                <w:rStyle w:val="IndexLink"/>
              </w:rPr>
              <w:t>397</w:t>
            </w:r>
          </w:hyperlink>
        </w:p>
        <w:p>
          <w:pPr>
            <w:pStyle w:val="Contents6"/>
            <w:tabs>
              <w:tab w:val="clear" w:pos="7609"/>
              <w:tab w:val="right" w:pos="9026" w:leader="dot"/>
            </w:tabs>
            <w:rPr/>
          </w:pPr>
          <w:hyperlink w:anchor="__RefHeading___Toc9424392_73709187">
            <w:r>
              <w:rPr>
                <w:webHidden/>
                <w:rStyle w:val="IndexLink"/>
                <w:rtl w:val="true"/>
              </w:rPr>
              <w:t>اشارة</w:t>
            </w:r>
            <w:r>
              <w:rPr>
                <w:rStyle w:val="IndexLink"/>
                <w:rtl w:val="true"/>
              </w:rPr>
              <w:tab/>
            </w:r>
            <w:r>
              <w:rPr>
                <w:rStyle w:val="IndexLink"/>
              </w:rPr>
              <w:t>397</w:t>
            </w:r>
          </w:hyperlink>
        </w:p>
        <w:p>
          <w:pPr>
            <w:pStyle w:val="Contents6"/>
            <w:tabs>
              <w:tab w:val="clear" w:pos="7609"/>
              <w:tab w:val="right" w:pos="9026" w:leader="dot"/>
            </w:tabs>
            <w:rPr/>
          </w:pPr>
          <w:hyperlink w:anchor="__RefHeading___Toc9424394_73709187">
            <w:r>
              <w:rPr>
                <w:webHidden/>
                <w:rStyle w:val="IndexLink"/>
                <w:rtl w:val="true"/>
              </w:rPr>
              <w:t xml:space="preserve">أ </w:t>
            </w:r>
            <w:r>
              <w:rPr>
                <w:rStyle w:val="IndexLink"/>
                <w:rtl w:val="true"/>
              </w:rPr>
              <w:t xml:space="preserve">- </w:t>
            </w:r>
            <w:r>
              <w:rPr>
                <w:rStyle w:val="IndexLink"/>
                <w:rtl w:val="true"/>
              </w:rPr>
              <w:t>الکتاب</w:t>
            </w:r>
            <w:r>
              <w:rPr>
                <w:rStyle w:val="IndexLink"/>
                <w:rtl w:val="true"/>
              </w:rPr>
              <w:tab/>
            </w:r>
            <w:r>
              <w:rPr>
                <w:rStyle w:val="IndexLink"/>
              </w:rPr>
              <w:t>397</w:t>
            </w:r>
          </w:hyperlink>
        </w:p>
        <w:p>
          <w:pPr>
            <w:pStyle w:val="Contents6"/>
            <w:tabs>
              <w:tab w:val="clear" w:pos="7609"/>
              <w:tab w:val="right" w:pos="9026" w:leader="dot"/>
            </w:tabs>
            <w:rPr/>
          </w:pPr>
          <w:hyperlink w:anchor="__RefHeading___Toc9424396_73709187">
            <w:r>
              <w:rPr>
                <w:webHidden/>
                <w:rStyle w:val="IndexLink"/>
                <w:rtl w:val="true"/>
              </w:rPr>
              <w:t xml:space="preserve">ب </w:t>
            </w:r>
            <w:r>
              <w:rPr>
                <w:rStyle w:val="IndexLink"/>
                <w:rtl w:val="true"/>
              </w:rPr>
              <w:t xml:space="preserve">- </w:t>
            </w:r>
            <w:r>
              <w:rPr>
                <w:rStyle w:val="IndexLink"/>
                <w:rtl w:val="true"/>
              </w:rPr>
              <w:t>السنّة</w:t>
            </w:r>
            <w:r>
              <w:rPr>
                <w:rStyle w:val="IndexLink"/>
                <w:rtl w:val="true"/>
              </w:rPr>
              <w:tab/>
            </w:r>
            <w:r>
              <w:rPr>
                <w:rStyle w:val="IndexLink"/>
              </w:rPr>
              <w:t>399</w:t>
            </w:r>
          </w:hyperlink>
        </w:p>
        <w:p>
          <w:pPr>
            <w:pStyle w:val="Contents6"/>
            <w:tabs>
              <w:tab w:val="clear" w:pos="7609"/>
              <w:tab w:val="right" w:pos="9026" w:leader="dot"/>
            </w:tabs>
            <w:rPr/>
          </w:pPr>
          <w:hyperlink w:anchor="__RefHeading___Toc9424398_73709187">
            <w:r>
              <w:rPr>
                <w:webHidden/>
                <w:rStyle w:val="IndexLink"/>
                <w:rtl w:val="true"/>
              </w:rPr>
              <w:t xml:space="preserve">ج </w:t>
            </w:r>
            <w:r>
              <w:rPr>
                <w:rStyle w:val="IndexLink"/>
                <w:rtl w:val="true"/>
              </w:rPr>
              <w:t xml:space="preserve">- </w:t>
            </w:r>
            <w:r>
              <w:rPr>
                <w:rStyle w:val="IndexLink"/>
                <w:rtl w:val="true"/>
              </w:rPr>
              <w:t>الإجماع</w:t>
            </w:r>
            <w:r>
              <w:rPr>
                <w:rStyle w:val="IndexLink"/>
                <w:rtl w:val="true"/>
              </w:rPr>
              <w:tab/>
            </w:r>
            <w:r>
              <w:rPr>
                <w:rStyle w:val="IndexLink"/>
              </w:rPr>
              <w:t>401</w:t>
            </w:r>
          </w:hyperlink>
        </w:p>
        <w:p>
          <w:pPr>
            <w:pStyle w:val="Contents6"/>
            <w:tabs>
              <w:tab w:val="clear" w:pos="7609"/>
              <w:tab w:val="right" w:pos="9026" w:leader="dot"/>
            </w:tabs>
            <w:rPr/>
          </w:pPr>
          <w:hyperlink w:anchor="__RefHeading___Toc9424400_73709187">
            <w:r>
              <w:rPr>
                <w:webHidden/>
                <w:rStyle w:val="IndexLink"/>
                <w:rtl w:val="true"/>
              </w:rPr>
              <w:t xml:space="preserve">د </w:t>
            </w:r>
            <w:r>
              <w:rPr>
                <w:rStyle w:val="IndexLink"/>
                <w:rtl w:val="true"/>
              </w:rPr>
              <w:t xml:space="preserve">- </w:t>
            </w:r>
            <w:r>
              <w:rPr>
                <w:rStyle w:val="IndexLink"/>
                <w:rtl w:val="true"/>
              </w:rPr>
              <w:t>العقل</w:t>
            </w:r>
            <w:r>
              <w:rPr>
                <w:rStyle w:val="IndexLink"/>
                <w:rtl w:val="true"/>
              </w:rPr>
              <w:tab/>
            </w:r>
            <w:r>
              <w:rPr>
                <w:rStyle w:val="IndexLink"/>
              </w:rPr>
              <w:t>402</w:t>
            </w:r>
          </w:hyperlink>
        </w:p>
        <w:p>
          <w:pPr>
            <w:pStyle w:val="Contents5"/>
            <w:tabs>
              <w:tab w:val="clear" w:pos="7892"/>
              <w:tab w:val="right" w:pos="9026" w:leader="dot"/>
            </w:tabs>
            <w:rPr/>
          </w:pPr>
          <w:hyperlink w:anchor="__RefHeading___Toc9424402_73709187">
            <w:r>
              <w:rPr>
                <w:webHidden/>
                <w:rStyle w:val="IndexLink"/>
                <w:rtl w:val="true"/>
              </w:rPr>
              <w:t>من هم الأولاد المشمولون بالإنفاق؟</w:t>
            </w:r>
            <w:r>
              <w:rPr>
                <w:rStyle w:val="IndexLink"/>
                <w:rtl w:val="true"/>
              </w:rPr>
              <w:tab/>
            </w:r>
            <w:r>
              <w:rPr>
                <w:rStyle w:val="IndexLink"/>
              </w:rPr>
              <w:t>402</w:t>
            </w:r>
          </w:hyperlink>
        </w:p>
        <w:p>
          <w:pPr>
            <w:pStyle w:val="Contents5"/>
            <w:tabs>
              <w:tab w:val="clear" w:pos="7892"/>
              <w:tab w:val="right" w:pos="9026" w:leader="dot"/>
            </w:tabs>
            <w:rPr/>
          </w:pPr>
          <w:hyperlink w:anchor="__RefHeading___Toc9424404_73709187">
            <w:r>
              <w:rPr>
                <w:webHidden/>
                <w:rStyle w:val="IndexLink"/>
                <w:rtl w:val="true"/>
              </w:rPr>
              <w:t>اختلاف آراء المذاهب الأربعة فی المسألة</w:t>
            </w:r>
            <w:r>
              <w:rPr>
                <w:rStyle w:val="IndexLink"/>
                <w:rtl w:val="true"/>
              </w:rPr>
              <w:tab/>
            </w:r>
            <w:r>
              <w:rPr>
                <w:rStyle w:val="IndexLink"/>
              </w:rPr>
              <w:t>406</w:t>
            </w:r>
          </w:hyperlink>
        </w:p>
        <w:p>
          <w:pPr>
            <w:pStyle w:val="Contents5"/>
            <w:tabs>
              <w:tab w:val="clear" w:pos="7892"/>
              <w:tab w:val="right" w:pos="9026" w:leader="dot"/>
            </w:tabs>
            <w:rPr/>
          </w:pPr>
          <w:hyperlink w:anchor="__RefHeading___Toc9424406_73709187">
            <w:r>
              <w:rPr>
                <w:webHidden/>
                <w:rStyle w:val="IndexLink"/>
                <w:rtl w:val="true"/>
              </w:rPr>
              <w:t>استحباب النفقة علی أولاد الأقارب</w:t>
            </w:r>
            <w:r>
              <w:rPr>
                <w:rStyle w:val="IndexLink"/>
                <w:rtl w:val="true"/>
              </w:rPr>
              <w:t>:</w:t>
              <w:tab/>
            </w:r>
            <w:r>
              <w:rPr>
                <w:rStyle w:val="IndexLink"/>
              </w:rPr>
              <w:t>407</w:t>
            </w:r>
          </w:hyperlink>
        </w:p>
        <w:p>
          <w:pPr>
            <w:pStyle w:val="Contents5"/>
            <w:tabs>
              <w:tab w:val="clear" w:pos="7892"/>
              <w:tab w:val="right" w:pos="9026" w:leader="dot"/>
            </w:tabs>
            <w:rPr/>
          </w:pPr>
          <w:hyperlink w:anchor="__RefHeading___Toc9424408_73709187">
            <w:r>
              <w:rPr>
                <w:webHidden/>
                <w:rStyle w:val="IndexLink"/>
                <w:rtl w:val="true"/>
              </w:rPr>
              <w:t>استقلال الأب بنفقة أولاده</w:t>
            </w:r>
            <w:r>
              <w:rPr>
                <w:rStyle w:val="IndexLink"/>
                <w:rtl w:val="true"/>
              </w:rPr>
              <w:tab/>
            </w:r>
            <w:r>
              <w:rPr>
                <w:rStyle w:val="IndexLink"/>
              </w:rPr>
              <w:t>411</w:t>
            </w:r>
          </w:hyperlink>
        </w:p>
        <w:p>
          <w:pPr>
            <w:pStyle w:val="Contents5"/>
            <w:tabs>
              <w:tab w:val="clear" w:pos="7892"/>
              <w:tab w:val="right" w:pos="9026" w:leader="dot"/>
            </w:tabs>
            <w:rPr/>
          </w:pPr>
          <w:hyperlink w:anchor="__RefHeading___Toc9424410_73709187">
            <w:r>
              <w:rPr>
                <w:webHidden/>
                <w:rStyle w:val="IndexLink"/>
                <w:rtl w:val="true"/>
              </w:rPr>
              <w:t>دلیل وجوب نفقة الأولاد علی الأجداد</w:t>
            </w:r>
            <w:r>
              <w:rPr>
                <w:rStyle w:val="IndexLink"/>
                <w:rtl w:val="true"/>
              </w:rPr>
              <w:tab/>
            </w:r>
            <w:r>
              <w:rPr>
                <w:rStyle w:val="IndexLink"/>
              </w:rPr>
              <w:t>413</w:t>
            </w:r>
          </w:hyperlink>
        </w:p>
        <w:p>
          <w:pPr>
            <w:pStyle w:val="Contents5"/>
            <w:tabs>
              <w:tab w:val="clear" w:pos="7892"/>
              <w:tab w:val="right" w:pos="9026" w:leader="dot"/>
            </w:tabs>
            <w:rPr/>
          </w:pPr>
          <w:hyperlink w:anchor="__RefHeading___Toc9424412_73709187">
            <w:r>
              <w:rPr>
                <w:webHidden/>
                <w:rStyle w:val="IndexLink"/>
                <w:rtl w:val="true"/>
              </w:rPr>
              <w:t>وجوب نفقة الولد علی الأمّ‌</w:t>
            </w:r>
            <w:r>
              <w:rPr>
                <w:rStyle w:val="IndexLink"/>
                <w:rtl w:val="true"/>
              </w:rPr>
              <w:tab/>
            </w:r>
            <w:r>
              <w:rPr>
                <w:rStyle w:val="IndexLink"/>
              </w:rPr>
              <w:t>414</w:t>
            </w:r>
          </w:hyperlink>
        </w:p>
        <w:p>
          <w:pPr>
            <w:pStyle w:val="Contents5"/>
            <w:tabs>
              <w:tab w:val="clear" w:pos="7892"/>
              <w:tab w:val="right" w:pos="9026" w:leader="dot"/>
            </w:tabs>
            <w:rPr/>
          </w:pPr>
          <w:hyperlink w:anchor="__RefHeading___Toc9424414_73709187">
            <w:r>
              <w:rPr>
                <w:webHidden/>
                <w:rStyle w:val="IndexLink"/>
                <w:rtl w:val="true"/>
              </w:rPr>
              <w:t>نظر بعض أهل السنّة فی المسألة</w:t>
            </w:r>
            <w:r>
              <w:rPr>
                <w:rStyle w:val="IndexLink"/>
                <w:rtl w:val="true"/>
              </w:rPr>
              <w:tab/>
            </w:r>
            <w:r>
              <w:rPr>
                <w:rStyle w:val="IndexLink"/>
              </w:rPr>
              <w:t>415</w:t>
            </w:r>
          </w:hyperlink>
        </w:p>
        <w:p>
          <w:pPr>
            <w:pStyle w:val="Contents4"/>
            <w:tabs>
              <w:tab w:val="clear" w:pos="8176"/>
              <w:tab w:val="right" w:pos="9026" w:leader="dot"/>
            </w:tabs>
            <w:rPr/>
          </w:pPr>
          <w:hyperlink w:anchor="__RefHeading___Toc9424416_73709187">
            <w:r>
              <w:rPr>
                <w:webHidden/>
                <w:rStyle w:val="IndexLink"/>
                <w:rtl w:val="true"/>
              </w:rPr>
              <w:t>المبحث الثانی</w:t>
            </w:r>
            <w:r>
              <w:rPr>
                <w:rStyle w:val="IndexLink"/>
                <w:rtl w:val="true"/>
              </w:rPr>
              <w:t xml:space="preserve">: </w:t>
            </w:r>
            <w:r>
              <w:rPr>
                <w:rStyle w:val="IndexLink"/>
                <w:rtl w:val="true"/>
              </w:rPr>
              <w:t>فی شروط النفقة</w:t>
            </w:r>
            <w:r>
              <w:rPr>
                <w:rStyle w:val="IndexLink"/>
                <w:rtl w:val="true"/>
              </w:rPr>
              <w:tab/>
            </w:r>
            <w:r>
              <w:rPr>
                <w:rStyle w:val="IndexLink"/>
              </w:rPr>
              <w:t>416</w:t>
            </w:r>
          </w:hyperlink>
        </w:p>
        <w:p>
          <w:pPr>
            <w:pStyle w:val="Contents5"/>
            <w:tabs>
              <w:tab w:val="clear" w:pos="7892"/>
              <w:tab w:val="right" w:pos="9026" w:leader="dot"/>
            </w:tabs>
            <w:rPr/>
          </w:pPr>
          <w:hyperlink w:anchor="__RefHeading___Toc9424418_73709187">
            <w:r>
              <w:rPr>
                <w:webHidden/>
                <w:rStyle w:val="IndexLink"/>
                <w:rtl w:val="true"/>
              </w:rPr>
              <w:t>أوّلاً</w:t>
            </w:r>
            <w:r>
              <w:rPr>
                <w:rStyle w:val="IndexLink"/>
                <w:rtl w:val="true"/>
              </w:rPr>
              <w:t xml:space="preserve">: </w:t>
            </w:r>
            <w:r>
              <w:rPr>
                <w:rStyle w:val="IndexLink"/>
                <w:rtl w:val="true"/>
              </w:rPr>
              <w:t>شرط المُنفق</w:t>
            </w:r>
            <w:r>
              <w:rPr>
                <w:rStyle w:val="IndexLink"/>
                <w:rtl w:val="true"/>
              </w:rPr>
              <w:t>:</w:t>
              <w:tab/>
            </w:r>
            <w:r>
              <w:rPr>
                <w:rStyle w:val="IndexLink"/>
              </w:rPr>
              <w:t>416</w:t>
            </w:r>
          </w:hyperlink>
        </w:p>
        <w:p>
          <w:pPr>
            <w:pStyle w:val="Contents5"/>
            <w:tabs>
              <w:tab w:val="clear" w:pos="7892"/>
              <w:tab w:val="right" w:pos="9026" w:leader="dot"/>
            </w:tabs>
            <w:rPr/>
          </w:pPr>
          <w:hyperlink w:anchor="__RefHeading___Toc9424420_73709187">
            <w:r>
              <w:rPr>
                <w:webHidden/>
                <w:rStyle w:val="IndexLink"/>
                <w:rtl w:val="true"/>
              </w:rPr>
              <w:t>شروط المنفَق علیهم</w:t>
            </w:r>
            <w:r>
              <w:rPr>
                <w:rStyle w:val="IndexLink"/>
                <w:rtl w:val="true"/>
              </w:rPr>
              <w:t>:</w:t>
              <w:tab/>
            </w:r>
            <w:r>
              <w:rPr>
                <w:rStyle w:val="IndexLink"/>
              </w:rPr>
              <w:t>416</w:t>
            </w:r>
          </w:hyperlink>
        </w:p>
        <w:p>
          <w:pPr>
            <w:pStyle w:val="Contents6"/>
            <w:tabs>
              <w:tab w:val="clear" w:pos="7609"/>
              <w:tab w:val="right" w:pos="9026" w:leader="dot"/>
            </w:tabs>
            <w:rPr/>
          </w:pPr>
          <w:hyperlink w:anchor="__RefHeading___Toc9424422_73709187">
            <w:r>
              <w:rPr>
                <w:webHidden/>
                <w:rStyle w:val="IndexLink"/>
                <w:rtl w:val="true"/>
              </w:rPr>
              <w:t>الأوّل</w:t>
            </w:r>
            <w:r>
              <w:rPr>
                <w:rStyle w:val="IndexLink"/>
                <w:rtl w:val="true"/>
              </w:rPr>
              <w:t xml:space="preserve">: </w:t>
            </w:r>
            <w:r>
              <w:rPr>
                <w:rStyle w:val="IndexLink"/>
                <w:rtl w:val="true"/>
              </w:rPr>
              <w:t>أن یکون الولد فقیراً معسراً محتاجاً</w:t>
            </w:r>
            <w:r>
              <w:rPr>
                <w:rStyle w:val="IndexLink"/>
                <w:rtl w:val="true"/>
              </w:rPr>
              <w:tab/>
            </w:r>
            <w:r>
              <w:rPr>
                <w:rStyle w:val="IndexLink"/>
              </w:rPr>
              <w:t>416</w:t>
            </w:r>
          </w:hyperlink>
        </w:p>
        <w:p>
          <w:pPr>
            <w:pStyle w:val="Contents6"/>
            <w:tabs>
              <w:tab w:val="clear" w:pos="7609"/>
              <w:tab w:val="right" w:pos="9026" w:leader="dot"/>
            </w:tabs>
            <w:rPr/>
          </w:pPr>
          <w:hyperlink w:anchor="__RefHeading___Toc9424424_73709187">
            <w:r>
              <w:rPr>
                <w:webHidden/>
                <w:rStyle w:val="IndexLink"/>
                <w:rtl w:val="true"/>
              </w:rPr>
              <w:t>الثانی</w:t>
            </w:r>
            <w:r>
              <w:rPr>
                <w:rStyle w:val="IndexLink"/>
                <w:rtl w:val="true"/>
              </w:rPr>
              <w:t xml:space="preserve">: </w:t>
            </w:r>
            <w:r>
              <w:rPr>
                <w:rStyle w:val="IndexLink"/>
                <w:rtl w:val="true"/>
              </w:rPr>
              <w:t>یشترط أن یکون الولد عاجزاً عن الاکتساب</w:t>
            </w:r>
            <w:r>
              <w:rPr>
                <w:rStyle w:val="IndexLink"/>
                <w:rtl w:val="true"/>
              </w:rPr>
              <w:tab/>
            </w:r>
            <w:r>
              <w:rPr>
                <w:rStyle w:val="IndexLink"/>
              </w:rPr>
              <w:t>417</w:t>
            </w:r>
          </w:hyperlink>
        </w:p>
        <w:p>
          <w:pPr>
            <w:pStyle w:val="Contents6"/>
            <w:tabs>
              <w:tab w:val="clear" w:pos="7609"/>
              <w:tab w:val="right" w:pos="9026" w:leader="dot"/>
            </w:tabs>
            <w:rPr/>
          </w:pPr>
          <w:hyperlink w:anchor="__RefHeading___Toc9424426_73709187">
            <w:r>
              <w:rPr>
                <w:webHidden/>
                <w:rStyle w:val="IndexLink"/>
                <w:rtl w:val="true"/>
              </w:rPr>
              <w:t>الشرط الثالث علی قولٍ‌</w:t>
            </w:r>
            <w:r>
              <w:rPr>
                <w:rStyle w:val="IndexLink"/>
                <w:rtl w:val="true"/>
              </w:rPr>
              <w:tab/>
            </w:r>
            <w:r>
              <w:rPr>
                <w:rStyle w:val="IndexLink"/>
              </w:rPr>
              <w:t>418</w:t>
            </w:r>
          </w:hyperlink>
        </w:p>
        <w:p>
          <w:pPr>
            <w:pStyle w:val="Contents5"/>
            <w:tabs>
              <w:tab w:val="clear" w:pos="7892"/>
              <w:tab w:val="right" w:pos="9026" w:leader="dot"/>
            </w:tabs>
            <w:rPr/>
          </w:pPr>
          <w:hyperlink w:anchor="__RefHeading___Toc9424428_73709187">
            <w:r>
              <w:rPr>
                <w:webHidden/>
                <w:rStyle w:val="IndexLink"/>
                <w:rtl w:val="true"/>
              </w:rPr>
              <w:t>هل عدم الکفر أیضاً شرط؟</w:t>
            </w:r>
            <w:r>
              <w:rPr>
                <w:rStyle w:val="IndexLink"/>
                <w:rtl w:val="true"/>
              </w:rPr>
              <w:tab/>
            </w:r>
            <w:r>
              <w:rPr>
                <w:rStyle w:val="IndexLink"/>
              </w:rPr>
              <w:t>420</w:t>
            </w:r>
          </w:hyperlink>
        </w:p>
        <w:p>
          <w:pPr>
            <w:pStyle w:val="Contents5"/>
            <w:tabs>
              <w:tab w:val="clear" w:pos="7892"/>
              <w:tab w:val="right" w:pos="9026" w:leader="dot"/>
            </w:tabs>
            <w:rPr/>
          </w:pPr>
          <w:hyperlink w:anchor="__RefHeading___Toc9424430_73709187">
            <w:r>
              <w:rPr>
                <w:webHidden/>
                <w:rStyle w:val="IndexLink"/>
                <w:rtl w:val="true"/>
              </w:rPr>
              <w:t>یجب علی الرجل التکسب لنفقة نفسه</w:t>
            </w:r>
            <w:r>
              <w:rPr>
                <w:rStyle w:val="IndexLink"/>
                <w:rtl w:val="true"/>
              </w:rPr>
              <w:tab/>
            </w:r>
            <w:r>
              <w:rPr>
                <w:rStyle w:val="IndexLink"/>
              </w:rPr>
              <w:t>421</w:t>
            </w:r>
          </w:hyperlink>
        </w:p>
        <w:p>
          <w:pPr>
            <w:pStyle w:val="Contents5"/>
            <w:tabs>
              <w:tab w:val="clear" w:pos="7892"/>
              <w:tab w:val="right" w:pos="9026" w:leader="dot"/>
            </w:tabs>
            <w:rPr/>
          </w:pPr>
          <w:hyperlink w:anchor="__RefHeading___Toc9424432_73709187">
            <w:r>
              <w:rPr>
                <w:webHidden/>
                <w:rStyle w:val="IndexLink"/>
                <w:rtl w:val="true"/>
              </w:rPr>
              <w:t>هل یجب التکسّب لنفقة الأولاد و الأقارب؟</w:t>
            </w:r>
            <w:r>
              <w:rPr>
                <w:rStyle w:val="IndexLink"/>
                <w:rtl w:val="true"/>
              </w:rPr>
              <w:tab/>
            </w:r>
            <w:r>
              <w:rPr>
                <w:rStyle w:val="IndexLink"/>
              </w:rPr>
              <w:t>422</w:t>
            </w:r>
          </w:hyperlink>
        </w:p>
        <w:p>
          <w:pPr>
            <w:pStyle w:val="Contents5"/>
            <w:tabs>
              <w:tab w:val="clear" w:pos="7892"/>
              <w:tab w:val="right" w:pos="9026" w:leader="dot"/>
            </w:tabs>
            <w:rPr/>
          </w:pPr>
          <w:hyperlink w:anchor="__RefHeading___Toc9424434_73709187">
            <w:r>
              <w:rPr>
                <w:webHidden/>
                <w:rStyle w:val="IndexLink"/>
                <w:rtl w:val="true"/>
              </w:rPr>
              <w:t>قول بعض أهل السنّة فی المسألة</w:t>
            </w:r>
            <w:r>
              <w:rPr>
                <w:rStyle w:val="IndexLink"/>
                <w:rtl w:val="true"/>
              </w:rPr>
              <w:tab/>
            </w:r>
            <w:r>
              <w:rPr>
                <w:rStyle w:val="IndexLink"/>
              </w:rPr>
              <w:t>425</w:t>
            </w:r>
          </w:hyperlink>
        </w:p>
        <w:p>
          <w:pPr>
            <w:pStyle w:val="Contents5"/>
            <w:tabs>
              <w:tab w:val="clear" w:pos="7892"/>
              <w:tab w:val="right" w:pos="9026" w:leader="dot"/>
            </w:tabs>
            <w:rPr/>
          </w:pPr>
          <w:hyperlink w:anchor="__RefHeading___Toc9424436_73709187">
            <w:r>
              <w:rPr>
                <w:webHidden/>
                <w:rStyle w:val="IndexLink"/>
                <w:rtl w:val="true"/>
              </w:rPr>
              <w:t>لا تجب النفقة للصغیر إذا اکتسب فعلاً</w:t>
            </w:r>
            <w:r>
              <w:rPr>
                <w:rStyle w:val="IndexLink"/>
                <w:rtl w:val="true"/>
              </w:rPr>
              <w:tab/>
            </w:r>
            <w:r>
              <w:rPr>
                <w:rStyle w:val="IndexLink"/>
              </w:rPr>
              <w:t>425</w:t>
            </w:r>
          </w:hyperlink>
        </w:p>
        <w:p>
          <w:pPr>
            <w:pStyle w:val="Contents5"/>
            <w:tabs>
              <w:tab w:val="clear" w:pos="7892"/>
              <w:tab w:val="right" w:pos="9026" w:leader="dot"/>
            </w:tabs>
            <w:rPr/>
          </w:pPr>
          <w:hyperlink w:anchor="__RefHeading___Toc9424438_73709187">
            <w:r>
              <w:rPr>
                <w:webHidden/>
                <w:rStyle w:val="IndexLink"/>
                <w:rtl w:val="true"/>
              </w:rPr>
              <w:t>هل یجبر الصغیر علی الاکتساب إذا استطاع؟</w:t>
            </w:r>
            <w:r>
              <w:rPr>
                <w:rStyle w:val="IndexLink"/>
                <w:rtl w:val="true"/>
              </w:rPr>
              <w:tab/>
            </w:r>
            <w:r>
              <w:rPr>
                <w:rStyle w:val="IndexLink"/>
              </w:rPr>
              <w:t>426</w:t>
            </w:r>
          </w:hyperlink>
        </w:p>
        <w:p>
          <w:pPr>
            <w:pStyle w:val="Contents5"/>
            <w:tabs>
              <w:tab w:val="clear" w:pos="7892"/>
              <w:tab w:val="right" w:pos="9026" w:leader="dot"/>
            </w:tabs>
            <w:rPr/>
          </w:pPr>
          <w:hyperlink w:anchor="__RefHeading___Toc9424440_73709187">
            <w:r>
              <w:rPr>
                <w:webHidden/>
                <w:rStyle w:val="IndexLink"/>
                <w:rtl w:val="true"/>
              </w:rPr>
              <w:t>متی ینتهی وجوب النفقة علی الأولاد؟</w:t>
            </w:r>
            <w:r>
              <w:rPr>
                <w:rStyle w:val="IndexLink"/>
                <w:rtl w:val="true"/>
              </w:rPr>
              <w:tab/>
            </w:r>
            <w:r>
              <w:rPr>
                <w:rStyle w:val="IndexLink"/>
              </w:rPr>
              <w:t>428</w:t>
            </w:r>
          </w:hyperlink>
        </w:p>
        <w:p>
          <w:pPr>
            <w:pStyle w:val="Contents5"/>
            <w:tabs>
              <w:tab w:val="clear" w:pos="7892"/>
              <w:tab w:val="right" w:pos="9026" w:leader="dot"/>
            </w:tabs>
            <w:rPr/>
          </w:pPr>
          <w:hyperlink w:anchor="__RefHeading___Toc9424442_73709187">
            <w:r>
              <w:rPr>
                <w:webHidden/>
                <w:rStyle w:val="IndexLink"/>
                <w:rtl w:val="true"/>
              </w:rPr>
              <w:t>مقدار نفقة الأقارب</w:t>
            </w:r>
            <w:r>
              <w:rPr>
                <w:rStyle w:val="IndexLink"/>
                <w:rtl w:val="true"/>
              </w:rPr>
              <w:tab/>
            </w:r>
            <w:r>
              <w:rPr>
                <w:rStyle w:val="IndexLink"/>
              </w:rPr>
              <w:t>429</w:t>
            </w:r>
          </w:hyperlink>
        </w:p>
        <w:p>
          <w:pPr>
            <w:pStyle w:val="Contents5"/>
            <w:tabs>
              <w:tab w:val="clear" w:pos="7892"/>
              <w:tab w:val="right" w:pos="9026" w:leader="dot"/>
            </w:tabs>
            <w:rPr/>
          </w:pPr>
          <w:hyperlink w:anchor="__RefHeading___Toc9424444_73709187">
            <w:r>
              <w:rPr>
                <w:webHidden/>
                <w:rStyle w:val="IndexLink"/>
                <w:rtl w:val="true"/>
              </w:rPr>
              <w:t>نظر أهل السنّة فی المسألة</w:t>
            </w:r>
            <w:r>
              <w:rPr>
                <w:rStyle w:val="IndexLink"/>
                <w:rtl w:val="true"/>
              </w:rPr>
              <w:tab/>
            </w:r>
            <w:r>
              <w:rPr>
                <w:rStyle w:val="IndexLink"/>
              </w:rPr>
              <w:t>431</w:t>
            </w:r>
          </w:hyperlink>
        </w:p>
        <w:p>
          <w:pPr>
            <w:pStyle w:val="Contents5"/>
            <w:tabs>
              <w:tab w:val="clear" w:pos="7892"/>
              <w:tab w:val="right" w:pos="9026" w:leader="dot"/>
            </w:tabs>
            <w:rPr/>
          </w:pPr>
          <w:hyperlink w:anchor="__RefHeading___Toc9424446_73709187">
            <w:r>
              <w:rPr>
                <w:webHidden/>
                <w:rStyle w:val="IndexLink"/>
                <w:rtl w:val="true"/>
              </w:rPr>
              <w:t>نفقة التعلیم و المعالجة</w:t>
            </w:r>
            <w:r>
              <w:rPr>
                <w:rStyle w:val="IndexLink"/>
                <w:rtl w:val="true"/>
              </w:rPr>
              <w:tab/>
            </w:r>
            <w:r>
              <w:rPr>
                <w:rStyle w:val="IndexLink"/>
              </w:rPr>
              <w:t>431</w:t>
            </w:r>
          </w:hyperlink>
        </w:p>
        <w:p>
          <w:pPr>
            <w:pStyle w:val="Contents4"/>
            <w:tabs>
              <w:tab w:val="clear" w:pos="8176"/>
              <w:tab w:val="right" w:pos="9026" w:leader="dot"/>
            </w:tabs>
            <w:rPr/>
          </w:pPr>
          <w:hyperlink w:anchor="__RefHeading___Toc9424448_73709187">
            <w:r>
              <w:rPr>
                <w:webHidden/>
                <w:rStyle w:val="IndexLink"/>
                <w:rtl w:val="true"/>
              </w:rPr>
              <w:t>المبحث الثالث</w:t>
            </w:r>
            <w:r>
              <w:rPr>
                <w:rStyle w:val="IndexLink"/>
                <w:rtl w:val="true"/>
              </w:rPr>
              <w:t xml:space="preserve">: </w:t>
            </w:r>
            <w:r>
              <w:rPr>
                <w:rStyle w:val="IndexLink"/>
                <w:rtl w:val="true"/>
              </w:rPr>
              <w:t>الترتیب فی الإنفاق</w:t>
            </w:r>
            <w:r>
              <w:rPr>
                <w:rStyle w:val="IndexLink"/>
                <w:rtl w:val="true"/>
              </w:rPr>
              <w:tab/>
            </w:r>
            <w:r>
              <w:rPr>
                <w:rStyle w:val="IndexLink"/>
              </w:rPr>
              <w:t>432</w:t>
            </w:r>
          </w:hyperlink>
        </w:p>
        <w:p>
          <w:pPr>
            <w:pStyle w:val="Contents5"/>
            <w:tabs>
              <w:tab w:val="clear" w:pos="7892"/>
              <w:tab w:val="right" w:pos="9026" w:leader="dot"/>
            </w:tabs>
            <w:rPr/>
          </w:pPr>
          <w:hyperlink w:anchor="__RefHeading___Toc9424450_73709187">
            <w:r>
              <w:rPr>
                <w:webHidden/>
                <w:rStyle w:val="IndexLink"/>
                <w:rtl w:val="true"/>
              </w:rPr>
              <w:t>اشارة</w:t>
            </w:r>
            <w:r>
              <w:rPr>
                <w:rStyle w:val="IndexLink"/>
                <w:rtl w:val="true"/>
              </w:rPr>
              <w:tab/>
            </w:r>
            <w:r>
              <w:rPr>
                <w:rStyle w:val="IndexLink"/>
              </w:rPr>
              <w:t>432</w:t>
            </w:r>
          </w:hyperlink>
        </w:p>
        <w:p>
          <w:pPr>
            <w:pStyle w:val="Contents5"/>
            <w:tabs>
              <w:tab w:val="clear" w:pos="7892"/>
              <w:tab w:val="right" w:pos="9026" w:leader="dot"/>
            </w:tabs>
            <w:rPr/>
          </w:pPr>
          <w:hyperlink w:anchor="__RefHeading___Toc9424452_73709187">
            <w:r>
              <w:rPr>
                <w:webHidden/>
                <w:rStyle w:val="IndexLink"/>
                <w:rtl w:val="true"/>
              </w:rPr>
              <w:t>یتفرّع علی التساوی أمور</w:t>
            </w:r>
            <w:r>
              <w:rPr>
                <w:rStyle w:val="IndexLink"/>
                <w:rtl w:val="true"/>
              </w:rPr>
              <w:tab/>
            </w:r>
            <w:r>
              <w:rPr>
                <w:rStyle w:val="IndexLink"/>
              </w:rPr>
              <w:t>436</w:t>
            </w:r>
          </w:hyperlink>
        </w:p>
        <w:p>
          <w:pPr>
            <w:pStyle w:val="Contents5"/>
            <w:tabs>
              <w:tab w:val="clear" w:pos="7892"/>
              <w:tab w:val="right" w:pos="9026" w:leader="dot"/>
            </w:tabs>
            <w:rPr/>
          </w:pPr>
          <w:hyperlink w:anchor="__RefHeading___Toc9424454_73709187">
            <w:r>
              <w:rPr>
                <w:webHidden/>
                <w:rStyle w:val="IndexLink"/>
                <w:rtl w:val="true"/>
              </w:rPr>
              <w:t>نظر أهل السنّة فی المسألة</w:t>
            </w:r>
            <w:r>
              <w:rPr>
                <w:rStyle w:val="IndexLink"/>
                <w:rtl w:val="true"/>
              </w:rPr>
              <w:tab/>
            </w:r>
            <w:r>
              <w:rPr>
                <w:rStyle w:val="IndexLink"/>
              </w:rPr>
              <w:t>438</w:t>
            </w:r>
          </w:hyperlink>
        </w:p>
        <w:p>
          <w:pPr>
            <w:pStyle w:val="Contents5"/>
            <w:tabs>
              <w:tab w:val="clear" w:pos="7892"/>
              <w:tab w:val="right" w:pos="9026" w:leader="dot"/>
            </w:tabs>
            <w:rPr/>
          </w:pPr>
          <w:hyperlink w:anchor="__RefHeading___Toc9424456_73709187">
            <w:r>
              <w:rPr>
                <w:webHidden/>
                <w:rStyle w:val="IndexLink"/>
                <w:rtl w:val="true"/>
              </w:rPr>
              <w:t>المبحث الرابع</w:t>
            </w:r>
            <w:r>
              <w:rPr>
                <w:rStyle w:val="IndexLink"/>
                <w:rtl w:val="true"/>
              </w:rPr>
              <w:t xml:space="preserve">: </w:t>
            </w:r>
            <w:r>
              <w:rPr>
                <w:rStyle w:val="IndexLink"/>
                <w:rtl w:val="true"/>
              </w:rPr>
              <w:t>حکم الامتناع عن النفقة</w:t>
            </w:r>
            <w:r>
              <w:rPr>
                <w:rStyle w:val="IndexLink"/>
                <w:rtl w:val="true"/>
              </w:rPr>
              <w:tab/>
            </w:r>
            <w:r>
              <w:rPr>
                <w:rStyle w:val="IndexLink"/>
              </w:rPr>
              <w:t>441</w:t>
            </w:r>
          </w:hyperlink>
        </w:p>
        <w:p>
          <w:pPr>
            <w:pStyle w:val="Contents5"/>
            <w:tabs>
              <w:tab w:val="clear" w:pos="7892"/>
              <w:tab w:val="right" w:pos="9026" w:leader="dot"/>
            </w:tabs>
            <w:rPr/>
          </w:pPr>
          <w:hyperlink w:anchor="__RefHeading___Toc9424458_73709187">
            <w:r>
              <w:rPr>
                <w:webHidden/>
                <w:rStyle w:val="IndexLink"/>
                <w:rtl w:val="true"/>
              </w:rPr>
              <w:t>وجه نظر الفقهاء فی هذه الأحکام</w:t>
            </w:r>
            <w:r>
              <w:rPr>
                <w:rStyle w:val="IndexLink"/>
                <w:rtl w:val="true"/>
              </w:rPr>
              <w:tab/>
            </w:r>
            <w:r>
              <w:rPr>
                <w:rStyle w:val="IndexLink"/>
              </w:rPr>
              <w:t>443</w:t>
            </w:r>
          </w:hyperlink>
        </w:p>
        <w:p>
          <w:pPr>
            <w:pStyle w:val="Contents5"/>
            <w:tabs>
              <w:tab w:val="clear" w:pos="7892"/>
              <w:tab w:val="right" w:pos="9026" w:leader="dot"/>
            </w:tabs>
            <w:rPr/>
          </w:pPr>
          <w:hyperlink w:anchor="__RefHeading___Toc9424460_73709187">
            <w:r>
              <w:rPr>
                <w:webHidden/>
                <w:rStyle w:val="IndexLink"/>
                <w:rtl w:val="true"/>
              </w:rPr>
              <w:t>نظر أهل السنّة فی المسألة</w:t>
            </w:r>
            <w:r>
              <w:rPr>
                <w:rStyle w:val="IndexLink"/>
                <w:rtl w:val="true"/>
              </w:rPr>
              <w:tab/>
            </w:r>
            <w:r>
              <w:rPr>
                <w:rStyle w:val="IndexLink"/>
              </w:rPr>
              <w:t>445</w:t>
            </w:r>
          </w:hyperlink>
        </w:p>
        <w:p>
          <w:pPr>
            <w:pStyle w:val="Contents5"/>
            <w:tabs>
              <w:tab w:val="clear" w:pos="7892"/>
              <w:tab w:val="right" w:pos="9026" w:leader="dot"/>
            </w:tabs>
            <w:rPr/>
          </w:pPr>
          <w:hyperlink w:anchor="__RefHeading___Toc9424462_73709187">
            <w:r>
              <w:rPr>
                <w:webHidden/>
                <w:rStyle w:val="IndexLink"/>
                <w:rtl w:val="true"/>
              </w:rPr>
              <w:t>ما الفرق بین نفقة الأولاد و نفقة الزوجة؟</w:t>
            </w:r>
            <w:r>
              <w:rPr>
                <w:rStyle w:val="IndexLink"/>
                <w:rtl w:val="true"/>
              </w:rPr>
              <w:tab/>
            </w:r>
            <w:r>
              <w:rPr>
                <w:rStyle w:val="IndexLink"/>
              </w:rPr>
              <w:t>446</w:t>
            </w:r>
          </w:hyperlink>
        </w:p>
        <w:p>
          <w:pPr>
            <w:pStyle w:val="Contents3"/>
            <w:tabs>
              <w:tab w:val="clear" w:pos="8459"/>
              <w:tab w:val="right" w:pos="9026" w:leader="dot"/>
            </w:tabs>
            <w:rPr/>
          </w:pPr>
          <w:hyperlink w:anchor="__RefHeading___Toc9424464_73709187">
            <w:r>
              <w:rPr>
                <w:webHidden/>
                <w:rStyle w:val="IndexLink"/>
                <w:rtl w:val="true"/>
              </w:rPr>
              <w:t>الفصل الثانی فی نفقة الأیتام و أطفال الفقراء و المساکین</w:t>
            </w:r>
            <w:r>
              <w:rPr>
                <w:rStyle w:val="IndexLink"/>
                <w:rtl w:val="true"/>
              </w:rPr>
              <w:tab/>
            </w:r>
            <w:r>
              <w:rPr>
                <w:rStyle w:val="IndexLink"/>
              </w:rPr>
              <w:t>448</w:t>
            </w:r>
          </w:hyperlink>
        </w:p>
        <w:p>
          <w:pPr>
            <w:pStyle w:val="Contents4"/>
            <w:tabs>
              <w:tab w:val="clear" w:pos="8176"/>
              <w:tab w:val="right" w:pos="9026" w:leader="dot"/>
            </w:tabs>
            <w:rPr/>
          </w:pPr>
          <w:hyperlink w:anchor="__RefHeading___Toc9424466_73709187">
            <w:r>
              <w:rPr>
                <w:webHidden/>
                <w:rStyle w:val="IndexLink"/>
                <w:rtl w:val="true"/>
              </w:rPr>
              <w:t>تمهیدٌ</w:t>
            </w:r>
            <w:r>
              <w:rPr>
                <w:rStyle w:val="IndexLink"/>
                <w:rtl w:val="true"/>
              </w:rPr>
              <w:tab/>
            </w:r>
            <w:r>
              <w:rPr>
                <w:rStyle w:val="IndexLink"/>
              </w:rPr>
              <w:t>448</w:t>
            </w:r>
          </w:hyperlink>
        </w:p>
        <w:p>
          <w:pPr>
            <w:pStyle w:val="Contents4"/>
            <w:tabs>
              <w:tab w:val="clear" w:pos="8176"/>
              <w:tab w:val="right" w:pos="9026" w:leader="dot"/>
            </w:tabs>
            <w:rPr/>
          </w:pPr>
          <w:hyperlink w:anchor="__RefHeading___Toc9424468_73709187">
            <w:r>
              <w:rPr>
                <w:webHidden/>
                <w:rStyle w:val="IndexLink"/>
                <w:rtl w:val="true"/>
              </w:rPr>
              <w:t>المبحث الأوّل</w:t>
            </w:r>
            <w:r>
              <w:rPr>
                <w:rStyle w:val="IndexLink"/>
                <w:rtl w:val="true"/>
              </w:rPr>
              <w:t xml:space="preserve">: </w:t>
            </w:r>
            <w:r>
              <w:rPr>
                <w:rStyle w:val="IndexLink"/>
                <w:rtl w:val="true"/>
              </w:rPr>
              <w:t>تحصیل نفقة الأیتام من الزکاة</w:t>
            </w:r>
            <w:r>
              <w:rPr>
                <w:rStyle w:val="IndexLink"/>
                <w:rtl w:val="true"/>
              </w:rPr>
              <w:tab/>
            </w:r>
            <w:r>
              <w:rPr>
                <w:rStyle w:val="IndexLink"/>
              </w:rPr>
              <w:t>451</w:t>
            </w:r>
          </w:hyperlink>
        </w:p>
        <w:p>
          <w:pPr>
            <w:pStyle w:val="Contents5"/>
            <w:tabs>
              <w:tab w:val="clear" w:pos="7892"/>
              <w:tab w:val="right" w:pos="9026" w:leader="dot"/>
            </w:tabs>
            <w:rPr/>
          </w:pPr>
          <w:hyperlink w:anchor="__RefHeading___Toc9424470_73709187">
            <w:r>
              <w:rPr>
                <w:webHidden/>
                <w:rStyle w:val="IndexLink"/>
                <w:rtl w:val="true"/>
              </w:rPr>
              <w:t>اشارة</w:t>
            </w:r>
            <w:r>
              <w:rPr>
                <w:rStyle w:val="IndexLink"/>
                <w:rtl w:val="true"/>
              </w:rPr>
              <w:tab/>
            </w:r>
            <w:r>
              <w:rPr>
                <w:rStyle w:val="IndexLink"/>
              </w:rPr>
              <w:t>451</w:t>
            </w:r>
          </w:hyperlink>
        </w:p>
        <w:p>
          <w:pPr>
            <w:pStyle w:val="Contents5"/>
            <w:tabs>
              <w:tab w:val="clear" w:pos="7892"/>
              <w:tab w:val="right" w:pos="9026" w:leader="dot"/>
            </w:tabs>
            <w:rPr/>
          </w:pPr>
          <w:hyperlink w:anchor="__RefHeading___Toc9424472_73709187">
            <w:r>
              <w:rPr>
                <w:webHidden/>
                <w:rStyle w:val="IndexLink"/>
                <w:rtl w:val="true"/>
              </w:rPr>
              <w:t>زکاة الفطرة قوت للفقراء</w:t>
            </w:r>
            <w:r>
              <w:rPr>
                <w:rStyle w:val="IndexLink"/>
                <w:rtl w:val="true"/>
              </w:rPr>
              <w:tab/>
            </w:r>
            <w:r>
              <w:rPr>
                <w:rStyle w:val="IndexLink"/>
              </w:rPr>
              <w:t>453</w:t>
            </w:r>
          </w:hyperlink>
        </w:p>
        <w:p>
          <w:pPr>
            <w:pStyle w:val="Contents5"/>
            <w:tabs>
              <w:tab w:val="clear" w:pos="7892"/>
              <w:tab w:val="right" w:pos="9026" w:leader="dot"/>
            </w:tabs>
            <w:rPr/>
          </w:pPr>
          <w:hyperlink w:anchor="__RefHeading___Toc9424474_73709187">
            <w:r>
              <w:rPr>
                <w:webHidden/>
                <w:rStyle w:val="IndexLink"/>
                <w:rtl w:val="true"/>
              </w:rPr>
              <w:t>مصرف الزکاة فی فقه أهل السنّة</w:t>
            </w:r>
            <w:r>
              <w:rPr>
                <w:rStyle w:val="IndexLink"/>
                <w:rtl w:val="true"/>
              </w:rPr>
              <w:tab/>
            </w:r>
            <w:r>
              <w:rPr>
                <w:rStyle w:val="IndexLink"/>
              </w:rPr>
              <w:t>455</w:t>
            </w:r>
          </w:hyperlink>
        </w:p>
        <w:p>
          <w:pPr>
            <w:pStyle w:val="Contents4"/>
            <w:tabs>
              <w:tab w:val="clear" w:pos="8176"/>
              <w:tab w:val="right" w:pos="9026" w:leader="dot"/>
            </w:tabs>
            <w:rPr/>
          </w:pPr>
          <w:hyperlink w:anchor="__RefHeading___Toc9424476_73709187">
            <w:r>
              <w:rPr>
                <w:webHidden/>
                <w:rStyle w:val="IndexLink"/>
                <w:rtl w:val="true"/>
              </w:rPr>
              <w:t>المبحث الثانی</w:t>
            </w:r>
            <w:r>
              <w:rPr>
                <w:rStyle w:val="IndexLink"/>
                <w:rtl w:val="true"/>
              </w:rPr>
              <w:t xml:space="preserve">: </w:t>
            </w:r>
            <w:r>
              <w:rPr>
                <w:rStyle w:val="IndexLink"/>
                <w:rtl w:val="true"/>
              </w:rPr>
              <w:t>تحصیل نفقة الأیتام من الکفّارات</w:t>
            </w:r>
            <w:r>
              <w:rPr>
                <w:rStyle w:val="IndexLink"/>
                <w:rtl w:val="true"/>
              </w:rPr>
              <w:tab/>
            </w:r>
            <w:r>
              <w:rPr>
                <w:rStyle w:val="IndexLink"/>
              </w:rPr>
              <w:t>456</w:t>
            </w:r>
          </w:hyperlink>
        </w:p>
        <w:p>
          <w:pPr>
            <w:pStyle w:val="Contents5"/>
            <w:tabs>
              <w:tab w:val="clear" w:pos="7892"/>
              <w:tab w:val="right" w:pos="9026" w:leader="dot"/>
            </w:tabs>
            <w:rPr/>
          </w:pPr>
          <w:hyperlink w:anchor="__RefHeading___Toc9424478_73709187">
            <w:r>
              <w:rPr>
                <w:webHidden/>
                <w:rStyle w:val="IndexLink"/>
                <w:rtl w:val="true"/>
              </w:rPr>
              <w:t>اشارة</w:t>
            </w:r>
            <w:r>
              <w:rPr>
                <w:rStyle w:val="IndexLink"/>
                <w:rtl w:val="true"/>
              </w:rPr>
              <w:tab/>
            </w:r>
            <w:r>
              <w:rPr>
                <w:rStyle w:val="IndexLink"/>
              </w:rPr>
              <w:t>456</w:t>
            </w:r>
          </w:hyperlink>
        </w:p>
        <w:p>
          <w:pPr>
            <w:pStyle w:val="Contents5"/>
            <w:tabs>
              <w:tab w:val="clear" w:pos="7892"/>
              <w:tab w:val="right" w:pos="9026" w:leader="dot"/>
            </w:tabs>
            <w:rPr/>
          </w:pPr>
          <w:hyperlink w:anchor="__RefHeading___Toc9424480_73709187">
            <w:r>
              <w:rPr>
                <w:webHidden/>
                <w:rStyle w:val="IndexLink"/>
                <w:rtl w:val="true"/>
              </w:rPr>
              <w:t>مصرف الکفّارات فی فقه أهل السنّة</w:t>
            </w:r>
            <w:r>
              <w:rPr>
                <w:rStyle w:val="IndexLink"/>
                <w:rtl w:val="true"/>
              </w:rPr>
              <w:tab/>
            </w:r>
            <w:r>
              <w:rPr>
                <w:rStyle w:val="IndexLink"/>
              </w:rPr>
              <w:t>462</w:t>
            </w:r>
          </w:hyperlink>
        </w:p>
        <w:p>
          <w:pPr>
            <w:pStyle w:val="Contents5"/>
            <w:tabs>
              <w:tab w:val="clear" w:pos="7892"/>
              <w:tab w:val="right" w:pos="9026" w:leader="dot"/>
            </w:tabs>
            <w:rPr/>
          </w:pPr>
          <w:hyperlink w:anchor="__RefHeading___Toc9424482_73709187">
            <w:r>
              <w:rPr>
                <w:webHidden/>
                <w:rStyle w:val="IndexLink"/>
                <w:rtl w:val="true"/>
              </w:rPr>
              <w:t>«</w:t>
            </w:r>
            <w:r>
              <w:rPr>
                <w:rStyle w:val="IndexLink"/>
                <w:rtl w:val="true"/>
              </w:rPr>
              <w:t>ثلاث مسائل ترتبط بالمقام</w:t>
            </w:r>
            <w:r>
              <w:rPr>
                <w:rStyle w:val="IndexLink"/>
                <w:rtl w:val="true"/>
              </w:rPr>
              <w:t>»</w:t>
              <w:tab/>
            </w:r>
            <w:r>
              <w:rPr>
                <w:rStyle w:val="IndexLink"/>
              </w:rPr>
              <w:t>463</w:t>
            </w:r>
          </w:hyperlink>
        </w:p>
        <w:p>
          <w:pPr>
            <w:pStyle w:val="Contents4"/>
            <w:tabs>
              <w:tab w:val="clear" w:pos="8176"/>
              <w:tab w:val="right" w:pos="9026" w:leader="dot"/>
            </w:tabs>
            <w:rPr/>
          </w:pPr>
          <w:hyperlink w:anchor="__RefHeading___Toc9424484_73709187">
            <w:r>
              <w:rPr>
                <w:webHidden/>
                <w:rStyle w:val="IndexLink"/>
                <w:rtl w:val="true"/>
              </w:rPr>
              <w:t>المبحث الثالث</w:t>
            </w:r>
            <w:r>
              <w:rPr>
                <w:rStyle w:val="IndexLink"/>
                <w:rtl w:val="true"/>
              </w:rPr>
              <w:t xml:space="preserve">: </w:t>
            </w:r>
            <w:r>
              <w:rPr>
                <w:rStyle w:val="IndexLink"/>
                <w:rtl w:val="true"/>
              </w:rPr>
              <w:t>کون الخمس نفقةً لأیتام ذرّیّة الرسول صلی الله علیه و آله</w:t>
            </w:r>
            <w:r>
              <w:rPr>
                <w:rStyle w:val="IndexLink"/>
                <w:rtl w:val="true"/>
              </w:rPr>
              <w:tab/>
            </w:r>
            <w:r>
              <w:rPr>
                <w:rStyle w:val="IndexLink"/>
              </w:rPr>
              <w:t>468</w:t>
            </w:r>
          </w:hyperlink>
        </w:p>
        <w:p>
          <w:pPr>
            <w:pStyle w:val="Contents5"/>
            <w:tabs>
              <w:tab w:val="clear" w:pos="7892"/>
              <w:tab w:val="right" w:pos="9026" w:leader="dot"/>
            </w:tabs>
            <w:rPr/>
          </w:pPr>
          <w:hyperlink w:anchor="__RefHeading___Toc9424486_73709187">
            <w:r>
              <w:rPr>
                <w:webHidden/>
                <w:rStyle w:val="IndexLink"/>
                <w:rtl w:val="true"/>
              </w:rPr>
              <w:t>اشارة</w:t>
            </w:r>
            <w:r>
              <w:rPr>
                <w:rStyle w:val="IndexLink"/>
                <w:rtl w:val="true"/>
              </w:rPr>
              <w:tab/>
            </w:r>
            <w:r>
              <w:rPr>
                <w:rStyle w:val="IndexLink"/>
              </w:rPr>
              <w:t>468</w:t>
            </w:r>
          </w:hyperlink>
        </w:p>
        <w:p>
          <w:pPr>
            <w:pStyle w:val="Contents5"/>
            <w:tabs>
              <w:tab w:val="clear" w:pos="7892"/>
              <w:tab w:val="right" w:pos="9026" w:leader="dot"/>
            </w:tabs>
            <w:rPr/>
          </w:pPr>
          <w:hyperlink w:anchor="__RefHeading___Toc9424488_73709187">
            <w:r>
              <w:rPr>
                <w:webHidden/>
                <w:rStyle w:val="IndexLink"/>
                <w:rtl w:val="true"/>
              </w:rPr>
              <w:t>ما الذی نستفیده من الأخبار؟</w:t>
            </w:r>
            <w:r>
              <w:rPr>
                <w:rStyle w:val="IndexLink"/>
                <w:rtl w:val="true"/>
              </w:rPr>
              <w:tab/>
            </w:r>
            <w:r>
              <w:rPr>
                <w:rStyle w:val="IndexLink"/>
              </w:rPr>
              <w:t>471</w:t>
            </w:r>
          </w:hyperlink>
        </w:p>
        <w:p>
          <w:pPr>
            <w:pStyle w:val="Contents5"/>
            <w:tabs>
              <w:tab w:val="clear" w:pos="7892"/>
              <w:tab w:val="right" w:pos="9026" w:leader="dot"/>
            </w:tabs>
            <w:rPr/>
          </w:pPr>
          <w:hyperlink w:anchor="__RefHeading___Toc9424490_73709187">
            <w:r>
              <w:rPr>
                <w:webHidden/>
                <w:rStyle w:val="IndexLink"/>
                <w:rtl w:val="true"/>
              </w:rPr>
              <w:t>عدم اختصاص الخمس بأیتام السادة فی فقه أهل السنّة</w:t>
            </w:r>
            <w:r>
              <w:rPr>
                <w:rStyle w:val="IndexLink"/>
                <w:rtl w:val="true"/>
              </w:rPr>
              <w:tab/>
            </w:r>
            <w:r>
              <w:rPr>
                <w:rStyle w:val="IndexLink"/>
              </w:rPr>
              <w:t>472</w:t>
            </w:r>
          </w:hyperlink>
        </w:p>
        <w:p>
          <w:pPr>
            <w:pStyle w:val="Contents5"/>
            <w:tabs>
              <w:tab w:val="clear" w:pos="7892"/>
              <w:tab w:val="right" w:pos="9026" w:leader="dot"/>
            </w:tabs>
            <w:rPr/>
          </w:pPr>
          <w:hyperlink w:anchor="__RefHeading___Toc9424492_73709187">
            <w:r>
              <w:rPr>
                <w:webHidden/>
                <w:rStyle w:val="IndexLink"/>
                <w:rtl w:val="true"/>
              </w:rPr>
              <w:t>تأمین نفقة أیتام السادة من الزکاة</w:t>
            </w:r>
            <w:r>
              <w:rPr>
                <w:rStyle w:val="IndexLink"/>
                <w:rtl w:val="true"/>
              </w:rPr>
              <w:tab/>
            </w:r>
            <w:r>
              <w:rPr>
                <w:rStyle w:val="IndexLink"/>
              </w:rPr>
              <w:t>474</w:t>
            </w:r>
          </w:hyperlink>
        </w:p>
        <w:p>
          <w:pPr>
            <w:pStyle w:val="Contents5"/>
            <w:tabs>
              <w:tab w:val="clear" w:pos="7892"/>
              <w:tab w:val="right" w:pos="9026" w:leader="dot"/>
            </w:tabs>
            <w:rPr/>
          </w:pPr>
          <w:hyperlink w:anchor="__RefHeading___Toc9424494_73709187">
            <w:r>
              <w:rPr>
                <w:webHidden/>
                <w:rStyle w:val="IndexLink"/>
                <w:rtl w:val="true"/>
              </w:rPr>
              <w:t>لا تحرم نفقة أیتام السادة من الصدقات المندوبة</w:t>
            </w:r>
            <w:r>
              <w:rPr>
                <w:rStyle w:val="IndexLink"/>
                <w:rtl w:val="true"/>
              </w:rPr>
              <w:tab/>
            </w:r>
            <w:r>
              <w:rPr>
                <w:rStyle w:val="IndexLink"/>
              </w:rPr>
              <w:t>476</w:t>
            </w:r>
          </w:hyperlink>
        </w:p>
        <w:p>
          <w:pPr>
            <w:pStyle w:val="Contents5"/>
            <w:tabs>
              <w:tab w:val="clear" w:pos="7892"/>
              <w:tab w:val="right" w:pos="9026" w:leader="dot"/>
            </w:tabs>
            <w:rPr/>
          </w:pPr>
          <w:hyperlink w:anchor="__RefHeading___Toc9424496_73709187">
            <w:r>
              <w:rPr>
                <w:webHidden/>
                <w:rStyle w:val="IndexLink"/>
                <w:rtl w:val="true"/>
              </w:rPr>
              <w:t>اختلاف الشیعة و أهل السنّة فی أصناف الخمس</w:t>
            </w:r>
            <w:r>
              <w:rPr>
                <w:rStyle w:val="IndexLink"/>
                <w:rtl w:val="true"/>
              </w:rPr>
              <w:tab/>
            </w:r>
            <w:r>
              <w:rPr>
                <w:rStyle w:val="IndexLink"/>
              </w:rPr>
              <w:t>477</w:t>
            </w:r>
          </w:hyperlink>
        </w:p>
        <w:p>
          <w:pPr>
            <w:pStyle w:val="Contents4"/>
            <w:tabs>
              <w:tab w:val="clear" w:pos="8176"/>
              <w:tab w:val="right" w:pos="9026" w:leader="dot"/>
            </w:tabs>
            <w:rPr/>
          </w:pPr>
          <w:hyperlink w:anchor="__RefHeading___Toc9424498_73709187">
            <w:r>
              <w:rPr>
                <w:webHidden/>
                <w:rStyle w:val="IndexLink"/>
                <w:rtl w:val="true"/>
              </w:rPr>
              <w:t>المبحث الرابع</w:t>
            </w:r>
            <w:r>
              <w:rPr>
                <w:rStyle w:val="IndexLink"/>
                <w:rtl w:val="true"/>
              </w:rPr>
              <w:t xml:space="preserve">: </w:t>
            </w:r>
            <w:r>
              <w:rPr>
                <w:rStyle w:val="IndexLink"/>
                <w:rtl w:val="true"/>
              </w:rPr>
              <w:t>تأمین نفقة الأیتام من الأنفال</w:t>
            </w:r>
            <w:r>
              <w:rPr>
                <w:rStyle w:val="IndexLink"/>
                <w:rtl w:val="true"/>
              </w:rPr>
              <w:tab/>
            </w:r>
            <w:r>
              <w:rPr>
                <w:rStyle w:val="IndexLink"/>
              </w:rPr>
              <w:t>480</w:t>
            </w:r>
          </w:hyperlink>
        </w:p>
        <w:p>
          <w:pPr>
            <w:pStyle w:val="Contents5"/>
            <w:tabs>
              <w:tab w:val="clear" w:pos="7892"/>
              <w:tab w:val="right" w:pos="9026" w:leader="dot"/>
            </w:tabs>
            <w:rPr/>
          </w:pPr>
          <w:hyperlink w:anchor="__RefHeading___Toc9424500_73709187">
            <w:r>
              <w:rPr>
                <w:webHidden/>
                <w:rStyle w:val="IndexLink"/>
                <w:rtl w:val="true"/>
              </w:rPr>
              <w:t>اشارة</w:t>
            </w:r>
            <w:r>
              <w:rPr>
                <w:rStyle w:val="IndexLink"/>
                <w:rtl w:val="true"/>
              </w:rPr>
              <w:tab/>
            </w:r>
            <w:r>
              <w:rPr>
                <w:rStyle w:val="IndexLink"/>
              </w:rPr>
              <w:t>480</w:t>
            </w:r>
          </w:hyperlink>
        </w:p>
        <w:p>
          <w:pPr>
            <w:pStyle w:val="Contents5"/>
            <w:tabs>
              <w:tab w:val="clear" w:pos="7892"/>
              <w:tab w:val="right" w:pos="9026" w:leader="dot"/>
            </w:tabs>
            <w:rPr/>
          </w:pPr>
          <w:hyperlink w:anchor="__RefHeading___Toc9424502_73709187">
            <w:r>
              <w:rPr>
                <w:webHidden/>
                <w:rStyle w:val="IndexLink"/>
                <w:rtl w:val="true"/>
              </w:rPr>
              <w:t>إنّ الإمام علیه السلام ینفق علی الأیتام من الأنفال</w:t>
            </w:r>
            <w:r>
              <w:rPr>
                <w:rStyle w:val="IndexLink"/>
                <w:rtl w:val="true"/>
              </w:rPr>
              <w:tab/>
            </w:r>
            <w:r>
              <w:rPr>
                <w:rStyle w:val="IndexLink"/>
              </w:rPr>
              <w:t>485</w:t>
            </w:r>
          </w:hyperlink>
        </w:p>
        <w:p>
          <w:pPr>
            <w:pStyle w:val="Contents5"/>
            <w:tabs>
              <w:tab w:val="clear" w:pos="7892"/>
              <w:tab w:val="right" w:pos="9026" w:leader="dot"/>
            </w:tabs>
            <w:rPr/>
          </w:pPr>
          <w:hyperlink w:anchor="__RefHeading___Toc9424504_73709187">
            <w:r>
              <w:rPr>
                <w:webHidden/>
                <w:rStyle w:val="IndexLink"/>
                <w:rtl w:val="true"/>
              </w:rPr>
              <w:t>تأمین نفقة الأیتام من الفیء أیضاً</w:t>
            </w:r>
            <w:r>
              <w:rPr>
                <w:rStyle w:val="IndexLink"/>
                <w:rtl w:val="true"/>
              </w:rPr>
              <w:tab/>
            </w:r>
            <w:r>
              <w:rPr>
                <w:rStyle w:val="IndexLink"/>
              </w:rPr>
              <w:t>487</w:t>
            </w:r>
          </w:hyperlink>
        </w:p>
        <w:p>
          <w:pPr>
            <w:pStyle w:val="Contents5"/>
            <w:tabs>
              <w:tab w:val="clear" w:pos="7892"/>
              <w:tab w:val="right" w:pos="9026" w:leader="dot"/>
            </w:tabs>
            <w:rPr/>
          </w:pPr>
          <w:hyperlink w:anchor="__RefHeading___Toc9424506_73709187">
            <w:r>
              <w:rPr>
                <w:webHidden/>
                <w:rStyle w:val="IndexLink"/>
                <w:rtl w:val="true"/>
              </w:rPr>
              <w:t>اعتقاد مذاهب أهل السنة فی الأنفال و الفیء</w:t>
            </w:r>
            <w:r>
              <w:rPr>
                <w:rStyle w:val="IndexLink"/>
                <w:rtl w:val="true"/>
              </w:rPr>
              <w:tab/>
            </w:r>
            <w:r>
              <w:rPr>
                <w:rStyle w:val="IndexLink"/>
              </w:rPr>
              <w:t>489</w:t>
            </w:r>
          </w:hyperlink>
        </w:p>
        <w:p>
          <w:pPr>
            <w:pStyle w:val="Contents5"/>
            <w:tabs>
              <w:tab w:val="clear" w:pos="7892"/>
              <w:tab w:val="right" w:pos="9026" w:leader="dot"/>
            </w:tabs>
            <w:rPr/>
          </w:pPr>
          <w:hyperlink w:anchor="__RefHeading___Toc9424508_73709187">
            <w:r>
              <w:rPr>
                <w:webHidden/>
                <w:rStyle w:val="IndexLink"/>
                <w:rtl w:val="true"/>
              </w:rPr>
              <w:t>إیضاحٌ‌</w:t>
            </w:r>
            <w:r>
              <w:rPr>
                <w:rStyle w:val="IndexLink"/>
                <w:rtl w:val="true"/>
              </w:rPr>
              <w:tab/>
            </w:r>
            <w:r>
              <w:rPr>
                <w:rStyle w:val="IndexLink"/>
              </w:rPr>
              <w:t>490</w:t>
            </w:r>
          </w:hyperlink>
        </w:p>
        <w:p>
          <w:pPr>
            <w:pStyle w:val="Contents4"/>
            <w:tabs>
              <w:tab w:val="clear" w:pos="8176"/>
              <w:tab w:val="right" w:pos="9026" w:leader="dot"/>
            </w:tabs>
            <w:rPr/>
          </w:pPr>
          <w:hyperlink w:anchor="__RefHeading___Toc9424510_73709187">
            <w:r>
              <w:rPr>
                <w:webHidden/>
                <w:rStyle w:val="IndexLink"/>
                <w:rtl w:val="true"/>
              </w:rPr>
              <w:t>المبحث الخامس</w:t>
            </w:r>
            <w:r>
              <w:rPr>
                <w:rStyle w:val="IndexLink"/>
                <w:rtl w:val="true"/>
              </w:rPr>
              <w:t xml:space="preserve">: </w:t>
            </w:r>
            <w:r>
              <w:rPr>
                <w:rStyle w:val="IndexLink"/>
                <w:rtl w:val="true"/>
              </w:rPr>
              <w:t>تأمین نفقة الأیتام من الجزیة</w:t>
            </w:r>
            <w:r>
              <w:rPr>
                <w:rStyle w:val="IndexLink"/>
                <w:rtl w:val="true"/>
              </w:rPr>
              <w:tab/>
            </w:r>
            <w:r>
              <w:rPr>
                <w:rStyle w:val="IndexLink"/>
              </w:rPr>
              <w:t>492</w:t>
            </w:r>
          </w:hyperlink>
        </w:p>
        <w:p>
          <w:pPr>
            <w:pStyle w:val="Contents5"/>
            <w:tabs>
              <w:tab w:val="clear" w:pos="7892"/>
              <w:tab w:val="right" w:pos="9026" w:leader="dot"/>
            </w:tabs>
            <w:rPr/>
          </w:pPr>
          <w:hyperlink w:anchor="__RefHeading___Toc9424512_73709187">
            <w:r>
              <w:rPr>
                <w:webHidden/>
                <w:rStyle w:val="IndexLink"/>
                <w:rtl w:val="true"/>
              </w:rPr>
              <w:t>اشارة</w:t>
            </w:r>
            <w:r>
              <w:rPr>
                <w:rStyle w:val="IndexLink"/>
                <w:rtl w:val="true"/>
              </w:rPr>
              <w:tab/>
            </w:r>
            <w:r>
              <w:rPr>
                <w:rStyle w:val="IndexLink"/>
              </w:rPr>
              <w:t>492</w:t>
            </w:r>
          </w:hyperlink>
        </w:p>
        <w:p>
          <w:pPr>
            <w:pStyle w:val="Contents5"/>
            <w:tabs>
              <w:tab w:val="clear" w:pos="7892"/>
              <w:tab w:val="right" w:pos="9026" w:leader="dot"/>
            </w:tabs>
            <w:rPr/>
          </w:pPr>
          <w:hyperlink w:anchor="__RefHeading___Toc9424514_73709187">
            <w:r>
              <w:rPr>
                <w:webHidden/>
                <w:rStyle w:val="IndexLink"/>
                <w:rtl w:val="true"/>
              </w:rPr>
              <w:t>آراء المذاهب الأربعة فی مصرف الجزیة</w:t>
            </w:r>
            <w:r>
              <w:rPr>
                <w:rStyle w:val="IndexLink"/>
                <w:rtl w:val="true"/>
              </w:rPr>
              <w:tab/>
            </w:r>
            <w:r>
              <w:rPr>
                <w:rStyle w:val="IndexLink"/>
              </w:rPr>
              <w:t>495</w:t>
            </w:r>
          </w:hyperlink>
        </w:p>
        <w:p>
          <w:pPr>
            <w:pStyle w:val="Contents4"/>
            <w:tabs>
              <w:tab w:val="clear" w:pos="8176"/>
              <w:tab w:val="right" w:pos="9026" w:leader="dot"/>
            </w:tabs>
            <w:rPr/>
          </w:pPr>
          <w:hyperlink w:anchor="__RefHeading___Toc9424516_73709187">
            <w:r>
              <w:rPr>
                <w:webHidden/>
                <w:rStyle w:val="IndexLink"/>
                <w:rtl w:val="true"/>
              </w:rPr>
              <w:t>المبحث السادس</w:t>
            </w:r>
            <w:r>
              <w:rPr>
                <w:rStyle w:val="IndexLink"/>
                <w:rtl w:val="true"/>
              </w:rPr>
              <w:t xml:space="preserve">: </w:t>
            </w:r>
            <w:r>
              <w:rPr>
                <w:rStyle w:val="IndexLink"/>
                <w:rtl w:val="true"/>
              </w:rPr>
              <w:t>تأمین نفقة الأیتام من الخراج</w:t>
            </w:r>
            <w:r>
              <w:rPr>
                <w:rStyle w:val="IndexLink"/>
                <w:rtl w:val="true"/>
              </w:rPr>
              <w:tab/>
            </w:r>
            <w:r>
              <w:rPr>
                <w:rStyle w:val="IndexLink"/>
              </w:rPr>
              <w:t>497</w:t>
            </w:r>
          </w:hyperlink>
        </w:p>
        <w:p>
          <w:pPr>
            <w:pStyle w:val="Contents5"/>
            <w:tabs>
              <w:tab w:val="clear" w:pos="7892"/>
              <w:tab w:val="right" w:pos="9026" w:leader="dot"/>
            </w:tabs>
            <w:rPr/>
          </w:pPr>
          <w:hyperlink w:anchor="__RefHeading___Toc9424518_73709187">
            <w:r>
              <w:rPr>
                <w:webHidden/>
                <w:rStyle w:val="IndexLink"/>
                <w:rtl w:val="true"/>
              </w:rPr>
              <w:t>اشارة</w:t>
            </w:r>
            <w:r>
              <w:rPr>
                <w:rStyle w:val="IndexLink"/>
                <w:rtl w:val="true"/>
              </w:rPr>
              <w:tab/>
            </w:r>
            <w:r>
              <w:rPr>
                <w:rStyle w:val="IndexLink"/>
              </w:rPr>
              <w:t>497</w:t>
            </w:r>
          </w:hyperlink>
        </w:p>
        <w:p>
          <w:pPr>
            <w:pStyle w:val="Contents5"/>
            <w:tabs>
              <w:tab w:val="clear" w:pos="7892"/>
              <w:tab w:val="right" w:pos="9026" w:leader="dot"/>
            </w:tabs>
            <w:rPr/>
          </w:pPr>
          <w:hyperlink w:anchor="__RefHeading___Toc9424520_73709187">
            <w:r>
              <w:rPr>
                <w:webHidden/>
                <w:rStyle w:val="IndexLink"/>
                <w:rtl w:val="true"/>
              </w:rPr>
              <w:t>نظر أهل السنّة فی المسألة</w:t>
            </w:r>
            <w:r>
              <w:rPr>
                <w:rStyle w:val="IndexLink"/>
                <w:rtl w:val="true"/>
              </w:rPr>
              <w:tab/>
            </w:r>
            <w:r>
              <w:rPr>
                <w:rStyle w:val="IndexLink"/>
              </w:rPr>
              <w:t>500</w:t>
            </w:r>
          </w:hyperlink>
        </w:p>
        <w:p>
          <w:pPr>
            <w:pStyle w:val="Contents4"/>
            <w:tabs>
              <w:tab w:val="clear" w:pos="8176"/>
              <w:tab w:val="right" w:pos="9026" w:leader="dot"/>
            </w:tabs>
            <w:rPr/>
          </w:pPr>
          <w:hyperlink w:anchor="__RefHeading___Toc9424522_73709187">
            <w:r>
              <w:rPr>
                <w:webHidden/>
                <w:rStyle w:val="IndexLink"/>
                <w:rtl w:val="true"/>
              </w:rPr>
              <w:t>المبحث السابع</w:t>
            </w:r>
            <w:r>
              <w:rPr>
                <w:rStyle w:val="IndexLink"/>
                <w:rtl w:val="true"/>
              </w:rPr>
              <w:t xml:space="preserve">: </w:t>
            </w:r>
            <w:r>
              <w:rPr>
                <w:rStyle w:val="IndexLink"/>
                <w:rtl w:val="true"/>
              </w:rPr>
              <w:t>تأمین نفقة الأیتام من الصدقات</w:t>
            </w:r>
            <w:r>
              <w:rPr>
                <w:rStyle w:val="IndexLink"/>
                <w:rtl w:val="true"/>
              </w:rPr>
              <w:tab/>
            </w:r>
            <w:r>
              <w:rPr>
                <w:rStyle w:val="IndexLink"/>
              </w:rPr>
              <w:t>501</w:t>
            </w:r>
          </w:hyperlink>
        </w:p>
        <w:p>
          <w:pPr>
            <w:pStyle w:val="Contents5"/>
            <w:tabs>
              <w:tab w:val="clear" w:pos="7892"/>
              <w:tab w:val="right" w:pos="9026" w:leader="dot"/>
            </w:tabs>
            <w:rPr/>
          </w:pPr>
          <w:hyperlink w:anchor="__RefHeading___Toc9424524_73709187">
            <w:r>
              <w:rPr>
                <w:webHidden/>
                <w:rStyle w:val="IndexLink"/>
                <w:rtl w:val="true"/>
              </w:rPr>
              <w:t>تمهید</w:t>
            </w:r>
            <w:r>
              <w:rPr>
                <w:rStyle w:val="IndexLink"/>
                <w:rtl w:val="true"/>
              </w:rPr>
              <w:tab/>
            </w:r>
            <w:r>
              <w:rPr>
                <w:rStyle w:val="IndexLink"/>
              </w:rPr>
              <w:t>501</w:t>
            </w:r>
          </w:hyperlink>
        </w:p>
        <w:p>
          <w:pPr>
            <w:pStyle w:val="Contents5"/>
            <w:tabs>
              <w:tab w:val="clear" w:pos="7892"/>
              <w:tab w:val="right" w:pos="9026" w:leader="dot"/>
            </w:tabs>
            <w:rPr/>
          </w:pPr>
          <w:hyperlink w:anchor="__RefHeading___Toc9424526_73709187">
            <w:r>
              <w:rPr>
                <w:webHidden/>
                <w:rStyle w:val="IndexLink"/>
                <w:rtl w:val="true"/>
              </w:rPr>
              <w:t>أمّا المطلب الأوّل</w:t>
            </w:r>
            <w:r>
              <w:rPr>
                <w:rStyle w:val="IndexLink"/>
                <w:rtl w:val="true"/>
              </w:rPr>
              <w:t>:</w:t>
              <w:tab/>
            </w:r>
            <w:r>
              <w:rPr>
                <w:rStyle w:val="IndexLink"/>
              </w:rPr>
              <w:t>501</w:t>
            </w:r>
          </w:hyperlink>
        </w:p>
        <w:p>
          <w:pPr>
            <w:pStyle w:val="Contents5"/>
            <w:tabs>
              <w:tab w:val="clear" w:pos="7892"/>
              <w:tab w:val="right" w:pos="9026" w:leader="dot"/>
            </w:tabs>
            <w:rPr/>
          </w:pPr>
          <w:hyperlink w:anchor="__RefHeading___Toc9424528_73709187">
            <w:r>
              <w:rPr>
                <w:webHidden/>
                <w:rStyle w:val="IndexLink"/>
                <w:rtl w:val="true"/>
              </w:rPr>
              <w:t>المطلب الثانی</w:t>
            </w:r>
            <w:r>
              <w:rPr>
                <w:rStyle w:val="IndexLink"/>
                <w:rtl w:val="true"/>
              </w:rPr>
              <w:t>:</w:t>
              <w:tab/>
            </w:r>
            <w:r>
              <w:rPr>
                <w:rStyle w:val="IndexLink"/>
              </w:rPr>
              <w:t>503</w:t>
            </w:r>
          </w:hyperlink>
        </w:p>
        <w:p>
          <w:pPr>
            <w:pStyle w:val="Contents3"/>
            <w:tabs>
              <w:tab w:val="clear" w:pos="8459"/>
              <w:tab w:val="right" w:pos="9026" w:leader="dot"/>
            </w:tabs>
            <w:rPr/>
          </w:pPr>
          <w:hyperlink w:anchor="__RefHeading___Toc9424530_73709187">
            <w:r>
              <w:rPr>
                <w:webHidden/>
                <w:rStyle w:val="IndexLink"/>
                <w:rtl w:val="true"/>
              </w:rPr>
              <w:t>الفصل الثالث حرمة تغذیة الصبیان بمال الغیر و عین النجس</w:t>
            </w:r>
            <w:r>
              <w:rPr>
                <w:rStyle w:val="IndexLink"/>
                <w:rtl w:val="true"/>
              </w:rPr>
              <w:tab/>
            </w:r>
            <w:r>
              <w:rPr>
                <w:rStyle w:val="IndexLink"/>
              </w:rPr>
              <w:t>506</w:t>
            </w:r>
          </w:hyperlink>
        </w:p>
        <w:p>
          <w:pPr>
            <w:pStyle w:val="Contents4"/>
            <w:tabs>
              <w:tab w:val="clear" w:pos="8176"/>
              <w:tab w:val="right" w:pos="9026" w:leader="dot"/>
            </w:tabs>
            <w:rPr/>
          </w:pPr>
          <w:hyperlink w:anchor="__RefHeading___Toc9424532_73709187">
            <w:r>
              <w:rPr>
                <w:webHidden/>
                <w:rStyle w:val="IndexLink"/>
                <w:rtl w:val="true"/>
              </w:rPr>
              <w:t>تمهید</w:t>
            </w:r>
            <w:r>
              <w:rPr>
                <w:rStyle w:val="IndexLink"/>
                <w:rtl w:val="true"/>
              </w:rPr>
              <w:tab/>
            </w:r>
            <w:r>
              <w:rPr>
                <w:rStyle w:val="IndexLink"/>
              </w:rPr>
              <w:t>506</w:t>
            </w:r>
          </w:hyperlink>
        </w:p>
        <w:p>
          <w:pPr>
            <w:pStyle w:val="Contents4"/>
            <w:tabs>
              <w:tab w:val="clear" w:pos="8176"/>
              <w:tab w:val="right" w:pos="9026" w:leader="dot"/>
            </w:tabs>
            <w:rPr/>
          </w:pPr>
          <w:hyperlink w:anchor="__RefHeading___Toc9424534_73709187">
            <w:r>
              <w:rPr>
                <w:webHidden/>
                <w:rStyle w:val="IndexLink"/>
                <w:rtl w:val="true"/>
              </w:rPr>
              <w:t>المبحث الأوّل</w:t>
            </w:r>
            <w:r>
              <w:rPr>
                <w:rStyle w:val="IndexLink"/>
                <w:rtl w:val="true"/>
              </w:rPr>
              <w:t xml:space="preserve">: </w:t>
            </w:r>
            <w:r>
              <w:rPr>
                <w:rStyle w:val="IndexLink"/>
                <w:rtl w:val="true"/>
              </w:rPr>
              <w:t>عدم جواز إطعام الصغار من مال الغیر و ممّا تعلّق به الخمس و الزکاة</w:t>
            </w:r>
            <w:r>
              <w:rPr>
                <w:rStyle w:val="IndexLink"/>
                <w:rtl w:val="true"/>
              </w:rPr>
              <w:tab/>
            </w:r>
            <w:r>
              <w:rPr>
                <w:rStyle w:val="IndexLink"/>
              </w:rPr>
              <w:t>507</w:t>
            </w:r>
          </w:hyperlink>
        </w:p>
        <w:p>
          <w:pPr>
            <w:pStyle w:val="Contents5"/>
            <w:tabs>
              <w:tab w:val="clear" w:pos="7892"/>
              <w:tab w:val="right" w:pos="9026" w:leader="dot"/>
            </w:tabs>
            <w:rPr/>
          </w:pPr>
          <w:hyperlink w:anchor="__RefHeading___Toc9424536_73709187">
            <w:r>
              <w:rPr>
                <w:webHidden/>
                <w:rStyle w:val="IndexLink"/>
                <w:rtl w:val="true"/>
              </w:rPr>
              <w:t>اشارة</w:t>
            </w:r>
            <w:r>
              <w:rPr>
                <w:rStyle w:val="IndexLink"/>
                <w:rtl w:val="true"/>
              </w:rPr>
              <w:tab/>
            </w:r>
            <w:r>
              <w:rPr>
                <w:rStyle w:val="IndexLink"/>
              </w:rPr>
              <w:t>507</w:t>
            </w:r>
          </w:hyperlink>
        </w:p>
        <w:p>
          <w:pPr>
            <w:pStyle w:val="Contents5"/>
            <w:tabs>
              <w:tab w:val="clear" w:pos="7892"/>
              <w:tab w:val="right" w:pos="9026" w:leader="dot"/>
            </w:tabs>
            <w:rPr/>
          </w:pPr>
          <w:hyperlink w:anchor="__RefHeading___Toc9424538_73709187">
            <w:r>
              <w:rPr>
                <w:webHidden/>
                <w:rStyle w:val="IndexLink"/>
                <w:rtl w:val="true"/>
              </w:rPr>
              <w:t>المطلب الأوّل</w:t>
            </w:r>
            <w:r>
              <w:rPr>
                <w:rStyle w:val="IndexLink"/>
                <w:rtl w:val="true"/>
              </w:rPr>
              <w:t xml:space="preserve">: </w:t>
            </w:r>
            <w:r>
              <w:rPr>
                <w:rStyle w:val="IndexLink"/>
                <w:rtl w:val="true"/>
              </w:rPr>
              <w:t>عدم جواز إطعامهم من مال الغیر</w:t>
            </w:r>
            <w:r>
              <w:rPr>
                <w:rStyle w:val="IndexLink"/>
                <w:rtl w:val="true"/>
              </w:rPr>
              <w:tab/>
            </w:r>
            <w:r>
              <w:rPr>
                <w:rStyle w:val="IndexLink"/>
              </w:rPr>
              <w:t>507</w:t>
            </w:r>
          </w:hyperlink>
        </w:p>
        <w:p>
          <w:pPr>
            <w:pStyle w:val="Contents6"/>
            <w:tabs>
              <w:tab w:val="clear" w:pos="7609"/>
              <w:tab w:val="right" w:pos="9026" w:leader="dot"/>
            </w:tabs>
            <w:rPr/>
          </w:pPr>
          <w:hyperlink w:anchor="__RefHeading___Toc9424540_73709187">
            <w:r>
              <w:rPr>
                <w:webHidden/>
                <w:rStyle w:val="IndexLink"/>
                <w:rtl w:val="true"/>
              </w:rPr>
              <w:t>اشارة</w:t>
            </w:r>
            <w:r>
              <w:rPr>
                <w:rStyle w:val="IndexLink"/>
                <w:rtl w:val="true"/>
              </w:rPr>
              <w:tab/>
            </w:r>
            <w:r>
              <w:rPr>
                <w:rStyle w:val="IndexLink"/>
              </w:rPr>
              <w:t>507</w:t>
            </w:r>
          </w:hyperlink>
        </w:p>
        <w:p>
          <w:pPr>
            <w:pStyle w:val="Contents6"/>
            <w:tabs>
              <w:tab w:val="clear" w:pos="7609"/>
              <w:tab w:val="right" w:pos="9026" w:leader="dot"/>
            </w:tabs>
            <w:rPr/>
          </w:pPr>
          <w:hyperlink w:anchor="__RefHeading___Toc9424542_73709187">
            <w:r>
              <w:rPr>
                <w:webHidden/>
                <w:rStyle w:val="IndexLink"/>
                <w:rtl w:val="true"/>
              </w:rPr>
              <w:t>رأی أهل السنّة فی المسألة</w:t>
            </w:r>
            <w:r>
              <w:rPr>
                <w:rStyle w:val="IndexLink"/>
                <w:rtl w:val="true"/>
              </w:rPr>
              <w:tab/>
            </w:r>
            <w:r>
              <w:rPr>
                <w:rStyle w:val="IndexLink"/>
              </w:rPr>
              <w:t>508</w:t>
            </w:r>
          </w:hyperlink>
        </w:p>
        <w:p>
          <w:pPr>
            <w:pStyle w:val="Contents6"/>
            <w:tabs>
              <w:tab w:val="clear" w:pos="7609"/>
              <w:tab w:val="right" w:pos="9026" w:leader="dot"/>
            </w:tabs>
            <w:rPr/>
          </w:pPr>
          <w:hyperlink w:anchor="__RefHeading___Toc9424544_73709187">
            <w:r>
              <w:rPr>
                <w:webHidden/>
                <w:rStyle w:val="IndexLink"/>
                <w:rtl w:val="true"/>
              </w:rPr>
              <w:t>تنبیهان</w:t>
            </w:r>
            <w:r>
              <w:rPr>
                <w:rStyle w:val="IndexLink"/>
                <w:rtl w:val="true"/>
              </w:rPr>
              <w:t>:</w:t>
              <w:tab/>
            </w:r>
            <w:r>
              <w:rPr>
                <w:rStyle w:val="IndexLink"/>
              </w:rPr>
              <w:t>509</w:t>
            </w:r>
          </w:hyperlink>
        </w:p>
        <w:p>
          <w:pPr>
            <w:pStyle w:val="Contents5"/>
            <w:tabs>
              <w:tab w:val="clear" w:pos="7892"/>
              <w:tab w:val="right" w:pos="9026" w:leader="dot"/>
            </w:tabs>
            <w:rPr/>
          </w:pPr>
          <w:hyperlink w:anchor="__RefHeading___Toc9424546_73709187">
            <w:r>
              <w:rPr>
                <w:webHidden/>
                <w:rStyle w:val="IndexLink"/>
                <w:rtl w:val="true"/>
              </w:rPr>
              <w:t>المطلب الثانی</w:t>
            </w:r>
            <w:r>
              <w:rPr>
                <w:rStyle w:val="IndexLink"/>
                <w:rtl w:val="true"/>
              </w:rPr>
              <w:t xml:space="preserve">: </w:t>
            </w:r>
            <w:r>
              <w:rPr>
                <w:rStyle w:val="IndexLink"/>
                <w:rtl w:val="true"/>
              </w:rPr>
              <w:t>نفقة الأطفال من عین تعلّق بها الخمس</w:t>
            </w:r>
            <w:r>
              <w:rPr>
                <w:rStyle w:val="IndexLink"/>
                <w:rtl w:val="true"/>
              </w:rPr>
              <w:tab/>
            </w:r>
            <w:r>
              <w:rPr>
                <w:rStyle w:val="IndexLink"/>
              </w:rPr>
              <w:t>509</w:t>
            </w:r>
          </w:hyperlink>
        </w:p>
        <w:p>
          <w:pPr>
            <w:pStyle w:val="Contents5"/>
            <w:tabs>
              <w:tab w:val="clear" w:pos="7892"/>
              <w:tab w:val="right" w:pos="9026" w:leader="dot"/>
            </w:tabs>
            <w:rPr/>
          </w:pPr>
          <w:hyperlink w:anchor="__RefHeading___Toc9424548_73709187">
            <w:r>
              <w:rPr>
                <w:webHidden/>
                <w:rStyle w:val="IndexLink"/>
                <w:rtl w:val="true"/>
              </w:rPr>
              <w:t>المطلب الثالث</w:t>
            </w:r>
            <w:r>
              <w:rPr>
                <w:rStyle w:val="IndexLink"/>
                <w:rtl w:val="true"/>
              </w:rPr>
              <w:t xml:space="preserve">: </w:t>
            </w:r>
            <w:r>
              <w:rPr>
                <w:rStyle w:val="IndexLink"/>
                <w:rtl w:val="true"/>
              </w:rPr>
              <w:t>عدم جواز إنفاق الأطفال من مالٍ تعلّقت به الزکاة</w:t>
            </w:r>
            <w:r>
              <w:rPr>
                <w:rStyle w:val="IndexLink"/>
                <w:rtl w:val="true"/>
              </w:rPr>
              <w:tab/>
            </w:r>
            <w:r>
              <w:rPr>
                <w:rStyle w:val="IndexLink"/>
              </w:rPr>
              <w:t>514</w:t>
            </w:r>
          </w:hyperlink>
        </w:p>
        <w:p>
          <w:pPr>
            <w:pStyle w:val="Contents6"/>
            <w:tabs>
              <w:tab w:val="clear" w:pos="7609"/>
              <w:tab w:val="right" w:pos="9026" w:leader="dot"/>
            </w:tabs>
            <w:rPr/>
          </w:pPr>
          <w:hyperlink w:anchor="__RefHeading___Toc9424550_73709187">
            <w:r>
              <w:rPr>
                <w:webHidden/>
                <w:rStyle w:val="IndexLink"/>
                <w:rtl w:val="true"/>
              </w:rPr>
              <w:t>اشارة</w:t>
            </w:r>
            <w:r>
              <w:rPr>
                <w:rStyle w:val="IndexLink"/>
                <w:rtl w:val="true"/>
              </w:rPr>
              <w:tab/>
            </w:r>
            <w:r>
              <w:rPr>
                <w:rStyle w:val="IndexLink"/>
              </w:rPr>
              <w:t>514</w:t>
            </w:r>
          </w:hyperlink>
        </w:p>
        <w:p>
          <w:pPr>
            <w:pStyle w:val="Contents6"/>
            <w:tabs>
              <w:tab w:val="clear" w:pos="7609"/>
              <w:tab w:val="right" w:pos="9026" w:leader="dot"/>
            </w:tabs>
            <w:rPr/>
          </w:pPr>
          <w:hyperlink w:anchor="__RefHeading___Toc9424552_73709187">
            <w:r>
              <w:rPr>
                <w:webHidden/>
                <w:rStyle w:val="IndexLink"/>
                <w:rtl w:val="true"/>
              </w:rPr>
              <w:t>رأی أهل السنّة فی المسألة</w:t>
            </w:r>
            <w:r>
              <w:rPr>
                <w:rStyle w:val="IndexLink"/>
                <w:rtl w:val="true"/>
              </w:rPr>
              <w:tab/>
            </w:r>
            <w:r>
              <w:rPr>
                <w:rStyle w:val="IndexLink"/>
              </w:rPr>
              <w:t>518</w:t>
            </w:r>
          </w:hyperlink>
        </w:p>
        <w:p>
          <w:pPr>
            <w:pStyle w:val="Contents4"/>
            <w:tabs>
              <w:tab w:val="clear" w:pos="8176"/>
              <w:tab w:val="right" w:pos="9026" w:leader="dot"/>
            </w:tabs>
            <w:rPr/>
          </w:pPr>
          <w:hyperlink w:anchor="__RefHeading___Toc9424554_73709187">
            <w:r>
              <w:rPr>
                <w:webHidden/>
                <w:rStyle w:val="IndexLink"/>
                <w:rtl w:val="true"/>
              </w:rPr>
              <w:t>المبحث الثانی</w:t>
            </w:r>
            <w:r>
              <w:rPr>
                <w:rStyle w:val="IndexLink"/>
                <w:rtl w:val="true"/>
              </w:rPr>
              <w:t>:</w:t>
              <w:tab/>
            </w:r>
            <w:r>
              <w:rPr>
                <w:rStyle w:val="IndexLink"/>
              </w:rPr>
              <w:t>519</w:t>
            </w:r>
          </w:hyperlink>
        </w:p>
        <w:p>
          <w:pPr>
            <w:pStyle w:val="Contents5"/>
            <w:tabs>
              <w:tab w:val="clear" w:pos="7892"/>
              <w:tab w:val="right" w:pos="9026" w:leader="dot"/>
            </w:tabs>
            <w:rPr/>
          </w:pPr>
          <w:hyperlink w:anchor="__RefHeading___Toc9424556_73709187">
            <w:r>
              <w:rPr>
                <w:webHidden/>
                <w:rStyle w:val="IndexLink"/>
                <w:rtl w:val="true"/>
              </w:rPr>
              <w:t>اشارة</w:t>
            </w:r>
            <w:r>
              <w:rPr>
                <w:rStyle w:val="IndexLink"/>
                <w:rtl w:val="true"/>
              </w:rPr>
              <w:tab/>
            </w:r>
            <w:r>
              <w:rPr>
                <w:rStyle w:val="IndexLink"/>
              </w:rPr>
              <w:t>519</w:t>
            </w:r>
          </w:hyperlink>
        </w:p>
        <w:p>
          <w:pPr>
            <w:pStyle w:val="Contents5"/>
            <w:tabs>
              <w:tab w:val="clear" w:pos="7892"/>
              <w:tab w:val="right" w:pos="9026" w:leader="dot"/>
            </w:tabs>
            <w:rPr/>
          </w:pPr>
          <w:hyperlink w:anchor="__RefHeading___Toc9424558_73709187">
            <w:r>
              <w:rPr>
                <w:webHidden/>
                <w:rStyle w:val="IndexLink"/>
                <w:rtl w:val="true"/>
              </w:rPr>
              <w:t>المطلب الأوّل</w:t>
            </w:r>
            <w:r>
              <w:rPr>
                <w:rStyle w:val="IndexLink"/>
                <w:rtl w:val="true"/>
              </w:rPr>
              <w:t xml:space="preserve">: </w:t>
            </w:r>
            <w:r>
              <w:rPr>
                <w:rStyle w:val="IndexLink"/>
                <w:rtl w:val="true"/>
              </w:rPr>
              <w:t>فی حرمة سقی المسکر للطفل</w:t>
            </w:r>
            <w:r>
              <w:rPr>
                <w:rStyle w:val="IndexLink"/>
                <w:rtl w:val="true"/>
              </w:rPr>
              <w:tab/>
            </w:r>
            <w:r>
              <w:rPr>
                <w:rStyle w:val="IndexLink"/>
              </w:rPr>
              <w:t>519</w:t>
            </w:r>
          </w:hyperlink>
        </w:p>
        <w:p>
          <w:pPr>
            <w:pStyle w:val="Contents6"/>
            <w:tabs>
              <w:tab w:val="clear" w:pos="7609"/>
              <w:tab w:val="right" w:pos="9026" w:leader="dot"/>
            </w:tabs>
            <w:rPr/>
          </w:pPr>
          <w:hyperlink w:anchor="__RefHeading___Toc9424560_73709187">
            <w:r>
              <w:rPr>
                <w:webHidden/>
                <w:rStyle w:val="IndexLink"/>
                <w:rtl w:val="true"/>
              </w:rPr>
              <w:t>اشارة</w:t>
            </w:r>
            <w:r>
              <w:rPr>
                <w:rStyle w:val="IndexLink"/>
                <w:rtl w:val="true"/>
              </w:rPr>
              <w:tab/>
            </w:r>
            <w:r>
              <w:rPr>
                <w:rStyle w:val="IndexLink"/>
              </w:rPr>
              <w:t>519</w:t>
            </w:r>
          </w:hyperlink>
        </w:p>
        <w:p>
          <w:pPr>
            <w:pStyle w:val="Contents6"/>
            <w:tabs>
              <w:tab w:val="clear" w:pos="7609"/>
              <w:tab w:val="right" w:pos="9026" w:leader="dot"/>
            </w:tabs>
            <w:rPr/>
          </w:pPr>
          <w:hyperlink w:anchor="__RefHeading___Toc9424562_73709187">
            <w:r>
              <w:rPr>
                <w:webHidden/>
                <w:rStyle w:val="IndexLink"/>
                <w:rtl w:val="true"/>
              </w:rPr>
              <w:t>أدلّة تحریم سقی المسکر للأطفال</w:t>
            </w:r>
            <w:r>
              <w:rPr>
                <w:rStyle w:val="IndexLink"/>
                <w:rtl w:val="true"/>
              </w:rPr>
              <w:tab/>
            </w:r>
            <w:r>
              <w:rPr>
                <w:rStyle w:val="IndexLink"/>
              </w:rPr>
              <w:t>520</w:t>
            </w:r>
          </w:hyperlink>
        </w:p>
        <w:p>
          <w:pPr>
            <w:pStyle w:val="Contents6"/>
            <w:tabs>
              <w:tab w:val="clear" w:pos="7609"/>
              <w:tab w:val="right" w:pos="9026" w:leader="dot"/>
            </w:tabs>
            <w:rPr/>
          </w:pPr>
          <w:hyperlink w:anchor="__RefHeading___Toc9424564_73709187">
            <w:r>
              <w:rPr>
                <w:webHidden/>
                <w:rStyle w:val="IndexLink"/>
                <w:rtl w:val="true"/>
              </w:rPr>
              <w:t>آراء أهل السنّة فی المسألة</w:t>
            </w:r>
            <w:r>
              <w:rPr>
                <w:rStyle w:val="IndexLink"/>
                <w:rtl w:val="true"/>
              </w:rPr>
              <w:tab/>
            </w:r>
            <w:r>
              <w:rPr>
                <w:rStyle w:val="IndexLink"/>
              </w:rPr>
              <w:t>522</w:t>
            </w:r>
          </w:hyperlink>
        </w:p>
        <w:p>
          <w:pPr>
            <w:pStyle w:val="Contents5"/>
            <w:tabs>
              <w:tab w:val="clear" w:pos="7892"/>
              <w:tab w:val="right" w:pos="9026" w:leader="dot"/>
            </w:tabs>
            <w:rPr/>
          </w:pPr>
          <w:hyperlink w:anchor="__RefHeading___Toc9424566_73709187">
            <w:r>
              <w:rPr>
                <w:webHidden/>
                <w:rStyle w:val="IndexLink"/>
                <w:rtl w:val="true"/>
              </w:rPr>
              <w:t>المطلب الثانی</w:t>
            </w:r>
            <w:r>
              <w:rPr>
                <w:rStyle w:val="IndexLink"/>
                <w:rtl w:val="true"/>
              </w:rPr>
              <w:t xml:space="preserve">: </w:t>
            </w:r>
            <w:r>
              <w:rPr>
                <w:rStyle w:val="IndexLink"/>
                <w:rtl w:val="true"/>
              </w:rPr>
              <w:t>فی حکم الإطعام أو سقی الماء المتنجس للأطفال</w:t>
            </w:r>
            <w:r>
              <w:rPr>
                <w:rStyle w:val="IndexLink"/>
                <w:rtl w:val="true"/>
              </w:rPr>
              <w:tab/>
            </w:r>
            <w:r>
              <w:rPr>
                <w:rStyle w:val="IndexLink"/>
              </w:rPr>
              <w:t>523</w:t>
            </w:r>
          </w:hyperlink>
        </w:p>
        <w:p>
          <w:pPr>
            <w:pStyle w:val="Contents6"/>
            <w:tabs>
              <w:tab w:val="clear" w:pos="7609"/>
              <w:tab w:val="right" w:pos="9026" w:leader="dot"/>
            </w:tabs>
            <w:rPr/>
          </w:pPr>
          <w:hyperlink w:anchor="__RefHeading___Toc9424568_73709187">
            <w:r>
              <w:rPr>
                <w:webHidden/>
                <w:rStyle w:val="IndexLink"/>
                <w:rtl w:val="true"/>
              </w:rPr>
              <w:t>اشارة</w:t>
            </w:r>
            <w:r>
              <w:rPr>
                <w:rStyle w:val="IndexLink"/>
                <w:rtl w:val="true"/>
              </w:rPr>
              <w:tab/>
            </w:r>
            <w:r>
              <w:rPr>
                <w:rStyle w:val="IndexLink"/>
              </w:rPr>
              <w:t>523</w:t>
            </w:r>
          </w:hyperlink>
        </w:p>
        <w:p>
          <w:pPr>
            <w:pStyle w:val="Contents6"/>
            <w:tabs>
              <w:tab w:val="clear" w:pos="7609"/>
              <w:tab w:val="right" w:pos="9026" w:leader="dot"/>
            </w:tabs>
            <w:rPr/>
          </w:pPr>
          <w:hyperlink w:anchor="__RefHeading___Toc9424570_73709187">
            <w:r>
              <w:rPr>
                <w:webHidden/>
                <w:rStyle w:val="IndexLink"/>
                <w:rtl w:val="true"/>
              </w:rPr>
              <w:t>رأی أهل السنّة فی المسألة</w:t>
            </w:r>
            <w:r>
              <w:rPr>
                <w:rStyle w:val="IndexLink"/>
                <w:rtl w:val="true"/>
              </w:rPr>
              <w:tab/>
            </w:r>
            <w:r>
              <w:rPr>
                <w:rStyle w:val="IndexLink"/>
              </w:rPr>
              <w:t>527</w:t>
            </w:r>
          </w:hyperlink>
        </w:p>
        <w:p>
          <w:pPr>
            <w:pStyle w:val="Contents5"/>
            <w:tabs>
              <w:tab w:val="clear" w:pos="7892"/>
              <w:tab w:val="right" w:pos="9026" w:leader="dot"/>
            </w:tabs>
            <w:rPr/>
          </w:pPr>
          <w:hyperlink w:anchor="__RefHeading___Toc9424572_73709187">
            <w:r>
              <w:rPr>
                <w:webHidden/>
                <w:rStyle w:val="IndexLink"/>
                <w:rtl w:val="true"/>
              </w:rPr>
              <w:t>المطلب الثالث</w:t>
            </w:r>
            <w:r>
              <w:rPr>
                <w:rStyle w:val="IndexLink"/>
                <w:rtl w:val="true"/>
              </w:rPr>
              <w:t xml:space="preserve">: </w:t>
            </w:r>
            <w:r>
              <w:rPr>
                <w:rStyle w:val="IndexLink"/>
                <w:rtl w:val="true"/>
              </w:rPr>
              <w:t>فی التسبیب إلی تناول الأطفال عین النجس</w:t>
            </w:r>
            <w:r>
              <w:rPr>
                <w:rStyle w:val="IndexLink"/>
                <w:rtl w:val="true"/>
              </w:rPr>
              <w:tab/>
            </w:r>
            <w:r>
              <w:rPr>
                <w:rStyle w:val="IndexLink"/>
              </w:rPr>
              <w:t>527</w:t>
            </w:r>
          </w:hyperlink>
        </w:p>
        <w:p>
          <w:pPr>
            <w:pStyle w:val="Contents5"/>
            <w:tabs>
              <w:tab w:val="clear" w:pos="7892"/>
              <w:tab w:val="right" w:pos="9026" w:leader="dot"/>
            </w:tabs>
            <w:rPr/>
          </w:pPr>
          <w:hyperlink w:anchor="__RefHeading___Toc9424574_73709187">
            <w:r>
              <w:rPr>
                <w:webHidden/>
                <w:rStyle w:val="IndexLink"/>
                <w:rtl w:val="true"/>
              </w:rPr>
              <w:t>المطلب الرابع</w:t>
            </w:r>
            <w:r>
              <w:rPr>
                <w:rStyle w:val="IndexLink"/>
                <w:rtl w:val="true"/>
              </w:rPr>
              <w:t xml:space="preserve">: </w:t>
            </w:r>
            <w:r>
              <w:rPr>
                <w:rStyle w:val="IndexLink"/>
                <w:rtl w:val="true"/>
              </w:rPr>
              <w:t>فی التسبیب إلی الإطعام بالطعام الضارّ للطفل</w:t>
            </w:r>
            <w:r>
              <w:rPr>
                <w:rStyle w:val="IndexLink"/>
                <w:rtl w:val="true"/>
              </w:rPr>
              <w:tab/>
            </w:r>
            <w:r>
              <w:rPr>
                <w:rStyle w:val="IndexLink"/>
              </w:rPr>
              <w:t>529</w:t>
            </w:r>
          </w:hyperlink>
        </w:p>
        <w:p>
          <w:pPr>
            <w:pStyle w:val="Contents5"/>
            <w:tabs>
              <w:tab w:val="clear" w:pos="7892"/>
              <w:tab w:val="right" w:pos="9026" w:leader="dot"/>
            </w:tabs>
            <w:rPr/>
          </w:pPr>
          <w:hyperlink w:anchor="__RefHeading___Toc9424576_73709187">
            <w:r>
              <w:rPr>
                <w:webHidden/>
                <w:rStyle w:val="IndexLink"/>
                <w:rtl w:val="true"/>
              </w:rPr>
              <w:t>المطلب الخامس</w:t>
            </w:r>
            <w:r>
              <w:rPr>
                <w:rStyle w:val="IndexLink"/>
                <w:rtl w:val="true"/>
              </w:rPr>
              <w:t xml:space="preserve">: </w:t>
            </w:r>
            <w:r>
              <w:rPr>
                <w:rStyle w:val="IndexLink"/>
                <w:rtl w:val="true"/>
              </w:rPr>
              <w:t>فی استتباع الولیّ ولده للضیافة</w:t>
            </w:r>
            <w:r>
              <w:rPr>
                <w:rStyle w:val="IndexLink"/>
                <w:rtl w:val="true"/>
              </w:rPr>
              <w:tab/>
            </w:r>
            <w:r>
              <w:rPr>
                <w:rStyle w:val="IndexLink"/>
              </w:rPr>
              <w:t>531</w:t>
            </w:r>
          </w:hyperlink>
        </w:p>
        <w:p>
          <w:pPr>
            <w:pStyle w:val="Contents6"/>
            <w:tabs>
              <w:tab w:val="clear" w:pos="7609"/>
              <w:tab w:val="right" w:pos="9026" w:leader="dot"/>
            </w:tabs>
            <w:rPr/>
          </w:pPr>
          <w:hyperlink w:anchor="__RefHeading___Toc9424578_73709187">
            <w:r>
              <w:rPr>
                <w:webHidden/>
                <w:rStyle w:val="IndexLink"/>
                <w:rtl w:val="true"/>
              </w:rPr>
              <w:t>اشارة</w:t>
            </w:r>
            <w:r>
              <w:rPr>
                <w:rStyle w:val="IndexLink"/>
                <w:rtl w:val="true"/>
              </w:rPr>
              <w:tab/>
            </w:r>
            <w:r>
              <w:rPr>
                <w:rStyle w:val="IndexLink"/>
              </w:rPr>
              <w:t>531</w:t>
            </w:r>
          </w:hyperlink>
        </w:p>
        <w:p>
          <w:pPr>
            <w:pStyle w:val="Contents6"/>
            <w:tabs>
              <w:tab w:val="clear" w:pos="7609"/>
              <w:tab w:val="right" w:pos="9026" w:leader="dot"/>
            </w:tabs>
            <w:rPr/>
          </w:pPr>
          <w:hyperlink w:anchor="__RefHeading___Toc9424580_73709187">
            <w:r>
              <w:rPr>
                <w:webHidden/>
                <w:rStyle w:val="IndexLink"/>
                <w:rtl w:val="true"/>
              </w:rPr>
              <w:t>رأی أهل السنّة فی المسألة</w:t>
            </w:r>
            <w:r>
              <w:rPr>
                <w:rStyle w:val="IndexLink"/>
                <w:rtl w:val="true"/>
              </w:rPr>
              <w:tab/>
            </w:r>
            <w:r>
              <w:rPr>
                <w:rStyle w:val="IndexLink"/>
              </w:rPr>
              <w:t>533</w:t>
            </w:r>
          </w:hyperlink>
        </w:p>
        <w:p>
          <w:pPr>
            <w:pStyle w:val="Contents2"/>
            <w:tabs>
              <w:tab w:val="clear" w:pos="8743"/>
              <w:tab w:val="right" w:pos="9026" w:leader="dot"/>
            </w:tabs>
            <w:rPr/>
          </w:pPr>
          <w:hyperlink w:anchor="__RefHeading___Toc9424582_73709187">
            <w:r>
              <w:rPr>
                <w:webHidden/>
                <w:rStyle w:val="IndexLink"/>
                <w:rtl w:val="true"/>
              </w:rPr>
              <w:t>الباب الرابع فی الولایة علی الأطفال</w:t>
            </w:r>
            <w:r>
              <w:rPr>
                <w:rStyle w:val="IndexLink"/>
                <w:rtl w:val="true"/>
              </w:rPr>
              <w:tab/>
            </w:r>
            <w:r>
              <w:rPr>
                <w:rStyle w:val="IndexLink"/>
              </w:rPr>
              <w:t>534</w:t>
            </w:r>
          </w:hyperlink>
        </w:p>
        <w:p>
          <w:pPr>
            <w:pStyle w:val="Contents3"/>
            <w:tabs>
              <w:tab w:val="clear" w:pos="8459"/>
              <w:tab w:val="right" w:pos="9026" w:leader="dot"/>
            </w:tabs>
            <w:rPr/>
          </w:pPr>
          <w:hyperlink w:anchor="__RefHeading___Toc9424584_73709187">
            <w:r>
              <w:rPr>
                <w:webHidden/>
                <w:rStyle w:val="IndexLink"/>
                <w:rtl w:val="true"/>
              </w:rPr>
              <w:t>اشارة</w:t>
            </w:r>
            <w:r>
              <w:rPr>
                <w:rStyle w:val="IndexLink"/>
                <w:rtl w:val="true"/>
              </w:rPr>
              <w:tab/>
            </w:r>
            <w:r>
              <w:rPr>
                <w:rStyle w:val="IndexLink"/>
              </w:rPr>
              <w:t>534</w:t>
            </w:r>
          </w:hyperlink>
        </w:p>
        <w:p>
          <w:pPr>
            <w:pStyle w:val="Contents3"/>
            <w:tabs>
              <w:tab w:val="clear" w:pos="8459"/>
              <w:tab w:val="right" w:pos="9026" w:leader="dot"/>
            </w:tabs>
            <w:rPr/>
          </w:pPr>
          <w:hyperlink w:anchor="__RefHeading___Toc9424586_73709187">
            <w:r>
              <w:rPr>
                <w:webHidden/>
                <w:rStyle w:val="IndexLink"/>
                <w:rtl w:val="true"/>
              </w:rPr>
              <w:t>منهج البحث</w:t>
            </w:r>
            <w:r>
              <w:rPr>
                <w:rStyle w:val="IndexLink"/>
                <w:rtl w:val="true"/>
              </w:rPr>
              <w:tab/>
            </w:r>
            <w:r>
              <w:rPr>
                <w:rStyle w:val="IndexLink"/>
              </w:rPr>
              <w:t>535</w:t>
            </w:r>
          </w:hyperlink>
        </w:p>
        <w:p>
          <w:pPr>
            <w:pStyle w:val="Contents3"/>
            <w:tabs>
              <w:tab w:val="clear" w:pos="8459"/>
              <w:tab w:val="right" w:pos="9026" w:leader="dot"/>
            </w:tabs>
            <w:rPr/>
          </w:pPr>
          <w:hyperlink w:anchor="__RefHeading___Toc9424588_73709187">
            <w:r>
              <w:rPr>
                <w:webHidden/>
                <w:rStyle w:val="IndexLink"/>
                <w:rtl w:val="true"/>
              </w:rPr>
              <w:t>الفصل الأوّل فی ولایة الأب و الجد</w:t>
            </w:r>
            <w:r>
              <w:rPr>
                <w:rStyle w:val="IndexLink"/>
                <w:rtl w:val="true"/>
              </w:rPr>
              <w:tab/>
            </w:r>
            <w:r>
              <w:rPr>
                <w:rStyle w:val="IndexLink"/>
              </w:rPr>
              <w:t>537</w:t>
            </w:r>
          </w:hyperlink>
        </w:p>
        <w:p>
          <w:pPr>
            <w:pStyle w:val="Contents4"/>
            <w:tabs>
              <w:tab w:val="clear" w:pos="8176"/>
              <w:tab w:val="right" w:pos="9026" w:leader="dot"/>
            </w:tabs>
            <w:rPr/>
          </w:pPr>
          <w:hyperlink w:anchor="__RefHeading___Toc9424590_73709187">
            <w:r>
              <w:rPr>
                <w:webHidden/>
                <w:rStyle w:val="IndexLink"/>
                <w:rtl w:val="true"/>
              </w:rPr>
              <w:t>المبحث الأوّل</w:t>
            </w:r>
            <w:r>
              <w:rPr>
                <w:rStyle w:val="IndexLink"/>
                <w:rtl w:val="true"/>
              </w:rPr>
              <w:t xml:space="preserve">: </w:t>
            </w:r>
            <w:r>
              <w:rPr>
                <w:rStyle w:val="IndexLink"/>
                <w:rtl w:val="true"/>
              </w:rPr>
              <w:t>فی حکم الولایة</w:t>
            </w:r>
            <w:r>
              <w:rPr>
                <w:rStyle w:val="IndexLink"/>
                <w:rtl w:val="true"/>
              </w:rPr>
              <w:tab/>
            </w:r>
            <w:r>
              <w:rPr>
                <w:rStyle w:val="IndexLink"/>
              </w:rPr>
              <w:t>537</w:t>
            </w:r>
          </w:hyperlink>
        </w:p>
        <w:p>
          <w:pPr>
            <w:pStyle w:val="Contents5"/>
            <w:tabs>
              <w:tab w:val="clear" w:pos="7892"/>
              <w:tab w:val="right" w:pos="9026" w:leader="dot"/>
            </w:tabs>
            <w:rPr/>
          </w:pPr>
          <w:hyperlink w:anchor="__RefHeading___Toc9424592_73709187">
            <w:r>
              <w:rPr>
                <w:webHidden/>
                <w:rStyle w:val="IndexLink"/>
                <w:rtl w:val="true"/>
              </w:rPr>
              <w:t>اشارة</w:t>
            </w:r>
            <w:r>
              <w:rPr>
                <w:rStyle w:val="IndexLink"/>
                <w:rtl w:val="true"/>
              </w:rPr>
              <w:tab/>
            </w:r>
            <w:r>
              <w:rPr>
                <w:rStyle w:val="IndexLink"/>
              </w:rPr>
              <w:t>537</w:t>
            </w:r>
          </w:hyperlink>
        </w:p>
        <w:p>
          <w:pPr>
            <w:pStyle w:val="Contents5"/>
            <w:tabs>
              <w:tab w:val="clear" w:pos="7892"/>
              <w:tab w:val="right" w:pos="9026" w:leader="dot"/>
            </w:tabs>
            <w:rPr/>
          </w:pPr>
          <w:hyperlink w:anchor="__RefHeading___Toc9424594_73709187">
            <w:r>
              <w:rPr>
                <w:webHidden/>
                <w:rStyle w:val="IndexLink"/>
                <w:rtl w:val="true"/>
              </w:rPr>
              <w:t>الولایة لغةً‌</w:t>
            </w:r>
            <w:r>
              <w:rPr>
                <w:rStyle w:val="IndexLink"/>
                <w:rtl w:val="true"/>
              </w:rPr>
              <w:tab/>
            </w:r>
            <w:r>
              <w:rPr>
                <w:rStyle w:val="IndexLink"/>
              </w:rPr>
              <w:t>537</w:t>
            </w:r>
          </w:hyperlink>
        </w:p>
        <w:p>
          <w:pPr>
            <w:pStyle w:val="Contents5"/>
            <w:tabs>
              <w:tab w:val="clear" w:pos="7892"/>
              <w:tab w:val="right" w:pos="9026" w:leader="dot"/>
            </w:tabs>
            <w:rPr/>
          </w:pPr>
          <w:hyperlink w:anchor="__RefHeading___Toc9424596_73709187">
            <w:r>
              <w:rPr>
                <w:webHidden/>
                <w:rStyle w:val="IndexLink"/>
                <w:rtl w:val="true"/>
              </w:rPr>
              <w:t>الولایة اصطلاحاً</w:t>
            </w:r>
            <w:r>
              <w:rPr>
                <w:rStyle w:val="IndexLink"/>
                <w:rtl w:val="true"/>
              </w:rPr>
              <w:t>:</w:t>
              <w:tab/>
            </w:r>
            <w:r>
              <w:rPr>
                <w:rStyle w:val="IndexLink"/>
              </w:rPr>
              <w:t>538</w:t>
            </w:r>
          </w:hyperlink>
        </w:p>
        <w:p>
          <w:pPr>
            <w:pStyle w:val="Contents5"/>
            <w:tabs>
              <w:tab w:val="clear" w:pos="7892"/>
              <w:tab w:val="right" w:pos="9026" w:leader="dot"/>
            </w:tabs>
            <w:rPr/>
          </w:pPr>
          <w:hyperlink w:anchor="__RefHeading___Toc9424598_73709187">
            <w:r>
              <w:rPr>
                <w:webHidden/>
                <w:rStyle w:val="IndexLink"/>
                <w:rtl w:val="true"/>
              </w:rPr>
              <w:t>أقسام الولایة</w:t>
            </w:r>
            <w:r>
              <w:rPr>
                <w:rStyle w:val="IndexLink"/>
                <w:rtl w:val="true"/>
              </w:rPr>
              <w:tab/>
            </w:r>
            <w:r>
              <w:rPr>
                <w:rStyle w:val="IndexLink"/>
              </w:rPr>
              <w:t>539</w:t>
            </w:r>
          </w:hyperlink>
        </w:p>
        <w:p>
          <w:pPr>
            <w:pStyle w:val="Contents6"/>
            <w:tabs>
              <w:tab w:val="clear" w:pos="7609"/>
              <w:tab w:val="right" w:pos="9026" w:leader="dot"/>
            </w:tabs>
            <w:rPr/>
          </w:pPr>
          <w:hyperlink w:anchor="__RefHeading___Toc9424600_73709187">
            <w:r>
              <w:rPr>
                <w:webHidden/>
                <w:rStyle w:val="IndexLink"/>
                <w:rtl w:val="true"/>
              </w:rPr>
              <w:t>اشارة</w:t>
            </w:r>
            <w:r>
              <w:rPr>
                <w:rStyle w:val="IndexLink"/>
                <w:rtl w:val="true"/>
              </w:rPr>
              <w:tab/>
            </w:r>
            <w:r>
              <w:rPr>
                <w:rStyle w:val="IndexLink"/>
              </w:rPr>
              <w:t>539</w:t>
            </w:r>
          </w:hyperlink>
        </w:p>
        <w:p>
          <w:pPr>
            <w:pStyle w:val="Contents6"/>
            <w:tabs>
              <w:tab w:val="clear" w:pos="7609"/>
              <w:tab w:val="right" w:pos="9026" w:leader="dot"/>
            </w:tabs>
            <w:rPr/>
          </w:pPr>
          <w:hyperlink w:anchor="__RefHeading___Toc9424602_73709187">
            <w:r>
              <w:rPr>
                <w:webHidden/>
                <w:rStyle w:val="IndexLink"/>
                <w:rtl w:val="true"/>
              </w:rPr>
              <w:t xml:space="preserve">أ </w:t>
            </w:r>
            <w:r>
              <w:rPr>
                <w:rStyle w:val="IndexLink"/>
                <w:rtl w:val="true"/>
              </w:rPr>
              <w:t xml:space="preserve">- </w:t>
            </w:r>
            <w:r>
              <w:rPr>
                <w:rStyle w:val="IndexLink"/>
                <w:rtl w:val="true"/>
              </w:rPr>
              <w:t>تقسیم الولایة باعتبار سببها</w:t>
            </w:r>
            <w:r>
              <w:rPr>
                <w:rStyle w:val="IndexLink"/>
                <w:rtl w:val="true"/>
              </w:rPr>
              <w:tab/>
            </w:r>
            <w:r>
              <w:rPr>
                <w:rStyle w:val="IndexLink"/>
              </w:rPr>
              <w:t>540</w:t>
            </w:r>
          </w:hyperlink>
        </w:p>
        <w:p>
          <w:pPr>
            <w:pStyle w:val="Contents6"/>
            <w:tabs>
              <w:tab w:val="clear" w:pos="7609"/>
              <w:tab w:val="right" w:pos="9026" w:leader="dot"/>
            </w:tabs>
            <w:rPr/>
          </w:pPr>
          <w:hyperlink w:anchor="__RefHeading___Toc9424604_73709187">
            <w:r>
              <w:rPr>
                <w:webHidden/>
                <w:rStyle w:val="IndexLink"/>
                <w:rtl w:val="true"/>
              </w:rPr>
              <w:t xml:space="preserve">ب </w:t>
            </w:r>
            <w:r>
              <w:rPr>
                <w:rStyle w:val="IndexLink"/>
                <w:rtl w:val="true"/>
              </w:rPr>
              <w:t xml:space="preserve">- </w:t>
            </w:r>
            <w:r>
              <w:rPr>
                <w:rStyle w:val="IndexLink"/>
                <w:rtl w:val="true"/>
              </w:rPr>
              <w:t>تقسیم الولایة باعتبار المولّی علیه</w:t>
            </w:r>
            <w:r>
              <w:rPr>
                <w:rStyle w:val="IndexLink"/>
                <w:rtl w:val="true"/>
              </w:rPr>
              <w:tab/>
            </w:r>
            <w:r>
              <w:rPr>
                <w:rStyle w:val="IndexLink"/>
              </w:rPr>
              <w:t>540</w:t>
            </w:r>
          </w:hyperlink>
        </w:p>
        <w:p>
          <w:pPr>
            <w:pStyle w:val="Contents6"/>
            <w:tabs>
              <w:tab w:val="clear" w:pos="7609"/>
              <w:tab w:val="right" w:pos="9026" w:leader="dot"/>
            </w:tabs>
            <w:rPr/>
          </w:pPr>
          <w:hyperlink w:anchor="__RefHeading___Toc9424606_73709187">
            <w:r>
              <w:rPr>
                <w:webHidden/>
                <w:rStyle w:val="IndexLink"/>
                <w:rtl w:val="true"/>
              </w:rPr>
              <w:t xml:space="preserve">ج </w:t>
            </w:r>
            <w:r>
              <w:rPr>
                <w:rStyle w:val="IndexLink"/>
                <w:rtl w:val="true"/>
              </w:rPr>
              <w:t xml:space="preserve">- </w:t>
            </w:r>
            <w:r>
              <w:rPr>
                <w:rStyle w:val="IndexLink"/>
                <w:rtl w:val="true"/>
              </w:rPr>
              <w:t>تقسیم الولایة باعتبار التصرّف</w:t>
            </w:r>
            <w:r>
              <w:rPr>
                <w:rStyle w:val="IndexLink"/>
                <w:rtl w:val="true"/>
              </w:rPr>
              <w:tab/>
            </w:r>
            <w:r>
              <w:rPr>
                <w:rStyle w:val="IndexLink"/>
              </w:rPr>
              <w:t>541</w:t>
            </w:r>
          </w:hyperlink>
        </w:p>
        <w:p>
          <w:pPr>
            <w:pStyle w:val="Contents6"/>
            <w:tabs>
              <w:tab w:val="clear" w:pos="7609"/>
              <w:tab w:val="right" w:pos="9026" w:leader="dot"/>
            </w:tabs>
            <w:rPr/>
          </w:pPr>
          <w:hyperlink w:anchor="__RefHeading___Toc9424608_73709187">
            <w:r>
              <w:rPr>
                <w:webHidden/>
                <w:rStyle w:val="IndexLink"/>
                <w:rtl w:val="true"/>
              </w:rPr>
              <w:t xml:space="preserve">د </w:t>
            </w:r>
            <w:r>
              <w:rPr>
                <w:rStyle w:val="IndexLink"/>
                <w:rtl w:val="true"/>
              </w:rPr>
              <w:t xml:space="preserve">- </w:t>
            </w:r>
            <w:r>
              <w:rPr>
                <w:rStyle w:val="IndexLink"/>
                <w:rtl w:val="true"/>
              </w:rPr>
              <w:t>تقسیم الولایة باعتبار کمالها</w:t>
            </w:r>
            <w:r>
              <w:rPr>
                <w:rStyle w:val="IndexLink"/>
                <w:rtl w:val="true"/>
              </w:rPr>
              <w:tab/>
            </w:r>
            <w:r>
              <w:rPr>
                <w:rStyle w:val="IndexLink"/>
              </w:rPr>
              <w:t>541</w:t>
            </w:r>
          </w:hyperlink>
        </w:p>
        <w:p>
          <w:pPr>
            <w:pStyle w:val="Contents5"/>
            <w:tabs>
              <w:tab w:val="clear" w:pos="7892"/>
              <w:tab w:val="right" w:pos="9026" w:leader="dot"/>
            </w:tabs>
            <w:rPr/>
          </w:pPr>
          <w:hyperlink w:anchor="__RefHeading___Toc9424610_73709187">
            <w:r>
              <w:rPr>
                <w:webHidden/>
                <w:rStyle w:val="IndexLink"/>
                <w:rtl w:val="true"/>
              </w:rPr>
              <w:t>ولایة الأب و الجدّ علی الصغار فی التزویج</w:t>
            </w:r>
            <w:r>
              <w:rPr>
                <w:rStyle w:val="IndexLink"/>
                <w:rtl w:val="true"/>
              </w:rPr>
              <w:tab/>
            </w:r>
            <w:r>
              <w:rPr>
                <w:rStyle w:val="IndexLink"/>
              </w:rPr>
              <w:t>542</w:t>
            </w:r>
          </w:hyperlink>
        </w:p>
        <w:p>
          <w:pPr>
            <w:pStyle w:val="Contents6"/>
            <w:tabs>
              <w:tab w:val="clear" w:pos="7609"/>
              <w:tab w:val="right" w:pos="9026" w:leader="dot"/>
            </w:tabs>
            <w:rPr/>
          </w:pPr>
          <w:hyperlink w:anchor="__RefHeading___Toc9424612_73709187">
            <w:r>
              <w:rPr>
                <w:webHidden/>
                <w:rStyle w:val="IndexLink"/>
                <w:rtl w:val="true"/>
              </w:rPr>
              <w:t>اشارة</w:t>
            </w:r>
            <w:r>
              <w:rPr>
                <w:rStyle w:val="IndexLink"/>
                <w:rtl w:val="true"/>
              </w:rPr>
              <w:tab/>
            </w:r>
            <w:r>
              <w:rPr>
                <w:rStyle w:val="IndexLink"/>
              </w:rPr>
              <w:t>542</w:t>
            </w:r>
          </w:hyperlink>
        </w:p>
        <w:p>
          <w:pPr>
            <w:pStyle w:val="Contents6"/>
            <w:tabs>
              <w:tab w:val="clear" w:pos="7609"/>
              <w:tab w:val="right" w:pos="9026" w:leader="dot"/>
            </w:tabs>
            <w:rPr/>
          </w:pPr>
          <w:hyperlink w:anchor="__RefHeading___Toc9424614_73709187">
            <w:r>
              <w:rPr>
                <w:webHidden/>
                <w:rStyle w:val="IndexLink"/>
                <w:rtl w:val="true"/>
              </w:rPr>
              <w:t>الأوّل</w:t>
            </w:r>
            <w:r>
              <w:rPr>
                <w:rStyle w:val="IndexLink"/>
                <w:rtl w:val="true"/>
              </w:rPr>
              <w:t xml:space="preserve">: </w:t>
            </w:r>
            <w:r>
              <w:rPr>
                <w:rStyle w:val="IndexLink"/>
                <w:rtl w:val="true"/>
              </w:rPr>
              <w:t>الکتاب</w:t>
            </w:r>
            <w:r>
              <w:rPr>
                <w:rStyle w:val="IndexLink"/>
                <w:rtl w:val="true"/>
              </w:rPr>
              <w:tab/>
            </w:r>
            <w:r>
              <w:rPr>
                <w:rStyle w:val="IndexLink"/>
              </w:rPr>
              <w:t>544</w:t>
            </w:r>
          </w:hyperlink>
        </w:p>
        <w:p>
          <w:pPr>
            <w:pStyle w:val="Contents6"/>
            <w:tabs>
              <w:tab w:val="clear" w:pos="7609"/>
              <w:tab w:val="right" w:pos="9026" w:leader="dot"/>
            </w:tabs>
            <w:rPr/>
          </w:pPr>
          <w:hyperlink w:anchor="__RefHeading___Toc9424616_73709187">
            <w:r>
              <w:rPr>
                <w:webHidden/>
                <w:rStyle w:val="IndexLink"/>
                <w:rtl w:val="true"/>
              </w:rPr>
              <w:t>الثانی</w:t>
            </w:r>
            <w:r>
              <w:rPr>
                <w:rStyle w:val="IndexLink"/>
                <w:rtl w:val="true"/>
              </w:rPr>
              <w:t xml:space="preserve">: </w:t>
            </w:r>
            <w:r>
              <w:rPr>
                <w:rStyle w:val="IndexLink"/>
                <w:rtl w:val="true"/>
              </w:rPr>
              <w:t>السنّة</w:t>
            </w:r>
            <w:r>
              <w:rPr>
                <w:rStyle w:val="IndexLink"/>
                <w:rtl w:val="true"/>
              </w:rPr>
              <w:tab/>
            </w:r>
            <w:r>
              <w:rPr>
                <w:rStyle w:val="IndexLink"/>
              </w:rPr>
              <w:t>545</w:t>
            </w:r>
          </w:hyperlink>
        </w:p>
        <w:p>
          <w:pPr>
            <w:pStyle w:val="Contents6"/>
            <w:tabs>
              <w:tab w:val="clear" w:pos="7609"/>
              <w:tab w:val="right" w:pos="9026" w:leader="dot"/>
            </w:tabs>
            <w:rPr/>
          </w:pPr>
          <w:hyperlink w:anchor="__RefHeading___Toc9424618_73709187">
            <w:r>
              <w:rPr>
                <w:webHidden/>
                <w:rStyle w:val="IndexLink"/>
                <w:rtl w:val="true"/>
              </w:rPr>
              <w:t>الثالث</w:t>
            </w:r>
            <w:r>
              <w:rPr>
                <w:rStyle w:val="IndexLink"/>
                <w:rtl w:val="true"/>
              </w:rPr>
              <w:t xml:space="preserve">: </w:t>
            </w:r>
            <w:r>
              <w:rPr>
                <w:rStyle w:val="IndexLink"/>
                <w:rtl w:val="true"/>
              </w:rPr>
              <w:t>الإجماع</w:t>
            </w:r>
            <w:r>
              <w:rPr>
                <w:rStyle w:val="IndexLink"/>
                <w:rtl w:val="true"/>
              </w:rPr>
              <w:tab/>
            </w:r>
            <w:r>
              <w:rPr>
                <w:rStyle w:val="IndexLink"/>
              </w:rPr>
              <w:t>548</w:t>
            </w:r>
          </w:hyperlink>
        </w:p>
        <w:p>
          <w:pPr>
            <w:pStyle w:val="Contents5"/>
            <w:tabs>
              <w:tab w:val="clear" w:pos="7892"/>
              <w:tab w:val="right" w:pos="9026" w:leader="dot"/>
            </w:tabs>
            <w:rPr/>
          </w:pPr>
          <w:hyperlink w:anchor="__RefHeading___Toc9424620_73709187">
            <w:r>
              <w:rPr>
                <w:webHidden/>
                <w:rStyle w:val="IndexLink"/>
                <w:rtl w:val="true"/>
              </w:rPr>
              <w:t>آراء أهل السنّة فی المسألة</w:t>
            </w:r>
            <w:r>
              <w:rPr>
                <w:rStyle w:val="IndexLink"/>
                <w:rtl w:val="true"/>
              </w:rPr>
              <w:tab/>
            </w:r>
            <w:r>
              <w:rPr>
                <w:rStyle w:val="IndexLink"/>
              </w:rPr>
              <w:t>549</w:t>
            </w:r>
          </w:hyperlink>
        </w:p>
        <w:p>
          <w:pPr>
            <w:pStyle w:val="Contents6"/>
            <w:tabs>
              <w:tab w:val="clear" w:pos="7609"/>
              <w:tab w:val="right" w:pos="9026" w:leader="dot"/>
            </w:tabs>
            <w:rPr/>
          </w:pPr>
          <w:hyperlink w:anchor="__RefHeading___Toc9424622_73709187">
            <w:r>
              <w:rPr>
                <w:webHidden/>
                <w:rStyle w:val="IndexLink"/>
                <w:rtl w:val="true"/>
              </w:rPr>
              <w:t>اشارة</w:t>
            </w:r>
            <w:r>
              <w:rPr>
                <w:rStyle w:val="IndexLink"/>
                <w:rtl w:val="true"/>
              </w:rPr>
              <w:tab/>
            </w:r>
            <w:r>
              <w:rPr>
                <w:rStyle w:val="IndexLink"/>
              </w:rPr>
              <w:t>549</w:t>
            </w:r>
          </w:hyperlink>
        </w:p>
        <w:p>
          <w:pPr>
            <w:pStyle w:val="Contents6"/>
            <w:tabs>
              <w:tab w:val="clear" w:pos="7609"/>
              <w:tab w:val="right" w:pos="9026" w:leader="dot"/>
            </w:tabs>
            <w:rPr/>
          </w:pPr>
          <w:hyperlink w:anchor="__RefHeading___Toc9424624_73709187">
            <w:r>
              <w:rPr>
                <w:webHidden/>
                <w:rStyle w:val="IndexLink"/>
                <w:rtl w:val="true"/>
              </w:rPr>
              <w:t>الأوّل</w:t>
            </w:r>
            <w:r>
              <w:rPr>
                <w:rStyle w:val="IndexLink"/>
                <w:rtl w:val="true"/>
              </w:rPr>
              <w:t xml:space="preserve">: </w:t>
            </w:r>
            <w:r>
              <w:rPr>
                <w:rStyle w:val="IndexLink"/>
                <w:rtl w:val="true"/>
              </w:rPr>
              <w:t>أنّه لا ولایة لأحدٍ فی تزویج الصغار</w:t>
            </w:r>
            <w:r>
              <w:rPr>
                <w:rStyle w:val="IndexLink"/>
                <w:rtl w:val="true"/>
              </w:rPr>
              <w:tab/>
            </w:r>
            <w:r>
              <w:rPr>
                <w:rStyle w:val="IndexLink"/>
              </w:rPr>
              <w:t>549</w:t>
            </w:r>
          </w:hyperlink>
        </w:p>
        <w:p>
          <w:pPr>
            <w:pStyle w:val="Contents6"/>
            <w:tabs>
              <w:tab w:val="clear" w:pos="7609"/>
              <w:tab w:val="right" w:pos="9026" w:leader="dot"/>
            </w:tabs>
            <w:rPr/>
          </w:pPr>
          <w:hyperlink w:anchor="__RefHeading___Toc9424626_73709187">
            <w:r>
              <w:rPr>
                <w:webHidden/>
                <w:rStyle w:val="IndexLink"/>
                <w:rtl w:val="true"/>
              </w:rPr>
              <w:t>فی ولایة الأمّ علی تزویج الصغار</w:t>
            </w:r>
            <w:r>
              <w:rPr>
                <w:rStyle w:val="IndexLink"/>
                <w:rtl w:val="true"/>
              </w:rPr>
              <w:tab/>
            </w:r>
            <w:r>
              <w:rPr>
                <w:rStyle w:val="IndexLink"/>
              </w:rPr>
              <w:t>552</w:t>
            </w:r>
          </w:hyperlink>
        </w:p>
        <w:p>
          <w:pPr>
            <w:pStyle w:val="Contents6"/>
            <w:tabs>
              <w:tab w:val="clear" w:pos="7609"/>
              <w:tab w:val="right" w:pos="9026" w:leader="dot"/>
            </w:tabs>
            <w:rPr/>
          </w:pPr>
          <w:hyperlink w:anchor="__RefHeading___Toc9424628_73709187">
            <w:r>
              <w:rPr>
                <w:webHidden/>
                <w:rStyle w:val="IndexLink"/>
                <w:rtl w:val="true"/>
              </w:rPr>
              <w:t>لا تکون للجدّ من قبل الأمّ ولایة</w:t>
            </w:r>
            <w:r>
              <w:rPr>
                <w:rStyle w:val="IndexLink"/>
                <w:rtl w:val="true"/>
              </w:rPr>
              <w:tab/>
            </w:r>
            <w:r>
              <w:rPr>
                <w:rStyle w:val="IndexLink"/>
              </w:rPr>
              <w:t>555</w:t>
            </w:r>
          </w:hyperlink>
        </w:p>
        <w:p>
          <w:pPr>
            <w:pStyle w:val="Contents6"/>
            <w:tabs>
              <w:tab w:val="clear" w:pos="7609"/>
              <w:tab w:val="right" w:pos="9026" w:leader="dot"/>
            </w:tabs>
            <w:rPr/>
          </w:pPr>
          <w:hyperlink w:anchor="__RefHeading___Toc9424630_73709187">
            <w:r>
              <w:rPr>
                <w:webHidden/>
                <w:rStyle w:val="IndexLink"/>
                <w:rtl w:val="true"/>
              </w:rPr>
              <w:t>لا ولایة للأخ و العمّ و الخال و</w:t>
            </w:r>
            <w:r>
              <w:rPr>
                <w:rStyle w:val="IndexLink"/>
                <w:rtl w:val="true"/>
              </w:rPr>
              <w:t>...</w:t>
              <w:tab/>
            </w:r>
            <w:r>
              <w:rPr>
                <w:rStyle w:val="IndexLink"/>
              </w:rPr>
              <w:t>557</w:t>
            </w:r>
          </w:hyperlink>
        </w:p>
        <w:p>
          <w:pPr>
            <w:pStyle w:val="Contents6"/>
            <w:tabs>
              <w:tab w:val="clear" w:pos="7609"/>
              <w:tab w:val="right" w:pos="9026" w:leader="dot"/>
            </w:tabs>
            <w:rPr/>
          </w:pPr>
          <w:hyperlink w:anchor="__RefHeading___Toc9424632_73709187">
            <w:r>
              <w:rPr>
                <w:webHidden/>
                <w:rStyle w:val="IndexLink"/>
                <w:rtl w:val="true"/>
              </w:rPr>
              <w:t>أقوال أهل السنة فی ولایة غیر الأب و الجد</w:t>
            </w:r>
            <w:r>
              <w:rPr>
                <w:rStyle w:val="IndexLink"/>
                <w:rtl w:val="true"/>
              </w:rPr>
              <w:tab/>
            </w:r>
            <w:r>
              <w:rPr>
                <w:rStyle w:val="IndexLink"/>
              </w:rPr>
              <w:t>560</w:t>
            </w:r>
          </w:hyperlink>
        </w:p>
        <w:p>
          <w:pPr>
            <w:pStyle w:val="Contents4"/>
            <w:tabs>
              <w:tab w:val="clear" w:pos="8176"/>
              <w:tab w:val="right" w:pos="9026" w:leader="dot"/>
            </w:tabs>
            <w:rPr/>
          </w:pPr>
          <w:hyperlink w:anchor="__RefHeading___Toc9424634_73709187">
            <w:r>
              <w:rPr>
                <w:webHidden/>
                <w:rStyle w:val="IndexLink"/>
                <w:rtl w:val="true"/>
              </w:rPr>
              <w:t>المبحث الثانی</w:t>
            </w:r>
            <w:r>
              <w:rPr>
                <w:rStyle w:val="IndexLink"/>
                <w:rtl w:val="true"/>
              </w:rPr>
              <w:t xml:space="preserve">: </w:t>
            </w:r>
            <w:r>
              <w:rPr>
                <w:rStyle w:val="IndexLink"/>
                <w:rtl w:val="true"/>
              </w:rPr>
              <w:t>حکم اشتراط ولایة الجدّ ببقاء الأب</w:t>
            </w:r>
            <w:r>
              <w:rPr>
                <w:rStyle w:val="IndexLink"/>
                <w:rtl w:val="true"/>
              </w:rPr>
              <w:tab/>
            </w:r>
            <w:r>
              <w:rPr>
                <w:rStyle w:val="IndexLink"/>
              </w:rPr>
              <w:t>562</w:t>
            </w:r>
          </w:hyperlink>
        </w:p>
        <w:p>
          <w:pPr>
            <w:pStyle w:val="Contents5"/>
            <w:tabs>
              <w:tab w:val="clear" w:pos="7892"/>
              <w:tab w:val="right" w:pos="9026" w:leader="dot"/>
            </w:tabs>
            <w:rPr/>
          </w:pPr>
          <w:hyperlink w:anchor="__RefHeading___Toc9424636_73709187">
            <w:r>
              <w:rPr>
                <w:webHidden/>
                <w:rStyle w:val="IndexLink"/>
                <w:rtl w:val="true"/>
              </w:rPr>
              <w:t>اشارة</w:t>
            </w:r>
            <w:r>
              <w:rPr>
                <w:rStyle w:val="IndexLink"/>
                <w:rtl w:val="true"/>
              </w:rPr>
              <w:tab/>
            </w:r>
            <w:r>
              <w:rPr>
                <w:rStyle w:val="IndexLink"/>
              </w:rPr>
              <w:t>562</w:t>
            </w:r>
          </w:hyperlink>
        </w:p>
        <w:p>
          <w:pPr>
            <w:pStyle w:val="Contents5"/>
            <w:tabs>
              <w:tab w:val="clear" w:pos="7892"/>
              <w:tab w:val="right" w:pos="9026" w:leader="dot"/>
            </w:tabs>
            <w:rPr/>
          </w:pPr>
          <w:hyperlink w:anchor="__RefHeading___Toc9424638_73709187">
            <w:r>
              <w:rPr>
                <w:webHidden/>
                <w:rStyle w:val="IndexLink"/>
                <w:rtl w:val="true"/>
              </w:rPr>
              <w:t>القول الأوّل</w:t>
            </w:r>
            <w:r>
              <w:rPr>
                <w:rStyle w:val="IndexLink"/>
                <w:rtl w:val="true"/>
              </w:rPr>
              <w:t xml:space="preserve">: </w:t>
            </w:r>
            <w:r>
              <w:rPr>
                <w:rStyle w:val="IndexLink"/>
                <w:rtl w:val="true"/>
              </w:rPr>
              <w:t>عدم اشتراط ولایة الجدّ ببقاء الأب</w:t>
            </w:r>
            <w:r>
              <w:rPr>
                <w:rStyle w:val="IndexLink"/>
                <w:rtl w:val="true"/>
              </w:rPr>
              <w:t>:</w:t>
              <w:tab/>
            </w:r>
            <w:r>
              <w:rPr>
                <w:rStyle w:val="IndexLink"/>
              </w:rPr>
              <w:t>562</w:t>
            </w:r>
          </w:hyperlink>
        </w:p>
        <w:p>
          <w:pPr>
            <w:pStyle w:val="Contents5"/>
            <w:tabs>
              <w:tab w:val="clear" w:pos="7892"/>
              <w:tab w:val="right" w:pos="9026" w:leader="dot"/>
            </w:tabs>
            <w:rPr/>
          </w:pPr>
          <w:hyperlink w:anchor="__RefHeading___Toc9424640_73709187">
            <w:r>
              <w:rPr>
                <w:webHidden/>
                <w:rStyle w:val="IndexLink"/>
                <w:rtl w:val="true"/>
              </w:rPr>
              <w:t>القول الثانی</w:t>
            </w:r>
            <w:r>
              <w:rPr>
                <w:rStyle w:val="IndexLink"/>
                <w:rtl w:val="true"/>
              </w:rPr>
              <w:t xml:space="preserve">: </w:t>
            </w:r>
            <w:r>
              <w:rPr>
                <w:rStyle w:val="IndexLink"/>
                <w:rtl w:val="true"/>
              </w:rPr>
              <w:t>اشتراط ولایة الجدّ ببقاء الأب</w:t>
            </w:r>
            <w:r>
              <w:rPr>
                <w:rStyle w:val="IndexLink"/>
                <w:rtl w:val="true"/>
              </w:rPr>
              <w:tab/>
            </w:r>
            <w:r>
              <w:rPr>
                <w:rStyle w:val="IndexLink"/>
              </w:rPr>
              <w:t>566</w:t>
            </w:r>
          </w:hyperlink>
        </w:p>
        <w:p>
          <w:pPr>
            <w:pStyle w:val="Contents5"/>
            <w:tabs>
              <w:tab w:val="clear" w:pos="7892"/>
              <w:tab w:val="right" w:pos="9026" w:leader="dot"/>
            </w:tabs>
            <w:rPr/>
          </w:pPr>
          <w:hyperlink w:anchor="__RefHeading___Toc9424642_73709187">
            <w:r>
              <w:rPr>
                <w:webHidden/>
                <w:rStyle w:val="IndexLink"/>
                <w:rtl w:val="true"/>
              </w:rPr>
              <w:t>القول الثالث</w:t>
            </w:r>
            <w:r>
              <w:rPr>
                <w:rStyle w:val="IndexLink"/>
                <w:rtl w:val="true"/>
              </w:rPr>
              <w:t xml:space="preserve">: </w:t>
            </w:r>
            <w:r>
              <w:rPr>
                <w:rStyle w:val="IndexLink"/>
                <w:rtl w:val="true"/>
              </w:rPr>
              <w:t>ولایة الجدّ مشروطة بموت الأب</w:t>
            </w:r>
            <w:r>
              <w:rPr>
                <w:rStyle w:val="IndexLink"/>
                <w:rtl w:val="true"/>
              </w:rPr>
              <w:tab/>
            </w:r>
            <w:r>
              <w:rPr>
                <w:rStyle w:val="IndexLink"/>
              </w:rPr>
              <w:t>568</w:t>
            </w:r>
          </w:hyperlink>
        </w:p>
        <w:p>
          <w:pPr>
            <w:pStyle w:val="Contents4"/>
            <w:tabs>
              <w:tab w:val="clear" w:pos="8176"/>
              <w:tab w:val="right" w:pos="9026" w:leader="dot"/>
            </w:tabs>
            <w:rPr/>
          </w:pPr>
          <w:hyperlink w:anchor="__RefHeading___Toc9424644_73709187">
            <w:r>
              <w:rPr>
                <w:webHidden/>
                <w:rStyle w:val="IndexLink"/>
                <w:rtl w:val="true"/>
              </w:rPr>
              <w:t>المبحث الثالث</w:t>
            </w:r>
            <w:r>
              <w:rPr>
                <w:rStyle w:val="IndexLink"/>
                <w:rtl w:val="true"/>
              </w:rPr>
              <w:t>:</w:t>
              <w:tab/>
            </w:r>
            <w:r>
              <w:rPr>
                <w:rStyle w:val="IndexLink"/>
              </w:rPr>
              <w:t>570</w:t>
            </w:r>
          </w:hyperlink>
        </w:p>
        <w:p>
          <w:pPr>
            <w:pStyle w:val="Contents5"/>
            <w:tabs>
              <w:tab w:val="clear" w:pos="7892"/>
              <w:tab w:val="right" w:pos="9026" w:leader="dot"/>
            </w:tabs>
            <w:rPr/>
          </w:pPr>
          <w:hyperlink w:anchor="__RefHeading___Toc9424646_73709187">
            <w:r>
              <w:rPr>
                <w:webHidden/>
                <w:rStyle w:val="IndexLink"/>
                <w:rtl w:val="true"/>
              </w:rPr>
              <w:t>اشارة</w:t>
            </w:r>
            <w:r>
              <w:rPr>
                <w:rStyle w:val="IndexLink"/>
                <w:rtl w:val="true"/>
              </w:rPr>
              <w:tab/>
            </w:r>
            <w:r>
              <w:rPr>
                <w:rStyle w:val="IndexLink"/>
              </w:rPr>
              <w:t>570</w:t>
            </w:r>
          </w:hyperlink>
        </w:p>
        <w:p>
          <w:pPr>
            <w:pStyle w:val="Contents5"/>
            <w:tabs>
              <w:tab w:val="clear" w:pos="7892"/>
              <w:tab w:val="right" w:pos="9026" w:leader="dot"/>
            </w:tabs>
            <w:rPr/>
          </w:pPr>
          <w:hyperlink w:anchor="__RefHeading___Toc9424648_73709187">
            <w:r>
              <w:rPr>
                <w:webHidden/>
                <w:rStyle w:val="IndexLink"/>
                <w:rtl w:val="true"/>
              </w:rPr>
              <w:t>القول الأوّل</w:t>
            </w:r>
            <w:r>
              <w:rPr>
                <w:rStyle w:val="IndexLink"/>
                <w:rtl w:val="true"/>
              </w:rPr>
              <w:t xml:space="preserve">: </w:t>
            </w:r>
            <w:r>
              <w:rPr>
                <w:rStyle w:val="IndexLink"/>
                <w:rtl w:val="true"/>
              </w:rPr>
              <w:t>یُشترط مراعاة المصلحة و لا تکفی عدم المفسدة</w:t>
            </w:r>
            <w:r>
              <w:rPr>
                <w:rStyle w:val="IndexLink"/>
                <w:rtl w:val="true"/>
              </w:rPr>
              <w:tab/>
            </w:r>
            <w:r>
              <w:rPr>
                <w:rStyle w:val="IndexLink"/>
              </w:rPr>
              <w:t>570</w:t>
            </w:r>
          </w:hyperlink>
        </w:p>
        <w:p>
          <w:pPr>
            <w:pStyle w:val="Contents5"/>
            <w:tabs>
              <w:tab w:val="clear" w:pos="7892"/>
              <w:tab w:val="right" w:pos="9026" w:leader="dot"/>
            </w:tabs>
            <w:rPr/>
          </w:pPr>
          <w:hyperlink w:anchor="__RefHeading___Toc9424650_73709187">
            <w:r>
              <w:rPr>
                <w:webHidden/>
                <w:rStyle w:val="IndexLink"/>
                <w:rtl w:val="true"/>
              </w:rPr>
              <w:t>القول الثانی</w:t>
            </w:r>
            <w:r>
              <w:rPr>
                <w:rStyle w:val="IndexLink"/>
                <w:rtl w:val="true"/>
              </w:rPr>
              <w:t xml:space="preserve">: </w:t>
            </w:r>
            <w:r>
              <w:rPr>
                <w:rStyle w:val="IndexLink"/>
                <w:rtl w:val="true"/>
              </w:rPr>
              <w:t>تکفی مراعاة عدم المفسدة و لا یلزم مراعاة المصلحة</w:t>
            </w:r>
            <w:r>
              <w:rPr>
                <w:rStyle w:val="IndexLink"/>
                <w:rtl w:val="true"/>
              </w:rPr>
              <w:tab/>
            </w:r>
            <w:r>
              <w:rPr>
                <w:rStyle w:val="IndexLink"/>
              </w:rPr>
              <w:t>571</w:t>
            </w:r>
          </w:hyperlink>
        </w:p>
        <w:p>
          <w:pPr>
            <w:pStyle w:val="Contents6"/>
            <w:tabs>
              <w:tab w:val="clear" w:pos="7609"/>
              <w:tab w:val="right" w:pos="9026" w:leader="dot"/>
            </w:tabs>
            <w:rPr/>
          </w:pPr>
          <w:hyperlink w:anchor="__RefHeading___Toc9424652_73709187">
            <w:r>
              <w:rPr>
                <w:webHidden/>
                <w:rStyle w:val="IndexLink"/>
                <w:rtl w:val="true"/>
              </w:rPr>
              <w:t>اشارة</w:t>
            </w:r>
            <w:r>
              <w:rPr>
                <w:rStyle w:val="IndexLink"/>
                <w:rtl w:val="true"/>
              </w:rPr>
              <w:tab/>
            </w:r>
            <w:r>
              <w:rPr>
                <w:rStyle w:val="IndexLink"/>
              </w:rPr>
              <w:t>571</w:t>
            </w:r>
          </w:hyperlink>
        </w:p>
        <w:p>
          <w:pPr>
            <w:pStyle w:val="Contents6"/>
            <w:tabs>
              <w:tab w:val="clear" w:pos="7609"/>
              <w:tab w:val="right" w:pos="9026" w:leader="dot"/>
            </w:tabs>
            <w:rPr/>
          </w:pPr>
          <w:hyperlink w:anchor="__RefHeading___Toc9424654_73709187">
            <w:r>
              <w:rPr>
                <w:webHidden/>
                <w:rStyle w:val="IndexLink"/>
                <w:rtl w:val="true"/>
              </w:rPr>
              <w:t>أدلّة هذا القول</w:t>
            </w:r>
            <w:r>
              <w:rPr>
                <w:rStyle w:val="IndexLink"/>
                <w:rtl w:val="true"/>
              </w:rPr>
              <w:tab/>
            </w:r>
            <w:r>
              <w:rPr>
                <w:rStyle w:val="IndexLink"/>
              </w:rPr>
              <w:t>571</w:t>
            </w:r>
          </w:hyperlink>
        </w:p>
        <w:p>
          <w:pPr>
            <w:pStyle w:val="Contents6"/>
            <w:tabs>
              <w:tab w:val="clear" w:pos="7609"/>
              <w:tab w:val="right" w:pos="9026" w:leader="dot"/>
            </w:tabs>
            <w:rPr/>
          </w:pPr>
          <w:hyperlink w:anchor="__RefHeading___Toc9424656_73709187">
            <w:r>
              <w:rPr>
                <w:webHidden/>
                <w:rStyle w:val="IndexLink"/>
              </w:rPr>
              <w:t>1</w:t>
            </w:r>
            <w:r>
              <w:rPr>
                <w:rStyle w:val="IndexLink"/>
                <w:rtl w:val="true"/>
              </w:rPr>
              <w:t xml:space="preserve"> - </w:t>
            </w:r>
            <w:r>
              <w:rPr>
                <w:rStyle w:val="IndexLink"/>
                <w:rtl w:val="true"/>
              </w:rPr>
              <w:t>الإجماع</w:t>
            </w:r>
            <w:r>
              <w:rPr>
                <w:rStyle w:val="IndexLink"/>
                <w:rtl w:val="true"/>
              </w:rPr>
              <w:t xml:space="preserve">: </w:t>
            </w:r>
            <w:r>
              <w:rPr>
                <w:rStyle w:val="IndexLink"/>
                <w:rtl w:val="true"/>
              </w:rPr>
              <w:t>الذی ادّعاه جماعة</w:t>
            </w:r>
            <w:r>
              <w:rPr>
                <w:rStyle w:val="IndexLink"/>
                <w:rtl w:val="true"/>
              </w:rPr>
              <w:tab/>
            </w:r>
            <w:r>
              <w:rPr>
                <w:rStyle w:val="IndexLink"/>
              </w:rPr>
              <w:t>571</w:t>
            </w:r>
          </w:hyperlink>
        </w:p>
        <w:p>
          <w:pPr>
            <w:pStyle w:val="Contents6"/>
            <w:tabs>
              <w:tab w:val="clear" w:pos="7609"/>
              <w:tab w:val="right" w:pos="9026" w:leader="dot"/>
            </w:tabs>
            <w:rPr/>
          </w:pPr>
          <w:hyperlink w:anchor="__RefHeading___Toc9424658_73709187">
            <w:r>
              <w:rPr>
                <w:webHidden/>
                <w:rStyle w:val="IndexLink"/>
              </w:rPr>
              <w:t>2</w:t>
            </w:r>
            <w:r>
              <w:rPr>
                <w:rStyle w:val="IndexLink"/>
                <w:rtl w:val="true"/>
              </w:rPr>
              <w:t xml:space="preserve"> - </w:t>
            </w:r>
            <w:r>
              <w:rPr>
                <w:rStyle w:val="IndexLink"/>
                <w:rtl w:val="true"/>
              </w:rPr>
              <w:t>مناسبة الحکم و الموضوع</w:t>
            </w:r>
            <w:r>
              <w:rPr>
                <w:rStyle w:val="IndexLink"/>
                <w:rtl w:val="true"/>
              </w:rPr>
              <w:tab/>
            </w:r>
            <w:r>
              <w:rPr>
                <w:rStyle w:val="IndexLink"/>
              </w:rPr>
              <w:t>572</w:t>
            </w:r>
          </w:hyperlink>
        </w:p>
        <w:p>
          <w:pPr>
            <w:pStyle w:val="Contents6"/>
            <w:tabs>
              <w:tab w:val="clear" w:pos="7609"/>
              <w:tab w:val="right" w:pos="9026" w:leader="dot"/>
            </w:tabs>
            <w:rPr/>
          </w:pPr>
          <w:hyperlink w:anchor="__RefHeading___Toc9424660_73709187">
            <w:r>
              <w:rPr>
                <w:webHidden/>
                <w:rStyle w:val="IndexLink"/>
              </w:rPr>
              <w:t>3</w:t>
            </w:r>
            <w:r>
              <w:rPr>
                <w:rStyle w:val="IndexLink"/>
                <w:rtl w:val="true"/>
              </w:rPr>
              <w:t xml:space="preserve"> - </w:t>
            </w:r>
            <w:r>
              <w:rPr>
                <w:rStyle w:val="IndexLink"/>
                <w:rtl w:val="true"/>
              </w:rPr>
              <w:t xml:space="preserve">النصوص </w:t>
            </w:r>
            <w:r>
              <w:rPr>
                <w:rStyle w:val="IndexLink"/>
                <w:rtl w:val="true"/>
              </w:rPr>
              <w:t xml:space="preserve">- </w:t>
            </w:r>
            <w:r>
              <w:rPr>
                <w:rStyle w:val="IndexLink"/>
                <w:rtl w:val="true"/>
              </w:rPr>
              <w:t xml:space="preserve">و هی العمدة </w:t>
            </w:r>
            <w:r>
              <w:rPr>
                <w:rStyle w:val="IndexLink"/>
                <w:rtl w:val="true"/>
              </w:rPr>
              <w:t>-:</w:t>
              <w:tab/>
            </w:r>
            <w:r>
              <w:rPr>
                <w:rStyle w:val="IndexLink"/>
              </w:rPr>
              <w:t>572</w:t>
            </w:r>
          </w:hyperlink>
        </w:p>
        <w:p>
          <w:pPr>
            <w:pStyle w:val="Contents5"/>
            <w:tabs>
              <w:tab w:val="clear" w:pos="7892"/>
              <w:tab w:val="right" w:pos="9026" w:leader="dot"/>
            </w:tabs>
            <w:rPr/>
          </w:pPr>
          <w:hyperlink w:anchor="__RefHeading___Toc9424662_73709187">
            <w:r>
              <w:rPr>
                <w:webHidden/>
                <w:rStyle w:val="IndexLink"/>
                <w:rtl w:val="true"/>
              </w:rPr>
              <w:t>آراء أهل السنة فی اشتراط المصلحة أو کفایة عدم المفسدة</w:t>
            </w:r>
            <w:r>
              <w:rPr>
                <w:rStyle w:val="IndexLink"/>
                <w:rtl w:val="true"/>
              </w:rPr>
              <w:tab/>
            </w:r>
            <w:r>
              <w:rPr>
                <w:rStyle w:val="IndexLink"/>
              </w:rPr>
              <w:t>574</w:t>
            </w:r>
          </w:hyperlink>
        </w:p>
        <w:p>
          <w:pPr>
            <w:pStyle w:val="Contents4"/>
            <w:tabs>
              <w:tab w:val="clear" w:pos="8176"/>
              <w:tab w:val="right" w:pos="9026" w:leader="dot"/>
            </w:tabs>
            <w:rPr/>
          </w:pPr>
          <w:hyperlink w:anchor="__RefHeading___Toc9424664_73709187">
            <w:r>
              <w:rPr>
                <w:webHidden/>
                <w:rStyle w:val="IndexLink"/>
                <w:rtl w:val="true"/>
              </w:rPr>
              <w:t>المبحث الرابع</w:t>
            </w:r>
            <w:r>
              <w:rPr>
                <w:rStyle w:val="IndexLink"/>
                <w:rtl w:val="true"/>
              </w:rPr>
              <w:t xml:space="preserve">: </w:t>
            </w:r>
            <w:r>
              <w:rPr>
                <w:rStyle w:val="IndexLink"/>
                <w:rtl w:val="true"/>
              </w:rPr>
              <w:t>فی تزاحم ولایة الأب و الجدّ</w:t>
            </w:r>
            <w:r>
              <w:rPr>
                <w:rStyle w:val="IndexLink"/>
                <w:rtl w:val="true"/>
              </w:rPr>
              <w:tab/>
            </w:r>
            <w:r>
              <w:rPr>
                <w:rStyle w:val="IndexLink"/>
              </w:rPr>
              <w:t>576</w:t>
            </w:r>
          </w:hyperlink>
        </w:p>
        <w:p>
          <w:pPr>
            <w:pStyle w:val="Contents5"/>
            <w:tabs>
              <w:tab w:val="clear" w:pos="7892"/>
              <w:tab w:val="right" w:pos="9026" w:leader="dot"/>
            </w:tabs>
            <w:rPr/>
          </w:pPr>
          <w:hyperlink w:anchor="__RefHeading___Toc9424666_73709187">
            <w:r>
              <w:rPr>
                <w:webHidden/>
                <w:rStyle w:val="IndexLink"/>
                <w:rtl w:val="true"/>
              </w:rPr>
              <w:t>اشارة</w:t>
            </w:r>
            <w:r>
              <w:rPr>
                <w:rStyle w:val="IndexLink"/>
                <w:rtl w:val="true"/>
              </w:rPr>
              <w:tab/>
            </w:r>
            <w:r>
              <w:rPr>
                <w:rStyle w:val="IndexLink"/>
              </w:rPr>
              <w:t>576</w:t>
            </w:r>
          </w:hyperlink>
        </w:p>
        <w:p>
          <w:pPr>
            <w:pStyle w:val="Contents5"/>
            <w:tabs>
              <w:tab w:val="clear" w:pos="7892"/>
              <w:tab w:val="right" w:pos="9026" w:leader="dot"/>
            </w:tabs>
            <w:rPr/>
          </w:pPr>
          <w:hyperlink w:anchor="__RefHeading___Toc9424668_73709187">
            <w:r>
              <w:rPr>
                <w:webHidden/>
                <w:rStyle w:val="IndexLink"/>
                <w:rtl w:val="true"/>
              </w:rPr>
              <w:t>لهذه المسألة عدّة صور</w:t>
            </w:r>
            <w:r>
              <w:rPr>
                <w:rStyle w:val="IndexLink"/>
                <w:rtl w:val="true"/>
              </w:rPr>
              <w:t>:</w:t>
              <w:tab/>
            </w:r>
            <w:r>
              <w:rPr>
                <w:rStyle w:val="IndexLink"/>
              </w:rPr>
              <w:t>576</w:t>
            </w:r>
          </w:hyperlink>
        </w:p>
        <w:p>
          <w:pPr>
            <w:pStyle w:val="Contents6"/>
            <w:tabs>
              <w:tab w:val="clear" w:pos="7609"/>
              <w:tab w:val="right" w:pos="9026" w:leader="dot"/>
            </w:tabs>
            <w:rPr/>
          </w:pPr>
          <w:hyperlink w:anchor="__RefHeading___Toc9424670_73709187">
            <w:r>
              <w:rPr>
                <w:webHidden/>
                <w:rStyle w:val="IndexLink"/>
                <w:rtl w:val="true"/>
              </w:rPr>
              <w:t>اشارة</w:t>
            </w:r>
            <w:r>
              <w:rPr>
                <w:rStyle w:val="IndexLink"/>
                <w:rtl w:val="true"/>
              </w:rPr>
              <w:tab/>
            </w:r>
            <w:r>
              <w:rPr>
                <w:rStyle w:val="IndexLink"/>
              </w:rPr>
              <w:t>576</w:t>
            </w:r>
          </w:hyperlink>
        </w:p>
        <w:p>
          <w:pPr>
            <w:pStyle w:val="Contents6"/>
            <w:tabs>
              <w:tab w:val="clear" w:pos="7609"/>
              <w:tab w:val="right" w:pos="9026" w:leader="dot"/>
            </w:tabs>
            <w:rPr/>
          </w:pPr>
          <w:hyperlink w:anchor="__RefHeading___Toc9424672_73709187">
            <w:r>
              <w:rPr>
                <w:webHidden/>
                <w:rStyle w:val="IndexLink"/>
                <w:rtl w:val="true"/>
              </w:rPr>
              <w:t>الأولی</w:t>
            </w:r>
            <w:r>
              <w:rPr>
                <w:rStyle w:val="IndexLink"/>
                <w:rtl w:val="true"/>
              </w:rPr>
              <w:t xml:space="preserve">: </w:t>
            </w:r>
            <w:r>
              <w:rPr>
                <w:rStyle w:val="IndexLink"/>
                <w:rtl w:val="true"/>
              </w:rPr>
              <w:t>إذا علم السابق من العقدین</w:t>
            </w:r>
            <w:r>
              <w:rPr>
                <w:rStyle w:val="IndexLink"/>
                <w:rtl w:val="true"/>
              </w:rPr>
              <w:tab/>
            </w:r>
            <w:r>
              <w:rPr>
                <w:rStyle w:val="IndexLink"/>
              </w:rPr>
              <w:t>576</w:t>
            </w:r>
          </w:hyperlink>
        </w:p>
        <w:p>
          <w:pPr>
            <w:pStyle w:val="Contents6"/>
            <w:tabs>
              <w:tab w:val="clear" w:pos="7609"/>
              <w:tab w:val="right" w:pos="9026" w:leader="dot"/>
            </w:tabs>
            <w:rPr/>
          </w:pPr>
          <w:hyperlink w:anchor="__RefHeading___Toc9424674_73709187">
            <w:r>
              <w:rPr>
                <w:webHidden/>
                <w:rStyle w:val="IndexLink"/>
                <w:rtl w:val="true"/>
              </w:rPr>
              <w:t>الثانیة</w:t>
            </w:r>
            <w:r>
              <w:rPr>
                <w:rStyle w:val="IndexLink"/>
                <w:rtl w:val="true"/>
              </w:rPr>
              <w:t xml:space="preserve">: </w:t>
            </w:r>
            <w:r>
              <w:rPr>
                <w:rStyle w:val="IndexLink"/>
                <w:rtl w:val="true"/>
              </w:rPr>
              <w:t>تقارن العقدین</w:t>
            </w:r>
            <w:r>
              <w:rPr>
                <w:rStyle w:val="IndexLink"/>
                <w:rtl w:val="true"/>
              </w:rPr>
              <w:tab/>
            </w:r>
            <w:r>
              <w:rPr>
                <w:rStyle w:val="IndexLink"/>
              </w:rPr>
              <w:t>577</w:t>
            </w:r>
          </w:hyperlink>
        </w:p>
        <w:p>
          <w:pPr>
            <w:pStyle w:val="Contents6"/>
            <w:tabs>
              <w:tab w:val="clear" w:pos="7609"/>
              <w:tab w:val="right" w:pos="9026" w:leader="dot"/>
            </w:tabs>
            <w:rPr/>
          </w:pPr>
          <w:hyperlink w:anchor="__RefHeading___Toc9424676_73709187">
            <w:r>
              <w:rPr>
                <w:webHidden/>
                <w:rStyle w:val="IndexLink"/>
                <w:rtl w:val="true"/>
              </w:rPr>
              <w:t>الثالثة</w:t>
            </w:r>
            <w:r>
              <w:rPr>
                <w:rStyle w:val="IndexLink"/>
                <w:rtl w:val="true"/>
              </w:rPr>
              <w:t xml:space="preserve">: </w:t>
            </w:r>
            <w:r>
              <w:rPr>
                <w:rStyle w:val="IndexLink"/>
                <w:rtl w:val="true"/>
              </w:rPr>
              <w:t>کون العقدین مجهولی التاریخ</w:t>
            </w:r>
            <w:r>
              <w:rPr>
                <w:rStyle w:val="IndexLink"/>
                <w:rtl w:val="true"/>
              </w:rPr>
              <w:tab/>
            </w:r>
            <w:r>
              <w:rPr>
                <w:rStyle w:val="IndexLink"/>
              </w:rPr>
              <w:t>578</w:t>
            </w:r>
          </w:hyperlink>
        </w:p>
        <w:p>
          <w:pPr>
            <w:pStyle w:val="Contents6"/>
            <w:tabs>
              <w:tab w:val="clear" w:pos="7609"/>
              <w:tab w:val="right" w:pos="9026" w:leader="dot"/>
            </w:tabs>
            <w:rPr/>
          </w:pPr>
          <w:hyperlink w:anchor="__RefHeading___Toc9424678_73709187">
            <w:r>
              <w:rPr>
                <w:webHidden/>
                <w:rStyle w:val="IndexLink"/>
                <w:rtl w:val="true"/>
              </w:rPr>
              <w:t>الرابعة</w:t>
            </w:r>
            <w:r>
              <w:rPr>
                <w:rStyle w:val="IndexLink"/>
                <w:rtl w:val="true"/>
              </w:rPr>
              <w:t xml:space="preserve">: </w:t>
            </w:r>
            <w:r>
              <w:rPr>
                <w:rStyle w:val="IndexLink"/>
                <w:rtl w:val="true"/>
              </w:rPr>
              <w:t>کون تاریخ أحدهما معلوماً و الآخر مجهولاً</w:t>
            </w:r>
            <w:r>
              <w:rPr>
                <w:rStyle w:val="IndexLink"/>
                <w:rtl w:val="true"/>
              </w:rPr>
              <w:tab/>
            </w:r>
            <w:r>
              <w:rPr>
                <w:rStyle w:val="IndexLink"/>
              </w:rPr>
              <w:t>580</w:t>
            </w:r>
          </w:hyperlink>
        </w:p>
        <w:p>
          <w:pPr>
            <w:pStyle w:val="Contents5"/>
            <w:tabs>
              <w:tab w:val="clear" w:pos="7892"/>
              <w:tab w:val="right" w:pos="9026" w:leader="dot"/>
            </w:tabs>
            <w:rPr/>
          </w:pPr>
          <w:hyperlink w:anchor="__RefHeading___Toc9424680_73709187">
            <w:r>
              <w:rPr>
                <w:webHidden/>
                <w:rStyle w:val="IndexLink"/>
                <w:rtl w:val="true"/>
              </w:rPr>
              <w:t>فرعان</w:t>
            </w:r>
            <w:r>
              <w:rPr>
                <w:rStyle w:val="IndexLink"/>
                <w:rtl w:val="true"/>
              </w:rPr>
              <w:tab/>
            </w:r>
            <w:r>
              <w:rPr>
                <w:rStyle w:val="IndexLink"/>
              </w:rPr>
              <w:t>583</w:t>
            </w:r>
          </w:hyperlink>
        </w:p>
        <w:p>
          <w:pPr>
            <w:pStyle w:val="Contents6"/>
            <w:tabs>
              <w:tab w:val="clear" w:pos="7609"/>
              <w:tab w:val="right" w:pos="9026" w:leader="dot"/>
            </w:tabs>
            <w:rPr/>
          </w:pPr>
          <w:hyperlink w:anchor="__RefHeading___Toc9424682_73709187">
            <w:r>
              <w:rPr>
                <w:webHidden/>
                <w:rStyle w:val="IndexLink"/>
                <w:rtl w:val="true"/>
              </w:rPr>
              <w:t>الأوّل</w:t>
            </w:r>
            <w:r>
              <w:rPr>
                <w:rStyle w:val="IndexLink"/>
                <w:rtl w:val="true"/>
              </w:rPr>
              <w:t xml:space="preserve">: </w:t>
            </w:r>
            <w:r>
              <w:rPr>
                <w:rStyle w:val="IndexLink"/>
                <w:rtl w:val="true"/>
              </w:rPr>
              <w:t>لو تشاحّ الأب و الجدّ فی تزویج الصغیرة</w:t>
            </w:r>
            <w:r>
              <w:rPr>
                <w:rStyle w:val="IndexLink"/>
                <w:rtl w:val="true"/>
              </w:rPr>
              <w:tab/>
            </w:r>
            <w:r>
              <w:rPr>
                <w:rStyle w:val="IndexLink"/>
              </w:rPr>
              <w:t>583</w:t>
            </w:r>
          </w:hyperlink>
        </w:p>
        <w:p>
          <w:pPr>
            <w:pStyle w:val="Contents6"/>
            <w:tabs>
              <w:tab w:val="clear" w:pos="7609"/>
              <w:tab w:val="right" w:pos="9026" w:leader="dot"/>
            </w:tabs>
            <w:rPr/>
          </w:pPr>
          <w:hyperlink w:anchor="__RefHeading___Toc9424684_73709187">
            <w:r>
              <w:rPr>
                <w:webHidden/>
                <w:rStyle w:val="IndexLink"/>
                <w:rtl w:val="true"/>
              </w:rPr>
              <w:t>أدلّة هذا الحکم</w:t>
            </w:r>
            <w:r>
              <w:rPr>
                <w:rStyle w:val="IndexLink"/>
                <w:rtl w:val="true"/>
              </w:rPr>
              <w:tab/>
            </w:r>
            <w:r>
              <w:rPr>
                <w:rStyle w:val="IndexLink"/>
              </w:rPr>
              <w:t>585</w:t>
            </w:r>
          </w:hyperlink>
        </w:p>
        <w:p>
          <w:pPr>
            <w:pStyle w:val="Contents6"/>
            <w:tabs>
              <w:tab w:val="clear" w:pos="7609"/>
              <w:tab w:val="right" w:pos="9026" w:leader="dot"/>
            </w:tabs>
            <w:rPr/>
          </w:pPr>
          <w:hyperlink w:anchor="__RefHeading___Toc9424686_73709187">
            <w:r>
              <w:rPr>
                <w:webHidden/>
                <w:rStyle w:val="IndexLink"/>
                <w:rtl w:val="true"/>
              </w:rPr>
              <w:t>الثانی</w:t>
            </w:r>
            <w:r>
              <w:rPr>
                <w:rStyle w:val="IndexLink"/>
                <w:rtl w:val="true"/>
              </w:rPr>
              <w:t xml:space="preserve">: </w:t>
            </w:r>
            <w:r>
              <w:rPr>
                <w:rStyle w:val="IndexLink"/>
                <w:rtl w:val="true"/>
              </w:rPr>
              <w:t>هل تسقط ولایة الأب عند التشاحّ أم لا؟</w:t>
            </w:r>
            <w:r>
              <w:rPr>
                <w:rStyle w:val="IndexLink"/>
                <w:rtl w:val="true"/>
              </w:rPr>
              <w:tab/>
            </w:r>
            <w:r>
              <w:rPr>
                <w:rStyle w:val="IndexLink"/>
              </w:rPr>
              <w:t>586</w:t>
            </w:r>
          </w:hyperlink>
        </w:p>
        <w:p>
          <w:pPr>
            <w:pStyle w:val="Contents5"/>
            <w:tabs>
              <w:tab w:val="clear" w:pos="7892"/>
              <w:tab w:val="right" w:pos="9026" w:leader="dot"/>
            </w:tabs>
            <w:rPr/>
          </w:pPr>
          <w:hyperlink w:anchor="__RefHeading___Toc9424688_73709187">
            <w:r>
              <w:rPr>
                <w:webHidden/>
                <w:rStyle w:val="IndexLink"/>
                <w:rtl w:val="true"/>
              </w:rPr>
              <w:t>آراء أهل السنّة فی تزاحم الأولیاء</w:t>
            </w:r>
            <w:r>
              <w:rPr>
                <w:rStyle w:val="IndexLink"/>
                <w:rtl w:val="true"/>
              </w:rPr>
              <w:tab/>
            </w:r>
            <w:r>
              <w:rPr>
                <w:rStyle w:val="IndexLink"/>
              </w:rPr>
              <w:t>589</w:t>
            </w:r>
          </w:hyperlink>
        </w:p>
        <w:p>
          <w:pPr>
            <w:pStyle w:val="Contents5"/>
            <w:tabs>
              <w:tab w:val="clear" w:pos="7892"/>
              <w:tab w:val="right" w:pos="9026" w:leader="dot"/>
            </w:tabs>
            <w:rPr/>
          </w:pPr>
          <w:hyperlink w:anchor="__RefHeading___Toc9424690_73709187">
            <w:r>
              <w:rPr>
                <w:webHidden/>
                <w:rStyle w:val="IndexLink"/>
                <w:rtl w:val="true"/>
              </w:rPr>
              <w:t>إذا زوّجها الولیّان، فعقدُ أیّهما صحیح؟</w:t>
            </w:r>
            <w:r>
              <w:rPr>
                <w:rStyle w:val="IndexLink"/>
                <w:rtl w:val="true"/>
              </w:rPr>
              <w:tab/>
            </w:r>
            <w:r>
              <w:rPr>
                <w:rStyle w:val="IndexLink"/>
              </w:rPr>
              <w:t>592</w:t>
            </w:r>
          </w:hyperlink>
        </w:p>
        <w:p>
          <w:pPr>
            <w:pStyle w:val="Contents4"/>
            <w:tabs>
              <w:tab w:val="clear" w:pos="8176"/>
              <w:tab w:val="right" w:pos="9026" w:leader="dot"/>
            </w:tabs>
            <w:rPr/>
          </w:pPr>
          <w:hyperlink w:anchor="__RefHeading___Toc9424692_73709187">
            <w:r>
              <w:rPr>
                <w:webHidden/>
                <w:rStyle w:val="IndexLink"/>
                <w:rtl w:val="true"/>
              </w:rPr>
              <w:t>المبحث الخامس</w:t>
            </w:r>
            <w:r>
              <w:rPr>
                <w:rStyle w:val="IndexLink"/>
                <w:rtl w:val="true"/>
              </w:rPr>
              <w:t xml:space="preserve">: </w:t>
            </w:r>
            <w:r>
              <w:rPr>
                <w:rStyle w:val="IndexLink"/>
                <w:rtl w:val="true"/>
              </w:rPr>
              <w:t>فی حکم الخیار للصغیرین بعد بلوغهما</w:t>
            </w:r>
            <w:r>
              <w:rPr>
                <w:rStyle w:val="IndexLink"/>
                <w:rtl w:val="true"/>
              </w:rPr>
              <w:tab/>
            </w:r>
            <w:r>
              <w:rPr>
                <w:rStyle w:val="IndexLink"/>
              </w:rPr>
              <w:t>594</w:t>
            </w:r>
          </w:hyperlink>
        </w:p>
        <w:p>
          <w:pPr>
            <w:pStyle w:val="Contents5"/>
            <w:tabs>
              <w:tab w:val="clear" w:pos="7892"/>
              <w:tab w:val="right" w:pos="9026" w:leader="dot"/>
            </w:tabs>
            <w:rPr/>
          </w:pPr>
          <w:hyperlink w:anchor="__RefHeading___Toc9424694_73709187">
            <w:r>
              <w:rPr>
                <w:webHidden/>
                <w:rStyle w:val="IndexLink"/>
                <w:rtl w:val="true"/>
              </w:rPr>
              <w:t>اشارة</w:t>
            </w:r>
            <w:r>
              <w:rPr>
                <w:rStyle w:val="IndexLink"/>
                <w:rtl w:val="true"/>
              </w:rPr>
              <w:tab/>
            </w:r>
            <w:r>
              <w:rPr>
                <w:rStyle w:val="IndexLink"/>
              </w:rPr>
              <w:t>594</w:t>
            </w:r>
          </w:hyperlink>
        </w:p>
        <w:p>
          <w:pPr>
            <w:pStyle w:val="Contents5"/>
            <w:tabs>
              <w:tab w:val="clear" w:pos="7892"/>
              <w:tab w:val="right" w:pos="9026" w:leader="dot"/>
            </w:tabs>
            <w:rPr/>
          </w:pPr>
          <w:hyperlink w:anchor="__RefHeading___Toc9424696_73709187">
            <w:r>
              <w:rPr>
                <w:webHidden/>
                <w:rStyle w:val="IndexLink"/>
                <w:rtl w:val="true"/>
              </w:rPr>
              <w:t>المطلب الأوّل</w:t>
            </w:r>
            <w:r>
              <w:rPr>
                <w:rStyle w:val="IndexLink"/>
                <w:rtl w:val="true"/>
              </w:rPr>
              <w:t xml:space="preserve">: </w:t>
            </w:r>
            <w:r>
              <w:rPr>
                <w:rStyle w:val="IndexLink"/>
                <w:rtl w:val="true"/>
              </w:rPr>
              <w:t>لا خیار للصغیرة إذا زوّجها الأب أو الجدّ</w:t>
            </w:r>
            <w:r>
              <w:rPr>
                <w:rStyle w:val="IndexLink"/>
                <w:rtl w:val="true"/>
              </w:rPr>
              <w:tab/>
            </w:r>
            <w:r>
              <w:rPr>
                <w:rStyle w:val="IndexLink"/>
              </w:rPr>
              <w:t>594</w:t>
            </w:r>
          </w:hyperlink>
        </w:p>
        <w:p>
          <w:pPr>
            <w:pStyle w:val="Contents6"/>
            <w:tabs>
              <w:tab w:val="clear" w:pos="7609"/>
              <w:tab w:val="right" w:pos="9026" w:leader="dot"/>
            </w:tabs>
            <w:rPr/>
          </w:pPr>
          <w:hyperlink w:anchor="__RefHeading___Toc9424698_73709187">
            <w:r>
              <w:rPr>
                <w:webHidden/>
                <w:rStyle w:val="IndexLink"/>
                <w:rtl w:val="true"/>
              </w:rPr>
              <w:t>اشارة</w:t>
            </w:r>
            <w:r>
              <w:rPr>
                <w:rStyle w:val="IndexLink"/>
                <w:rtl w:val="true"/>
              </w:rPr>
              <w:tab/>
            </w:r>
            <w:r>
              <w:rPr>
                <w:rStyle w:val="IndexLink"/>
              </w:rPr>
              <w:t>594</w:t>
            </w:r>
          </w:hyperlink>
        </w:p>
        <w:p>
          <w:pPr>
            <w:pStyle w:val="Contents6"/>
            <w:tabs>
              <w:tab w:val="clear" w:pos="7609"/>
              <w:tab w:val="right" w:pos="9026" w:leader="dot"/>
            </w:tabs>
            <w:rPr/>
          </w:pPr>
          <w:hyperlink w:anchor="__RefHeading___Toc9424700_73709187">
            <w:r>
              <w:rPr>
                <w:webHidden/>
                <w:rStyle w:val="IndexLink"/>
                <w:rtl w:val="true"/>
              </w:rPr>
              <w:t>أدلّة هذا الحکم</w:t>
            </w:r>
            <w:r>
              <w:rPr>
                <w:rStyle w:val="IndexLink"/>
                <w:rtl w:val="true"/>
              </w:rPr>
              <w:t>:</w:t>
              <w:tab/>
            </w:r>
            <w:r>
              <w:rPr>
                <w:rStyle w:val="IndexLink"/>
              </w:rPr>
              <w:t>595</w:t>
            </w:r>
          </w:hyperlink>
        </w:p>
        <w:p>
          <w:pPr>
            <w:pStyle w:val="Contents5"/>
            <w:tabs>
              <w:tab w:val="clear" w:pos="7892"/>
              <w:tab w:val="right" w:pos="9026" w:leader="dot"/>
            </w:tabs>
            <w:rPr/>
          </w:pPr>
          <w:hyperlink w:anchor="__RefHeading___Toc9424702_73709187">
            <w:r>
              <w:rPr>
                <w:webHidden/>
                <w:rStyle w:val="IndexLink"/>
                <w:rtl w:val="true"/>
              </w:rPr>
              <w:t>المطلب الثانی</w:t>
            </w:r>
            <w:r>
              <w:rPr>
                <w:rStyle w:val="IndexLink"/>
                <w:rtl w:val="true"/>
              </w:rPr>
              <w:t xml:space="preserve">: </w:t>
            </w:r>
            <w:r>
              <w:rPr>
                <w:rStyle w:val="IndexLink"/>
                <w:rtl w:val="true"/>
              </w:rPr>
              <w:t>أنّه إذا زوّج الأب أو الجدّ الصغیرَ، فهل کان له بعد البلوغ خیار أم لا؟ قولان</w:t>
            </w:r>
            <w:r>
              <w:rPr>
                <w:rStyle w:val="IndexLink"/>
                <w:rtl w:val="true"/>
              </w:rPr>
              <w:t>:</w:t>
              <w:tab/>
            </w:r>
            <w:r>
              <w:rPr>
                <w:rStyle w:val="IndexLink"/>
              </w:rPr>
              <w:t>601</w:t>
            </w:r>
          </w:hyperlink>
        </w:p>
        <w:p>
          <w:pPr>
            <w:pStyle w:val="Contents6"/>
            <w:tabs>
              <w:tab w:val="clear" w:pos="7609"/>
              <w:tab w:val="right" w:pos="9026" w:leader="dot"/>
            </w:tabs>
            <w:rPr/>
          </w:pPr>
          <w:hyperlink w:anchor="__RefHeading___Toc9424704_73709187">
            <w:r>
              <w:rPr>
                <w:webHidden/>
                <w:rStyle w:val="IndexLink"/>
                <w:rtl w:val="true"/>
              </w:rPr>
              <w:t>القول الأوّل</w:t>
            </w:r>
            <w:r>
              <w:rPr>
                <w:rStyle w:val="IndexLink"/>
                <w:rtl w:val="true"/>
              </w:rPr>
              <w:t>:</w:t>
              <w:tab/>
            </w:r>
            <w:r>
              <w:rPr>
                <w:rStyle w:val="IndexLink"/>
              </w:rPr>
              <w:t>601</w:t>
            </w:r>
          </w:hyperlink>
        </w:p>
        <w:p>
          <w:pPr>
            <w:pStyle w:val="Contents6"/>
            <w:tabs>
              <w:tab w:val="clear" w:pos="7609"/>
              <w:tab w:val="right" w:pos="9026" w:leader="dot"/>
            </w:tabs>
            <w:rPr/>
          </w:pPr>
          <w:hyperlink w:anchor="__RefHeading___Toc9424706_73709187">
            <w:r>
              <w:rPr>
                <w:webHidden/>
                <w:rStyle w:val="IndexLink"/>
                <w:rtl w:val="true"/>
              </w:rPr>
              <w:t>أدلّة هذا القول</w:t>
            </w:r>
            <w:r>
              <w:rPr>
                <w:rStyle w:val="IndexLink"/>
                <w:rtl w:val="true"/>
              </w:rPr>
              <w:t>:</w:t>
              <w:tab/>
            </w:r>
            <w:r>
              <w:rPr>
                <w:rStyle w:val="IndexLink"/>
              </w:rPr>
              <w:t>601</w:t>
            </w:r>
          </w:hyperlink>
        </w:p>
        <w:p>
          <w:pPr>
            <w:pStyle w:val="Contents6"/>
            <w:tabs>
              <w:tab w:val="clear" w:pos="7609"/>
              <w:tab w:val="right" w:pos="9026" w:leader="dot"/>
            </w:tabs>
            <w:rPr/>
          </w:pPr>
          <w:hyperlink w:anchor="__RefHeading___Toc9424708_73709187">
            <w:r>
              <w:rPr>
                <w:webHidden/>
                <w:rStyle w:val="IndexLink"/>
                <w:rtl w:val="true"/>
              </w:rPr>
              <w:t>القول الثانی</w:t>
            </w:r>
            <w:r>
              <w:rPr>
                <w:rStyle w:val="IndexLink"/>
                <w:rtl w:val="true"/>
              </w:rPr>
              <w:tab/>
            </w:r>
            <w:r>
              <w:rPr>
                <w:rStyle w:val="IndexLink"/>
              </w:rPr>
              <w:t>604</w:t>
            </w:r>
          </w:hyperlink>
        </w:p>
        <w:p>
          <w:pPr>
            <w:pStyle w:val="Contents5"/>
            <w:tabs>
              <w:tab w:val="clear" w:pos="7892"/>
              <w:tab w:val="right" w:pos="9026" w:leader="dot"/>
            </w:tabs>
            <w:rPr/>
          </w:pPr>
          <w:hyperlink w:anchor="__RefHeading___Toc9424710_73709187">
            <w:r>
              <w:rPr>
                <w:webHidden/>
                <w:rStyle w:val="IndexLink"/>
                <w:rtl w:val="true"/>
              </w:rPr>
              <w:t>رأی أهل السنّة فی خیار الصبیّ و الصبیّة بعد البلوغ</w:t>
            </w:r>
            <w:r>
              <w:rPr>
                <w:rStyle w:val="IndexLink"/>
                <w:rtl w:val="true"/>
              </w:rPr>
              <w:tab/>
            </w:r>
            <w:r>
              <w:rPr>
                <w:rStyle w:val="IndexLink"/>
              </w:rPr>
              <w:t>606</w:t>
            </w:r>
          </w:hyperlink>
        </w:p>
        <w:p>
          <w:pPr>
            <w:pStyle w:val="Contents4"/>
            <w:tabs>
              <w:tab w:val="clear" w:pos="8176"/>
              <w:tab w:val="right" w:pos="9026" w:leader="dot"/>
            </w:tabs>
            <w:rPr/>
          </w:pPr>
          <w:hyperlink w:anchor="__RefHeading___Toc9424712_73709187">
            <w:r>
              <w:rPr>
                <w:webHidden/>
                <w:rStyle w:val="IndexLink"/>
                <w:rtl w:val="true"/>
              </w:rPr>
              <w:t>المبحث السادس</w:t>
            </w:r>
            <w:r>
              <w:rPr>
                <w:rStyle w:val="IndexLink"/>
                <w:rtl w:val="true"/>
              </w:rPr>
              <w:t>:</w:t>
              <w:tab/>
            </w:r>
            <w:r>
              <w:rPr>
                <w:rStyle w:val="IndexLink"/>
              </w:rPr>
              <w:t>608</w:t>
            </w:r>
          </w:hyperlink>
        </w:p>
        <w:p>
          <w:pPr>
            <w:pStyle w:val="Contents5"/>
            <w:tabs>
              <w:tab w:val="clear" w:pos="7892"/>
              <w:tab w:val="right" w:pos="9026" w:leader="dot"/>
            </w:tabs>
            <w:rPr/>
          </w:pPr>
          <w:hyperlink w:anchor="__RefHeading___Toc9424714_73709187">
            <w:r>
              <w:rPr>
                <w:webHidden/>
                <w:rStyle w:val="IndexLink"/>
                <w:rtl w:val="true"/>
              </w:rPr>
              <w:t>اشارة</w:t>
            </w:r>
            <w:r>
              <w:rPr>
                <w:rStyle w:val="IndexLink"/>
                <w:rtl w:val="true"/>
              </w:rPr>
              <w:tab/>
            </w:r>
            <w:r>
              <w:rPr>
                <w:rStyle w:val="IndexLink"/>
              </w:rPr>
              <w:t>608</w:t>
            </w:r>
          </w:hyperlink>
        </w:p>
        <w:p>
          <w:pPr>
            <w:pStyle w:val="Contents5"/>
            <w:tabs>
              <w:tab w:val="clear" w:pos="7892"/>
              <w:tab w:val="right" w:pos="9026" w:leader="dot"/>
            </w:tabs>
            <w:rPr/>
          </w:pPr>
          <w:hyperlink w:anchor="__RefHeading___Toc9424716_73709187">
            <w:r>
              <w:rPr>
                <w:webHidden/>
                <w:rStyle w:val="IndexLink"/>
                <w:rtl w:val="true"/>
              </w:rPr>
              <w:t>الفرع الأوّل</w:t>
            </w:r>
            <w:r>
              <w:rPr>
                <w:rStyle w:val="IndexLink"/>
                <w:rtl w:val="true"/>
              </w:rPr>
              <w:t xml:space="preserve">: </w:t>
            </w:r>
            <w:r>
              <w:rPr>
                <w:rStyle w:val="IndexLink"/>
                <w:rtl w:val="true"/>
              </w:rPr>
              <w:t>و هو أنّه إذا زوّج الولیّ الصغیرةَ بدون مهر المثل أو الصغیرَ بأزید منه علی وجه المصلحة</w:t>
            </w:r>
            <w:r>
              <w:rPr>
                <w:rStyle w:val="IndexLink"/>
                <w:rtl w:val="true"/>
              </w:rPr>
              <w:tab/>
            </w:r>
            <w:r>
              <w:rPr>
                <w:rStyle w:val="IndexLink"/>
              </w:rPr>
              <w:t>608</w:t>
            </w:r>
          </w:hyperlink>
        </w:p>
        <w:p>
          <w:pPr>
            <w:pStyle w:val="Contents6"/>
            <w:tabs>
              <w:tab w:val="clear" w:pos="7609"/>
              <w:tab w:val="right" w:pos="9026" w:leader="dot"/>
            </w:tabs>
            <w:rPr/>
          </w:pPr>
          <w:hyperlink w:anchor="__RefHeading___Toc9424718_73709187">
            <w:r>
              <w:rPr>
                <w:webHidden/>
                <w:rStyle w:val="IndexLink"/>
                <w:rtl w:val="true"/>
              </w:rPr>
              <w:t>اشارة</w:t>
            </w:r>
            <w:r>
              <w:rPr>
                <w:rStyle w:val="IndexLink"/>
                <w:rtl w:val="true"/>
              </w:rPr>
              <w:tab/>
            </w:r>
            <w:r>
              <w:rPr>
                <w:rStyle w:val="IndexLink"/>
              </w:rPr>
              <w:t>608</w:t>
            </w:r>
          </w:hyperlink>
        </w:p>
        <w:p>
          <w:pPr>
            <w:pStyle w:val="Contents6"/>
            <w:tabs>
              <w:tab w:val="clear" w:pos="7609"/>
              <w:tab w:val="right" w:pos="9026" w:leader="dot"/>
            </w:tabs>
            <w:rPr/>
          </w:pPr>
          <w:hyperlink w:anchor="__RefHeading___Toc9424720_73709187">
            <w:r>
              <w:rPr>
                <w:webHidden/>
                <w:rStyle w:val="IndexLink"/>
                <w:rtl w:val="true"/>
              </w:rPr>
              <w:t>أدلّة هذا القول</w:t>
            </w:r>
            <w:r>
              <w:rPr>
                <w:rStyle w:val="IndexLink"/>
                <w:rtl w:val="true"/>
              </w:rPr>
              <w:t>:</w:t>
              <w:tab/>
            </w:r>
            <w:r>
              <w:rPr>
                <w:rStyle w:val="IndexLink"/>
              </w:rPr>
              <w:t>609</w:t>
            </w:r>
          </w:hyperlink>
        </w:p>
        <w:p>
          <w:pPr>
            <w:pStyle w:val="Contents5"/>
            <w:tabs>
              <w:tab w:val="clear" w:pos="7892"/>
              <w:tab w:val="right" w:pos="9026" w:leader="dot"/>
            </w:tabs>
            <w:rPr/>
          </w:pPr>
          <w:hyperlink w:anchor="__RefHeading___Toc9424722_73709187">
            <w:r>
              <w:rPr>
                <w:webHidden/>
                <w:rStyle w:val="IndexLink"/>
                <w:rtl w:val="true"/>
              </w:rPr>
              <w:t>الفرع الثانی</w:t>
            </w:r>
            <w:r>
              <w:rPr>
                <w:rStyle w:val="IndexLink"/>
                <w:rtl w:val="true"/>
              </w:rPr>
              <w:t xml:space="preserve">: </w:t>
            </w:r>
            <w:r>
              <w:rPr>
                <w:rStyle w:val="IndexLink"/>
                <w:rtl w:val="true"/>
              </w:rPr>
              <w:t>و هو أنّه إذا زوّج الولیّ الصغیرةَ بدون مهر المثل أو الصغیرَ بأزید منه مع عدم المصلحة و المفسدة</w:t>
            </w:r>
            <w:r>
              <w:rPr>
                <w:rStyle w:val="IndexLink"/>
                <w:rtl w:val="true"/>
              </w:rPr>
              <w:tab/>
            </w:r>
            <w:r>
              <w:rPr>
                <w:rStyle w:val="IndexLink"/>
              </w:rPr>
              <w:t>610</w:t>
            </w:r>
          </w:hyperlink>
        </w:p>
        <w:p>
          <w:pPr>
            <w:pStyle w:val="Contents6"/>
            <w:tabs>
              <w:tab w:val="clear" w:pos="7609"/>
              <w:tab w:val="right" w:pos="9026" w:leader="dot"/>
            </w:tabs>
            <w:rPr/>
          </w:pPr>
          <w:hyperlink w:anchor="__RefHeading___Toc9424724_73709187">
            <w:r>
              <w:rPr>
                <w:webHidden/>
                <w:rStyle w:val="IndexLink"/>
                <w:rtl w:val="true"/>
              </w:rPr>
              <w:t>اشارة</w:t>
            </w:r>
            <w:r>
              <w:rPr>
                <w:rStyle w:val="IndexLink"/>
                <w:rtl w:val="true"/>
              </w:rPr>
              <w:tab/>
            </w:r>
            <w:r>
              <w:rPr>
                <w:rStyle w:val="IndexLink"/>
              </w:rPr>
              <w:t>610</w:t>
            </w:r>
          </w:hyperlink>
        </w:p>
        <w:p>
          <w:pPr>
            <w:pStyle w:val="Contents6"/>
            <w:tabs>
              <w:tab w:val="clear" w:pos="7609"/>
              <w:tab w:val="right" w:pos="9026" w:leader="dot"/>
            </w:tabs>
            <w:rPr/>
          </w:pPr>
          <w:hyperlink w:anchor="__RefHeading___Toc9424726_73709187">
            <w:r>
              <w:rPr>
                <w:webHidden/>
                <w:rStyle w:val="IndexLink"/>
                <w:rtl w:val="true"/>
              </w:rPr>
              <w:t>آراء الجمهور من أهل السنّة فی تزویج الولیّ الصغار بدون مهر المثل</w:t>
            </w:r>
            <w:r>
              <w:rPr>
                <w:rStyle w:val="IndexLink"/>
                <w:rtl w:val="true"/>
              </w:rPr>
              <w:tab/>
            </w:r>
            <w:r>
              <w:rPr>
                <w:rStyle w:val="IndexLink"/>
              </w:rPr>
              <w:t>616</w:t>
            </w:r>
          </w:hyperlink>
        </w:p>
        <w:p>
          <w:pPr>
            <w:pStyle w:val="Contents4"/>
            <w:tabs>
              <w:tab w:val="clear" w:pos="8176"/>
              <w:tab w:val="right" w:pos="9026" w:leader="dot"/>
            </w:tabs>
            <w:rPr/>
          </w:pPr>
          <w:hyperlink w:anchor="__RefHeading___Toc9424728_73709187">
            <w:r>
              <w:rPr>
                <w:webHidden/>
                <w:rStyle w:val="IndexLink"/>
                <w:rtl w:val="true"/>
              </w:rPr>
              <w:t>المبحث السابع</w:t>
            </w:r>
            <w:r>
              <w:rPr>
                <w:rStyle w:val="IndexLink"/>
                <w:rtl w:val="true"/>
              </w:rPr>
              <w:t xml:space="preserve">: </w:t>
            </w:r>
            <w:r>
              <w:rPr>
                <w:rStyle w:val="IndexLink"/>
                <w:rtl w:val="true"/>
              </w:rPr>
              <w:t>تزویج الصغیرة بمن به عیب</w:t>
            </w:r>
            <w:r>
              <w:rPr>
                <w:rStyle w:val="IndexLink"/>
                <w:rtl w:val="true"/>
              </w:rPr>
              <w:tab/>
            </w:r>
            <w:r>
              <w:rPr>
                <w:rStyle w:val="IndexLink"/>
              </w:rPr>
              <w:t>619</w:t>
            </w:r>
          </w:hyperlink>
        </w:p>
        <w:p>
          <w:pPr>
            <w:pStyle w:val="Contents5"/>
            <w:tabs>
              <w:tab w:val="clear" w:pos="7892"/>
              <w:tab w:val="right" w:pos="9026" w:leader="dot"/>
            </w:tabs>
            <w:rPr/>
          </w:pPr>
          <w:hyperlink w:anchor="__RefHeading___Toc9424730_73709187">
            <w:r>
              <w:rPr>
                <w:webHidden/>
                <w:rStyle w:val="IndexLink"/>
                <w:rtl w:val="true"/>
              </w:rPr>
              <w:t>اشارة</w:t>
            </w:r>
            <w:r>
              <w:rPr>
                <w:rStyle w:val="IndexLink"/>
                <w:rtl w:val="true"/>
              </w:rPr>
              <w:tab/>
            </w:r>
            <w:r>
              <w:rPr>
                <w:rStyle w:val="IndexLink"/>
              </w:rPr>
              <w:t>619</w:t>
            </w:r>
          </w:hyperlink>
        </w:p>
        <w:p>
          <w:pPr>
            <w:pStyle w:val="Contents5"/>
            <w:tabs>
              <w:tab w:val="clear" w:pos="7892"/>
              <w:tab w:val="right" w:pos="9026" w:leader="dot"/>
            </w:tabs>
            <w:rPr/>
          </w:pPr>
          <w:hyperlink w:anchor="__RefHeading___Toc9424732_73709187">
            <w:r>
              <w:rPr>
                <w:webHidden/>
                <w:rStyle w:val="IndexLink"/>
                <w:rtl w:val="true"/>
              </w:rPr>
              <w:t>آراء الجمهور من أهل السنّة فی التزویج بمَن به عیب</w:t>
            </w:r>
            <w:r>
              <w:rPr>
                <w:rStyle w:val="IndexLink"/>
                <w:rtl w:val="true"/>
              </w:rPr>
              <w:tab/>
            </w:r>
            <w:r>
              <w:rPr>
                <w:rStyle w:val="IndexLink"/>
              </w:rPr>
              <w:t>624</w:t>
            </w:r>
          </w:hyperlink>
        </w:p>
        <w:p>
          <w:pPr>
            <w:pStyle w:val="Contents3"/>
            <w:tabs>
              <w:tab w:val="clear" w:pos="8459"/>
              <w:tab w:val="right" w:pos="9026" w:leader="dot"/>
            </w:tabs>
            <w:rPr/>
          </w:pPr>
          <w:hyperlink w:anchor="__RefHeading___Toc9424734_73709187">
            <w:r>
              <w:rPr>
                <w:webHidden/>
                <w:rStyle w:val="IndexLink"/>
                <w:rtl w:val="true"/>
              </w:rPr>
              <w:t>الفصل الثانی فی ولایة المولی و السیّد</w:t>
            </w:r>
            <w:r>
              <w:rPr>
                <w:rStyle w:val="IndexLink"/>
                <w:rtl w:val="true"/>
              </w:rPr>
              <w:tab/>
            </w:r>
            <w:r>
              <w:rPr>
                <w:rStyle w:val="IndexLink"/>
              </w:rPr>
              <w:t>627</w:t>
            </w:r>
          </w:hyperlink>
        </w:p>
        <w:p>
          <w:pPr>
            <w:pStyle w:val="Contents3"/>
            <w:tabs>
              <w:tab w:val="clear" w:pos="8459"/>
              <w:tab w:val="right" w:pos="9026" w:leader="dot"/>
            </w:tabs>
            <w:rPr/>
          </w:pPr>
          <w:hyperlink w:anchor="__RefHeading___Toc9424736_73709187">
            <w:r>
              <w:rPr>
                <w:webHidden/>
                <w:rStyle w:val="IndexLink"/>
                <w:rtl w:val="true"/>
              </w:rPr>
              <w:t>الفصل الثالث فی ولایة الوصیّ</w:t>
            </w:r>
            <w:r>
              <w:rPr>
                <w:rStyle w:val="IndexLink"/>
                <w:rtl w:val="true"/>
              </w:rPr>
              <w:tab/>
            </w:r>
            <w:r>
              <w:rPr>
                <w:rStyle w:val="IndexLink"/>
              </w:rPr>
              <w:t>631</w:t>
            </w:r>
          </w:hyperlink>
        </w:p>
        <w:p>
          <w:pPr>
            <w:pStyle w:val="Contents4"/>
            <w:tabs>
              <w:tab w:val="clear" w:pos="8176"/>
              <w:tab w:val="right" w:pos="9026" w:leader="dot"/>
            </w:tabs>
            <w:rPr/>
          </w:pPr>
          <w:hyperlink w:anchor="__RefHeading___Toc9424738_73709187">
            <w:r>
              <w:rPr>
                <w:webHidden/>
                <w:rStyle w:val="IndexLink"/>
                <w:rtl w:val="true"/>
              </w:rPr>
              <w:t>اشارة</w:t>
            </w:r>
            <w:r>
              <w:rPr>
                <w:rStyle w:val="IndexLink"/>
                <w:rtl w:val="true"/>
              </w:rPr>
              <w:tab/>
            </w:r>
            <w:r>
              <w:rPr>
                <w:rStyle w:val="IndexLink"/>
              </w:rPr>
              <w:t>631</w:t>
            </w:r>
          </w:hyperlink>
        </w:p>
        <w:p>
          <w:pPr>
            <w:pStyle w:val="Contents4"/>
            <w:tabs>
              <w:tab w:val="clear" w:pos="8176"/>
              <w:tab w:val="right" w:pos="9026" w:leader="dot"/>
            </w:tabs>
            <w:rPr/>
          </w:pPr>
          <w:hyperlink w:anchor="__RefHeading___Toc9424740_73709187">
            <w:r>
              <w:rPr>
                <w:webHidden/>
                <w:rStyle w:val="IndexLink"/>
                <w:rtl w:val="true"/>
              </w:rPr>
              <w:t>القول الأوّل</w:t>
            </w:r>
            <w:r>
              <w:rPr>
                <w:rStyle w:val="IndexLink"/>
                <w:rtl w:val="true"/>
              </w:rPr>
              <w:t xml:space="preserve">: </w:t>
            </w:r>
            <w:r>
              <w:rPr>
                <w:rStyle w:val="IndexLink"/>
                <w:rtl w:val="true"/>
              </w:rPr>
              <w:t>ثبوت الولایة للوصیّ مطلقاً</w:t>
            </w:r>
            <w:r>
              <w:rPr>
                <w:rStyle w:val="IndexLink"/>
                <w:rtl w:val="true"/>
              </w:rPr>
              <w:tab/>
            </w:r>
            <w:r>
              <w:rPr>
                <w:rStyle w:val="IndexLink"/>
              </w:rPr>
              <w:t>632</w:t>
            </w:r>
          </w:hyperlink>
        </w:p>
        <w:p>
          <w:pPr>
            <w:pStyle w:val="Contents5"/>
            <w:tabs>
              <w:tab w:val="clear" w:pos="7892"/>
              <w:tab w:val="right" w:pos="9026" w:leader="dot"/>
            </w:tabs>
            <w:rPr/>
          </w:pPr>
          <w:hyperlink w:anchor="__RefHeading___Toc9424742_73709187">
            <w:r>
              <w:rPr>
                <w:webHidden/>
                <w:rStyle w:val="IndexLink"/>
                <w:rtl w:val="true"/>
              </w:rPr>
              <w:t>اشارة</w:t>
            </w:r>
            <w:r>
              <w:rPr>
                <w:rStyle w:val="IndexLink"/>
                <w:rtl w:val="true"/>
              </w:rPr>
              <w:tab/>
            </w:r>
            <w:r>
              <w:rPr>
                <w:rStyle w:val="IndexLink"/>
              </w:rPr>
              <w:t>632</w:t>
            </w:r>
          </w:hyperlink>
        </w:p>
        <w:p>
          <w:pPr>
            <w:pStyle w:val="Contents5"/>
            <w:tabs>
              <w:tab w:val="clear" w:pos="7892"/>
              <w:tab w:val="right" w:pos="9026" w:leader="dot"/>
            </w:tabs>
            <w:rPr/>
          </w:pPr>
          <w:hyperlink w:anchor="__RefHeading___Toc9424744_73709187">
            <w:r>
              <w:rPr>
                <w:webHidden/>
                <w:rStyle w:val="IndexLink"/>
                <w:rtl w:val="true"/>
              </w:rPr>
              <w:t>أدلّة هذا القول</w:t>
            </w:r>
            <w:r>
              <w:rPr>
                <w:rStyle w:val="IndexLink"/>
                <w:rtl w:val="true"/>
              </w:rPr>
              <w:t>:</w:t>
              <w:tab/>
            </w:r>
            <w:r>
              <w:rPr>
                <w:rStyle w:val="IndexLink"/>
              </w:rPr>
              <w:t>632</w:t>
            </w:r>
          </w:hyperlink>
        </w:p>
        <w:p>
          <w:pPr>
            <w:pStyle w:val="Contents4"/>
            <w:tabs>
              <w:tab w:val="clear" w:pos="8176"/>
              <w:tab w:val="right" w:pos="9026" w:leader="dot"/>
            </w:tabs>
            <w:rPr/>
          </w:pPr>
          <w:hyperlink w:anchor="__RefHeading___Toc9424746_73709187">
            <w:r>
              <w:rPr>
                <w:webHidden/>
                <w:rStyle w:val="IndexLink"/>
                <w:rtl w:val="true"/>
              </w:rPr>
              <w:t>القول الثانی</w:t>
            </w:r>
            <w:r>
              <w:rPr>
                <w:rStyle w:val="IndexLink"/>
                <w:rtl w:val="true"/>
              </w:rPr>
              <w:t>:</w:t>
              <w:tab/>
            </w:r>
            <w:r>
              <w:rPr>
                <w:rStyle w:val="IndexLink"/>
              </w:rPr>
              <w:t>636</w:t>
            </w:r>
          </w:hyperlink>
        </w:p>
        <w:p>
          <w:pPr>
            <w:pStyle w:val="Contents5"/>
            <w:tabs>
              <w:tab w:val="clear" w:pos="7892"/>
              <w:tab w:val="right" w:pos="9026" w:leader="dot"/>
            </w:tabs>
            <w:rPr/>
          </w:pPr>
          <w:hyperlink w:anchor="__RefHeading___Toc9424748_73709187">
            <w:r>
              <w:rPr>
                <w:webHidden/>
                <w:rStyle w:val="IndexLink"/>
                <w:rtl w:val="true"/>
              </w:rPr>
              <w:t>اشارة</w:t>
            </w:r>
            <w:r>
              <w:rPr>
                <w:rStyle w:val="IndexLink"/>
                <w:rtl w:val="true"/>
              </w:rPr>
              <w:tab/>
            </w:r>
            <w:r>
              <w:rPr>
                <w:rStyle w:val="IndexLink"/>
              </w:rPr>
              <w:t>636</w:t>
            </w:r>
          </w:hyperlink>
        </w:p>
        <w:p>
          <w:pPr>
            <w:pStyle w:val="Contents5"/>
            <w:tabs>
              <w:tab w:val="clear" w:pos="7892"/>
              <w:tab w:val="right" w:pos="9026" w:leader="dot"/>
            </w:tabs>
            <w:rPr/>
          </w:pPr>
          <w:hyperlink w:anchor="__RefHeading___Toc9424750_73709187">
            <w:r>
              <w:rPr>
                <w:webHidden/>
                <w:rStyle w:val="IndexLink"/>
                <w:rtl w:val="true"/>
              </w:rPr>
              <w:t>أدلّة عدم ولایة الوصیّ علی تزویج الصغیرین</w:t>
            </w:r>
            <w:r>
              <w:rPr>
                <w:rStyle w:val="IndexLink"/>
                <w:rtl w:val="true"/>
              </w:rPr>
              <w:t>:</w:t>
              <w:tab/>
            </w:r>
            <w:r>
              <w:rPr>
                <w:rStyle w:val="IndexLink"/>
              </w:rPr>
              <w:t>637</w:t>
            </w:r>
          </w:hyperlink>
        </w:p>
        <w:p>
          <w:pPr>
            <w:pStyle w:val="Contents4"/>
            <w:tabs>
              <w:tab w:val="clear" w:pos="8176"/>
              <w:tab w:val="right" w:pos="9026" w:leader="dot"/>
            </w:tabs>
            <w:rPr/>
          </w:pPr>
          <w:hyperlink w:anchor="__RefHeading___Toc9424752_73709187">
            <w:r>
              <w:rPr>
                <w:webHidden/>
                <w:rStyle w:val="IndexLink"/>
                <w:rtl w:val="true"/>
              </w:rPr>
              <w:t>القول الثالث</w:t>
            </w:r>
            <w:r>
              <w:rPr>
                <w:rStyle w:val="IndexLink"/>
                <w:rtl w:val="true"/>
              </w:rPr>
              <w:t xml:space="preserve">: </w:t>
            </w:r>
            <w:r>
              <w:rPr>
                <w:rStyle w:val="IndexLink"/>
                <w:rtl w:val="true"/>
              </w:rPr>
              <w:t>ثبوت الولایة للوصیّ إن نصّ الموصی بذلک</w:t>
            </w:r>
            <w:r>
              <w:rPr>
                <w:rStyle w:val="IndexLink"/>
                <w:rtl w:val="true"/>
              </w:rPr>
              <w:tab/>
            </w:r>
            <w:r>
              <w:rPr>
                <w:rStyle w:val="IndexLink"/>
              </w:rPr>
              <w:t>641</w:t>
            </w:r>
          </w:hyperlink>
        </w:p>
        <w:p>
          <w:pPr>
            <w:pStyle w:val="Contents5"/>
            <w:tabs>
              <w:tab w:val="clear" w:pos="7892"/>
              <w:tab w:val="right" w:pos="9026" w:leader="dot"/>
            </w:tabs>
            <w:rPr/>
          </w:pPr>
          <w:hyperlink w:anchor="__RefHeading___Toc9424754_73709187">
            <w:r>
              <w:rPr>
                <w:webHidden/>
                <w:rStyle w:val="IndexLink"/>
                <w:rtl w:val="true"/>
              </w:rPr>
              <w:t>اشارة</w:t>
            </w:r>
            <w:r>
              <w:rPr>
                <w:rStyle w:val="IndexLink"/>
                <w:rtl w:val="true"/>
              </w:rPr>
              <w:tab/>
            </w:r>
            <w:r>
              <w:rPr>
                <w:rStyle w:val="IndexLink"/>
              </w:rPr>
              <w:t>641</w:t>
            </w:r>
          </w:hyperlink>
        </w:p>
        <w:p>
          <w:pPr>
            <w:pStyle w:val="Contents5"/>
            <w:tabs>
              <w:tab w:val="clear" w:pos="7892"/>
              <w:tab w:val="right" w:pos="9026" w:leader="dot"/>
            </w:tabs>
            <w:rPr/>
          </w:pPr>
          <w:hyperlink w:anchor="__RefHeading___Toc9424756_73709187">
            <w:r>
              <w:rPr>
                <w:webHidden/>
                <w:rStyle w:val="IndexLink"/>
                <w:rtl w:val="true"/>
              </w:rPr>
              <w:t>أدلّة ولایة الوصیّ بشرط النصّ‌</w:t>
            </w:r>
            <w:r>
              <w:rPr>
                <w:rStyle w:val="IndexLink"/>
                <w:rtl w:val="true"/>
              </w:rPr>
              <w:tab/>
            </w:r>
            <w:r>
              <w:rPr>
                <w:rStyle w:val="IndexLink"/>
              </w:rPr>
              <w:t>642</w:t>
            </w:r>
          </w:hyperlink>
        </w:p>
        <w:p>
          <w:pPr>
            <w:pStyle w:val="Contents5"/>
            <w:tabs>
              <w:tab w:val="clear" w:pos="7892"/>
              <w:tab w:val="right" w:pos="9026" w:leader="dot"/>
            </w:tabs>
            <w:rPr/>
          </w:pPr>
          <w:hyperlink w:anchor="__RefHeading___Toc9424758_73709187">
            <w:r>
              <w:rPr>
                <w:webHidden/>
                <w:rStyle w:val="IndexLink"/>
                <w:rtl w:val="true"/>
              </w:rPr>
              <w:t>آراء الجمهور من أهل السنّة فی ولایة الوصیّ علی تزویج الصغار</w:t>
            </w:r>
            <w:r>
              <w:rPr>
                <w:rStyle w:val="IndexLink"/>
                <w:rtl w:val="true"/>
              </w:rPr>
              <w:tab/>
            </w:r>
            <w:r>
              <w:rPr>
                <w:rStyle w:val="IndexLink"/>
              </w:rPr>
              <w:t>647</w:t>
            </w:r>
          </w:hyperlink>
        </w:p>
        <w:p>
          <w:pPr>
            <w:pStyle w:val="Contents3"/>
            <w:tabs>
              <w:tab w:val="clear" w:pos="8459"/>
              <w:tab w:val="right" w:pos="9026" w:leader="dot"/>
            </w:tabs>
            <w:rPr/>
          </w:pPr>
          <w:hyperlink w:anchor="__RefHeading___Toc9424760_73709187">
            <w:r>
              <w:rPr>
                <w:webHidden/>
                <w:rStyle w:val="IndexLink"/>
                <w:rtl w:val="true"/>
              </w:rPr>
              <w:t>الفصل الرابع فی شرائط الأولیاء</w:t>
            </w:r>
            <w:r>
              <w:rPr>
                <w:rStyle w:val="IndexLink"/>
                <w:rtl w:val="true"/>
              </w:rPr>
              <w:tab/>
            </w:r>
            <w:r>
              <w:rPr>
                <w:rStyle w:val="IndexLink"/>
              </w:rPr>
              <w:t>651</w:t>
            </w:r>
          </w:hyperlink>
        </w:p>
        <w:p>
          <w:pPr>
            <w:pStyle w:val="Contents4"/>
            <w:tabs>
              <w:tab w:val="clear" w:pos="8176"/>
              <w:tab w:val="right" w:pos="9026" w:leader="dot"/>
            </w:tabs>
            <w:rPr/>
          </w:pPr>
          <w:hyperlink w:anchor="__RefHeading___Toc9424762_73709187">
            <w:r>
              <w:rPr>
                <w:webHidden/>
                <w:rStyle w:val="IndexLink"/>
                <w:rtl w:val="true"/>
              </w:rPr>
              <w:t>اشارة</w:t>
            </w:r>
            <w:r>
              <w:rPr>
                <w:rStyle w:val="IndexLink"/>
                <w:rtl w:val="true"/>
              </w:rPr>
              <w:tab/>
            </w:r>
            <w:r>
              <w:rPr>
                <w:rStyle w:val="IndexLink"/>
              </w:rPr>
              <w:t>651</w:t>
            </w:r>
          </w:hyperlink>
        </w:p>
        <w:p>
          <w:pPr>
            <w:pStyle w:val="Contents4"/>
            <w:tabs>
              <w:tab w:val="clear" w:pos="8176"/>
              <w:tab w:val="right" w:pos="9026" w:leader="dot"/>
            </w:tabs>
            <w:rPr/>
          </w:pPr>
          <w:hyperlink w:anchor="__RefHeading___Toc9424764_73709187">
            <w:r>
              <w:rPr>
                <w:webHidden/>
                <w:rStyle w:val="IndexLink"/>
                <w:rtl w:val="true"/>
              </w:rPr>
              <w:t>علی کلّ تقدیر یشترط فی ولایة الأب و الجدّ و المولی و الوصیّ شرائط</w:t>
            </w:r>
            <w:r>
              <w:rPr>
                <w:rStyle w:val="IndexLink"/>
                <w:rtl w:val="true"/>
              </w:rPr>
              <w:t>:</w:t>
              <w:tab/>
            </w:r>
            <w:r>
              <w:rPr>
                <w:rStyle w:val="IndexLink"/>
              </w:rPr>
              <w:t>652</w:t>
            </w:r>
          </w:hyperlink>
        </w:p>
        <w:p>
          <w:pPr>
            <w:pStyle w:val="Contents5"/>
            <w:tabs>
              <w:tab w:val="clear" w:pos="7892"/>
              <w:tab w:val="right" w:pos="9026" w:leader="dot"/>
            </w:tabs>
            <w:rPr/>
          </w:pPr>
          <w:hyperlink w:anchor="__RefHeading___Toc9424766_73709187">
            <w:r>
              <w:rPr>
                <w:webHidden/>
                <w:rStyle w:val="IndexLink"/>
                <w:rtl w:val="true"/>
              </w:rPr>
              <w:t>الأوّل</w:t>
            </w:r>
            <w:r>
              <w:rPr>
                <w:rStyle w:val="IndexLink"/>
                <w:rtl w:val="true"/>
              </w:rPr>
              <w:t xml:space="preserve">: </w:t>
            </w:r>
            <w:r>
              <w:rPr>
                <w:rStyle w:val="IndexLink"/>
                <w:rtl w:val="true"/>
              </w:rPr>
              <w:t>الإسلام</w:t>
            </w:r>
            <w:r>
              <w:rPr>
                <w:rStyle w:val="IndexLink"/>
                <w:rtl w:val="true"/>
              </w:rPr>
              <w:tab/>
            </w:r>
            <w:r>
              <w:rPr>
                <w:rStyle w:val="IndexLink"/>
              </w:rPr>
              <w:t>652</w:t>
            </w:r>
          </w:hyperlink>
        </w:p>
        <w:p>
          <w:pPr>
            <w:pStyle w:val="Contents6"/>
            <w:tabs>
              <w:tab w:val="clear" w:pos="7609"/>
              <w:tab w:val="right" w:pos="9026" w:leader="dot"/>
            </w:tabs>
            <w:rPr/>
          </w:pPr>
          <w:hyperlink w:anchor="__RefHeading___Toc9424768_73709187">
            <w:r>
              <w:rPr>
                <w:webHidden/>
                <w:rStyle w:val="IndexLink"/>
                <w:rtl w:val="true"/>
              </w:rPr>
              <w:t>اشارة</w:t>
            </w:r>
            <w:r>
              <w:rPr>
                <w:rStyle w:val="IndexLink"/>
                <w:rtl w:val="true"/>
              </w:rPr>
              <w:tab/>
            </w:r>
            <w:r>
              <w:rPr>
                <w:rStyle w:val="IndexLink"/>
              </w:rPr>
              <w:t>652</w:t>
            </w:r>
          </w:hyperlink>
        </w:p>
        <w:p>
          <w:pPr>
            <w:pStyle w:val="Contents6"/>
            <w:tabs>
              <w:tab w:val="clear" w:pos="7609"/>
              <w:tab w:val="right" w:pos="9026" w:leader="dot"/>
            </w:tabs>
            <w:rPr/>
          </w:pPr>
          <w:hyperlink w:anchor="__RefHeading___Toc9424770_73709187">
            <w:r>
              <w:rPr>
                <w:webHidden/>
                <w:rStyle w:val="IndexLink"/>
                <w:rtl w:val="true"/>
              </w:rPr>
              <w:t>أدلّة هذا الشرط‌</w:t>
            </w:r>
            <w:r>
              <w:rPr>
                <w:rStyle w:val="IndexLink"/>
                <w:rtl w:val="true"/>
              </w:rPr>
              <w:tab/>
            </w:r>
            <w:r>
              <w:rPr>
                <w:rStyle w:val="IndexLink"/>
              </w:rPr>
              <w:t>653</w:t>
            </w:r>
          </w:hyperlink>
        </w:p>
        <w:p>
          <w:pPr>
            <w:pStyle w:val="Contents6"/>
            <w:tabs>
              <w:tab w:val="clear" w:pos="7609"/>
              <w:tab w:val="right" w:pos="9026" w:leader="dot"/>
            </w:tabs>
            <w:rPr/>
          </w:pPr>
          <w:hyperlink w:anchor="__RefHeading___Toc9424772_73709187">
            <w:r>
              <w:rPr>
                <w:webHidden/>
                <w:rStyle w:val="IndexLink"/>
                <w:rtl w:val="true"/>
              </w:rPr>
              <w:t>إیراد الشیخ الأنصاری علی الاستدلال بالآیة</w:t>
            </w:r>
            <w:r>
              <w:rPr>
                <w:rStyle w:val="IndexLink"/>
                <w:rtl w:val="true"/>
              </w:rPr>
              <w:tab/>
            </w:r>
            <w:r>
              <w:rPr>
                <w:rStyle w:val="IndexLink"/>
              </w:rPr>
              <w:t>654</w:t>
            </w:r>
          </w:hyperlink>
        </w:p>
        <w:p>
          <w:pPr>
            <w:pStyle w:val="Contents6"/>
            <w:tabs>
              <w:tab w:val="clear" w:pos="7609"/>
              <w:tab w:val="right" w:pos="9026" w:leader="dot"/>
            </w:tabs>
            <w:rPr/>
          </w:pPr>
          <w:hyperlink w:anchor="__RefHeading___Toc9424774_73709187">
            <w:r>
              <w:rPr>
                <w:webHidden/>
                <w:rStyle w:val="IndexLink"/>
                <w:rtl w:val="true"/>
              </w:rPr>
              <w:t>جواب الإمام الخمینی عن إیراد الشیخ الأنصاری</w:t>
            </w:r>
            <w:r>
              <w:rPr>
                <w:rStyle w:val="IndexLink"/>
                <w:rtl w:val="true"/>
              </w:rPr>
              <w:tab/>
            </w:r>
            <w:r>
              <w:rPr>
                <w:rStyle w:val="IndexLink"/>
              </w:rPr>
              <w:t>655</w:t>
            </w:r>
          </w:hyperlink>
        </w:p>
        <w:p>
          <w:pPr>
            <w:pStyle w:val="Contents6"/>
            <w:tabs>
              <w:tab w:val="clear" w:pos="7609"/>
              <w:tab w:val="right" w:pos="9026" w:leader="dot"/>
            </w:tabs>
            <w:rPr/>
          </w:pPr>
          <w:hyperlink w:anchor="__RefHeading___Toc9424776_73709187">
            <w:r>
              <w:rPr>
                <w:webHidden/>
                <w:rStyle w:val="IndexLink"/>
                <w:rtl w:val="true"/>
              </w:rPr>
              <w:t>فرعٌ‌</w:t>
            </w:r>
            <w:r>
              <w:rPr>
                <w:rStyle w:val="IndexLink"/>
                <w:rtl w:val="true"/>
              </w:rPr>
              <w:tab/>
            </w:r>
            <w:r>
              <w:rPr>
                <w:rStyle w:val="IndexLink"/>
              </w:rPr>
              <w:t>659</w:t>
            </w:r>
          </w:hyperlink>
        </w:p>
        <w:p>
          <w:pPr>
            <w:pStyle w:val="Contents5"/>
            <w:tabs>
              <w:tab w:val="clear" w:pos="7892"/>
              <w:tab w:val="right" w:pos="9026" w:leader="dot"/>
            </w:tabs>
            <w:rPr/>
          </w:pPr>
          <w:hyperlink w:anchor="__RefHeading___Toc9424778_73709187">
            <w:r>
              <w:rPr>
                <w:webHidden/>
                <w:rStyle w:val="IndexLink"/>
                <w:rtl w:val="true"/>
              </w:rPr>
              <w:t>الثانی</w:t>
            </w:r>
            <w:r>
              <w:rPr>
                <w:rStyle w:val="IndexLink"/>
                <w:rtl w:val="true"/>
              </w:rPr>
              <w:t xml:space="preserve">: </w:t>
            </w:r>
            <w:r>
              <w:rPr>
                <w:rStyle w:val="IndexLink"/>
                <w:rtl w:val="true"/>
              </w:rPr>
              <w:t>البلوغ</w:t>
            </w:r>
            <w:r>
              <w:rPr>
                <w:rStyle w:val="IndexLink"/>
                <w:rtl w:val="true"/>
              </w:rPr>
              <w:tab/>
            </w:r>
            <w:r>
              <w:rPr>
                <w:rStyle w:val="IndexLink"/>
              </w:rPr>
              <w:t>660</w:t>
            </w:r>
          </w:hyperlink>
        </w:p>
        <w:p>
          <w:pPr>
            <w:pStyle w:val="Contents5"/>
            <w:tabs>
              <w:tab w:val="clear" w:pos="7892"/>
              <w:tab w:val="right" w:pos="9026" w:leader="dot"/>
            </w:tabs>
            <w:rPr/>
          </w:pPr>
          <w:hyperlink w:anchor="__RefHeading___Toc9424780_73709187">
            <w:r>
              <w:rPr>
                <w:webHidden/>
                <w:rStyle w:val="IndexLink"/>
                <w:rtl w:val="true"/>
              </w:rPr>
              <w:t>الثالث</w:t>
            </w:r>
            <w:r>
              <w:rPr>
                <w:rStyle w:val="IndexLink"/>
                <w:rtl w:val="true"/>
              </w:rPr>
              <w:t xml:space="preserve">: </w:t>
            </w:r>
            <w:r>
              <w:rPr>
                <w:rStyle w:val="IndexLink"/>
                <w:rtl w:val="true"/>
              </w:rPr>
              <w:t>العقل</w:t>
            </w:r>
            <w:r>
              <w:rPr>
                <w:rStyle w:val="IndexLink"/>
                <w:rtl w:val="true"/>
              </w:rPr>
              <w:tab/>
            </w:r>
            <w:r>
              <w:rPr>
                <w:rStyle w:val="IndexLink"/>
              </w:rPr>
              <w:t>661</w:t>
            </w:r>
          </w:hyperlink>
        </w:p>
        <w:p>
          <w:pPr>
            <w:pStyle w:val="Contents5"/>
            <w:tabs>
              <w:tab w:val="clear" w:pos="7892"/>
              <w:tab w:val="right" w:pos="9026" w:leader="dot"/>
            </w:tabs>
            <w:rPr/>
          </w:pPr>
          <w:hyperlink w:anchor="__RefHeading___Toc9424782_73709187">
            <w:r>
              <w:rPr>
                <w:webHidden/>
                <w:rStyle w:val="IndexLink"/>
                <w:rtl w:val="true"/>
              </w:rPr>
              <w:t>الرابع</w:t>
            </w:r>
            <w:r>
              <w:rPr>
                <w:rStyle w:val="IndexLink"/>
                <w:rtl w:val="true"/>
              </w:rPr>
              <w:t xml:space="preserve">: </w:t>
            </w:r>
            <w:r>
              <w:rPr>
                <w:rStyle w:val="IndexLink"/>
                <w:rtl w:val="true"/>
              </w:rPr>
              <w:t>الرشد و الکمال</w:t>
            </w:r>
            <w:r>
              <w:rPr>
                <w:rStyle w:val="IndexLink"/>
                <w:rtl w:val="true"/>
              </w:rPr>
              <w:tab/>
            </w:r>
            <w:r>
              <w:rPr>
                <w:rStyle w:val="IndexLink"/>
              </w:rPr>
              <w:t>662</w:t>
            </w:r>
          </w:hyperlink>
        </w:p>
        <w:p>
          <w:pPr>
            <w:pStyle w:val="Contents6"/>
            <w:tabs>
              <w:tab w:val="clear" w:pos="7609"/>
              <w:tab w:val="right" w:pos="9026" w:leader="dot"/>
            </w:tabs>
            <w:rPr/>
          </w:pPr>
          <w:hyperlink w:anchor="__RefHeading___Toc9424784_73709187">
            <w:r>
              <w:rPr>
                <w:webHidden/>
                <w:rStyle w:val="IndexLink"/>
                <w:rtl w:val="true"/>
              </w:rPr>
              <w:t>اشارة</w:t>
            </w:r>
            <w:r>
              <w:rPr>
                <w:rStyle w:val="IndexLink"/>
                <w:rtl w:val="true"/>
              </w:rPr>
              <w:tab/>
            </w:r>
            <w:r>
              <w:rPr>
                <w:rStyle w:val="IndexLink"/>
              </w:rPr>
              <w:t>662</w:t>
            </w:r>
          </w:hyperlink>
        </w:p>
        <w:p>
          <w:pPr>
            <w:pStyle w:val="Contents6"/>
            <w:tabs>
              <w:tab w:val="clear" w:pos="7609"/>
              <w:tab w:val="right" w:pos="9026" w:leader="dot"/>
            </w:tabs>
            <w:rPr/>
          </w:pPr>
          <w:hyperlink w:anchor="__RefHeading___Toc9424786_73709187">
            <w:r>
              <w:rPr>
                <w:webHidden/>
                <w:rStyle w:val="IndexLink"/>
                <w:rtl w:val="true"/>
              </w:rPr>
              <w:t>إیضاح</w:t>
            </w:r>
            <w:r>
              <w:rPr>
                <w:rStyle w:val="IndexLink"/>
                <w:rtl w:val="true"/>
              </w:rPr>
              <w:tab/>
            </w:r>
            <w:r>
              <w:rPr>
                <w:rStyle w:val="IndexLink"/>
              </w:rPr>
              <w:t>663</w:t>
            </w:r>
          </w:hyperlink>
        </w:p>
        <w:p>
          <w:pPr>
            <w:pStyle w:val="Contents6"/>
            <w:tabs>
              <w:tab w:val="clear" w:pos="7609"/>
              <w:tab w:val="right" w:pos="9026" w:leader="dot"/>
            </w:tabs>
            <w:rPr/>
          </w:pPr>
          <w:hyperlink w:anchor="__RefHeading___Toc9424788_73709187">
            <w:r>
              <w:rPr>
                <w:webHidden/>
                <w:rStyle w:val="IndexLink"/>
                <w:rtl w:val="true"/>
              </w:rPr>
              <w:t>اعتبار العقل و البلوغ فی ولایة الأولیاء عند أهل السنّة</w:t>
            </w:r>
            <w:r>
              <w:rPr>
                <w:rStyle w:val="IndexLink"/>
                <w:rtl w:val="true"/>
              </w:rPr>
              <w:tab/>
            </w:r>
            <w:r>
              <w:rPr>
                <w:rStyle w:val="IndexLink"/>
              </w:rPr>
              <w:t>663</w:t>
            </w:r>
          </w:hyperlink>
        </w:p>
        <w:p>
          <w:pPr>
            <w:pStyle w:val="Contents5"/>
            <w:tabs>
              <w:tab w:val="clear" w:pos="7892"/>
              <w:tab w:val="right" w:pos="9026" w:leader="dot"/>
            </w:tabs>
            <w:rPr/>
          </w:pPr>
          <w:hyperlink w:anchor="__RefHeading___Toc9424790_73709187">
            <w:r>
              <w:rPr>
                <w:webHidden/>
                <w:rStyle w:val="IndexLink"/>
                <w:rtl w:val="true"/>
              </w:rPr>
              <w:t>الخامس</w:t>
            </w:r>
            <w:r>
              <w:rPr>
                <w:rStyle w:val="IndexLink"/>
                <w:rtl w:val="true"/>
              </w:rPr>
              <w:t xml:space="preserve">: </w:t>
            </w:r>
            <w:r>
              <w:rPr>
                <w:rStyle w:val="IndexLink"/>
                <w:rtl w:val="true"/>
              </w:rPr>
              <w:t>الحریّة</w:t>
            </w:r>
            <w:r>
              <w:rPr>
                <w:rStyle w:val="IndexLink"/>
                <w:rtl w:val="true"/>
              </w:rPr>
              <w:tab/>
            </w:r>
            <w:r>
              <w:rPr>
                <w:rStyle w:val="IndexLink"/>
              </w:rPr>
              <w:t>664</w:t>
            </w:r>
          </w:hyperlink>
        </w:p>
        <w:p>
          <w:pPr>
            <w:pStyle w:val="Contents6"/>
            <w:tabs>
              <w:tab w:val="clear" w:pos="7609"/>
              <w:tab w:val="right" w:pos="9026" w:leader="dot"/>
            </w:tabs>
            <w:rPr/>
          </w:pPr>
          <w:hyperlink w:anchor="__RefHeading___Toc9424792_73709187">
            <w:r>
              <w:rPr>
                <w:webHidden/>
                <w:rStyle w:val="IndexLink"/>
                <w:rtl w:val="true"/>
              </w:rPr>
              <w:t>اشارة</w:t>
            </w:r>
            <w:r>
              <w:rPr>
                <w:rStyle w:val="IndexLink"/>
                <w:rtl w:val="true"/>
              </w:rPr>
              <w:tab/>
            </w:r>
            <w:r>
              <w:rPr>
                <w:rStyle w:val="IndexLink"/>
              </w:rPr>
              <w:t>664</w:t>
            </w:r>
          </w:hyperlink>
        </w:p>
        <w:p>
          <w:pPr>
            <w:pStyle w:val="Contents6"/>
            <w:tabs>
              <w:tab w:val="clear" w:pos="7609"/>
              <w:tab w:val="right" w:pos="9026" w:leader="dot"/>
            </w:tabs>
            <w:rPr/>
          </w:pPr>
          <w:hyperlink w:anchor="__RefHeading___Toc9424794_73709187">
            <w:r>
              <w:rPr>
                <w:webHidden/>
                <w:rStyle w:val="IndexLink"/>
                <w:rtl w:val="true"/>
              </w:rPr>
              <w:t>أدلّة هذا الشرط‌</w:t>
            </w:r>
            <w:r>
              <w:rPr>
                <w:rStyle w:val="IndexLink"/>
                <w:rtl w:val="true"/>
              </w:rPr>
              <w:tab/>
            </w:r>
            <w:r>
              <w:rPr>
                <w:rStyle w:val="IndexLink"/>
              </w:rPr>
              <w:t>665</w:t>
            </w:r>
          </w:hyperlink>
        </w:p>
        <w:p>
          <w:pPr>
            <w:pStyle w:val="Contents4"/>
            <w:tabs>
              <w:tab w:val="clear" w:pos="8176"/>
              <w:tab w:val="right" w:pos="9026" w:leader="dot"/>
            </w:tabs>
            <w:rPr/>
          </w:pPr>
          <w:hyperlink w:anchor="__RefHeading___Toc9424796_73709187">
            <w:r>
              <w:rPr>
                <w:webHidden/>
                <w:rStyle w:val="IndexLink"/>
                <w:rtl w:val="true"/>
              </w:rPr>
              <w:t>هنا فرع ارتبط بالمقام</w:t>
            </w:r>
            <w:r>
              <w:rPr>
                <w:rStyle w:val="IndexLink"/>
                <w:rtl w:val="true"/>
              </w:rPr>
              <w:tab/>
            </w:r>
            <w:r>
              <w:rPr>
                <w:rStyle w:val="IndexLink"/>
              </w:rPr>
              <w:t>666</w:t>
            </w:r>
          </w:hyperlink>
        </w:p>
        <w:p>
          <w:pPr>
            <w:pStyle w:val="Contents5"/>
            <w:tabs>
              <w:tab w:val="clear" w:pos="7892"/>
              <w:tab w:val="right" w:pos="9026" w:leader="dot"/>
            </w:tabs>
            <w:rPr/>
          </w:pPr>
          <w:hyperlink w:anchor="__RefHeading___Toc9424798_73709187">
            <w:r>
              <w:rPr>
                <w:webHidden/>
                <w:rStyle w:val="IndexLink"/>
                <w:rtl w:val="true"/>
              </w:rPr>
              <w:t>اشارة</w:t>
            </w:r>
            <w:r>
              <w:rPr>
                <w:rStyle w:val="IndexLink"/>
                <w:rtl w:val="true"/>
              </w:rPr>
              <w:tab/>
            </w:r>
            <w:r>
              <w:rPr>
                <w:rStyle w:val="IndexLink"/>
              </w:rPr>
              <w:t>666</w:t>
            </w:r>
          </w:hyperlink>
        </w:p>
        <w:p>
          <w:pPr>
            <w:pStyle w:val="Contents5"/>
            <w:tabs>
              <w:tab w:val="clear" w:pos="7892"/>
              <w:tab w:val="right" w:pos="9026" w:leader="dot"/>
            </w:tabs>
            <w:rPr/>
          </w:pPr>
          <w:hyperlink w:anchor="__RefHeading___Toc9424800_73709187">
            <w:r>
              <w:rPr>
                <w:webHidden/>
                <w:rStyle w:val="IndexLink"/>
                <w:rtl w:val="true"/>
              </w:rPr>
              <w:t>أدلّة هذه المسألة</w:t>
            </w:r>
            <w:r>
              <w:rPr>
                <w:rStyle w:val="IndexLink"/>
                <w:rtl w:val="true"/>
              </w:rPr>
              <w:tab/>
            </w:r>
            <w:r>
              <w:rPr>
                <w:rStyle w:val="IndexLink"/>
              </w:rPr>
              <w:t>667</w:t>
            </w:r>
          </w:hyperlink>
        </w:p>
        <w:p>
          <w:pPr>
            <w:pStyle w:val="Contents5"/>
            <w:tabs>
              <w:tab w:val="clear" w:pos="7892"/>
              <w:tab w:val="right" w:pos="9026" w:leader="dot"/>
            </w:tabs>
            <w:rPr/>
          </w:pPr>
          <w:hyperlink w:anchor="__RefHeading___Toc9424802_73709187">
            <w:r>
              <w:rPr>
                <w:webHidden/>
                <w:rStyle w:val="IndexLink"/>
                <w:rtl w:val="true"/>
              </w:rPr>
              <w:t>آراء فقهاء أهل السنّة فی المسألة</w:t>
            </w:r>
            <w:r>
              <w:rPr>
                <w:rStyle w:val="IndexLink"/>
                <w:rtl w:val="true"/>
              </w:rPr>
              <w:tab/>
            </w:r>
            <w:r>
              <w:rPr>
                <w:rStyle w:val="IndexLink"/>
              </w:rPr>
              <w:t>669</w:t>
            </w:r>
          </w:hyperlink>
        </w:p>
        <w:p>
          <w:pPr>
            <w:pStyle w:val="Contents6"/>
            <w:tabs>
              <w:tab w:val="clear" w:pos="7609"/>
              <w:tab w:val="right" w:pos="9026" w:leader="dot"/>
            </w:tabs>
            <w:rPr/>
          </w:pPr>
          <w:hyperlink w:anchor="__RefHeading___Toc9424804_73709187">
            <w:r>
              <w:rPr>
                <w:webHidden/>
                <w:rStyle w:val="IndexLink"/>
                <w:rtl w:val="true"/>
              </w:rPr>
              <w:t>اشارة</w:t>
            </w:r>
            <w:r>
              <w:rPr>
                <w:rStyle w:val="IndexLink"/>
                <w:rtl w:val="true"/>
              </w:rPr>
              <w:tab/>
            </w:r>
            <w:r>
              <w:rPr>
                <w:rStyle w:val="IndexLink"/>
              </w:rPr>
              <w:t>669</w:t>
            </w:r>
          </w:hyperlink>
        </w:p>
        <w:p>
          <w:pPr>
            <w:pStyle w:val="Contents6"/>
            <w:tabs>
              <w:tab w:val="clear" w:pos="7609"/>
              <w:tab w:val="right" w:pos="9026" w:leader="dot"/>
            </w:tabs>
            <w:rPr/>
          </w:pPr>
          <w:hyperlink w:anchor="__RefHeading___Toc9424806_73709187">
            <w:r>
              <w:rPr>
                <w:webHidden/>
                <w:rStyle w:val="IndexLink"/>
                <w:rtl w:val="true"/>
              </w:rPr>
              <w:t>أدلّة قول أبی حنیفة و أصحابه</w:t>
            </w:r>
            <w:r>
              <w:rPr>
                <w:rStyle w:val="IndexLink"/>
                <w:rtl w:val="true"/>
              </w:rPr>
              <w:tab/>
            </w:r>
            <w:r>
              <w:rPr>
                <w:rStyle w:val="IndexLink"/>
              </w:rPr>
              <w:t>670</w:t>
            </w:r>
          </w:hyperlink>
        </w:p>
        <w:p>
          <w:pPr>
            <w:pStyle w:val="Contents3"/>
            <w:tabs>
              <w:tab w:val="clear" w:pos="8459"/>
              <w:tab w:val="right" w:pos="9026" w:leader="dot"/>
            </w:tabs>
            <w:rPr/>
          </w:pPr>
          <w:hyperlink w:anchor="__RefHeading___Toc9424808_73709187">
            <w:r>
              <w:rPr>
                <w:webHidden/>
                <w:rStyle w:val="IndexLink"/>
                <w:rtl w:val="true"/>
              </w:rPr>
              <w:t>الفصل الخامس فی ولایة الحاکم علی تزویج الأطفال</w:t>
            </w:r>
            <w:r>
              <w:rPr>
                <w:rStyle w:val="IndexLink"/>
                <w:rtl w:val="true"/>
              </w:rPr>
              <w:tab/>
            </w:r>
            <w:r>
              <w:rPr>
                <w:rStyle w:val="IndexLink"/>
              </w:rPr>
              <w:t>673</w:t>
            </w:r>
          </w:hyperlink>
        </w:p>
        <w:p>
          <w:pPr>
            <w:pStyle w:val="Contents4"/>
            <w:tabs>
              <w:tab w:val="clear" w:pos="8176"/>
              <w:tab w:val="right" w:pos="9026" w:leader="dot"/>
            </w:tabs>
            <w:rPr/>
          </w:pPr>
          <w:hyperlink w:anchor="__RefHeading___Toc9424810_73709187">
            <w:r>
              <w:rPr>
                <w:webHidden/>
                <w:rStyle w:val="IndexLink"/>
                <w:rtl w:val="true"/>
              </w:rPr>
              <w:t>تمهید</w:t>
            </w:r>
            <w:r>
              <w:rPr>
                <w:rStyle w:val="IndexLink"/>
                <w:rtl w:val="true"/>
              </w:rPr>
              <w:tab/>
            </w:r>
            <w:r>
              <w:rPr>
                <w:rStyle w:val="IndexLink"/>
              </w:rPr>
              <w:t>673</w:t>
            </w:r>
          </w:hyperlink>
        </w:p>
        <w:p>
          <w:pPr>
            <w:pStyle w:val="Contents4"/>
            <w:tabs>
              <w:tab w:val="clear" w:pos="8176"/>
              <w:tab w:val="right" w:pos="9026" w:leader="dot"/>
            </w:tabs>
            <w:rPr/>
          </w:pPr>
          <w:hyperlink w:anchor="__RefHeading___Toc9424812_73709187">
            <w:r>
              <w:rPr>
                <w:webHidden/>
                <w:rStyle w:val="IndexLink"/>
                <w:rtl w:val="true"/>
              </w:rPr>
              <w:t>المبحث الأوّل</w:t>
            </w:r>
            <w:r>
              <w:rPr>
                <w:rStyle w:val="IndexLink"/>
                <w:rtl w:val="true"/>
              </w:rPr>
              <w:t>:</w:t>
              <w:tab/>
            </w:r>
            <w:r>
              <w:rPr>
                <w:rStyle w:val="IndexLink"/>
              </w:rPr>
              <w:t>677</w:t>
            </w:r>
          </w:hyperlink>
        </w:p>
        <w:p>
          <w:pPr>
            <w:pStyle w:val="Contents4"/>
            <w:tabs>
              <w:tab w:val="clear" w:pos="8176"/>
              <w:tab w:val="right" w:pos="9026" w:leader="dot"/>
            </w:tabs>
            <w:rPr/>
          </w:pPr>
          <w:hyperlink w:anchor="__RefHeading___Toc9424814_73709187">
            <w:r>
              <w:rPr>
                <w:webHidden/>
                <w:rStyle w:val="IndexLink"/>
                <w:rtl w:val="true"/>
              </w:rPr>
              <w:t>المبحث الثانی</w:t>
            </w:r>
            <w:r>
              <w:rPr>
                <w:rStyle w:val="IndexLink"/>
                <w:rtl w:val="true"/>
              </w:rPr>
              <w:t xml:space="preserve">: </w:t>
            </w:r>
            <w:r>
              <w:rPr>
                <w:rStyle w:val="IndexLink"/>
                <w:rtl w:val="true"/>
              </w:rPr>
              <w:t>عدم ولایة الحاکم علی نکاح الأیتام مطلقاً</w:t>
            </w:r>
            <w:r>
              <w:rPr>
                <w:rStyle w:val="IndexLink"/>
                <w:rtl w:val="true"/>
              </w:rPr>
              <w:tab/>
            </w:r>
            <w:r>
              <w:rPr>
                <w:rStyle w:val="IndexLink"/>
              </w:rPr>
              <w:t>681</w:t>
            </w:r>
          </w:hyperlink>
        </w:p>
        <w:p>
          <w:pPr>
            <w:pStyle w:val="Contents5"/>
            <w:tabs>
              <w:tab w:val="clear" w:pos="7892"/>
              <w:tab w:val="right" w:pos="9026" w:leader="dot"/>
            </w:tabs>
            <w:rPr/>
          </w:pPr>
          <w:hyperlink w:anchor="__RefHeading___Toc9424816_73709187">
            <w:r>
              <w:rPr>
                <w:webHidden/>
                <w:rStyle w:val="IndexLink"/>
                <w:rtl w:val="true"/>
              </w:rPr>
              <w:t>اشارة</w:t>
            </w:r>
            <w:r>
              <w:rPr>
                <w:rStyle w:val="IndexLink"/>
                <w:rtl w:val="true"/>
              </w:rPr>
              <w:tab/>
            </w:r>
            <w:r>
              <w:rPr>
                <w:rStyle w:val="IndexLink"/>
              </w:rPr>
              <w:t>681</w:t>
            </w:r>
          </w:hyperlink>
        </w:p>
        <w:p>
          <w:pPr>
            <w:pStyle w:val="Contents5"/>
            <w:tabs>
              <w:tab w:val="clear" w:pos="7892"/>
              <w:tab w:val="right" w:pos="9026" w:leader="dot"/>
            </w:tabs>
            <w:rPr/>
          </w:pPr>
          <w:hyperlink w:anchor="__RefHeading___Toc9424818_73709187">
            <w:r>
              <w:rPr>
                <w:webHidden/>
                <w:rStyle w:val="IndexLink"/>
                <w:rtl w:val="true"/>
              </w:rPr>
              <w:t>القول الأوّل</w:t>
            </w:r>
            <w:r>
              <w:rPr>
                <w:rStyle w:val="IndexLink"/>
                <w:rtl w:val="true"/>
              </w:rPr>
              <w:t xml:space="preserve">: - </w:t>
            </w:r>
            <w:r>
              <w:rPr>
                <w:rStyle w:val="IndexLink"/>
                <w:rtl w:val="true"/>
              </w:rPr>
              <w:t xml:space="preserve">و هو قول المشهور </w:t>
            </w:r>
            <w:r>
              <w:rPr>
                <w:rStyle w:val="IndexLink"/>
                <w:rtl w:val="true"/>
              </w:rPr>
              <w:t xml:space="preserve">- </w:t>
            </w:r>
            <w:r>
              <w:rPr>
                <w:rStyle w:val="IndexLink"/>
                <w:rtl w:val="true"/>
              </w:rPr>
              <w:t>عدم ولایة الحاکم علی نکاح الأیتام</w:t>
            </w:r>
            <w:r>
              <w:rPr>
                <w:rStyle w:val="IndexLink"/>
                <w:rtl w:val="true"/>
              </w:rPr>
              <w:tab/>
            </w:r>
            <w:r>
              <w:rPr>
                <w:rStyle w:val="IndexLink"/>
              </w:rPr>
              <w:t>681</w:t>
            </w:r>
          </w:hyperlink>
        </w:p>
        <w:p>
          <w:pPr>
            <w:pStyle w:val="Contents6"/>
            <w:tabs>
              <w:tab w:val="clear" w:pos="7609"/>
              <w:tab w:val="right" w:pos="9026" w:leader="dot"/>
            </w:tabs>
            <w:rPr/>
          </w:pPr>
          <w:hyperlink w:anchor="__RefHeading___Toc9424820_73709187">
            <w:r>
              <w:rPr>
                <w:webHidden/>
                <w:rStyle w:val="IndexLink"/>
                <w:rtl w:val="true"/>
              </w:rPr>
              <w:t>اشارة</w:t>
            </w:r>
            <w:r>
              <w:rPr>
                <w:rStyle w:val="IndexLink"/>
                <w:rtl w:val="true"/>
              </w:rPr>
              <w:tab/>
            </w:r>
            <w:r>
              <w:rPr>
                <w:rStyle w:val="IndexLink"/>
              </w:rPr>
              <w:t>681</w:t>
            </w:r>
          </w:hyperlink>
        </w:p>
        <w:p>
          <w:pPr>
            <w:pStyle w:val="Contents6"/>
            <w:tabs>
              <w:tab w:val="clear" w:pos="7609"/>
              <w:tab w:val="right" w:pos="9026" w:leader="dot"/>
            </w:tabs>
            <w:rPr/>
          </w:pPr>
          <w:hyperlink w:anchor="__RefHeading___Toc9424822_73709187">
            <w:r>
              <w:rPr>
                <w:webHidden/>
                <w:rStyle w:val="IndexLink"/>
                <w:rtl w:val="true"/>
              </w:rPr>
              <w:t>أدلّة هذا القول</w:t>
            </w:r>
            <w:r>
              <w:rPr>
                <w:rStyle w:val="IndexLink"/>
                <w:rtl w:val="true"/>
              </w:rPr>
              <w:t>:</w:t>
              <w:tab/>
            </w:r>
            <w:r>
              <w:rPr>
                <w:rStyle w:val="IndexLink"/>
              </w:rPr>
              <w:t>682</w:t>
            </w:r>
          </w:hyperlink>
        </w:p>
        <w:p>
          <w:pPr>
            <w:pStyle w:val="Contents5"/>
            <w:tabs>
              <w:tab w:val="clear" w:pos="7892"/>
              <w:tab w:val="right" w:pos="9026" w:leader="dot"/>
            </w:tabs>
            <w:rPr/>
          </w:pPr>
          <w:hyperlink w:anchor="__RefHeading___Toc9424824_73709187">
            <w:r>
              <w:rPr>
                <w:webHidden/>
                <w:rStyle w:val="IndexLink"/>
                <w:rtl w:val="true"/>
              </w:rPr>
              <w:t>و أما القول الثانی</w:t>
            </w:r>
            <w:r>
              <w:rPr>
                <w:rStyle w:val="IndexLink"/>
                <w:rtl w:val="true"/>
              </w:rPr>
              <w:t xml:space="preserve">: </w:t>
            </w:r>
            <w:r>
              <w:rPr>
                <w:rStyle w:val="IndexLink"/>
                <w:rtl w:val="true"/>
              </w:rPr>
              <w:t>ولایته علی نکاح الأیتام</w:t>
            </w:r>
            <w:r>
              <w:rPr>
                <w:rStyle w:val="IndexLink"/>
                <w:rtl w:val="true"/>
              </w:rPr>
              <w:tab/>
            </w:r>
            <w:r>
              <w:rPr>
                <w:rStyle w:val="IndexLink"/>
              </w:rPr>
              <w:t>684</w:t>
            </w:r>
          </w:hyperlink>
        </w:p>
        <w:p>
          <w:pPr>
            <w:pStyle w:val="Contents6"/>
            <w:tabs>
              <w:tab w:val="clear" w:pos="7609"/>
              <w:tab w:val="right" w:pos="9026" w:leader="dot"/>
            </w:tabs>
            <w:rPr/>
          </w:pPr>
          <w:hyperlink w:anchor="__RefHeading___Toc9424826_73709187">
            <w:r>
              <w:rPr>
                <w:webHidden/>
                <w:rStyle w:val="IndexLink"/>
                <w:rtl w:val="true"/>
              </w:rPr>
              <w:t>اشارة</w:t>
            </w:r>
            <w:r>
              <w:rPr>
                <w:rStyle w:val="IndexLink"/>
                <w:rtl w:val="true"/>
              </w:rPr>
              <w:tab/>
            </w:r>
            <w:r>
              <w:rPr>
                <w:rStyle w:val="IndexLink"/>
              </w:rPr>
              <w:t>684</w:t>
            </w:r>
          </w:hyperlink>
        </w:p>
        <w:p>
          <w:pPr>
            <w:pStyle w:val="Contents6"/>
            <w:tabs>
              <w:tab w:val="clear" w:pos="7609"/>
              <w:tab w:val="right" w:pos="9026" w:leader="dot"/>
            </w:tabs>
            <w:rPr/>
          </w:pPr>
          <w:hyperlink w:anchor="__RefHeading___Toc9424828_73709187">
            <w:r>
              <w:rPr>
                <w:webHidden/>
                <w:rStyle w:val="IndexLink"/>
                <w:rtl w:val="true"/>
              </w:rPr>
              <w:t>أدلّة هذا القول</w:t>
            </w:r>
            <w:r>
              <w:rPr>
                <w:rStyle w:val="IndexLink"/>
                <w:rtl w:val="true"/>
              </w:rPr>
              <w:t>:</w:t>
              <w:tab/>
            </w:r>
            <w:r>
              <w:rPr>
                <w:rStyle w:val="IndexLink"/>
              </w:rPr>
              <w:t>685</w:t>
            </w:r>
          </w:hyperlink>
        </w:p>
        <w:p>
          <w:pPr>
            <w:pStyle w:val="Contents5"/>
            <w:tabs>
              <w:tab w:val="clear" w:pos="7892"/>
              <w:tab w:val="right" w:pos="9026" w:leader="dot"/>
            </w:tabs>
            <w:rPr/>
          </w:pPr>
          <w:hyperlink w:anchor="__RefHeading___Toc9424830_73709187">
            <w:r>
              <w:rPr>
                <w:webHidden/>
                <w:rStyle w:val="IndexLink"/>
                <w:rtl w:val="true"/>
              </w:rPr>
              <w:t>القول الثالث ولایة الحاکم مشروطة بالمصلحة و الحاجة</w:t>
            </w:r>
            <w:r>
              <w:rPr>
                <w:rStyle w:val="IndexLink"/>
                <w:rtl w:val="true"/>
              </w:rPr>
              <w:tab/>
            </w:r>
            <w:r>
              <w:rPr>
                <w:rStyle w:val="IndexLink"/>
              </w:rPr>
              <w:t>689</w:t>
            </w:r>
          </w:hyperlink>
        </w:p>
        <w:p>
          <w:pPr>
            <w:pStyle w:val="Contents6"/>
            <w:tabs>
              <w:tab w:val="clear" w:pos="7609"/>
              <w:tab w:val="right" w:pos="9026" w:leader="dot"/>
            </w:tabs>
            <w:rPr/>
          </w:pPr>
          <w:hyperlink w:anchor="__RefHeading___Toc9424832_73709187">
            <w:r>
              <w:rPr>
                <w:webHidden/>
                <w:rStyle w:val="IndexLink"/>
                <w:rtl w:val="true"/>
              </w:rPr>
              <w:t>اشارة</w:t>
            </w:r>
            <w:r>
              <w:rPr>
                <w:rStyle w:val="IndexLink"/>
                <w:rtl w:val="true"/>
              </w:rPr>
              <w:tab/>
            </w:r>
            <w:r>
              <w:rPr>
                <w:rStyle w:val="IndexLink"/>
              </w:rPr>
              <w:t>689</w:t>
            </w:r>
          </w:hyperlink>
        </w:p>
        <w:p>
          <w:pPr>
            <w:pStyle w:val="Contents6"/>
            <w:tabs>
              <w:tab w:val="clear" w:pos="7609"/>
              <w:tab w:val="right" w:pos="9026" w:leader="dot"/>
            </w:tabs>
            <w:rPr/>
          </w:pPr>
          <w:hyperlink w:anchor="__RefHeading___Toc9424834_73709187">
            <w:r>
              <w:rPr>
                <w:webHidden/>
                <w:rStyle w:val="IndexLink"/>
                <w:rtl w:val="true"/>
              </w:rPr>
              <w:t>أدلّة ولایة الحاکم مع اقتضاء المصلحة</w:t>
            </w:r>
            <w:r>
              <w:rPr>
                <w:rStyle w:val="IndexLink"/>
                <w:rtl w:val="true"/>
              </w:rPr>
              <w:tab/>
            </w:r>
            <w:r>
              <w:rPr>
                <w:rStyle w:val="IndexLink"/>
              </w:rPr>
              <w:t>691</w:t>
            </w:r>
          </w:hyperlink>
        </w:p>
        <w:p>
          <w:pPr>
            <w:pStyle w:val="Contents4"/>
            <w:tabs>
              <w:tab w:val="clear" w:pos="8176"/>
              <w:tab w:val="right" w:pos="9026" w:leader="dot"/>
            </w:tabs>
            <w:rPr/>
          </w:pPr>
          <w:hyperlink w:anchor="__RefHeading___Toc9424836_73709187">
            <w:r>
              <w:rPr>
                <w:webHidden/>
                <w:rStyle w:val="IndexLink"/>
                <w:rtl w:val="true"/>
              </w:rPr>
              <w:t>المبحث الثالث</w:t>
            </w:r>
            <w:r>
              <w:rPr>
                <w:rStyle w:val="IndexLink"/>
                <w:rtl w:val="true"/>
              </w:rPr>
              <w:t xml:space="preserve">: </w:t>
            </w:r>
            <w:r>
              <w:rPr>
                <w:rStyle w:val="IndexLink"/>
                <w:rtl w:val="true"/>
              </w:rPr>
              <w:t>فی حکم الخیار للأیتام بعد البلوغ</w:t>
            </w:r>
            <w:r>
              <w:rPr>
                <w:rStyle w:val="IndexLink"/>
                <w:rtl w:val="true"/>
              </w:rPr>
              <w:tab/>
            </w:r>
            <w:r>
              <w:rPr>
                <w:rStyle w:val="IndexLink"/>
              </w:rPr>
              <w:t>697</w:t>
            </w:r>
          </w:hyperlink>
        </w:p>
        <w:p>
          <w:pPr>
            <w:pStyle w:val="Contents5"/>
            <w:tabs>
              <w:tab w:val="clear" w:pos="7892"/>
              <w:tab w:val="right" w:pos="9026" w:leader="dot"/>
            </w:tabs>
            <w:rPr/>
          </w:pPr>
          <w:hyperlink w:anchor="__RefHeading___Toc9424838_73709187">
            <w:r>
              <w:rPr>
                <w:webHidden/>
                <w:rStyle w:val="IndexLink"/>
                <w:rtl w:val="true"/>
              </w:rPr>
              <w:t>اشارة</w:t>
            </w:r>
            <w:r>
              <w:rPr>
                <w:rStyle w:val="IndexLink"/>
                <w:rtl w:val="true"/>
              </w:rPr>
              <w:tab/>
            </w:r>
            <w:r>
              <w:rPr>
                <w:rStyle w:val="IndexLink"/>
              </w:rPr>
              <w:t>697</w:t>
            </w:r>
          </w:hyperlink>
        </w:p>
        <w:p>
          <w:pPr>
            <w:pStyle w:val="Contents5"/>
            <w:tabs>
              <w:tab w:val="clear" w:pos="7892"/>
              <w:tab w:val="right" w:pos="9026" w:leader="dot"/>
            </w:tabs>
            <w:rPr/>
          </w:pPr>
          <w:hyperlink w:anchor="__RefHeading___Toc9424840_73709187">
            <w:r>
              <w:rPr>
                <w:webHidden/>
                <w:rStyle w:val="IndexLink"/>
                <w:rtl w:val="true"/>
              </w:rPr>
              <w:t>رأی أهل السنّة فی ولایة الحاکم علی نکاح الأیتام</w:t>
            </w:r>
            <w:r>
              <w:rPr>
                <w:rStyle w:val="IndexLink"/>
                <w:rtl w:val="true"/>
              </w:rPr>
              <w:tab/>
            </w:r>
            <w:r>
              <w:rPr>
                <w:rStyle w:val="IndexLink"/>
              </w:rPr>
              <w:t>699</w:t>
            </w:r>
          </w:hyperlink>
        </w:p>
        <w:p>
          <w:pPr>
            <w:pStyle w:val="Contents2"/>
            <w:tabs>
              <w:tab w:val="clear" w:pos="8743"/>
              <w:tab w:val="right" w:pos="9026" w:leader="dot"/>
            </w:tabs>
            <w:rPr/>
          </w:pPr>
          <w:hyperlink w:anchor="__RefHeading___Toc9424842_73709187">
            <w:r>
              <w:rPr>
                <w:webHidden/>
                <w:rStyle w:val="IndexLink"/>
                <w:rtl w:val="true"/>
              </w:rPr>
              <w:t>فهرس أحکام الأطفال</w:t>
            </w:r>
            <w:r>
              <w:rPr>
                <w:rStyle w:val="IndexLink"/>
                <w:rtl w:val="true"/>
              </w:rPr>
              <w:tab/>
            </w:r>
            <w:r>
              <w:rPr>
                <w:rStyle w:val="IndexLink"/>
              </w:rPr>
              <w:t>703</w:t>
            </w:r>
          </w:hyperlink>
        </w:p>
        <w:p>
          <w:pPr>
            <w:pStyle w:val="Contents3"/>
            <w:tabs>
              <w:tab w:val="clear" w:pos="8459"/>
              <w:tab w:val="right" w:pos="9026" w:leader="dot"/>
            </w:tabs>
            <w:rPr/>
          </w:pPr>
          <w:hyperlink w:anchor="__RefHeading___Toc9424844_73709187">
            <w:r>
              <w:rPr>
                <w:webHidden/>
                <w:rStyle w:val="IndexLink"/>
                <w:rtl w:val="true"/>
              </w:rPr>
              <w:t>اشارة</w:t>
            </w:r>
            <w:r>
              <w:rPr>
                <w:rStyle w:val="IndexLink"/>
                <w:rtl w:val="true"/>
              </w:rPr>
              <w:tab/>
            </w:r>
            <w:r>
              <w:rPr>
                <w:rStyle w:val="IndexLink"/>
              </w:rPr>
              <w:t>703</w:t>
            </w:r>
          </w:hyperlink>
        </w:p>
        <w:p>
          <w:pPr>
            <w:pStyle w:val="Contents3"/>
            <w:tabs>
              <w:tab w:val="clear" w:pos="8459"/>
              <w:tab w:val="right" w:pos="9026" w:leader="dot"/>
            </w:tabs>
            <w:rPr/>
          </w:pPr>
          <w:hyperlink w:anchor="__RefHeading___Toc9424846_73709187">
            <w:r>
              <w:rPr>
                <w:webHidden/>
                <w:rStyle w:val="IndexLink"/>
                <w:rtl w:val="true"/>
              </w:rPr>
              <w:t>الباب الأوّل فی بیان وظائف الأبوین قبل التزویج و فی أیّام الحمل و بعد ولادته</w:t>
            </w:r>
            <w:r>
              <w:rPr>
                <w:rStyle w:val="IndexLink"/>
                <w:rtl w:val="true"/>
              </w:rPr>
              <w:tab/>
            </w:r>
            <w:r>
              <w:rPr>
                <w:rStyle w:val="IndexLink"/>
              </w:rPr>
              <w:t>703</w:t>
            </w:r>
          </w:hyperlink>
        </w:p>
        <w:p>
          <w:pPr>
            <w:pStyle w:val="Contents3"/>
            <w:tabs>
              <w:tab w:val="clear" w:pos="8459"/>
              <w:tab w:val="right" w:pos="9026" w:leader="dot"/>
            </w:tabs>
            <w:rPr/>
          </w:pPr>
          <w:hyperlink w:anchor="__RefHeading___Toc9424848_73709187">
            <w:r>
              <w:rPr>
                <w:webHidden/>
                <w:rStyle w:val="IndexLink"/>
                <w:rtl w:val="true"/>
              </w:rPr>
              <w:t>الباب الثانی فی الحضانة</w:t>
            </w:r>
            <w:r>
              <w:rPr>
                <w:rStyle w:val="IndexLink"/>
                <w:rtl w:val="true"/>
              </w:rPr>
              <w:tab/>
            </w:r>
            <w:r>
              <w:rPr>
                <w:rStyle w:val="IndexLink"/>
              </w:rPr>
              <w:t>710</w:t>
            </w:r>
          </w:hyperlink>
        </w:p>
        <w:p>
          <w:pPr>
            <w:pStyle w:val="Contents3"/>
            <w:tabs>
              <w:tab w:val="clear" w:pos="8459"/>
              <w:tab w:val="right" w:pos="9026" w:leader="dot"/>
            </w:tabs>
            <w:rPr/>
          </w:pPr>
          <w:hyperlink w:anchor="__RefHeading___Toc9424850_73709187">
            <w:r>
              <w:rPr>
                <w:webHidden/>
                <w:rStyle w:val="IndexLink"/>
                <w:rtl w:val="true"/>
              </w:rPr>
              <w:t>الباب الثالث فی نفقة الأطفال</w:t>
            </w:r>
            <w:r>
              <w:rPr>
                <w:rStyle w:val="IndexLink"/>
                <w:rtl w:val="true"/>
              </w:rPr>
              <w:tab/>
            </w:r>
            <w:r>
              <w:rPr>
                <w:rStyle w:val="IndexLink"/>
              </w:rPr>
              <w:t>712</w:t>
            </w:r>
          </w:hyperlink>
        </w:p>
        <w:p>
          <w:pPr>
            <w:pStyle w:val="Contents3"/>
            <w:tabs>
              <w:tab w:val="clear" w:pos="8459"/>
              <w:tab w:val="right" w:pos="9026" w:leader="dot"/>
            </w:tabs>
            <w:rPr/>
          </w:pPr>
          <w:hyperlink w:anchor="__RefHeading___Toc9424852_73709187">
            <w:r>
              <w:rPr>
                <w:webHidden/>
                <w:rStyle w:val="IndexLink"/>
                <w:rtl w:val="true"/>
              </w:rPr>
              <w:t>الباب الرابع فی الولایة علی الأطفال</w:t>
            </w:r>
            <w:r>
              <w:rPr>
                <w:rStyle w:val="IndexLink"/>
                <w:rtl w:val="true"/>
              </w:rPr>
              <w:tab/>
            </w:r>
            <w:r>
              <w:rPr>
                <w:rStyle w:val="IndexLink"/>
              </w:rPr>
              <w:t>716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752_146015"/>
      <w:bookmarkStart w:id="1" w:name="pg11752_146015"/>
      <w:bookmarkEnd w:id="1"/>
    </w:p>
    <w:p>
      <w:pPr>
        <w:pStyle w:val="Heading2"/>
        <w:numPr>
          <w:ilvl w:val="1"/>
          <w:numId w:val="1"/>
        </w:numPr>
        <w:rPr/>
      </w:pPr>
      <w:bookmarkStart w:id="2" w:name="pg11752_146015"/>
      <w:bookmarkStart w:id="3" w:name="__RefHeading___Toc9423774_7370918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فاضل‌لنکرانی، محمدجواد،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موسوعه احکام الاطفال و ادلتها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مقارنه تفصیلیه بین مذهب الامامیه و المذاهب الاخری الجزء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محمدجواد الفاضل‌اللنکرانی؛ تالیف جمع من‌المحققین فی اللجنه الفقهیه؛ رتبها و نظمها قدره الله الانصاری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فقه‌الائمه‌الاطهار علیهم‌السلام، </w:t>
      </w:r>
      <w:r>
        <w:rPr>
          <w:rFonts w:ascii="IRNazanin" w:hAnsi="IRNazanin" w:eastAsia="IRNazanin"/>
          <w:color w:val="111111"/>
          <w:sz w:val="28"/>
          <w:sz w:val="28"/>
          <w:szCs w:val="28"/>
          <w:lang w:bidi="fa-IR"/>
        </w:rPr>
        <w:t>۱۴۲۸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 دوره</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7709</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7709</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7709</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5694</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اعداد و نشر در جلد ششم مرکز فقه‌الائمة‌الاطهار علیهم‌السلام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کودکان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فتوا‌های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تطبیقی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والدین و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انصاری ، قدرت‌الله،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فقهی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۱۹۸</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۳۷۹</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۳۷۴۶۹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423776_7370918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موسوعه احکام الاطفال و ادلتها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مقارنه تفصیلیه بین مذهب الامامیه و المذاهب الاخری الجزء الأول</w:t>
      </w:r>
    </w:p>
    <w:p>
      <w:pPr>
        <w:pStyle w:val="BookText"/>
        <w:rPr/>
      </w:pPr>
      <w:r>
        <w:rPr>
          <w:rFonts w:ascii="IRNazanin" w:hAnsi="IRNazanin" w:eastAsia="IRNazanin"/>
          <w:color w:val="111111"/>
          <w:sz w:val="28"/>
          <w:sz w:val="28"/>
          <w:szCs w:val="28"/>
          <w:rtl w:val="true"/>
          <w:lang w:bidi="fa-IR"/>
        </w:rPr>
        <w:t>اشراف محمدجواد الفاضل‌اللنکرانی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تالیف جمع من‌المحققین فی اللجنه الفقهیه؛ رتبها و نظمها قدره الله الانصاری</w:t>
      </w:r>
      <w:bookmarkStart w:id="7" w:name="pg11752_146019"/>
    </w:p>
    <w:p>
      <w:pPr>
        <w:pStyle w:val="Heading2"/>
        <w:numPr>
          <w:ilvl w:val="1"/>
          <w:numId w:val="1"/>
        </w:numPr>
        <w:rPr/>
      </w:pPr>
      <w:bookmarkStart w:id="8" w:name="__RefHeading___Toc9423778_73709187"/>
      <w:bookmarkStart w:id="9" w:name="_Toc3"/>
      <w:bookmarkEnd w:id="7"/>
      <w:bookmarkEnd w:id="8"/>
      <w:r>
        <w:rPr>
          <w:rtl w:val="true"/>
        </w:rPr>
        <w:t>مقدمات التحقیق</w:t>
      </w:r>
      <w:bookmarkEnd w:id="9"/>
    </w:p>
    <w:p>
      <w:pPr>
        <w:pStyle w:val="Heading3"/>
        <w:numPr>
          <w:ilvl w:val="2"/>
          <w:numId w:val="1"/>
        </w:numPr>
        <w:rPr/>
      </w:pPr>
      <w:bookmarkStart w:id="10" w:name="__RefHeading___Toc9423780_73709187"/>
      <w:bookmarkStart w:id="11" w:name="_Toc4"/>
      <w:bookmarkEnd w:id="10"/>
      <w:r>
        <w:rPr>
          <w:rtl w:val="true"/>
        </w:rPr>
        <w:t>مقدمة محمد جواد الفاضل اللنکرانی</w:t>
      </w:r>
      <w:bookmarkEnd w:id="11"/>
    </w:p>
    <w:p>
      <w:pPr>
        <w:pStyle w:val="Heading4"/>
        <w:numPr>
          <w:ilvl w:val="3"/>
          <w:numId w:val="1"/>
        </w:numPr>
        <w:rPr/>
      </w:pPr>
      <w:bookmarkStart w:id="12" w:name="__RefHeading___Toc9423782_73709187"/>
      <w:bookmarkStart w:id="13" w:name="_Toc5"/>
      <w:bookmarkEnd w:id="12"/>
      <w:r>
        <w:rPr>
          <w:rtl w:val="true"/>
        </w:rPr>
        <w:t>الفقه الشیعی، الممیزات و المعطیات</w:t>
      </w:r>
      <w:bookmarkEnd w:id="13"/>
    </w:p>
    <w:p>
      <w:pPr>
        <w:pStyle w:val="BookText"/>
        <w:rPr/>
      </w:pPr>
      <w:r>
        <w:rPr>
          <w:rFonts w:ascii="IRNazanin" w:hAnsi="IRNazanin" w:eastAsia="IRNazanin"/>
          <w:color w:val="111111"/>
          <w:sz w:val="28"/>
          <w:sz w:val="28"/>
          <w:szCs w:val="28"/>
          <w:rtl w:val="true"/>
          <w:lang w:bidi="fa-IR"/>
        </w:rPr>
        <w:t>إنّ الفقه الشیعی بالنسبة إلی جمیع قوانین المذاهب الاُخری سواءً المذاهب السنّیة أو غیر السنّیة و حتّی بالنسبة إلی الفقه الغربی الذی یعبر عنه بالفقه الوضعی، یتمتع بامتیازات خاصة نشیر الی بعضها فی هذه المقالة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الخصوصیة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جامعیة و شمولیة الفقه الشیعی لجمیع الأبعاد و الأزمنة و المجتمعات البشریة حیث یتناول هذا الفقه جمیع أبعاد الحیاة البشریة، و یستوعب فی أحکامه و قوانینه الاُمور الاجتماعیة و السیاسیة و الاقتصادیة و یطرح حلولاً و معالجات لکلّ هذه الاُمور، فقد ورد فی بعض النصوص إنّ اللّه عزّ و جلّ لم یترک شیئاً ممّا یحتاج إلیه إلاّ و علّمه نبیّه صلی الله علیه و آله</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أحکام هذا الفقه تمتد إلی ما قبل تولد الإنسان بل قبل أن تنعقد نطفته و إلی حین الموت و بعد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سبیل المثال فهناک تعلیمات کثیرة و دقیقة فی فقه أهل</w:t>
      </w:r>
    </w:p>
    <w:p>
      <w:pPr>
        <w:pStyle w:val="BookText"/>
        <w:rPr/>
      </w:pPr>
      <w:r>
        <w:rPr>
          <w:rFonts w:ascii="IRNazanin" w:hAnsi="IRNazanin" w:eastAsia="IRNazanin"/>
          <w:color w:val="111111"/>
          <w:sz w:val="28"/>
          <w:sz w:val="28"/>
          <w:szCs w:val="28"/>
          <w:rtl w:val="true"/>
          <w:lang w:bidi="fa-IR"/>
        </w:rPr>
        <w:t xml:space="preserve">البیت فی مرحلة الحمل بل ما قبل انعقاد النطفة، و هکذا لا یتحدد الفقه الشیعی فی بُعد واحد من أبعاد حیاة الإنسان، مثلاً مسألة الحکومة الإسلامیة العادلة التی تتطابق مع تعالیم القرآن و السنّة لا نکاد نجدها بهذه الصیاغة إلاّ علی مبانی الفقه الشیعی وفقه أهل البیت، فلا یمکننا بناء حکومة صحیحة تنطبق علی تعالیم الإسلام من خلال أدوات الفقه السنّی، و لذلک اشتهر لدیهم أنّ الحکومة تنعقد علی أساس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لمن غلب أو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 علی المسلمین إطاعة هؤلاء الحکّام، و لکن فی الفقه الشیعی هناک صیاغة دقیقة جدّاً ترسم النظام السیاسی و الهیئة الحاکمة بشکل دقیق جدّاً، و هذا من مختصات فقه أهل البیت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المسائل المتعلقة بالاُسرة لدینا تعالیم شمولیة و مستوعبة بحیث لا توجد مسألة فی هذه الدائرة بدون جواب، و بالطبع یمکن القول بأننا و إن لا نمتلک صیاغة کاملة للنظام الاقتصادی فی فقه أهل البیت، و لکن ندّعی وجود ضوابط و معاییر فی هذا الفقه یمکننا من خلالها صیاغة النظام الاقتصادی الصحیح، و هکذا یمکننا استخراج النظام السیاسی الإسلامی علی أساس هذه القواعد و الضوابط الموجودة فی فقه أهل البیت، و علی هذا الأساس فإن أوّل خصوصیة لهذا الفقه و التی تعتبر أهم خصوصیة هی شمولیة هذا الفقه لجمیع الموارد الممکنة و جمیع أبعاد الحیاة البشریة إلی قیام القیامة سواءً فی البعد العرضی أو الطولی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منشأ هذه الجامعیة أخذ الأحکام الشرعیة من أئمة أهل البیت علیهم السلام فبما أنّهم کانوا أوصیاء الرسول صلی الله علیه و آله و جامعاً لجمیع العلوم علی ما شهد به التاریخ أیضاً فالمأخوذ منهم صالح لأن یتکفل جمیع الاُمور و إن کنا نشکو عدم استفادة الناس بل علماء زمانهم منهم بنحو کامل صحیح و لکن المقدار الذی أخذ منهم و کان وافیاً بجمیع حاجات البشر و من الخصوصیات المهمّة فی فقه الإمامیة، ثراء المنابع الفقهیة، فمضافاً إلی القرآن الکریم و العقل و الاجماع هناک خمسون ألف حدیثاً فقهیاً مذکورة فی وسائل الشیعة</w:t>
      </w:r>
    </w:p>
    <w:p>
      <w:pPr>
        <w:pStyle w:val="BookText"/>
        <w:rPr/>
      </w:pPr>
      <w:r>
        <w:rPr>
          <w:rFonts w:ascii="IRNazanin" w:hAnsi="IRNazanin" w:eastAsia="IRNazanin"/>
          <w:color w:val="111111"/>
          <w:sz w:val="28"/>
          <w:sz w:val="28"/>
          <w:szCs w:val="28"/>
          <w:rtl w:val="true"/>
          <w:lang w:bidi="fa-IR"/>
        </w:rPr>
        <w:t>و مستدرک الوسائل، و التهذیب و الکافی فی حین أنّ الأحادیث الفقهیة لدی أهل السنّة لا تتجاوز خمسمائة حدیث فقهی یمکن الاعتماد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الخصوصیة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الاهتمام بالعقل و الأحکام العقلیة الدقیقة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بحمد اللّه نملک أحکاماً فقهیة تقوم علی أساس قاعدة متماسکة من الاُصول و المباحث الاُصولیة التی تبحث فی الملازمات العقلیة حیث تترتب علیها المبانی الاجتهادیة للفقیه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فالبحث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الأمر بالشیء یقتضی النهی عن ضدّه هو بحث فی الحقیقة فی وجود ملازمة عقلیة أو عدم وجودها، فالعقل السلیم و الأحکام العقلیة القطعیة تتمتع بمتانة خاصة فی فقهنا، و لهذا الموضوع أهمیة کبیرة فی جمیع الأزمنة و الظروف المختلفة، و بالتالی یترتب علی هذه المسألة نتائج کثیرة جدّاً، ففی بعض الموارد یتقدم حکم العقل السلیم و القطعی علی الحکم المستوحی من الروایة أو النص الذی یتقاطع ظاهراً مع حکم العقل الصریح</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الأساس فهذه المسألة تعدّ من خصوصیات هذا الفقه و لا تتوفر فی سائر المدارس الفقهیة الاُخری التی لا تولی العقل أهمیة خاصة و لا تأخذ بنظر الاعتبار الأحکام العقلیة، فنحن و إن کان نری وجود القیاس أو الاستحسان فی المذهب السنّی و لکن لیس مبتنیاً علی أساس العقل القطعی بل جمیعها یدخل فی الظنیّات التی لا اعتبار لها أما فی فقه أهل البیت فنری أنّ العقل یعتبر حجّة باطنیة إلی جانب الحجّة الظاهریة و هو الرسول الأکرم صلی الله علیه و آله، و أحیاناً نری إشارة فی بعض المدارس الفقهیة إلی حکم العقل و المسائل العقلیة أیضاً و لکن لا علی أساس أنّه حجّة باطنیة إلی جانب الحجّة الظاهریة و السنّة الشریفة، و بالطبع توجد هنا أبحاث فنیة دقیقة من قبیل نظریة المحقّق الاصفهانی من أنّ العقل هل یعتبر قوّة مدرکة فقط و لیست له صلاحیة الحکم بل یختصُّ الحکم بمقام مولویة المولی و الشارع المقدس، أو یقال کما یری المشهور أنّ العقل فی الوقت الذی یمثل قوة</w:t>
      </w:r>
    </w:p>
    <w:p>
      <w:pPr>
        <w:pStyle w:val="BookText"/>
        <w:rPr/>
      </w:pPr>
      <w:r>
        <w:rPr>
          <w:rFonts w:ascii="IRNazanin" w:hAnsi="IRNazanin" w:eastAsia="IRNazanin"/>
          <w:color w:val="111111"/>
          <w:sz w:val="28"/>
          <w:sz w:val="28"/>
          <w:szCs w:val="28"/>
          <w:rtl w:val="true"/>
          <w:lang w:bidi="fa-IR"/>
        </w:rPr>
        <w:t>مدرکة فإنّ له صلاحیة الحکم أیضاً؟</w:t>
      </w:r>
    </w:p>
    <w:p>
      <w:pPr>
        <w:pStyle w:val="BookText"/>
        <w:rPr/>
      </w:pPr>
      <w:r>
        <w:rPr>
          <w:rFonts w:ascii="IRNazanin" w:hAnsi="IRNazanin" w:eastAsia="IRNazanin"/>
          <w:color w:val="111111"/>
          <w:sz w:val="28"/>
          <w:sz w:val="28"/>
          <w:szCs w:val="28"/>
          <w:rtl w:val="true"/>
          <w:lang w:bidi="fa-IR"/>
        </w:rPr>
        <w:t>و علیه فإنّ إحدی الخصوصیات المهمّة فی المدرسة الفقهیة لمذهب أهل البیت علیهم السلام هی أنّه تقوم علی أساس من الأحکام العقلیة القطعیة، و هذا یعنی عدم تقاطع الأحکام الصادرة من أهل البیت مع العقل و الأحکام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الأثر الواضح لهذه الخصوصیة خروج الأحکام عن دائرة الجمود و عدم اتهام الدین بهذا الأمر و أیضاً من الآثار المترتبة علی هذا هو کون الدین و أحکامه فی جمیع الأزمنة مطابقاً لفطرة الناس و موافقاً لعقولهم السلیمة و لا تکون النفوس متنفرة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الخصوصیة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التی نستوحیها من الخصوصیة المتقدّمة، و هی أنّ الفقه الشیعی یولی أهمیة کبیرة للمصالح و المفاسد فی الأفعال، أی أننا نعتقد بأن کلّ حکم شرعی هو تابع للملاک فیه و أنّ أحکام الشارع المقدس بنیت علی أساس الملاکات، و مع تغییر الملاک یتغیر الحکم أیضاً، و لأجل هذا اشتهر أن الأحکام الشرعیة ألطاف فی الأحکام العقلیة بمعنی أن العقل فیما إذا لم یکن قادراً علی درک الملاک فإذا بینه الشارع فقد انکشف لدیه وجود الملاک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طبعاً فهذه النقطة مهمة جدّاً و هی مسألة تغییر الملاک و کیف یتمکن الفقیه من اکتشاف الملاک فی الحکم الشرعی و أنّ الملاکات الظنیة لا اعتبار لها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من المسائل التی تبحث بشکل مفصل فی محلها، و لکن المسألة المهمّة هنا هی أنّ الأحکام تابعة للمصالح و المفاسد، حتّی الأحکام المباحة تابعة للإباحة الاقتضائیة ففی الإباحة الاقتضائیة یحکم الشارع بالإباحة، أی أنّ هذا العمل مباح و تابع لمقتضی الإباحة الموجودة فی هذا العمل</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الخصوصیة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یمتاز بها فقه أهل البیت هی التعبد بالظواهر الشرعیة فی ذات الوقت الذی نقول باعتبار العقل و التبعیة للمصالح و المفاسد، أی أننا نری أنّ فقهائنا یتعبدون بظواهر الآیات و الروایات الشریفة و یعتبرون هذا</w:t>
      </w:r>
    </w:p>
    <w:p>
      <w:pPr>
        <w:pStyle w:val="BookText"/>
        <w:rPr/>
      </w:pPr>
      <w:r>
        <w:rPr>
          <w:rFonts w:ascii="IRNazanin" w:hAnsi="IRNazanin" w:eastAsia="IRNazanin"/>
          <w:color w:val="111111"/>
          <w:sz w:val="28"/>
          <w:sz w:val="28"/>
          <w:szCs w:val="28"/>
          <w:rtl w:val="true"/>
          <w:lang w:bidi="fa-IR"/>
        </w:rPr>
        <w:t xml:space="preserve">الظهور حجّة، و رغم أنّ حجیّة الظاهر هی حجیّة عقلائیة و لکننا عند ما نستعرض روایات الأئمّة المعصومین نری وجود موارد کثیرة بیّن الأئمّة فیها الحکم الشرعی استناداً علی ظواهر الآیات القرآنیة، و هذا الموضوع یکشف أنّ الأئمّة المعصومین علیهم السلام أرادوا بیان هذه الحقیقة لأصحابهم و غیرهم، و هی أنّ الظاهر حجّة، لأنه أمر عقلائی و بدیهی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ظاهر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الملاحظة الاُخری فی هذا المورد هی أنّ الأئمّة قرّروا لنا هذه الحقیقة، و هی أننا یجب علینا اتباع ظاهر النصّ الوارد فی کلام الشارع، و لکن فی صورة قیام الحکم العقلی علی خلاف ذلک فله حکم آخر، و لکن ما دام الحکم العقلی لم یقم علی خلافه فإنّ فقهائنا و اقتداءً بالأئمّة المعصومین یرون أنفسهم مکلفین باتّباع هذا الظاهر و اعتباره حجّة حتّی عند عدم العلم بالملاک أو عدم دوام الدلیل العقلی القطعی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الأساس نری أنّ أحد امتیازات فقهنا أنّ التعبد بالظواهر یحتل مکاناً خاصاً إلی جانب اعتبار العقل و اعتبار حجیّة سیرة العقلاء و سائر المبانی الاُصولیة و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نتیجة هذه الخصوصیة استمرار الأحکام و دوامها و عدم اندراس الدین من ناحیة الأحکام کما إن من نتائج هذا الأمر التعبّد بالدین و الخضوع للأحکام و التسلیم المحض للشارع الأقدس و بعبارة اخری إن الدین کما یحتاج فی دوامه إلی انطباق أحکامه موافقتها للعقل القطعی کذلک یحتاج فی بقائه إلی تعبّد المتدینین بالظواهر المرادة المقصودة</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الخصوصیة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القواعد الفقهیة فی هذا الفقه حیث ألف فقهاء الشیعة کتباً فی هذا المجال من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و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للشهید الأوّل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البجنوردی حیث ذکر فیه الکثیر من القواعد الفقهیة بالتفصیل، و قد ألف سماحة الوالد المعظّم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 أیضاً فی هذا المجال و قد کتبت له</w:t>
      </w:r>
    </w:p>
    <w:p>
      <w:pPr>
        <w:pStyle w:val="BookText"/>
        <w:rPr/>
      </w:pPr>
      <w:r>
        <w:rPr>
          <w:rFonts w:ascii="IRNazanin" w:hAnsi="IRNazanin" w:eastAsia="IRNazanin"/>
          <w:color w:val="111111"/>
          <w:sz w:val="28"/>
          <w:sz w:val="28"/>
          <w:szCs w:val="28"/>
          <w:rtl w:val="true"/>
          <w:lang w:bidi="fa-IR"/>
        </w:rPr>
        <w:t xml:space="preserve">مقدمة أیضاً،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نضد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تألیف الفاضل المقداد، و أیضاً کتب الملاّ حبیب اللّه الکاشانی سبعمائة قاعدة فقهیة بشکل 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طبعاً هناک قواعد فقهیة للمدارس الفقهیة الاُخری، و لکن توجد فاصلة کبیرة بین قواعدنا الفقهیة و القواعد الفقهیة لتلک المدارس، إنّ وجود القواعد الفقهیة یشیر إلی وجود نظام منطقی و بناء محکم لمنظومة الأحکام الشرعیة فی جمیع الأبعاد، أی أنّ کلَّ مدرسة فقهیة یمکنها تأصیل قواعد فقهیة مفصلة و دقیقة، فهذا یدلُّ علی أنّ الأحکام الشرعیة لتلک المدرسة قائمة علی أساس متین و منسجم، و بالطبع فإنّ بعض القواعد الفقهیة تمتد بجذورها إلی القرآن الکریم و لکن الکثیر من القواعد الفقهیة لها جذور روائیة و مقتبسة من روایات أهل البیت علیهم السلام، و علی سبیل المثال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الإلزام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تعتبر ناظرة إلی أهل السنّة فی الأصل، و لکن بعض الفقهاء العظام کسماحة الوالد یرون سریان قاعدة الإلزام إلی جمیع الأفراد و المذاهب الاُخری حتّی الکفّار أیضاً، مثلاً مسألة حقوق الإنسان و أنّ الکفّار ملزمین بمراعاة هذه الحقوق بالاستناد إلی قاعدة الإلزام هذه حیث یمکننا استخدامها ضدّهم، و لذلک فإنّ وجود القواعد الفقهیة فی مدرسة أهل البیت یعدّ من المعالم المهمّة للفقه الشیعی حیث یزیده غناءً و استحکاماً و انسجاماً</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الخصوصیة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نستوحیها من الخصوصیة الاُولی و الثانیة هی مسألة الحرکة و الدینامیة فی فقهنا الشیعی، حیث نری أنّ الفقه الشیعی یعیش حرکة تکاملیة و یتحرک فی خطّ النمو و الرشد، و من هنا فلا یمکننا القول بأن الأحکام الفقهیة محدودة فی دائرة خاصة و لیس لدینا حکماً آخر، و لهذا فإنّ الفقه الشیعی و یستجیب لمتطلبات الواقع و المتغیرات الزمانیة و المکانیة و ما تفرزه من حاجات جدیدة بالإنسان و المجتمع، و هذا یعنی أنّ فقهنا حی و متحرک و یمکنه إیجاد أحکام شرعیة متناسبة مع متطلبات العصر، و علی هذا الأساس نری وجود</w:t>
      </w:r>
    </w:p>
    <w:p>
      <w:pPr>
        <w:pStyle w:val="BookText"/>
        <w:rPr/>
      </w:pPr>
      <w:r>
        <w:rPr>
          <w:rFonts w:ascii="IRNazanin" w:hAnsi="IRNazanin" w:eastAsia="IRNazanin"/>
          <w:color w:val="111111"/>
          <w:sz w:val="28"/>
          <w:sz w:val="28"/>
          <w:szCs w:val="28"/>
          <w:rtl w:val="true"/>
          <w:lang w:bidi="fa-IR"/>
        </w:rPr>
        <w:t>مسائل مستحدثة کثیرة فی الکتب الفقهیة و خاصّة فی العصور المتأخرة من قبیل مسائل البنوک، الضمان، الاستنساخ، المسائل المستحدثة فی الطبّ و غیر ذلک حیث نری وجود أحکام شرعیة لکلّ هذه الموارد، و لا یعنی ذلک أنّ هذه الأحکام الجدیدة تخالف الأحکام السابقة، بل بملاحظة الخصوصیات المستجدة لهذه الموارد فإنّ القواعد الفقهیة تطابق أحکامها مع الظروف و الشرائط الجدیدة، و علی هذا الأساس نحن نمتلک فقهاً متحرکاً و اجتهاداً حیّاً، و السرّ فی أنّ الإنسان المکلّف یجب أن یقلد مجتهداً حیّاً هو أنّ الاجتهاد فی حال نمو و تکامل دائم خلافاً لبعض المثقفین غیر المطلعین الذین یتصورون أنّ علم الفقه و الأحکام الشرعیة قد مضی وقت العمل بها، و من البدیهی أنّ هؤلاء غیر مطلعین علی علم الفقه، فی حین أننا نعیش منذ عصر التشریع إلی الآن بنفس تلک الملاکات و المبانی و الضوابط الفقهیة و یمکننا فی المستقبل تطبیق الفقه و استخلاص الأحکام الشرعیة فی کلّ مسألة و فی کلّ بعد من أبعاد الحیاة الفردیة و الاجتماعیة للمسلمین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معنی حیویة الاجتهاد و علم الفقه، و من هنا یمکن القول أنّ علم الفقه الشیعی من جهة الصبغة العلمیة لیس بأقل حرکة و نمواً و تکاملاً من سائر العلوم، فنری فی القرن الثانی و الثالث أنّ حجم الکتاب الفقهی لم یکن یتجاوز المائة و المائتین صفحة، و لکن الآن لدینا کتاب فقهی من أربعین إلی خمسین مجلداً، و هذا یشیر إلی نمو و تکامل الفقه، و هنا نشیر أیضاً إلی أنّ الشیعة لم یکونوا بحاجة فی البدایة إلی اصول الفقه لأنهم کانوا یعیشون حضور الإمام المعصوم، و لکن أهل السنّة و بعد رحلة النبی صلی الله علیه و آله احتاجوا إلی علم الاُصول</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هذا الأساس فمن الممکن أن یکون علم الاُصول لدی أهل السنّة فی بدایة الأمر أوسع من علم الاُصول لدی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هذه المقولة محل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لکننا إذا تحرکنا علی مستوی المقارنة الحالیة بین هذین العلمین لرأینا أنّ علم اصولنا أوسع کثیراً و أعمق من اصول أهل السنّة، و علی سبیل المثال التحقیق</w:t>
      </w:r>
    </w:p>
    <w:p>
      <w:pPr>
        <w:pStyle w:val="BookText"/>
        <w:rPr/>
      </w:pPr>
      <w:r>
        <w:rPr>
          <w:rFonts w:ascii="IRNazanin" w:hAnsi="IRNazanin" w:eastAsia="IRNazanin"/>
          <w:color w:val="111111"/>
          <w:sz w:val="28"/>
          <w:sz w:val="28"/>
          <w:szCs w:val="28"/>
          <w:rtl w:val="true"/>
          <w:lang w:bidi="fa-IR"/>
        </w:rPr>
        <w:t xml:space="preserve">الوارد فی باب الترتب حیث تمتد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نظریة الترتب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زمن المحقّق الثانی الذی ذکرها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الدَّین، و لکننا لا نری أثراً لهذه المسألة فی کتب اصول الفقه لأهل السنّة و هکذا فی غیرها من المدارس الفقهیة، و لکن المحقّق النائینی أورد خمس مقدمات لتحکیم نظریة الترتب و إثبات أنّ الخطاب الترتبی و مسألة الترتب هی من ضروریات الفقه رغم وجود بعض المخالفین لنظریة الترتب، و قد لعب المیرزا الشیرازی دوراً مهماً فی تعمیق بحث الترتب أیضاً، و أما الآخوند الخراسانی فقد خالف فی الکفایة نظریة الترتب خلافاً للعلاّمة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الشیخ کاشف الغطاء الذی یقول إننا لو لم یکن لدینا بحث الترتب فإن الکثیر من عبادات الناس تقع باطلة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یبدأ بحث الترتب من مسألة الدین الذی حان أجله فی أثناء صلاة المدین، فهناک خطاب للمکلّف بوجوب أداء الدین الذی فی ذمّته، فلو أراد أن یصلی فقد عصی ذلک الخطاب، فلو قلنا بأن صلاته صحیحة فی حین عصیانه لخطاب أداء الدین فهذا یعنی أنّ المسألة دخلت فی دائرة الترتب و الخطاب الترتبی، أی لا بدّ من القول أنّ خطاب وجوب الصلاة قد ترتب علی عصیان الأمر الأوّل بوجوب أداء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 ما تتبعت موارد هذه المسألة التفت إلی عدم وجود أی أثر للخطاب الترتبی و بحث الترتب فی اصول أهل السنّة</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بالنسبة إلی التحقیقات التی نجدها لدی علمائنا فی بحث الواجب المعلّق و المشروط و الذی هو من ابتکارات صاحب الاُصول، حیث نری فی بحث مقدّمة الواجب و الذی یعتبر أحیاناً من البحوث القلیلة الأهمیة فی علم الاُصول، و هو خطأ جسیم فی نظری فقد یکون بحث مقدّمة الواجب قلیل الأهمیة و قلیل النتائج و الثمرات و لکن تفاصیل هذا البحث الموجودة فی تقسیمات مقدّمة الواجب لها دور کبیر فی اثراء الفقه و یترتب علیها ثمرات کثیرة و مهمة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ابحاث الواجب</w:t>
      </w:r>
    </w:p>
    <w:p>
      <w:pPr>
        <w:pStyle w:val="BookText"/>
        <w:rPr/>
      </w:pPr>
      <w:r>
        <w:rPr>
          <w:rFonts w:ascii="IRNazanin" w:hAnsi="IRNazanin" w:eastAsia="IRNazanin"/>
          <w:color w:val="111111"/>
          <w:sz w:val="28"/>
          <w:sz w:val="28"/>
          <w:szCs w:val="28"/>
          <w:rtl w:val="true"/>
          <w:lang w:bidi="fa-IR"/>
        </w:rPr>
        <w:t>المعلّق، الواجب المشروط، المقدّمات المفوّتة فی الفقه و غیر ذلک، حیث لا نری شیئاً منها فی اصول أهل السنّة، و هکذا نجد أنّ فقهائنا و ببرکة علوم أهل البیت و روایاتهم تمکنوا من التغلب علی عقبات اصولیة کبیرة و نجحوا فی التأسیس و التأصیل بقواعد هذا العلم بالاستفادة من الأحکام الشرعیة الواردة فی الروایات، أی أنّهم وجدوا عند صدور حکمین شرعیین من المعصوم أنّه لا سبیل إلی الجمع بینهما إلاّ من خلال الترتب، و فی هذه المسألة هناک أمثلة کثیرة فی الفقه، و من هذا القبیل بحث الاستصحاب الذی یبتنی أساساً علی الروایات، و بحث البراءة و الاحتیاط، و غیر ذلک ممّا یستوحیه الفقهاء من کلمات أهل البیت علیهم السلام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الدراسات و الأبحاث الاُصولیة تؤدّی إلی اثراء الفقه، فکلُّ فقه یعتمد علی مبانی اصولیة أقوی و قواعد فقهیة أقوی فإنه یکون فقهاً أقوی، و هنا نری أنّ الکثیر من هذه المسائل ینحصر وجودها فی فقه أهل البیت، فالکثیر من النظریات الاُصولیة الذی أوردها الأعاظم کالشیخ الأنصاری مقتبسة من الفقه، و بعد أن بحثت مستقلاً وجدت طریقها إلی علم الاُصول، و رغم وجود التوسع الکبیر فی علم الاُصول إلاّ أننا نعیش خلأ کبیراً فی مفاصل هذا العلم أیضاً، و علی سبیل المثال 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أنّ منشأ اعتبار القدرة هو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یذهب النائینی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أنّ منشأ و دلیل اعتبار القدرة هو حکم العقل حیث ذهب إلی ذلک بعض الأعاظم؟ فیجب أن نبحث بصورة وافیة فی بعض مسائل هذا العلم من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أنّ القدرة شرط فی الأحکام التکلیفیة أو فی الأحکام الوضعیة؟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نری أن الاُصولیین لم یبحثوا بصورة مستقلة مسألة نظریة الحکم و التی هی من الأهمیة بمکان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بعض مناطق الفراغ الموجود فی علم الاُصول و کلما بحثنا أکثر فی هذه الجوانب فإنّ علم الاُصول یزداد ثراءً و قوّة و بالتالی فإنّ علم الفقه یزداد بتبعه قوّة و حرکة و تکاملاً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الخصوصیة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اتصال فقهنا بزمان النبی الأکرم صلی الله علیه و آله من طریق أهل البیت علیهم السلام و هذا من افتخارات الفقه الشیعی، فقد ورد عن أهل البیت أنّه کلما ورد عنا فنحن نرویه عن النبی الأکرم، خصوصاً مع الالتفات إلی الجامعة و الصحیفة التی عندهم و فیها کلّ حلال و حرام و کلّ شیء یحتاج الناس إلیه حتّی الأرش فی الخدش</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حین أنّ فقه أهل السنّة لیس کذلک حیث توجد فاصلة کبیرة بین النبی الأکرم و الأئمّة الأربعة مضافاً إلی ما وقع من منع تدوین الأحادیث فی برهة من الزمان، و أما فقهنا فهو متصل بزمان النبی، فما یذکره بعض المثقفین لغرض هدم الفقه و تضعیفه من أنّ الفقهاء إنّما یذکرون رأیهم و اجتهادهم فی بیان الأحکام، فهو اشتباه کبیر، فإن فقهنا مقتبس من الوحی و متصل بزمان نزول القرآن و أحکامه قد استقاها أئمّتنا من الوحی، فنحن نعتقد بأن الأئمّة علیهم السلام لم یرتکبوا أی خطأ أو اشتباه فی تلقیهم هذه الأحکام من النبی الأکرم صلی الله علیه و آله و منهم انتقلت الأحکام إلی الفقهاء، أی أنّ الحکم الذی یذکره الفقیه طبقاً للروایة فإنّ هذا الحکم قد تلقاه الإمام المعصوم من النبی الأکرم صلی الله علیه و آله، و لکن فی بعض الموارد یقع التعارض بین روایتین فیحتاج الفقیه إلی عملیة الاستنباط الشخصی فی اختیار الفتوی، فیستنبط الحکم الشرعی طبقاً للمعاییر و الضوابط التی ذکرها لنا أهل البیت علیهم السلام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حوزتنا العلمیة، بحمد اللّه، تحرکت منذ البدایة فی خطّ التحقیق الفقهی و الذی یتجسد الیوم فی الکم الکبیر من کتب المتقدمین و المتأخرین، و بعد الثورة الإسلامیة نری اهتماماً خاصاً بمسألة التحقیق العلمی فی جمیع الأبعاد و الفروع العلمیة فی حوزة قم المقدسة، و من جملة الفروع العلمیة التی کانت مورد اهتمام و رعایة المراجع العظام هو علم الفقه و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أننا نری أنّ الفقه الشیعی</w:t>
      </w:r>
    </w:p>
    <w:p>
      <w:pPr>
        <w:pStyle w:val="BookText"/>
        <w:rPr/>
      </w:pPr>
      <w:r>
        <w:rPr>
          <w:rFonts w:ascii="IRNazanin" w:hAnsi="IRNazanin" w:eastAsia="IRNazanin"/>
          <w:color w:val="111111"/>
          <w:sz w:val="28"/>
          <w:sz w:val="28"/>
          <w:szCs w:val="28"/>
          <w:rtl w:val="true"/>
          <w:lang w:bidi="fa-IR"/>
        </w:rPr>
        <w:t>هو فقه جامع و شامل، أی إنّ لازم کون الدین الإسلامی دیناً کاملاً أن یکون فقه هذا الدین فقهاً کاملاً أیضاً، و الفقه الکامل هو الفقه الذی یستطیع الاجابة علی جمیع المسائل و المتطلبات الفردیة و الاجتماعیة للإنسان المعاصر فی حرکة الحیاة، و مضافاً إلی ذلک أن یتمکن هذا الفقه من ایجاد الحلول للازمات المستجدة و فتح العقد التی تواجه الإنسان و المجتمع فی المراحل المختلفة من الحیاة</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أحد أبعاد الفقه الإسلامی و الذی لم یکن معروفاً فی السابق هو ما یتعلق بمسألة الحکومة، حیث دخل الفقه میدان السیاسة و النظام السیاسی فی العصر الحاضر، و قد واجهنا أسئلة کثیرة فی عملیة تجسیر الأحکام الفقهیة مع متطلبات الواقع السیاسی و الاجتماعی، فعند ما تحققت الجمهوریة الإسلامیة علی أرض الواقع توجهت أنظار الناس إلی الدین و الفقه لیسترفدوا منهما حاجاتهم الفکریة و المذهبیة و خاصة علی المستوی السیاسی و القانونی، فکان یتحتم علینا دراسة النصوص المتعلقة بمسألة الحکومة من جدید، و قد تحمل فقهاؤنا زحمات کثیرة علی طول التاریخ فی تحقیقاتهم المتنوعة و لکن بما أنّ الفقه فی تلک الأعصار کان یتناول المسائل الفردیة و یتحرک فی اطار الحاجات الشخصیة فإنّ من الطبیعی أن تبحث المسائل الفقهیة من هذه الزاویة، و علی سبیل المثال نری فی فقه المعاملات مسألة العقد الفضولی حیث بحث الفقهاء هذه المسألة و عملوا علی تصحیحها، و الآن و بعد تشکیل الحکومة الإسلامیة هل تستطیع الحکومة تصحیح المعاملات الفضولیة؟ و طبعاً لست الآن فی مقام الإجابة عن هذا السؤال و لکن یمکن لأحد أن یقول بأنّه بالإمکان استنباط صحّة البیع الفضولی من الروایات الشریفة، و هی موارد محدودة و لا یمکننا تعمیم هذه الموارد للمجتمع المعاصر بتعقیداته المختلفة و نجعله أصلاً من الاُصول المعاملاتیة، فلو أنّ شخصاً أخذ مال آخر و باعه أو تصرف به فی معاملة، فهذا من شأنه أن یثیر الکثیر من الاشکالات المختلفة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باب القضاء نری وجود خلأ و فراغ کبیر فی دائرة التحقیق الفقهی حیث یدرک المتخصصون فی مجال القضاء جیداً ضرورة التحقیق الوافر فی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الیوم یمکننا أن ندعی أنّ النظام الاقتصادی و ما یتعلق به من فروع متنوعة یختلف کثیراً عن الماضی، فالمعاملات التی کانت تجری فی السابق تتجلی الیوم بشکل آخر، و من هنا یجب العمل علی سد موارد الفراغ الفقهی فی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تأسیس الحکومة الإسلامیة قد لفت أنظار الفقهاء إلی الحاجة الشدیدة للتحقیق علی مستوی الفقه و الاُصول لرفع ما یعیشه النظام الإسلامی فی مجال التشریع و التقنین، حیث نشاهد و بحمد اللّه خطوات کبیرة فی هذا المجال، و رغم أنّ البعض من الفضلاء یدّعون أنّ مستوی التدقیق و التحقیق الفقهی و الاُصولی فی الزمان السابق کان أفضل من الحال الحاضر، و لکن من جهة اخری نری وجود علماء و فضلاء یمتلکون القدرة الجیدة فی مجال التحقیق و یتحرکون بجدیة من موقع الإجابة علی التحدیات الصعبة التی یفرضها الواقع الجدید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هذا الأساس فإنّ النظام السیاسی و ایجاد الحکومة قد فتح بنفسه باباً للتحقیق فی مسائل جدیدة، و البعد الآخر لموارد التحقیق فی الحوزة العلمیة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المستحدثة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تتجلّی فیها حیاة فقهنا الإسلامی و فی ظلّ الجواب عنها، و فی السابق کانت هذه المسائل قلیلة جدّاً و کلما تتطور العلم و التکنولوجیا فإن المسائل المستحدثة الفقهیة تنمو و تتکامل أیضاً</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بالنسبة إلی المسائل المستحدثة توجد هناک بشکل عام نظریّة و هی أنّ المسائل المستحدثة عبارة عن موضوعات جدیدة یجب إخضاعها إلی الضوابط و المعاییر الفقهیة الموجودة بالفعل، و لکن فی نظرنا أنّ هذا الأمر یمکنه فقط أن یحلّ بعض المسائل المستحدثة، و هناک بعض القواعد فی الفقه لم یتم الاستفادة منها بالشکل المطلوب لحدّ الآن و لم تتضح معطیات بعض القواعد الفقهیة علی</w:t>
      </w:r>
    </w:p>
    <w:p>
      <w:pPr>
        <w:pStyle w:val="BookText"/>
        <w:rPr/>
      </w:pPr>
      <w:r>
        <w:rPr>
          <w:rFonts w:ascii="IRNazanin" w:hAnsi="IRNazanin" w:eastAsia="IRNazanin"/>
          <w:color w:val="111111"/>
          <w:sz w:val="28"/>
          <w:sz w:val="28"/>
          <w:szCs w:val="28"/>
          <w:rtl w:val="true"/>
          <w:lang w:bidi="fa-IR"/>
        </w:rPr>
        <w:t>مستوی الاستنباط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نظری أنّه توجد فی مصادرنا الفقهیة بعض القواعد و الضوابط لم تکتشف لحدّ الآن، و لهذا نری من الضروری فی مواجهة المسائل المستحدثة الرجوع إلی الضوابط الأصلیة فی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أجد من اللازم بالنسبة إلی المسائل المستحدثة تأسیس فرع خاص بها کما هو الحال فی المرکز الفقهی للأئمّة الأطهار فی الحوزة العلمیة، حیث یدرس الطلاب أربع إلی خمس سنوات الدروس الفقهیة و الاُصولیة المتداولة ثمّ ینتقلون إلی دراسة المسائل المستحدثة بصورة معمقة و لمدّة سنتین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اعتقد أننا نحتاج فی هذه الدائرة إلی مبانی خاصة و اصول معینة، و بالطبع فإنّ هذه المسألة لا تختلف عن سائر المسائل الاُصولیة أو الفقهیة، و نشیر فی هذا المجال إلی بعضها بصورة اجمالیة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 الموارد التی لا بدّ من البحث فیها بعنوان مبادئ و اصول مقدماتیة فی المسائل المستحدثة هو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 العقلائیة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السیرة العقلائیة من جملة الاُمور التی أهتم بها علماؤنا و خاصة فی عصر الشیخ الأنصاری و ما بعده، حیث کانت هذه المسألة مذکورة فی کتب القدماء قبل الشیخ الأنصاری بصورة اجمالیة و نادرة، و من هنا نری أنّ الشیخ الأنصاری تحرک فی إثبات الکثیر من الخیارات بالسیرة العقلائیة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بدورنا نتمکن من تصحیح الکثیر من المعاملات بهذه السیرة العقلائیة، بل إنّ أکثر الأحکام الموجودة فی باب المعاملات یمکن تصحیحها بالسیرة العقلائیة</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بحث السیرة العقلائیة هناک خلاف فی أنّ هذه السیرة هل تکون معتبرة فقط فی صورة اتصالها بزمن الأئمّة المعصومین علیهم السلام و عدم ردعهم عنها کما یقول بذلک أغلب الفقهاء المتأخرین، أو کما یری البعض أنّ السیرة العقلائیة معتبرة حتّی لو کانت حادثة و جدیدة؟</w:t>
      </w:r>
    </w:p>
    <w:p>
      <w:pPr>
        <w:pStyle w:val="BookText"/>
        <w:rPr/>
      </w:pPr>
      <w:r>
        <w:rPr>
          <w:rFonts w:ascii="IRNazanin" w:hAnsi="IRNazanin" w:eastAsia="IRNazanin"/>
          <w:color w:val="111111"/>
          <w:sz w:val="28"/>
          <w:sz w:val="28"/>
          <w:szCs w:val="28"/>
          <w:rtl w:val="true"/>
          <w:lang w:bidi="fa-IR"/>
        </w:rPr>
        <w:t xml:space="preserve">إنّ مبنی الإمام الراحل قدس سره و کذلک سماحة الوالد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ظلّه العالی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الثانی، أی أنّ السیرة العقلائیة الحادثة حجّة أیضاً، لأن الدین الإسلامی هو الدین الخاتم، و الشارع المقدس یعلم بحدوث موارد اخری فی السیرة العقلائیة فی المستقبل، و علیه فإن السیرة العقلائیة الحادثة بعد زمان النصّ إذا لم تکن مورد نظر الشارع فی ذلک الزمان فلا بدّ أن یبین هذا الردع و المنع من هذه السیرة، و علی سبیل المثال مسألة الضمان العرفی الرائج الموجود و هو غیر عقد الضمان الذی هو من العقود الشرعیة، فلو فرضنا أننا لم نتمکن من حلّ هذه المسألة ضمن دائرة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أَوْفُوا بِالْعُقُودِ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فبالإمکان حلّها بالاستناد إلی سیرة العقلاء، حیث نری أنّ بناء العقلاء بما هم عقلاء علی اعتبار مسألة الضمان العرفی و أنّ مثل هذه العقود معتبرة عندهم، و الآن نواجه عقداً من نوع جدید لا یدخل تحت عنوان البیع و لا الاجارة و لا أی عنوان آخر من عناوین المعاملات المذکورة فی الفقه، و هذا العقد الذی قد یکون بین شرکتین أو دولتین أو شخصین یمکن تصحیحه من خلال الرجوع إلی السیرة العقلائیة</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أننا استطعنا اثبات الحجیّة للسیرة العقلائیة الحادثة فإنّ الکثیر من المسائل المستحدثة تکون قابلة للحلّ، و لکن إذا قلنا بلزوم اتصال السیرة العقلائیة بزمان المعصوم فإنّ ذلک یعنی تکبیل ید الفقیه عن ممارسة دوره الاجتهادی فی حلّ هذه المسألة، و طبعاً ینبغی الالتفات إلی أنّ جمیع الفقهاء یرون أن السیرة العقلائیة التی کانت فی زمان المعصوم و کان لها مصادیق خاصة و لکن تغیرت هذه المصادیق فی الحال الحاضر مع وجود أصل السیرة فإنه یمکننا العمل بها علی هذا الأساس، مثلاً هناک سیرة عقلائیة کانت موجودة فی زمن المعصوم و هی اعتبار الملکیة فی عملیة الحیازة و أنّ الحیازة تعدّ أحد أسباب الملکیة کما لو ذهب شخص إلی أرض و عمل علی تحجیرها أو احیائها أو أنّه احتطب من الغابة و جاء به إلی البیت فإنه</w:t>
      </w:r>
    </w:p>
    <w:p>
      <w:pPr>
        <w:pStyle w:val="BookText"/>
        <w:rPr/>
      </w:pPr>
      <w:r>
        <w:rPr>
          <w:rFonts w:ascii="IRNazanin" w:hAnsi="IRNazanin" w:eastAsia="IRNazanin"/>
          <w:color w:val="111111"/>
          <w:sz w:val="28"/>
          <w:sz w:val="28"/>
          <w:szCs w:val="28"/>
          <w:rtl w:val="true"/>
          <w:lang w:bidi="fa-IR"/>
        </w:rPr>
        <w:t>یکون مالکاً له، و لکن فی الحال الحاضر تغیرت أسباب الحیازة و استخدم الإنسان الأدوات الجدیدة و التکنولوجیا المتطورة بحیث یکون بإمکانه التحجیر علی مئات الهکتارات بوقت 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یقول الفقهاء أنّ السیرة العقلائیة المتصلة بزمان المعصوم حجّة و لا خلاف فی ذلک، و لو کانت لهذه السیرة مصادیق خاصّة فی زمان المعصوم و لکن عشرة مصادیق جدیدة ظهرت لهذه السیرة فمع ذلک یقال بأن الملاک لحجیّة هذه السیرة، و هو تأیید و امضاء المعصوم لها، موجود الآن أیضاً رغم تبدل المصادیق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هذا الأساس فإنّ أحد الاُمور التی لا بدّ من البحث فیها بعنوان مقدمات للمسائل المستحدثة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 العقلائیة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تستدعی بحوثاً و دراسات أعمق من قبل فضلاء الحوزة العلمیة، فلو استطعنا اثبات نظریة الإمام الراحل من وجهة نظر علمیة فإن ذلک بإمکانه أن یفتح الطریق لحلّ الکثیر من المسائل المستحدثة</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الاُمور المهمة فی باب المسائل المستحدثة أیضاً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أنّ القضایا الواردة فی الشریعة المقدسة هی قضایا حقیقیة أو خارجیة؟ مثلاً إذا قامت السیرة العقلائیة علی أنّ الإنسان القاتل لا یعدم و لا یقتص منه، و لکننا نری أنّ الشریعة المقدسة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لَکُمْ فِی الْقِصاصِ حَیاةٌ یا أُولِی الْأَلْبابِ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أنّ الفقیه کان متضلعاً فی الفقه واقعاً و یعلم أنّ هذه القضیة هی قضیة حقیقیة لا قضیة خارجیة فیطرح هذه القضیة الحقیقیة من زاویة السیرة العقلائیة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السیرة هنا لا تنفع شیئاً و أنّ هذه السیرة وقعت مورد ردع الشارع، و لکن لو قلنا بأن هذه القضیة هی قضیة خارجیة و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لَکُمْ فِی الْقِصاصِ حَیاةٌ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ناظرة إلی المصادیق الخارجیة فی ذلک الزمان، و قلنا إنها هذه القضیة کانت ناظرة إلی ثقافة القبائل العربیة التی کانت قائمة علی قتل عشرة أشخاص فی مقابل شخص واحد و جاء الإسلام و طرح</w:t>
      </w:r>
    </w:p>
    <w:p>
      <w:pPr>
        <w:pStyle w:val="BookText"/>
        <w:rPr/>
      </w:pPr>
      <w:r>
        <w:rPr>
          <w:rFonts w:ascii="IRNazanin" w:hAnsi="IRNazanin" w:eastAsia="IRNazanin"/>
          <w:color w:val="111111"/>
          <w:sz w:val="28"/>
          <w:sz w:val="28"/>
          <w:szCs w:val="28"/>
          <w:rtl w:val="true"/>
          <w:lang w:bidi="fa-IR"/>
        </w:rPr>
        <w:t xml:space="preserve">مبدأ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بالنفس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لیحدد من القتل العشوائی الذی کان سائداً فی ذلک الزمان، فإنّ هذا المعنی بإمکانه إسقاط الاستدلال بالآیة الشریفة لإثبات وجوب القصاص فی هذا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ابتکارات المحقّق النائینی هو أنّه تحرک لإثبات أنّ ما ورد فی الشریعة من قضایا إنّما هی قضایا حقیقیة، فلو کانت قضیة واحدة من هذه القضایا قضیة خارجیة فلا بدّ من وجود قرینة، و من خلال القرائن ندرک أنّ هذه القضیة هی قضیة 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المبانی التی یحتاج إلیها المحقّق فی المسائل المستحدثة هی التمییز بین الأحکام الضروریة و غیرها و بیان الفرق بینهما، و من هنا لا بدّ من القول إننا نواجه فراغاً فقهیاً فی دائرة التحقیق و الاجتهاد، و هذا الفراغ هو الذی ولّد و أفرز المسائل المستحدثة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بحث الأحکام الضروریة نری أنّها بحثت فی موضعین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الاجتهاد و التقلید، و بحث الارتداد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ذکروا فی بحث الارتداد أنّ الشخص الذی ینکر الأحکام الضروریة فهو کافر و یجب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بحث الاجتهاد و التقلید فإنّ جمیع الفقهاء ذهبوا إلی أنّه لا اجتهاد و لا تقلید فی الضروریات و قد الحقوا بحث الارتداد و الاجتهاد و التقلید و الاجماعیات و الیقینیات بالضروریات، فعند ما یتعرض صاحب الجواهر لبحث الارتداد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أنکر الشخص حکماً إجماعیاً فلا یحکم بالکفر و لکنه مهدور الدم، أی لا یحقّ للشخص أن ینکر حکماً اجماعیاً قد اتفق القدماء و المتأخرین من الفقهاء علیه و یذکر أنّ أحد شرائط الاجتهاد هو أن یکون المجتهد عارفاً بموارد الاجماع لأنه لا یحقّ له مخالفة موارد الاجماع و الفتوی علی خلافه، فلو خالف و أنکر الحکم الاجماعی فإنه مهدور الدم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الملاحظة المهمة هنا هی أنّ معنی الاجماعیات و الیقینیات واضح، و لکن ما هو معنی الضروری؟ فلو نظرنا إلی کتاب الجواهر أو الکتب الفقهیة المختلفة لرأینا أنّ</w:t>
      </w:r>
    </w:p>
    <w:p>
      <w:pPr>
        <w:pStyle w:val="BookText"/>
        <w:rPr/>
      </w:pPr>
      <w:r>
        <w:rPr>
          <w:rFonts w:ascii="IRNazanin" w:hAnsi="IRNazanin" w:eastAsia="IRNazanin"/>
          <w:color w:val="111111"/>
          <w:sz w:val="28"/>
          <w:sz w:val="28"/>
          <w:szCs w:val="28"/>
          <w:rtl w:val="true"/>
          <w:lang w:bidi="fa-IR"/>
        </w:rPr>
        <w:t>الفقهاء لم یذکروا معیاراً واضحاً للحکم الضروری لعدم وجود مثل هذا المعیار الواضح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نری اختلافاً کبیراً فی مسألة انکار الضروری، حیث ذهب البعض إلی أنّ منکر الضروری مرتد سواءً کان عالماً بأن هذا الحکم ضروری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البعض الآخر إلی أنّه لو انکر الضروری و کان یعلم أنّه ضروری فهو مرتد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یدلُّ علی أنّه هل أنّ الضروری وصف للحکم نفسه، کما فی باب تقسیم الحکم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تکلیفی و حکم وضعی، و حکم مولوی و حکم ارشادی، و علیه فالحکم ینقسم کذلک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و غیر 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الموضوع لم ینقح فی کلمات الفقهاء و لا بدّ من العمل علی تحقیق هذا المطلب، و طبعاً المعنی واضح فی الجملة حیث یمثل له العلماء بوجوب الصلاة و الصوم و الحجّ و أمثال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لکننا یمکننا أن نری أمثلة کثیرة فی الفقه تدخل فی باب الضروری، و أیضاً لا بدّ من التمییز بین الضروری فی الدین و الضروری فی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الحکم الذی یترتب علی موضوع الارتداد هو أنّ کلَّ شخص أنکر ضروری الدین فهو مهدور الدم، و الآن إذا أنکر الشخص ضروری الفقه فلا یعلم أنّ حکمه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الملاحظة هنا هی أننا نری اختلافاً فی عبارات الفقهاء، فأحیاناً یقال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اخری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 أن یکون ضروریاً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 بالضروری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جملة مناطق الفراغ فی التحقیقات الفقهیة هی هذه المسألة، و هی عدم بیان ضابطة و معیار لهذا الموضوع، و هناک موارد کثیرة اخری فی هذا المجال</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هنا ذکرنا بعض الممیزات للفقه الإمامی علی سبیل الإجمال و الإشارة و أشرنا أیضاً إلی بعض المبانی العلمیة للمسائل المستحدثة کما أشرنا إلی بعض مناطق الفراغ فی دائرة التحقیق و من جملتها عدم التحقیق الجامع حول موضوع واحد تعرض له الفقهاء فی المباحث المتفرقة و لکن حین نجمعها و نقارن بعضها ببعض ربما نصل إلی نتائج متعددة کما ربّما نحصل أیضاً علی الجذور الأصلیة</w:t>
      </w:r>
    </w:p>
    <w:p>
      <w:pPr>
        <w:pStyle w:val="BookText"/>
        <w:rPr/>
      </w:pPr>
      <w:r>
        <w:rPr>
          <w:rFonts w:ascii="IRNazanin" w:hAnsi="IRNazanin" w:eastAsia="IRNazanin"/>
          <w:color w:val="111111"/>
          <w:sz w:val="28"/>
          <w:sz w:val="28"/>
          <w:szCs w:val="28"/>
          <w:rtl w:val="true"/>
          <w:lang w:bidi="fa-IR"/>
        </w:rPr>
        <w:t xml:space="preserve">و الملاکات الأساسیة و أیضاً القواعد المختصة بهذا الموضوع و هذا الکتاب الذی بین أیدیک أعنی موسوعة أحکام الأطفال و أدلتها قد ألّفه جمع من الفضلاء فی اللجنة الفقهیة فی مرکز فقه الأئمة الأطهار علیهم السلام الذی أسّسه المرجع الدینی الفقیه الاُصولی آیة اللّه العظمی الشیخ محمد فاضل اللنکرانی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ظلّه العالی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موسوعة علمیة تفصیلیة تتضمّن جمیع ما یرتبط بالأطفال من الجهة الفقهیة و قد قورن فیه بین مذهب الإمامیة و سائر المذاهب الإسلامیة، و أنا أشکر هذا الجهد العظیم منهم و نخص بالذکر حجة الإسلام و المسلمین الشیخ قدرة اللّه الأنصاری الذی کان جهدُه أکثر من الآخرین فی هذا الکتاب و نسأل اللّه تبارک و تعالی أن یقبل منّا و یوفقنا لنشر الأحکام و لبیان حقائق الفقه الموجودة فی المنابع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 أیها القارئ الکریم انظر إلی سعة توجّه الدین الحنیف إلی امور لم تصل عقول البشر إلیها و لم یقدر الإنسان حتّی علی تصور بعض مراتبها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فاهتم الشارع المقدّس الیها و یفهم الإنسان أنه لیس مقصود الشریعة مجرد التشریع و التقنین و تنظیم الحیاة البشریة کما هو غایة جمیع القوانین الموضوعة بأیدیهم بل الغایة القصوی من هذه القوانین ایصال الإنسان من بدو الأمر الی الحقیقة الحقّة و التقرّب الیه تبارک و تعالی الذی لیس فوقه شیء و هذا هو الفارق الأصلی بین القوانین الإلهیة و سائر الموازین البشریة فتدبر فی هذا الموضوع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الختام نتوسّل إلی صاحبنا و ولیّنا حجة اللّه الکبری امام العصر و الزمان روحی و أرواح العالمین لتراب مقدمه الفداء و نرجو ان یرضی منّا و یتقبل من جنوده ما لیس بقابل ان یقدّم إلیه اللهم اجعلنا من أعوانه و أنصاره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فقه الأئمّة الأطهار علیهم السلام</w:t>
      </w:r>
    </w:p>
    <w:p>
      <w:pPr>
        <w:pStyle w:val="BookText"/>
        <w:rPr/>
      </w:pPr>
      <w:r>
        <w:rPr>
          <w:rFonts w:ascii="IRNazanin" w:hAnsi="IRNazanin" w:eastAsia="IRNazanin"/>
          <w:color w:val="111111"/>
          <w:sz w:val="28"/>
          <w:sz w:val="28"/>
          <w:szCs w:val="28"/>
          <w:rtl w:val="true"/>
          <w:lang w:bidi="fa-IR"/>
        </w:rPr>
        <w:t>محمد جواد الفاضل اللنکرانی</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المرجب </w:t>
      </w:r>
      <w:r>
        <w:rPr>
          <w:rFonts w:eastAsia="IRNazanin" w:cs="IRNazanin"/>
          <w:color w:val="111111"/>
          <w:sz w:val="28"/>
          <w:szCs w:val="28"/>
          <w:rtl w:val="true"/>
          <w:lang w:bidi="fa-IR"/>
        </w:rPr>
        <w:t xml:space="preserve">- </w:t>
      </w:r>
      <w:r>
        <w:rPr>
          <w:rFonts w:eastAsia="IRNazanin" w:cs="IRNazanin"/>
          <w:color w:val="111111"/>
          <w:sz w:val="28"/>
          <w:szCs w:val="28"/>
          <w:lang w:bidi="fa-IR"/>
        </w:rPr>
        <w:t>1425</w:t>
      </w:r>
      <w:bookmarkStart w:id="14" w:name="pg11752_146037"/>
    </w:p>
    <w:p>
      <w:pPr>
        <w:pStyle w:val="Heading3"/>
        <w:numPr>
          <w:ilvl w:val="2"/>
          <w:numId w:val="1"/>
        </w:numPr>
        <w:rPr/>
      </w:pPr>
      <w:bookmarkStart w:id="15" w:name="__RefHeading___Toc9423784_73709187"/>
      <w:bookmarkStart w:id="16" w:name="_Toc6"/>
      <w:bookmarkEnd w:id="14"/>
      <w:bookmarkEnd w:id="15"/>
      <w:r>
        <w:rPr>
          <w:rtl w:val="true"/>
        </w:rPr>
        <w:t>مقدمة قدرة الله الأنصاری</w:t>
      </w:r>
      <w:bookmarkEnd w:id="16"/>
    </w:p>
    <w:p>
      <w:pPr>
        <w:pStyle w:val="Heading4"/>
        <w:numPr>
          <w:ilvl w:val="3"/>
          <w:numId w:val="1"/>
        </w:numPr>
        <w:rPr/>
      </w:pPr>
      <w:bookmarkStart w:id="17" w:name="__RefHeading___Toc9423786_73709187"/>
      <w:bookmarkStart w:id="18" w:name="_Toc7"/>
      <w:bookmarkEnd w:id="17"/>
      <w:r>
        <w:rPr>
          <w:rtl w:val="true"/>
        </w:rPr>
        <w:t>مدخل فی التعریف بعلم الفقه و بیان شأن الفقهاء</w:t>
      </w:r>
      <w:bookmarkEnd w:id="18"/>
    </w:p>
    <w:p>
      <w:pPr>
        <w:pStyle w:val="Heading5"/>
        <w:numPr>
          <w:ilvl w:val="4"/>
          <w:numId w:val="1"/>
        </w:numPr>
        <w:rPr/>
      </w:pPr>
      <w:bookmarkStart w:id="19" w:name="__RefHeading___Toc9423788_73709187"/>
      <w:bookmarkStart w:id="20" w:name="_Toc8"/>
      <w:bookmarkEnd w:id="19"/>
      <w:r>
        <w:rPr>
          <w:rtl w:val="true"/>
        </w:rPr>
        <w:t>اشارة</w:t>
      </w:r>
      <w:bookmarkEnd w:id="20"/>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سیِّدنا و نبیّنا محمّد المصطفی و علی آله الهداة المیامین و صحبه المنتجبین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کان من توفیق اللّه تعالی أن یسّر لنا أن نکون من خدّام دینه العزیز، و أن نقوم بکشف ما احتواه الفقه الإسلامی من ثروة تشریعیة هائلة، لا زالت محفوظة فی المطوّلات الفقهیة و المخطوطات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هذه المقدّمة نسلّط الضوء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التمهید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أهمّیة هذه الموسوعة و الغایة من تألیفها، بعد ذلک نبیِّن منهجنا فی البحث و التحقیق، لنختم بالشکر و الثناء لکلّ مَن ساهم فی إنجاز هذا الأثر النفیس</w:t>
      </w:r>
      <w:r>
        <w:rPr>
          <w:rFonts w:eastAsia="IRNazanin" w:cs="IRNazanin"/>
          <w:color w:val="111111"/>
          <w:sz w:val="28"/>
          <w:szCs w:val="28"/>
          <w:rtl w:val="true"/>
          <w:lang w:bidi="fa-IR"/>
        </w:rPr>
        <w:t>.</w:t>
      </w:r>
    </w:p>
    <w:p>
      <w:pPr>
        <w:pStyle w:val="Heading5"/>
        <w:numPr>
          <w:ilvl w:val="4"/>
          <w:numId w:val="1"/>
        </w:numPr>
        <w:rPr/>
      </w:pPr>
      <w:bookmarkStart w:id="21" w:name="__RefHeading___Toc9423790_73709187"/>
      <w:bookmarkStart w:id="22" w:name="_Toc9"/>
      <w:bookmarkEnd w:id="21"/>
      <w:r>
        <w:rPr>
          <w:rtl w:val="true"/>
        </w:rPr>
        <w:t xml:space="preserve">أ </w:t>
      </w:r>
      <w:r>
        <w:rPr>
          <w:rtl w:val="true"/>
        </w:rPr>
        <w:t xml:space="preserve">- </w:t>
      </w:r>
      <w:r>
        <w:rPr>
          <w:rtl w:val="true"/>
        </w:rPr>
        <w:t>تمهید</w:t>
      </w:r>
      <w:r>
        <w:rPr>
          <w:rtl w:val="true"/>
        </w:rPr>
        <w:t>:</w:t>
      </w:r>
      <w:bookmarkEnd w:id="22"/>
    </w:p>
    <w:p>
      <w:pPr>
        <w:pStyle w:val="BookText"/>
        <w:rPr/>
      </w:pPr>
      <w:r>
        <w:rPr>
          <w:rFonts w:ascii="IRNazanin" w:hAnsi="IRNazanin" w:eastAsia="IRNazanin"/>
          <w:color w:val="111111"/>
          <w:sz w:val="28"/>
          <w:sz w:val="28"/>
          <w:szCs w:val="28"/>
          <w:rtl w:val="true"/>
          <w:lang w:bidi="fa-IR"/>
        </w:rPr>
        <w:t>إنّ أهمّ ما ینبغی أن یشتغل به المسلم من العلوم هو علم الفقه، الذی به یُعرف الحلال من الحرام و الصحیح من الفاسد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تعدّ القوانین التشریعیّة التی صاغها الفقه الإسلامی من أرقی القوانین و أسماها، حیث أخذت علی عاتقها ضمان سعادة الإنسان و توفیر کافّة حقوقه و تبیین وظائف</w:t>
      </w:r>
    </w:p>
    <w:p>
      <w:pPr>
        <w:pStyle w:val="BookText"/>
        <w:rPr/>
      </w:pPr>
      <w:r>
        <w:rPr>
          <w:rFonts w:ascii="IRNazanin" w:hAnsi="IRNazanin" w:eastAsia="IRNazanin"/>
          <w:color w:val="111111"/>
          <w:sz w:val="28"/>
          <w:sz w:val="28"/>
          <w:szCs w:val="28"/>
          <w:rtl w:val="true"/>
          <w:lang w:bidi="fa-IR"/>
        </w:rPr>
        <w:t>الأفراد فی المجتمع، و حدّدت ما یجوز فعله و ما لا یجوز و ما هو مباح و ما هو مکروه، بل و الأحکام الوضعیة، التی أعطت لنظام الحیاة رونقاً خاصّاً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نجد الآیات الشریفة و الأحادیث المستفیضة التی حثّت علی هذا العلم و أشارت إلی قدسیّة و کرامة حاملیه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قال اللّه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لا نَفَرَ مِنْ کُلِّ فِرْقَةٍ مِنْهُمْ طائِفَةٌ لِیَتَفَقَّهُوا فِی الدِّینِ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العبادة الفقه</w:t>
      </w:r>
      <w:r>
        <w:rPr>
          <w:rFonts w:eastAsia="IRNazanin" w:cs="IRNazanin"/>
          <w:color w:val="111111"/>
          <w:sz w:val="28"/>
          <w:szCs w:val="28"/>
          <w:rtl w:val="true"/>
          <w:lang w:bidi="fa-IR"/>
        </w:rPr>
        <w:t>»</w:t>
      </w:r>
      <w:r>
        <w:rPr>
          <w:rStyle w:val="FootnoteAnchor"/>
          <w:rtl w:val="true"/>
        </w:rPr>
        <w:footnoteReference w:id="4"/>
      </w:r>
      <w:r>
        <w:rPr>
          <w:rFonts w:ascii="Amiri" w:hAnsi="Amiri" w:eastAsia="Amiri" w:cs="Amiri"/>
          <w:color w:val="111111"/>
          <w:sz w:val="28"/>
          <w:sz w:val="28"/>
          <w:szCs w:val="28"/>
          <w:rtl w:val="true"/>
          <w:lang w:bidi="ar-SA"/>
        </w:rPr>
        <w:t>و قال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أراد اللّه بعبدٍ خیراً فقّهه فی الدین</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ورد عن مولانا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تفقّهوا فی الدّین فإنّه من لم یتفقّه منکم فی الدین فهو أعرابی</w:t>
      </w:r>
      <w:r>
        <w:rPr>
          <w:rStyle w:val="FootnoteAnchor"/>
          <w:rtl w:val="true"/>
        </w:rPr>
        <w:footnoteReference w:id="6"/>
      </w:r>
      <w:r>
        <w:rPr>
          <w:rFonts w:ascii="Amiri" w:hAnsi="Amiri" w:eastAsia="Amiri" w:cs="Amiri"/>
          <w:color w:val="111111"/>
          <w:sz w:val="28"/>
          <w:sz w:val="28"/>
          <w:szCs w:val="28"/>
          <w:rtl w:val="true"/>
          <w:lang w:bidi="ar-SA"/>
        </w:rPr>
        <w:t>إنّ اللّه یقول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لِیَتَفَقَّهُوا فِی الدِّینِ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کذا قال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بالتفقّه فی دین اللّه و لا تکونوا أعراباً، فإنّه من لم یتفقّه فی دین اللّه لم ینظر اللّه إلیه یوم القیامة</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أبیه الباقر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الکمال کلّ الکمال التفقّه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معنی الفقه و التفقّه و إن کان عامّاً إلاّ أنّه یشمل المعنی الاصطلاحی الشائع الذی عرّف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العلم بالأحکام الشرعیة الفرعیة عن أدلّتها التفصیلیّة</w:t>
      </w:r>
      <w:r>
        <w:rPr>
          <w:rFonts w:eastAsia="IRNazanin" w:cs="IRNazanin"/>
          <w:color w:val="111111"/>
          <w:sz w:val="28"/>
          <w:szCs w:val="28"/>
          <w:rtl w:val="true"/>
          <w:lang w:bidi="fa-IR"/>
        </w:rPr>
        <w:t>»</w:t>
      </w:r>
      <w:r>
        <w:rPr>
          <w:rStyle w:val="FootnoteAnchor"/>
          <w:rtl w:val="true"/>
        </w:rPr>
        <w:footnoteReference w:id="9"/>
      </w:r>
      <w:r>
        <w:rPr>
          <w:rFonts w:ascii="Amiri" w:hAnsi="Amiri" w:eastAsia="Amiri" w:cs="Amiri"/>
          <w:color w:val="111111"/>
          <w:sz w:val="28"/>
          <w:sz w:val="28"/>
          <w:szCs w:val="28"/>
          <w:rtl w:val="true"/>
          <w:lang w:bidi="ar-SA"/>
        </w:rPr>
        <w:t>قطعاً</w:t>
      </w:r>
      <w:r>
        <w:rPr>
          <w:rFonts w:eastAsia="Amiri" w:cs="Amiri" w:ascii="Amiri" w:hAnsi="Amiri"/>
          <w:color w:val="111111"/>
          <w:sz w:val="28"/>
          <w:szCs w:val="28"/>
          <w:rtl w:val="true"/>
          <w:lang w:bidi="ar-SA"/>
        </w:rPr>
        <w:t>.</w:t>
      </w:r>
      <w:bookmarkStart w:id="23" w:name="pg11752_146039"/>
    </w:p>
    <w:p>
      <w:pPr>
        <w:pStyle w:val="BookText"/>
        <w:rPr/>
      </w:pPr>
      <w:bookmarkEnd w:id="23"/>
      <w:r>
        <w:rPr>
          <w:rFonts w:ascii="IRNazanin" w:hAnsi="IRNazanin" w:eastAsia="IRNazanin"/>
          <w:color w:val="111111"/>
          <w:sz w:val="28"/>
          <w:sz w:val="28"/>
          <w:szCs w:val="28"/>
          <w:rtl w:val="true"/>
          <w:lang w:bidi="fa-IR"/>
        </w:rPr>
        <w:t xml:space="preserve">فیصحّ أن یدّعی أنّ هذه الآیات و الروایات و 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کثیرة فی المصادر الحدیثیة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أهمّیة علم الفقه و جلالة شأنه و شأن حملته الذین هم بمنزلة حصون الإسلام</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لأجل مکانة علم الفقه کان دأب العلماء من جمیع الطوائف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خاصّةً علماء الشیعة الأبرار و فقهاء الطائفة الناجیة الأخیار رضوان اللّه تعالی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العطاء الوافر فی مختلف حقول هذا العلم، بحیث یقصر البیان و یکلّ اللسان عن وصف الجهود و المتاعب التی تحمّلها أولئک الأفذاذ فی تنقیح المطالب و بلورة الأفکار و استخلاص الجواهر و الدُرر من خطابات الشرع المقدّس کتاباً و سنّةً</w:t>
      </w:r>
      <w:r>
        <w:rPr>
          <w:rFonts w:eastAsia="IRNazanin" w:cs="IRNazanin"/>
          <w:color w:val="111111"/>
          <w:sz w:val="28"/>
          <w:szCs w:val="28"/>
          <w:rtl w:val="true"/>
          <w:lang w:bidi="fa-IR"/>
        </w:rPr>
        <w:t>.</w:t>
      </w:r>
    </w:p>
    <w:p>
      <w:pPr>
        <w:pStyle w:val="Heading5"/>
        <w:numPr>
          <w:ilvl w:val="4"/>
          <w:numId w:val="1"/>
        </w:numPr>
        <w:rPr/>
      </w:pPr>
      <w:bookmarkStart w:id="24" w:name="__RefHeading___Toc9423792_73709187"/>
      <w:bookmarkStart w:id="25" w:name="_Toc10"/>
      <w:bookmarkEnd w:id="24"/>
      <w:r>
        <w:rPr>
          <w:rtl w:val="true"/>
        </w:rPr>
        <w:t>(</w:t>
      </w:r>
      <w:r>
        <w:rPr>
          <w:rtl w:val="true"/>
        </w:rPr>
        <w:t>ب</w:t>
      </w:r>
      <w:r>
        <w:rPr>
          <w:rtl w:val="true"/>
        </w:rPr>
        <w:t xml:space="preserve">) </w:t>
      </w:r>
      <w:r>
        <w:rPr>
          <w:rtl w:val="true"/>
        </w:rPr>
        <w:t>الحاجة إلی تألیف موسوعة أحکام الأطفال</w:t>
      </w:r>
      <w:bookmarkEnd w:id="25"/>
    </w:p>
    <w:p>
      <w:pPr>
        <w:pStyle w:val="BookText"/>
        <w:rPr/>
      </w:pPr>
      <w:r>
        <w:rPr>
          <w:rFonts w:ascii="IRNazanin" w:hAnsi="IRNazanin" w:eastAsia="IRNazanin"/>
          <w:color w:val="111111"/>
          <w:sz w:val="28"/>
          <w:sz w:val="28"/>
          <w:szCs w:val="28"/>
          <w:rtl w:val="true"/>
          <w:lang w:bidi="fa-IR"/>
        </w:rPr>
        <w:t>الإنصاف أنّه قد صنّف الفقهاء و خاصّةً فقهاء الشیعة علی مدی الأعصار کتباً جلیلة و رسائل نفیسة لا یمکن إحصاؤها، تحتوی علی المسائل الفقهیة فی کلّ ما یحتاج إلیه المسلمون من الطهارة إلی الدیات، و لذا جاز لنا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التراث الفقهی عند الشیعة الإمامیّة یشکِّل ثروةً عظیمة من ثروات التشریع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مع ذلک کلّه لم یکن ما حقّق کافیاً؛ لأنّ الفقه حقیقةً برنامج متکامل لکلّ الأفعال من بدء خلق الإنسان إلی آخر حیاته، بل إنّ حیاة الإنسان فی العوالم الاُخری مثل البرزخ و القیامة أیضاً تتوقّف علی فهم الفقه و العمل به علی ما کان؛ لأنّ الفقه هو المنظِّم لاُمور المعاش، و یبیّن للإنسان أهمّیة الارتباط باللّه الربّ القدیر، و به یتمّ کمال نوع الإنسان فی الدّنیا و سعادته فی الآخرة</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قد نجد بعض المواضیع الفقهیة لم تُبحث بشکل مستوعب جیّد، أو بُحثت و لکن فی أبواب مختلفة من الفقه الإسلامی، بحیث یعسر علی الباحث أن یصل إلی</w:t>
      </w:r>
    </w:p>
    <w:p>
      <w:pPr>
        <w:pStyle w:val="BookText"/>
        <w:rPr/>
      </w:pPr>
      <w:r>
        <w:rPr>
          <w:rFonts w:ascii="IRNazanin" w:hAnsi="IRNazanin" w:eastAsia="IRNazanin"/>
          <w:color w:val="111111"/>
          <w:sz w:val="28"/>
          <w:sz w:val="28"/>
          <w:szCs w:val="28"/>
          <w:rtl w:val="true"/>
          <w:lang w:bidi="fa-IR"/>
        </w:rPr>
        <w:t>مقصوده إلاّ بعد اللتیّا و الّتی و منها الأبحاث المتعلّقة بالأطفال و أحکامهم و ما یتعلّق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أهمّیة هذا البحث تأتی من ترکیز التشریع الإسلامی علی مسألة الأولاد و الحفاظ علیهم، حیث جعل وقایة الإنسان لأولاده بمنزلة وقایة نفسه،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قُوا أَنْفُسَکُمْ وَ أَهْلِیکُمْ ناراً وَقُودُهَا النّاسُ وَ الْحِجارَةُ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و أمر نبیّه صلی الله علیه و آله و سلم أن یأمر أهله بالصلاة فقال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أْمُرْ أَهْلَکَ بِالصَّلاةِ وَ اصْطَبِرْ عَلَیْها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فینبغی علینا تعلیم أولادنا و أهلینا أحکام الدین و آدابه، و لا یمکن العمل بهذه الوظیفة إلاّ إذا تحمّل الآباء و الأجداد مسئولیاتهم فی قبال أولادهم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کما رغّب و حثّ علی موعظة الأولاد و تذکیرهم بواجباتهم الشرعیة، حیث أشار القرآن الکریم إلی مواعظ لقمان الحکیم علیه السلام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لُقْمانُ لاِبْنِهِ وَ هُوَ یَعِظُهُ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الآیات</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بعض المفسِّرین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لَتُسْئَلُنَّ یَوْمَئِذٍ عَنِ النَّعِیمِ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إنّ الأولاد من النعیم الذی یُسأل عنه الوالدان</w:t>
      </w:r>
      <w:r>
        <w:rPr>
          <w:rStyle w:val="FootnoteAnchor"/>
          <w:rtl w:val="true"/>
        </w:rPr>
        <w:footnoteReference w:id="12"/>
      </w:r>
      <w:r>
        <w:rPr>
          <w:rFonts w:ascii="IRNazanin" w:hAnsi="IRNazanin" w:eastAsia="IRNazanin"/>
          <w:color w:val="111111"/>
          <w:sz w:val="28"/>
          <w:sz w:val="28"/>
          <w:szCs w:val="28"/>
          <w:rtl w:val="true"/>
          <w:lang w:bidi="fa-IR"/>
        </w:rPr>
        <w:t>، و هکذا فی الأخبار التی حثّت علی الاهتمام بشئون الأولاد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علیّ بن أبی طالب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الوالدین من العقوق لولدهما ما یلزم الولد بهما من عقوقیهما</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أکرموا أولادکم و أحسنوا آدابکم</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و أیضاً قال أمیر المؤمنین علیه السلام فی حدیث الأربعمائة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علّموا صبیانکم ما ینفعهم اللّه به لا تغلب علیهم المُرجئة برأیها</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سیِّد الساجدین مولانا علیّ بن الحسین علیه السلام فی رسالة الحقوق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حقّ ولدک فتعلم أنّه منک و مضاف إلیک فی عاجل الدُّنیا بخیره و شرّه، و أنّک مسئول عمّا ولّیته من حسن الأدب و الدلالة علی ربّه و المعونة له علی طاعته فیک و فی نفسه فمثاب علی ذلک و معاقب</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ناحیة اخری فإنّ التطوّرات الهائلة فی العلوم المختلفة فی هذا العصر تقتضی أن تکون أبحاث علم الفقه کسائر العلوم مبوّبةً و مفهرسة بشکل یسهل علی الباحث الوصول إلی مبتغاه، و هذا الأمر مفقود فی جُلّ الکتب الفقهیّة فی مناهج الفقهاء الأقدمین، فتجد تشتّت المواضیع فی المصنّفات الفقهیة و تداخل فروعها و مباحثها بعضها ببعض، مضافاً إلی فقدان التبویب و غموض العناوین و عدم جودة الطباعة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هذه الاُمور دعتنا إلی تألیف هذه الموسوعة الفقهیة مع مراعاة المنهج العلمی الحدیث فی التألیف، عسی أن یکون عملنا هذا خطوة علی طریق البحوث العلمیة التخصّصیة إن شاء اللّه تعالی</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ملخّص الکلام أنّا لمّا راجعنا محتویات المکتبات المختلفة و طالعنا کتب التراجم کالذریعة فی تصانیف الشیعة و غیرها، ظهر لنا أنّه لم یکن فی تصانیف الشیعة و لا أهل السنّة کتاباً جامعاً یحتوی علی کلّ المسائل الفقهیة التی ترتبط بالصغار و الأطفال من حین الحمل إلی حال البلوغ، علی نحو الاستدلال و بیان الدلیل الذی کان رائجاً فی الحوزات العلمیة و الذی یسمّی بالفقه الاستدلالی، بل أنّ الفقهاء رضوان اللّه تعالی علیهم بحثوا عن أحکام الصبیان بصورة متفرّقة و فی ذیل المباحث الفقهیة المختلفة</w:t>
      </w:r>
      <w:r>
        <w:rPr>
          <w:rFonts w:eastAsia="IRNazanin" w:cs="IRNazanin"/>
          <w:color w:val="111111"/>
          <w:sz w:val="28"/>
          <w:szCs w:val="28"/>
          <w:rtl w:val="true"/>
          <w:lang w:bidi="fa-IR"/>
        </w:rPr>
        <w:t>.</w:t>
      </w:r>
      <w:bookmarkStart w:id="26" w:name="pg11752_146042"/>
    </w:p>
    <w:p>
      <w:pPr>
        <w:pStyle w:val="BookText"/>
        <w:rPr/>
      </w:pPr>
      <w:bookmarkEnd w:id="26"/>
      <w:r>
        <w:rPr>
          <w:rFonts w:ascii="IRNazanin" w:hAnsi="IRNazanin" w:eastAsia="IRNazanin"/>
          <w:color w:val="111111"/>
          <w:sz w:val="28"/>
          <w:sz w:val="28"/>
          <w:szCs w:val="28"/>
          <w:rtl w:val="true"/>
          <w:lang w:bidi="fa-IR"/>
        </w:rPr>
        <w:t>نعم، قد ألّف بعض الفقهاء من أهل السنّة کتباً خاصّة و لکن اکتفوا فیها بذکر بعض المسائل فقط من دون الاستدلال علیها، کما ألّف بعض فقهاء الشیعة و أهل السنّة رسائل مختصّة فی بعض أحکام الصبیان و لم نجد أکثرها</w:t>
      </w:r>
      <w:r>
        <w:rPr>
          <w:rFonts w:eastAsia="IRNazanin" w:cs="IRNazanin"/>
          <w:color w:val="111111"/>
          <w:sz w:val="28"/>
          <w:szCs w:val="28"/>
          <w:rtl w:val="true"/>
          <w:lang w:bidi="fa-IR"/>
        </w:rPr>
        <w:t>.</w:t>
      </w:r>
    </w:p>
    <w:p>
      <w:pPr>
        <w:pStyle w:val="Heading5"/>
        <w:numPr>
          <w:ilvl w:val="4"/>
          <w:numId w:val="1"/>
        </w:numPr>
        <w:rPr/>
      </w:pPr>
      <w:bookmarkStart w:id="27" w:name="__RefHeading___Toc9423794_73709187"/>
      <w:bookmarkStart w:id="28" w:name="_Toc11"/>
      <w:bookmarkEnd w:id="27"/>
      <w:r>
        <w:rPr>
          <w:rtl w:val="true"/>
        </w:rPr>
        <w:t>(</w:t>
      </w:r>
      <w:r>
        <w:rPr>
          <w:rtl w:val="true"/>
        </w:rPr>
        <w:t>ج</w:t>
      </w:r>
      <w:r>
        <w:rPr>
          <w:rtl w:val="true"/>
        </w:rPr>
        <w:t xml:space="preserve">) </w:t>
      </w:r>
      <w:r>
        <w:rPr>
          <w:rtl w:val="true"/>
        </w:rPr>
        <w:t>الأهداف فی تألیف هذا الکتاب</w:t>
      </w:r>
      <w:bookmarkEnd w:id="28"/>
    </w:p>
    <w:p>
      <w:pPr>
        <w:pStyle w:val="BookText"/>
        <w:rPr/>
      </w:pPr>
      <w:r>
        <w:rPr>
          <w:rFonts w:ascii="IRNazanin" w:hAnsi="IRNazanin" w:eastAsia="IRNazanin"/>
          <w:color w:val="111111"/>
          <w:sz w:val="28"/>
          <w:sz w:val="28"/>
          <w:szCs w:val="28"/>
          <w:rtl w:val="true"/>
          <w:lang w:bidi="fa-IR"/>
        </w:rPr>
        <w:t>لقد عزمنا مع بعض الأفاضل المحقّقین من أصدقائی أن نؤلِّف کتاباً حول أحکام الأطفال علی نحوٍ 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من أهدافنا أوّلاً جمع آراء الفقهاء فی مواضیع أحکام الصبیان، بل توضیح آرائهم القیّمة، و ثانیاً تمهید و تسهیل العمل علی الفقهاء و المحقّقین فی المسائل الفقهیة و ابتکار طرقٍ حدیثة فی بیان المسائل 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الحقیقة ما فعلنا فی هذا الکتاب کان عملاً إعدادیّاً و مصدراً مناسباً للفقهاء و المحقّقین فی الاستنباط، حیث لم یکن لهم وقت کثیر حتّی یراجعوا عشرات المصادر الحدیثیّة و مئات الکتب الفقهیة التی ذکرت فیها آراء الفقهاء فی المسائل المختلفة التی ترتبط بأحکام الأطفال، فإنّ هذا الکتاب سیکون عوناً لهم من هذه الجهة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بتعبیر آخر جمعنا آراء الفقهاء فی مواضیع الکتاب حتّی یظهر للمتتبّع ما فعل السلف الصالح فی ذلک الموضوع، مع الإذعان بأنّهم جهدوا و بذلوا وسعهم فی استنباط المسائل الفقهیّة کلّیةً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لیستنبط الحکم الشرعی مع الالتفات إلی آراء الماضین؛ لأنّ کثیراً من أهل العلم و المحقّقین لیس لهم الاطّلاع الکامل علی آراء الفقهاء و ما صنّفوا من الکتب و الرسائل</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لأجل هذا یتّفق کثیراً أن یصدر رأی من فقیهٍ و لا یعلم بأنّه وردت علیه إشکالات من فقهاء السلف أو یعلم بعضها و یغفل عن بعض</w:t>
      </w:r>
      <w:r>
        <w:rPr>
          <w:rFonts w:eastAsia="IRNazanin" w:cs="IRNazanin"/>
          <w:color w:val="111111"/>
          <w:sz w:val="28"/>
          <w:szCs w:val="28"/>
          <w:rtl w:val="true"/>
          <w:lang w:bidi="fa-IR"/>
        </w:rPr>
        <w:t>.</w:t>
      </w:r>
      <w:bookmarkStart w:id="29" w:name="pg11752_146043"/>
    </w:p>
    <w:p>
      <w:pPr>
        <w:pStyle w:val="BookText"/>
        <w:rPr/>
      </w:pPr>
      <w:bookmarkEnd w:id="29"/>
      <w:r>
        <w:rPr>
          <w:rFonts w:ascii="IRNazanin" w:hAnsi="IRNazanin" w:eastAsia="IRNazanin"/>
          <w:color w:val="111111"/>
          <w:sz w:val="28"/>
          <w:sz w:val="28"/>
          <w:szCs w:val="28"/>
          <w:rtl w:val="true"/>
          <w:lang w:bidi="fa-IR"/>
        </w:rPr>
        <w:t>و بالجملة عدم الاطّلاع عمّا صدر من الماضین کان سبباً لعدم تنضیج الآراء، فیصحّ أن ندّعی أنّ من أهدافنا فی تألیف هذا الکتاب أن یستعین الفقهاء فی تنضیج آرائهم الفقهیة فی مواضیع أحکام الصغار من هذا الکتاب، هذا من 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جهة اخری فإنّ عملنا یُسهم فی ترویج علوم أهل البیت علیهم السلام و بیان روایاتهم فی أحکام الأطفال؛ لأنّه جمعنا أدلّة آراء الفقهاء أیضاً و أکثرها مستقاة من الأخبار الواردة عنهم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أخیراً أردنا تعریف المسلمین عموماً بأحکام الأطفال و کیفیّة تنشئتهم علی أساس الإسلام و ما ینبغی أن یعمل الأولیاء للمولّی علیهم وفقاً لتعالیم الإسلام</w:t>
      </w:r>
      <w:r>
        <w:rPr>
          <w:rFonts w:eastAsia="IRNazanin" w:cs="IRNazanin"/>
          <w:color w:val="111111"/>
          <w:sz w:val="28"/>
          <w:szCs w:val="28"/>
          <w:rtl w:val="true"/>
          <w:lang w:bidi="fa-IR"/>
        </w:rPr>
        <w:t>.</w:t>
      </w:r>
    </w:p>
    <w:p>
      <w:pPr>
        <w:pStyle w:val="Heading5"/>
        <w:numPr>
          <w:ilvl w:val="4"/>
          <w:numId w:val="1"/>
        </w:numPr>
        <w:rPr/>
      </w:pPr>
      <w:bookmarkStart w:id="30" w:name="__RefHeading___Toc9423796_73709187"/>
      <w:bookmarkStart w:id="31" w:name="_Toc12"/>
      <w:bookmarkEnd w:id="30"/>
      <w:r>
        <w:rPr>
          <w:rtl w:val="true"/>
        </w:rPr>
        <w:t>(</w:t>
      </w:r>
      <w:r>
        <w:rPr>
          <w:rtl w:val="true"/>
        </w:rPr>
        <w:t>د</w:t>
      </w:r>
      <w:r>
        <w:rPr>
          <w:rtl w:val="true"/>
        </w:rPr>
        <w:t xml:space="preserve">) </w:t>
      </w:r>
      <w:r>
        <w:rPr>
          <w:rtl w:val="true"/>
        </w:rPr>
        <w:t>منهج البحث و ضوابطه</w:t>
      </w:r>
      <w:bookmarkEnd w:id="31"/>
    </w:p>
    <w:p>
      <w:pPr>
        <w:pStyle w:val="BookText"/>
        <w:rPr/>
      </w:pPr>
      <w:r>
        <w:rPr>
          <w:rFonts w:ascii="IRNazanin" w:hAnsi="IRNazanin" w:eastAsia="IRNazanin"/>
          <w:color w:val="111111"/>
          <w:sz w:val="28"/>
          <w:sz w:val="28"/>
          <w:szCs w:val="28"/>
          <w:rtl w:val="true"/>
          <w:lang w:bidi="fa-IR"/>
        </w:rPr>
        <w:t>یتلخّص منهج البحث الذی التزمنا به فی تدوین هذا الکتاب بالضوابط التی نذکرها فیما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الکتاب قد أُلّف علی نحو الموسوعة الفقهیة فی أحکام الأولاد من قبل المیلاد إلی مرحلة الرشد و الکمال و أسمیناه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 الأطفال و أدلّتها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الولد من حین الولادة إلی أن یحتلم یسمّی طفلاً، کما فی لسان العرب</w:t>
      </w:r>
      <w:r>
        <w:rPr>
          <w:rStyle w:val="FootnoteAnchor"/>
          <w:rtl w:val="true"/>
        </w:rPr>
        <w:footnoteReference w:id="17"/>
      </w:r>
      <w:r>
        <w:rPr>
          <w:rFonts w:ascii="IRNazanin" w:hAnsi="IRNazanin" w:eastAsia="IRNazanin"/>
          <w:color w:val="111111"/>
          <w:sz w:val="28"/>
          <w:sz w:val="28"/>
          <w:szCs w:val="28"/>
          <w:rtl w:val="true"/>
          <w:lang w:bidi="fa-IR"/>
        </w:rPr>
        <w:t>و المعجم الوسیط‌</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و مجمع البحرین</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الفیومی فی المصباح المنیر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الطفل الولد الصغیر من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یکون بلفظ واحد للمذکّر و المؤنّث و الجمع، و یجوز المطابقة فی التثنیة و الجمع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طفلة و أطفال و طفلات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یبقی هذا الاسم للولد حتّی یمیّز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التهذیب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w:t>
      </w:r>
    </w:p>
    <w:p>
      <w:pPr>
        <w:pStyle w:val="BookText"/>
        <w:rPr/>
      </w:pPr>
      <w:r>
        <w:rPr>
          <w:rFonts w:ascii="IRNazanin" w:hAnsi="IRNazanin" w:eastAsia="IRNazanin"/>
          <w:color w:val="111111"/>
          <w:sz w:val="28"/>
          <w:sz w:val="28"/>
          <w:szCs w:val="28"/>
          <w:rtl w:val="true"/>
          <w:lang w:bidi="fa-IR"/>
        </w:rPr>
        <w:t>إلی أن یحتلم</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صرّح بهذا المعنی المفسِّرون أیضاً، قال الشیخ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نُخْرِجُکُمْ طِفْلاً ثُمَّ لِتَبْلُغُوا أَشُدَّکُمْ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الطفل الصغیر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الطفل إلی قبل مقاربة البلوغ</w:t>
      </w:r>
      <w:r>
        <w:rPr>
          <w:rFonts w:eastAsia="Amiri" w:cs="Amiri" w:ascii="Amiri" w:hAnsi="Amiri"/>
          <w:color w:val="111111"/>
          <w:sz w:val="28"/>
          <w:szCs w:val="28"/>
          <w:rtl w:val="true"/>
          <w:lang w:bidi="ar-SA"/>
        </w:rPr>
        <w:t>»</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القرطبی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الطفل یطلق من وقت انفصال الولد إلی البلوغ</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هنا انصبّ اهتمامنا علی جمع المسائل التی ترتبط بالأطفال بأیّ نحوٍ من الارتباط، و کذا أدلّتها سواء ارتبطت بهم من حیث تکالیف أنفسهم کالبحث عن عباداتهم أو تکالیف أولیائهم، بل شملت حتّی المسائل التی ترتبط بهم مع الوسائط، مثل شرائط اختیار المرأة لبناء جیل 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تعرّضنا أیضاً للآراء المشهورة لفقهاء الشیعة و أهل السنّة و استدلالاتهم و ضممنا إلیها آراءنا، و لحفظ الأمانة فی نقل الأقوال و حصول الاطمئنان للقارئ 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النصوص المنقولة من تلک الکتب بعینها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رتّبنا أبحاث الکتاب طبقاً للمراحل و التطوّرات المختلفة التی یمرّ بها الأطفال قبل ولادتهم إلی البلوغ، و هذه المراحل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مرحلة ما قبل الولادة، بحثنا فیها عن تزویج المرأة و الرجل و الاُمور الواجب علیهما رعایتها لنشأة الصبیّ و أحکام الحمل و حقوقه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مرحلة المهد، أی بعد انفصال الجنین عن امّه حیّاً إلی سنتین، و بحثنا فیها عن أحکام الرضاع و الحضانة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مرحلة الطفولة المبکِّرة، أی قبل المدرسة من السنة الثالثة إلی السادسة، و بحثنا فیها عن أحکام نفقتهم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مرحلة الطفولة الوسطی و بعد بلوغ الأطفال سبعة إلی ثمانیة سنوات، و بحثنا فیها عن تربیتهم و ولایة الآباء و الأجداد علیهم لتأدیبهم و نکاحهم و تصرّفات الأولیاء فی حقّهم، و کذا تبعیّتهم لوالدیهم فی الإسلام و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مرحلة التمییز إجمالاً و بعد بلوغهم تسعة سنین و ما بعدها، و بحثنا فیها عن عباداتهم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مرحلة التمییز کاملاً، و هی بعد عشرة سنین و ما فوقها، و بحثنا فیها عن تصرّفاتهم کالبیع و الشراء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مرحلة الرشد و الکمال، بحثنا فیها عن مسائل البلوغ و ما یترتّب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المواضیع التی بحثناها فی هذا الکتاب مسائل لم نقف فیها علی قول صریح لفقیه من فقهائنا رضوان اللّه تعالی علیهم کبعض مسائل التربیة و التعلیم للصبیان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فطرحناها علی شکل المسائل الفقهیة کغیرها و بیّنا حکمها بمساعدة الروایات و بعض القواعد الفقهیّة العامّة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الکتاب لیس مقتصراً علی مذهب الشیعة فقط و إن کانت عمدة مباحثه تختصّ به، بل هو فقه مقارن بین المذاهب الخمسة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الشیعة و الشافعیة و الحنابلة و المالکیة و الحنفیة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أحیاناً بعض المذاهب الإسلامیة الاُخری</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اعتمدنا فی نقل آراء کلّ مذهب علی مؤلّفاته الموثوقة لدیه و أحلنا علی المصادر المعتمدة عند أتباعه؛ لأنّ نقل حکم فی مذهب من کتب المذاهب الاُخری لا یخلو من الوقوع فی غلطٍ فی بیان الرأی الراجح المقرّر عنده، و هو یتّفق مع الاتجاه العلمی للدراسة المقارنة و یضعف العصبیة المذهبیة، بل یمکن أن یعتبر ذلک مقدّمه لوحدة المسلمین و تقارب و جهات نظرهم</w:t>
      </w:r>
      <w:r>
        <w:rPr>
          <w:rFonts w:eastAsia="IRNazanin" w:cs="IRNazanin"/>
          <w:color w:val="111111"/>
          <w:sz w:val="28"/>
          <w:szCs w:val="28"/>
          <w:rtl w:val="true"/>
          <w:lang w:bidi="fa-IR"/>
        </w:rPr>
        <w:t>.</w:t>
      </w:r>
      <w:bookmarkStart w:id="32" w:name="pg11752_146046"/>
    </w:p>
    <w:p>
      <w:pPr>
        <w:pStyle w:val="BookText"/>
        <w:rPr/>
      </w:pPr>
      <w:bookmarkEnd w:id="32"/>
      <w:r>
        <w:rPr>
          <w:rFonts w:ascii="IRNazanin" w:hAnsi="IRNazanin" w:eastAsia="IRNazanin"/>
          <w:color w:val="111111"/>
          <w:sz w:val="28"/>
          <w:sz w:val="28"/>
          <w:szCs w:val="28"/>
          <w:rtl w:val="true"/>
          <w:lang w:bidi="fa-IR"/>
        </w:rPr>
        <w:t xml:space="preserve">و مع ذلک کلّه لا یعنی نقل آراء المذاهب قبولها بنحو مطلق؛ لأنّ أکثر آرائهم مبنیّة علی القیاس و الاستحسان و المصالح المرسلة و سدّ الذرائع و غیرها، التی لا یمکن إثبات الأحکام بها عند فقهاء الشیعة، و حیث إنّ نقد الآراء مع اختلاف المبانی الاُصولیة و الفقهیة لیس دأب التحقیق، و توضیح المستند الفقهی فی کلّ 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أنّه یلزم منه التکرار یتطلّب کتباً اصولیة و فقهیة مستقلّة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لهذا سلکنا طریقاً وسطاً فی نقل آراء المذاهب الإسلامیة، و حاولنا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الإمکان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الآراء الموافقة لمذهبنا، و فی بعض الأحیان نورد آراءهم المخالفة فی المسألة و الإشکال علیها طبقاً لمبانیهم الفقهیة، کما لو اعتمدوا فی إثبات حکم علی خبر ضعیف عندهم أو ادّعوا بأنّ المعنی الکذائی، یستفاد من ظاهر الدلیل و الحال أنّ القرائن تخالفه، و أمّا فی الموارد التی لا یمکن ذلک لابتنائها علی مبانٍ لیست مقبولاً عندنا اکتفینا بذکرها فقط و لم نتعرّض للإیراد و الردّ و النقض و الإبرام لما أشرنا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جعلنا أبحاث الکتاب و مواضیعه فی أبواب، و قسّمنا الأبواب إلی فصول، و الفصول إلی مباحث، و المبحث إلی مطالب، و المطلب إلی فروع، کلّ ذلک فی فقرات متسلسلة، و هذا التقسیم تسهیل الأمر علی الباحث فی قراءة فصول و مواضیع هذا الکتاب</w:t>
      </w:r>
      <w:r>
        <w:rPr>
          <w:rFonts w:eastAsia="IRNazanin" w:cs="IRNazanin"/>
          <w:color w:val="111111"/>
          <w:sz w:val="28"/>
          <w:szCs w:val="28"/>
          <w:rtl w:val="true"/>
          <w:lang w:bidi="fa-IR"/>
        </w:rPr>
        <w:t>.</w:t>
      </w:r>
    </w:p>
    <w:p>
      <w:pPr>
        <w:pStyle w:val="Heading5"/>
        <w:numPr>
          <w:ilvl w:val="4"/>
          <w:numId w:val="1"/>
        </w:numPr>
        <w:rPr/>
      </w:pPr>
      <w:bookmarkStart w:id="33" w:name="__RefHeading___Toc9423798_73709187"/>
      <w:bookmarkStart w:id="34" w:name="_Toc13"/>
      <w:bookmarkEnd w:id="33"/>
      <w:r>
        <w:rPr>
          <w:rtl w:val="true"/>
        </w:rPr>
        <w:t>(</w:t>
      </w:r>
      <w:r>
        <w:rPr>
          <w:rtl w:val="true"/>
        </w:rPr>
        <w:t>ه</w:t>
      </w:r>
      <w:r>
        <w:rPr>
          <w:rtl w:val="true"/>
        </w:rPr>
        <w:t xml:space="preserve">) </w:t>
      </w:r>
      <w:r>
        <w:rPr>
          <w:rtl w:val="true"/>
        </w:rPr>
        <w:t>منهج العمل</w:t>
      </w:r>
      <w:bookmarkEnd w:id="34"/>
    </w:p>
    <w:p>
      <w:pPr>
        <w:pStyle w:val="BookText"/>
        <w:rPr/>
      </w:pPr>
      <w:r>
        <w:rPr>
          <w:rFonts w:ascii="IRNazanin" w:hAnsi="IRNazanin" w:eastAsia="IRNazanin"/>
          <w:color w:val="111111"/>
          <w:sz w:val="28"/>
          <w:sz w:val="28"/>
          <w:szCs w:val="28"/>
          <w:rtl w:val="true"/>
          <w:lang w:bidi="fa-IR"/>
        </w:rPr>
        <w:t>سلکنا فی تحقیق مواضیع الکتاب أسلوب العمل الجماعی، فتآزرت علی تألیفه لجنة قامت بجمع مواضیع الکتاب و التحقیق فیها ثمّ إصدار الحکم النهائی المستنبط فی المسألة، و کانت مؤلَّفة من الإخوة الأفاضل حجج الإسلام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محمّد جواد الأنصاری</w:t>
      </w:r>
      <w:r>
        <w:rPr>
          <w:rFonts w:eastAsia="IRNazanin" w:cs="IRNazanin"/>
          <w:color w:val="111111"/>
          <w:sz w:val="28"/>
          <w:szCs w:val="28"/>
          <w:rtl w:val="true"/>
          <w:lang w:bidi="fa-IR"/>
        </w:rPr>
        <w:t>.</w:t>
      </w:r>
      <w:bookmarkStart w:id="35" w:name="pg11752_146047"/>
    </w:p>
    <w:p>
      <w:pPr>
        <w:pStyle w:val="BookText"/>
        <w:rPr/>
      </w:pPr>
      <w:bookmarkEnd w:id="35"/>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إبراهیم البهشتی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عباسعلی البیوندی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عبد الحسین الجمالی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علی السعیدی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أکبر الطباطبائی</w:t>
      </w:r>
      <w:r>
        <w:rPr>
          <w:rFonts w:eastAsia="IRNazanin" w:cs="IRNazanin"/>
          <w:color w:val="111111"/>
          <w:sz w:val="28"/>
          <w:szCs w:val="28"/>
          <w:rtl w:val="true"/>
          <w:lang w:bidi="fa-IR"/>
        </w:rPr>
        <w:t>.</w:t>
      </w:r>
    </w:p>
    <w:p>
      <w:pPr>
        <w:pStyle w:val="Heading4"/>
        <w:numPr>
          <w:ilvl w:val="3"/>
          <w:numId w:val="1"/>
        </w:numPr>
        <w:rPr/>
      </w:pPr>
      <w:bookmarkStart w:id="36" w:name="__RefHeading___Toc9423800_73709187"/>
      <w:bookmarkStart w:id="37" w:name="_Toc14"/>
      <w:bookmarkEnd w:id="36"/>
      <w:r>
        <w:rPr>
          <w:rtl w:val="true"/>
        </w:rPr>
        <w:t>شکر و ثناء</w:t>
      </w:r>
      <w:bookmarkEnd w:id="37"/>
    </w:p>
    <w:p>
      <w:pPr>
        <w:pStyle w:val="BookText"/>
        <w:rPr/>
      </w:pPr>
      <w:r>
        <w:rPr>
          <w:rFonts w:ascii="IRNazanin" w:hAnsi="IRNazanin" w:eastAsia="IRNazanin"/>
          <w:color w:val="111111"/>
          <w:sz w:val="28"/>
          <w:sz w:val="28"/>
          <w:szCs w:val="28"/>
          <w:rtl w:val="true"/>
          <w:lang w:bidi="fa-IR"/>
        </w:rPr>
        <w:t>و فی نهایة المطاف نقدِّم شکرنا لسماحة الحجّة فقیه أهل بیت العصمة و الطهارة و الأصولی الکریم المرجع الدینی الأعلی آیة اللّه العظمی الشیخ محمّد الفاضل اللنکرانی أدام اللّه عمره الشریف، الذی قدّم للمجتمع الإسلامی و المحافل العلمیة الشیء الکثیر من الخدمات العلمیة و الاجتماعیة، و التألیفات النافعة و خلّد نفسه بالعلم و التقوی و العمل الصالح و لم تأخذه فی اللّه لومة لائم، و کفی بذلک فخراً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من خدماته الجلیلة أمره العالی بتأسیس المرکز الفقهی للأئمّة الأطهار علیهم السلام الذی 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رغم حداثة تأسیسه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المراکز العلمیة الهامّة، و الذی نأمل له التطوّر و الازدهار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نقدِّم شکرنا إلی المحقّق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الاُستاذ حجّة الإسلام و المسلمین الشیخ محمّد جواد الفاضل نجل آیة اللّه العظمی الفاضل اللنکرانی، الّذی مدّ ید العون لنا و لم نعدم نصحه و إرشاده طوال مراحل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نقدِّم شکرنا أیضاً إلی کلّ من ساعدنا بأنواع المساعدات، و نخصّ بالذکر</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حجة الإسلام الشیخ حسین الواثقی و الأخ الأعز الشیخ محمد حسین المولوی لمساعدته فی مقابلة الأقوال و الاستدلالات و الأدلّة التی ذکرناها فی الموسوعة مع الکتب المطبوعة التی بأیدینا و تخریج بعض المصادر التی نسینا ذکرها، و الإرشاد إلی</w:t>
      </w:r>
    </w:p>
    <w:p>
      <w:pPr>
        <w:pStyle w:val="BookText"/>
        <w:rPr/>
      </w:pPr>
      <w:r>
        <w:rPr>
          <w:rFonts w:ascii="IRNazanin" w:hAnsi="IRNazanin" w:eastAsia="IRNazanin"/>
          <w:color w:val="111111"/>
          <w:sz w:val="28"/>
          <w:sz w:val="28"/>
          <w:szCs w:val="28"/>
          <w:rtl w:val="true"/>
          <w:lang w:bidi="fa-IR"/>
        </w:rPr>
        <w:t>تصحیح موارد الاشتباه المحتملة کتاباً أو مفهوماً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نودّ الإشارة إلی أنّنا لم ندّع کمال العمل فی تألیف هذه الموسوعة، فما کان منه صحیحاً جیّداً فبتوفیق اللّه تعالی، و ما کان لا یتلاءم مع الموازین العلمیة فهو منّا قصوراً أو تقصیراً لقلّة المتاع و قصر الباع، و نقدِّم هذا الکتاب بعد جهودٍ متواصلة امتدّت لسنین طوال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نرجو من القرّاء الکرام أن یغضّوا الطرف عمّا زاغ عنه البصر و فات السمع و زلّ به القدم، و أن یرشدونا إلی الصواب و یتفضّلوا علینا بما ینقدح فی أذهانهم الشریفة من نقدٍ و اعتراضٍ أو اطروحةٍ تؤدّی إلی تطویر هذا العمل و تنتهی إلی تکمیله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سائلاً العلیّ القدیر أن یوفّقنا و یسعدنا فی الدارین و یتقبّل منّا هذا القلیل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بحقّ محمّد و آله صلِّ علیهم و تقبّل هذا منّا بقبولٍ حسن، فهو منک و إلیک، فاجعله ذخراً لیوم معادنا و علماً ینتفع به الناس و لسان صدقٍ فی الآخرین، و آخر دعوانا أن 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اللّه الأنصاری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موسوعةُ</w:t>
      </w:r>
    </w:p>
    <w:p>
      <w:pPr>
        <w:pStyle w:val="BookText"/>
        <w:rPr/>
      </w:pPr>
      <w:r>
        <w:rPr>
          <w:rFonts w:ascii="IRNazanin" w:hAnsi="IRNazanin" w:eastAsia="IRNazanin"/>
          <w:color w:val="111111"/>
          <w:sz w:val="28"/>
          <w:sz w:val="28"/>
          <w:szCs w:val="28"/>
          <w:rtl w:val="true"/>
          <w:lang w:bidi="fa-IR"/>
        </w:rPr>
        <w:t>أحکام الأطفال</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الجزء الأوّل</w:t>
      </w:r>
      <w:bookmarkStart w:id="38" w:name="pg11752_146049"/>
    </w:p>
    <w:p>
      <w:pPr>
        <w:pStyle w:val="Heading2"/>
        <w:numPr>
          <w:ilvl w:val="1"/>
          <w:numId w:val="1"/>
        </w:numPr>
        <w:rPr/>
      </w:pPr>
      <w:bookmarkStart w:id="39" w:name="__RefHeading___Toc9423802_73709187"/>
      <w:bookmarkStart w:id="40" w:name="_Toc15"/>
      <w:bookmarkEnd w:id="38"/>
      <w:bookmarkEnd w:id="39"/>
      <w:r>
        <w:rPr>
          <w:rtl w:val="true"/>
        </w:rPr>
        <w:t>الباب الأوّل فی بیان وظائف الأبوین قبل التزویج و فی أیّام الحمل و بعد ولادته</w:t>
      </w:r>
      <w:bookmarkEnd w:id="40"/>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 w:name="__RefHeading___Toc9423804_73709187"/>
      <w:bookmarkStart w:id="42" w:name="_Toc16"/>
      <w:bookmarkEnd w:id="41"/>
      <w:r>
        <w:rPr>
          <w:rtl w:val="true"/>
        </w:rPr>
        <w:t>اشارة</w:t>
      </w:r>
      <w:bookmarkStart w:id="43" w:name="pg11752_146051"/>
      <w:bookmarkEnd w:id="42"/>
    </w:p>
    <w:p>
      <w:pPr>
        <w:pStyle w:val="Heading3"/>
        <w:numPr>
          <w:ilvl w:val="2"/>
          <w:numId w:val="1"/>
        </w:numPr>
        <w:rPr/>
      </w:pPr>
      <w:bookmarkStart w:id="44" w:name="__RefHeading___Toc9423806_73709187"/>
      <w:bookmarkStart w:id="45" w:name="_Toc17"/>
      <w:bookmarkEnd w:id="43"/>
      <w:bookmarkEnd w:id="44"/>
      <w:r>
        <w:rPr>
          <w:rtl w:val="true"/>
        </w:rPr>
        <w:t>تمهید</w:t>
      </w:r>
      <w:r>
        <w:rPr>
          <w:rtl w:val="true"/>
        </w:rPr>
        <w:t>:</w:t>
      </w:r>
      <w:bookmarkEnd w:id="45"/>
    </w:p>
    <w:p>
      <w:pPr>
        <w:pStyle w:val="BookText"/>
        <w:rPr/>
      </w:pPr>
      <w:r>
        <w:rPr>
          <w:rFonts w:ascii="IRNazanin" w:hAnsi="IRNazanin" w:eastAsia="IRNazanin"/>
          <w:color w:val="111111"/>
          <w:sz w:val="28"/>
          <w:sz w:val="28"/>
          <w:szCs w:val="28"/>
          <w:rtl w:val="true"/>
          <w:lang w:bidi="fa-IR"/>
        </w:rPr>
        <w:t>یعتبر الزواج من التشریعات المهمّة التی دأبت علیها المجتمعات البشریة علی مرّ الدهور و حثّت علیها؛ لأجل بقائها و دیمومتها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أَولی الإسلام هذا التشریع أهمّیة خاصّة أکثر ممّا اهتمّت به التشریعات السابقة، حیث اعتبر الزواج نواة لتکوین المجتمع المسلم و تکامله، فالزواج یؤدّی إلی استقرار المجتمع بما یحقّقه من استقرار و طمأنینة لأفراده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سبحانه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آیاتِهِ أَنْ خَلَقَ لَکُمْ مِنْ أَنْفُسِکُمْ أَزْواجاً لِتَسْکُنُوا إِلَیْها وَ جَعَلَ بَیْنَکُمْ مَوَدَّةً وَ رَحْمَةً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فبالزواج یحافظ العنصر البشری علی استمراریّته بما ینتج عنه من إنجابٍ للأولاد و تکثیر للنسل</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وضع الإسلام حقوقاً علی الآباء اتّجاه أولادهم و حَمّلهم مسئولیات کثیرة، و وضع أحکاماً و تعالیم لها تأثیر کبیر فی تربیة الأولاد و نشأتهم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هذه التعالیم کیفیّة اختیار الزوجة أو الزوج، و أوصاف کلٍّ منهما، و مسائل تتعلّق بمقاربة الزوج لزوجته، و ما ینبغی مراعاته أثناء الحمل، و الأحکام المترتّبة علیه، و سنن الولادة و اختیار الأسماء الحسنة للولد و العقیقة عنه و الختان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للتحقیق فی هذه المسائل و نحوها ممّا یرتبط بالولد عقدنا هذا الباب، و فیه 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فی استحباب الزواج أو 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فی بیان الأوصاف التی یستحب أن یراعیها الزوجان عند الزواج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فی استحباب مراعاة مسائل عند المقاربة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فی مسائل تغذیة الحامل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فی أحکام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فی حقوق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فی سنن الولادة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 فی العقیقة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 فی الختان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 فی الرضاع و ما یترتّب علیه</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قبل الدخول فی بیان مباحث هذه الفصول، یلزم أن نذکّر بأنّ الفصل الأول و الثانی و الثالث و إن لم یرتبط بالصغار کلّیةً، و لکنّ الاطّلاع علی مسائلها و العمل علی ما جاء به الشرع مما یؤثّر فی تکوین الولد و نموّه أشدّ التأثیر؛ و لهذا نذکرها علی نحو الاختصار إن شاء اللّه</w:t>
      </w:r>
      <w:r>
        <w:rPr>
          <w:rFonts w:eastAsia="IRNazanin" w:cs="IRNazanin"/>
          <w:color w:val="111111"/>
          <w:sz w:val="28"/>
          <w:szCs w:val="28"/>
          <w:rtl w:val="true"/>
          <w:lang w:bidi="fa-IR"/>
        </w:rPr>
        <w:t>.</w:t>
      </w:r>
      <w:bookmarkStart w:id="46" w:name="pg11752_146053"/>
    </w:p>
    <w:p>
      <w:pPr>
        <w:pStyle w:val="Heading3"/>
        <w:numPr>
          <w:ilvl w:val="2"/>
          <w:numId w:val="1"/>
        </w:numPr>
        <w:rPr/>
      </w:pPr>
      <w:bookmarkStart w:id="47" w:name="__RefHeading___Toc9423808_73709187"/>
      <w:bookmarkStart w:id="48" w:name="_Toc18"/>
      <w:bookmarkEnd w:id="46"/>
      <w:bookmarkEnd w:id="47"/>
      <w:r>
        <w:rPr>
          <w:rtl w:val="true"/>
        </w:rPr>
        <w:t>الفصل الأول فی حکم استحباب الزواج أو وجوبه</w:t>
      </w:r>
      <w:bookmarkEnd w:id="48"/>
    </w:p>
    <w:p>
      <w:pPr>
        <w:pStyle w:val="Heading4"/>
        <w:numPr>
          <w:ilvl w:val="3"/>
          <w:numId w:val="1"/>
        </w:numPr>
        <w:rPr/>
      </w:pPr>
      <w:bookmarkStart w:id="49" w:name="__RefHeading___Toc9423810_73709187"/>
      <w:bookmarkStart w:id="50" w:name="_Toc19"/>
      <w:bookmarkEnd w:id="49"/>
      <w:r>
        <w:rPr>
          <w:rtl w:val="true"/>
        </w:rPr>
        <w:t>المبحث الأول</w:t>
      </w:r>
      <w:r>
        <w:rPr>
          <w:rtl w:val="true"/>
        </w:rPr>
        <w:t xml:space="preserve">: </w:t>
      </w:r>
      <w:r>
        <w:rPr>
          <w:rtl w:val="true"/>
        </w:rPr>
        <w:t>فی استحباب الزواج فی حدّ نفسه</w:t>
      </w:r>
      <w:bookmarkEnd w:id="50"/>
    </w:p>
    <w:p>
      <w:pPr>
        <w:pStyle w:val="Heading5"/>
        <w:numPr>
          <w:ilvl w:val="4"/>
          <w:numId w:val="1"/>
        </w:numPr>
        <w:rPr/>
      </w:pPr>
      <w:bookmarkStart w:id="51" w:name="__RefHeading___Toc9423812_73709187"/>
      <w:bookmarkStart w:id="52" w:name="_Toc20"/>
      <w:bookmarkEnd w:id="51"/>
      <w:r>
        <w:rPr>
          <w:rtl w:val="true"/>
        </w:rPr>
        <w:t>اشارة</w:t>
      </w:r>
      <w:bookmarkEnd w:id="52"/>
    </w:p>
    <w:p>
      <w:pPr>
        <w:pStyle w:val="BookText"/>
        <w:rPr/>
      </w:pPr>
      <w:r>
        <w:rPr>
          <w:rFonts w:ascii="IRNazanin" w:hAnsi="IRNazanin" w:eastAsia="IRNazanin"/>
          <w:color w:val="111111"/>
          <w:sz w:val="28"/>
          <w:sz w:val="28"/>
          <w:szCs w:val="28"/>
          <w:rtl w:val="true"/>
          <w:lang w:bidi="fa-IR"/>
        </w:rPr>
        <w:t xml:space="preserve">ممّا لا شکّ فیه أنّ النکاح فی حدّ ذاته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قطع النظر عن اللواحق المتعلّقة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فی حقّ الرجال و النساء، و یدلّ علیه الکتاب و السنة المستفیضة التی ربما بلغت حدّ التواتر المعنوی بالحثّ علی النکاح و الترغیب فیه</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 w:name="__RefHeading___Toc9423814_73709187"/>
      <w:bookmarkStart w:id="54" w:name="_Toc21"/>
      <w:bookmarkEnd w:id="53"/>
      <w:r>
        <w:rPr>
          <w:rtl w:val="true"/>
        </w:rPr>
        <w:t>أمّا الکتاب</w:t>
      </w:r>
      <w:bookmarkEnd w:id="54"/>
    </w:p>
    <w:p>
      <w:pPr>
        <w:pStyle w:val="BookText"/>
        <w:rPr/>
      </w:pPr>
      <w:r>
        <w:rPr>
          <w:rFonts w:ascii="Amiri" w:hAnsi="Amiri" w:eastAsia="Amiri" w:cs="Amiri"/>
          <w:color w:val="111111"/>
          <w:sz w:val="28"/>
          <w:sz w:val="28"/>
          <w:szCs w:val="28"/>
          <w:rtl w:val="true"/>
          <w:lang w:bidi="ar-SA"/>
        </w:rPr>
        <w:t>فقوله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فَانْکِحُوا ما طابَ لَکُمْ مِنَ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أَنْکِحُوا الْأَیامی مِنْکُمْ وَ الصّالِحِینَ مِنْ عِبادِکُمْ وَ إِمائِکُمْ إِنْ یَکُونُوا فُقَراءَ یُغْنِهِمُ اللّهُ مِنْ فَضْلِهِ وَ اللّهُ واسِعٌ عَلِیمٌ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الخطاب للأولیاء شرعاً أو عرفاً و السادات، بإنکاح العزّاب من الأحرار مطلقاً و خصوص الصالحین من العبید و الإماء، و الترغیب فیه لیس إلاّ لفضیلة النکاح و رجحانه فی نفسه، و کونه سبباً</w:t>
      </w:r>
      <w:bookmarkStart w:id="55" w:name="pg11752_146054"/>
    </w:p>
    <w:p>
      <w:pPr>
        <w:pStyle w:val="BookText"/>
        <w:rPr/>
      </w:pPr>
      <w:bookmarkEnd w:id="55"/>
      <w:r>
        <w:rPr>
          <w:rFonts w:ascii="Amiri" w:hAnsi="Amiri" w:eastAsia="Amiri" w:cs="Amiri"/>
          <w:color w:val="111111"/>
          <w:sz w:val="28"/>
          <w:sz w:val="28"/>
          <w:szCs w:val="28"/>
          <w:rtl w:val="true"/>
          <w:lang w:bidi="ar-SA"/>
        </w:rPr>
        <w:t>لوجود الولد و مؤدّیاً إلی حصوله، فلو لم یکن النکاح مندوباً إلیه و لا مرغّباً فیه لزم أن یکون مقدمة المباح مندوبة من حیث إنّها مقدّمة له، و فساده ظاهر، خصوصاً مع ملاحظة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یَکُونُوا فُقَراءَ یُغْنِهِمُ اللّهُ مِنْ فَضْلِهِ وَ اللّهُ واسِعٌ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فی أنّه رد لما عسی أن یمنع من النکاح و یزهد الناس فیه خوف العیلة بأنّ اللّه الواسع العلیم یغنیهم من فضله</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 w:name="__RefHeading___Toc9423816_73709187"/>
      <w:bookmarkStart w:id="57" w:name="_Toc22"/>
      <w:bookmarkEnd w:id="56"/>
      <w:r>
        <w:rPr>
          <w:rtl w:val="true"/>
        </w:rPr>
        <w:t>و أمّا السنّة فطوائف</w:t>
      </w:r>
      <w:r>
        <w:rPr>
          <w:rtl w:val="true"/>
        </w:rPr>
        <w:t>:</w:t>
      </w:r>
      <w:bookmarkEnd w:id="57"/>
    </w:p>
    <w:p>
      <w:pPr>
        <w:pStyle w:val="Heading6"/>
        <w:numPr>
          <w:ilvl w:val="5"/>
          <w:numId w:val="1"/>
        </w:numPr>
        <w:rPr/>
      </w:pPr>
      <w:bookmarkStart w:id="58" w:name="__RefHeading___Toc9423818_73709187"/>
      <w:bookmarkStart w:id="59" w:name="_Toc23"/>
      <w:bookmarkEnd w:id="58"/>
      <w:r>
        <w:rPr>
          <w:rtl w:val="true"/>
        </w:rPr>
        <w:t>الطائفة الاُولی</w:t>
      </w:r>
      <w:r>
        <w:rPr>
          <w:rtl w:val="true"/>
        </w:rPr>
        <w:t xml:space="preserve">: </w:t>
      </w:r>
      <w:r>
        <w:rPr>
          <w:rtl w:val="true"/>
        </w:rPr>
        <w:t>ما جاء من أنَّ النکاح سنّة،</w:t>
      </w:r>
      <w:bookmarkEnd w:id="59"/>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النکاح سنّتی فمن رغب عن سنّتی فلیس منّی</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و فی حدیث آخر 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أحبَّ فطرتی فلیستنّ بسنّتی و من سنّتی النکاح</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تزوّجوا فإنّ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أن یتّبع سنّتی فإنّ من سنّتی التزویج</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دلالتها علی المطلوب ظاهرة؛ فإن سنّة النبیّ صلی الله علیه و آله إمّا واجبة أو مندوبة، إذ لا یطلق علی المباح و المکروه أنّه من سنّته صلی الله علیه و آله</w:t>
      </w:r>
      <w:r>
        <w:rPr>
          <w:rFonts w:eastAsia="IRNazanin" w:cs="IRNazanin"/>
          <w:color w:val="111111"/>
          <w:sz w:val="28"/>
          <w:szCs w:val="28"/>
          <w:rtl w:val="true"/>
          <w:lang w:bidi="fa-IR"/>
        </w:rPr>
        <w:t>.</w:t>
      </w:r>
    </w:p>
    <w:p>
      <w:pPr>
        <w:pStyle w:val="Heading6"/>
        <w:numPr>
          <w:ilvl w:val="5"/>
          <w:numId w:val="1"/>
        </w:numPr>
        <w:rPr/>
      </w:pPr>
      <w:bookmarkStart w:id="60" w:name="__RefHeading___Toc9423820_73709187"/>
      <w:bookmarkStart w:id="61" w:name="_Toc24"/>
      <w:bookmarkEnd w:id="60"/>
      <w:r>
        <w:rPr>
          <w:rtl w:val="true"/>
        </w:rPr>
        <w:t>الطائفة الثانیة</w:t>
      </w:r>
      <w:r>
        <w:rPr>
          <w:rtl w:val="true"/>
        </w:rPr>
        <w:t xml:space="preserve">: </w:t>
      </w:r>
      <w:r>
        <w:rPr>
          <w:rtl w:val="true"/>
        </w:rPr>
        <w:t>ما أمر فیها بالتزویج،</w:t>
      </w:r>
      <w:bookmarkEnd w:id="61"/>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فی صحیح صفوان بن مهران،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تزوجوا و زوّجوا</w:t>
      </w:r>
      <w:r>
        <w:rPr>
          <w:rFonts w:eastAsia="IRNazanin" w:cs="IRNazanin"/>
          <w:color w:val="111111"/>
          <w:sz w:val="28"/>
          <w:szCs w:val="28"/>
          <w:rtl w:val="true"/>
          <w:lang w:bidi="fa-IR"/>
        </w:rPr>
        <w:t>»</w:t>
      </w:r>
      <w:r>
        <w:rPr>
          <w:rStyle w:val="FootnoteAnchor"/>
          <w:rtl w:val="true"/>
        </w:rPr>
        <w:footnoteReference w:id="28"/>
      </w:r>
      <w:bookmarkStart w:id="62" w:name="pg11752_146055"/>
    </w:p>
    <w:p>
      <w:pPr>
        <w:pStyle w:val="BookText"/>
        <w:rPr/>
      </w:pPr>
      <w:bookmarkEnd w:id="62"/>
      <w:r>
        <w:rPr>
          <w:rFonts w:ascii="IRNazanin" w:hAnsi="IRNazanin" w:eastAsia="IRNazanin"/>
          <w:color w:val="111111"/>
          <w:sz w:val="28"/>
          <w:sz w:val="28"/>
          <w:szCs w:val="28"/>
          <w:rtl w:val="true"/>
          <w:lang w:bidi="fa-IR"/>
        </w:rPr>
        <w:t>و ما رواه عبد اللّه بن القدّاح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رجل إلی أبی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من زوجة؟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أحبُّ أنّ لی الدُّنیا و ما فیها و أنّی بتُّ لیلةً و لیست لی زوجة،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الرکعتان یُصلّیهما رجل متزوج أفضل من رجل أعزب یقوم لیله و یصوم نهاره، ثمّ أعطاه أبی سبعة دنانیر،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بهذه، ثمّ 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اتّخذوا الأهل فإنّه أرزق لکُم</w:t>
      </w:r>
      <w:r>
        <w:rPr>
          <w:rFonts w:eastAsia="IRNazanin" w:cs="IRNazanin"/>
          <w:color w:val="111111"/>
          <w:sz w:val="28"/>
          <w:szCs w:val="28"/>
          <w:rtl w:val="true"/>
          <w:lang w:bidi="fa-IR"/>
        </w:rPr>
        <w:t>»</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و دلالتها ظاهرة</w:t>
      </w:r>
      <w:r>
        <w:rPr>
          <w:rFonts w:eastAsia="Amiri" w:cs="Amiri" w:ascii="Amiri" w:hAnsi="Amiri"/>
          <w:color w:val="111111"/>
          <w:sz w:val="28"/>
          <w:szCs w:val="28"/>
          <w:rtl w:val="true"/>
          <w:lang w:bidi="ar-SA"/>
        </w:rPr>
        <w:t>.</w:t>
      </w:r>
    </w:p>
    <w:p>
      <w:pPr>
        <w:pStyle w:val="Heading6"/>
        <w:numPr>
          <w:ilvl w:val="5"/>
          <w:numId w:val="1"/>
        </w:numPr>
        <w:rPr/>
      </w:pPr>
      <w:bookmarkStart w:id="63" w:name="__RefHeading___Toc9423822_73709187"/>
      <w:bookmarkStart w:id="64" w:name="_Toc25"/>
      <w:bookmarkEnd w:id="63"/>
      <w:r>
        <w:rPr>
          <w:rtl w:val="true"/>
        </w:rPr>
        <w:t>الطائفة الثالثة</w:t>
      </w:r>
      <w:r>
        <w:rPr>
          <w:rtl w:val="true"/>
        </w:rPr>
        <w:t xml:space="preserve">: </w:t>
      </w:r>
      <w:r>
        <w:rPr>
          <w:rtl w:val="true"/>
        </w:rPr>
        <w:t>ما دَلّت علی کراهة العزوبة، و أفضلیة عبادة المتزوّج</w:t>
      </w:r>
      <w:bookmarkEnd w:id="64"/>
    </w:p>
    <w:p>
      <w:pPr>
        <w:pStyle w:val="BookText"/>
        <w:rPr/>
      </w:pPr>
      <w:r>
        <w:rPr>
          <w:rFonts w:ascii="IRNazanin" w:hAnsi="IRNazanin" w:eastAsia="IRNazanin"/>
          <w:color w:val="111111"/>
          <w:sz w:val="28"/>
          <w:sz w:val="28"/>
          <w:szCs w:val="28"/>
          <w:rtl w:val="true"/>
          <w:lang w:bidi="fa-IR"/>
        </w:rPr>
        <w:t>مثل ما ذکرنا أخیراً فی الطائفة الثانیة، و ما روی عن رسول اللّه صلی الله علیه و آله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أکثرُ أهل النار العزّاب</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هکذا ما 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رکعتان یصلّیهما متزوج أفضل من رجل أعزب یقوم لیله و یصوم نهاره</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و غیرها</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5" w:name="__RefHeading___Toc9423824_73709187"/>
      <w:bookmarkStart w:id="66" w:name="_Toc26"/>
      <w:bookmarkEnd w:id="65"/>
      <w:r>
        <w:rPr>
          <w:rtl w:val="true"/>
        </w:rPr>
        <w:t>الطائفة الرابعة</w:t>
      </w:r>
      <w:r>
        <w:rPr>
          <w:rtl w:val="true"/>
        </w:rPr>
        <w:t xml:space="preserve">: </w:t>
      </w:r>
      <w:r>
        <w:rPr>
          <w:rtl w:val="true"/>
        </w:rPr>
        <w:t>و هی المقصود بالذکر خاصّة فی هذا المقام</w:t>
      </w:r>
      <w:bookmarkEnd w:id="66"/>
    </w:p>
    <w:p>
      <w:pPr>
        <w:pStyle w:val="BookText"/>
        <w:rPr/>
      </w:pPr>
      <w:r>
        <w:rPr>
          <w:rFonts w:ascii="IRNazanin" w:hAnsi="IRNazanin" w:eastAsia="IRNazanin"/>
          <w:color w:val="111111"/>
          <w:sz w:val="28"/>
          <w:sz w:val="28"/>
          <w:szCs w:val="28"/>
          <w:rtl w:val="true"/>
          <w:lang w:bidi="fa-IR"/>
        </w:rPr>
        <w:t>ما دلّت علی مفاخرة النبیّ صلی الله علیه و آله بأولاد المسلمین، و دلالة هذه علی أهمیّة الأولاد ممّا لا یخفی؛ لأنّهم ممّن یفتخر بهم مفخرُ الأولیاء و سیّد الأنبیاء علیه صلوات اللّه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الصحیح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تزوّجُوا فإنّی مکاثر بکم الاُمم غداً فی القیامة حتّی أنّ السقط یجیء محبنطئاً علی باب الجنّة</w:t>
      </w:r>
    </w:p>
    <w:p>
      <w:pPr>
        <w:pStyle w:val="BookText"/>
        <w:rPr/>
      </w:pPr>
      <w:r>
        <w:rPr>
          <w:rFonts w:ascii="IRNazanin" w:hAnsi="IRNazanin" w:eastAsia="IRNazanin"/>
          <w:color w:val="111111"/>
          <w:sz w:val="28"/>
          <w:sz w:val="28"/>
          <w:szCs w:val="28"/>
          <w:rtl w:val="true"/>
          <w:lang w:bidi="fa-IR"/>
        </w:rPr>
        <w:t>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الجنّة،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حتّی یدخل أبوای الجنّة قبلی</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یمنع المؤمن أن یتّخذ أهلاً؟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اللّه یرزقه نسمةً تثقل الأرض بلا إله إلاّ اللّه</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أیضاً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لقی یوسف علیه السلام أخاه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کیف استطعت أن تزوّج النساء بعدی؟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أبی أمرنی،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استطعت أن تکون لک ذرّیة تثقل الأرض بالتسبیح فافعل</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الصحیح عن محمّد بن مسلم،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تزوّجوا بکراً ولوداً، و لا تزوجوا حسناء جمیلة عاقراً، فإنّی اباهی بکم الاُمم یوم القیامة</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معناها ما ذکر عن أبی الحسن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لرجلٍ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تزوَّجها سوداء ولوداً، و لا تزوّجها حسناء عاقراً، فإنّی مباهٍ بکم الأمم یوم القیامة أ ما علمت أنَّ الولدان تحت العرش یستغفرون لآبائهم، یحضنهم إبراهیم و تربّیهم سارة فی جبل من مسک و عنبر و زعفران؟</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غیرها ممّا یدلّ علی الاعتناء بشأن الأولاد و لزوم تربیتهم بحیث یراعی الأبوان مصالحهم الدّینیة و الدنیویّة، و ما ذکرنا فی هذه المقام أنموذج ممّا ورد عن أئمّة أهل البیت علیهم السلام، و سنذکر التفصیل فیها فی الباب الرابع إن شاء اللّه</w:t>
      </w:r>
      <w:r>
        <w:rPr>
          <w:rFonts w:eastAsia="IRNazanin" w:cs="IRNazanin"/>
          <w:color w:val="111111"/>
          <w:sz w:val="28"/>
          <w:szCs w:val="28"/>
          <w:rtl w:val="true"/>
          <w:lang w:bidi="fa-IR"/>
        </w:rPr>
        <w:t>.</w:t>
      </w:r>
      <w:bookmarkStart w:id="67" w:name="pg11752_146057"/>
    </w:p>
    <w:p>
      <w:pPr>
        <w:pStyle w:val="BookText"/>
        <w:rPr/>
      </w:pPr>
      <w:bookmarkEnd w:id="67"/>
      <w:r>
        <w:rPr>
          <w:rFonts w:ascii="IRNazanin" w:hAnsi="IRNazanin" w:eastAsia="IRNazanin"/>
          <w:color w:val="111111"/>
          <w:sz w:val="28"/>
          <w:sz w:val="28"/>
          <w:szCs w:val="28"/>
          <w:rtl w:val="true"/>
          <w:lang w:bidi="fa-IR"/>
        </w:rPr>
        <w:t xml:space="preserve">و علی کلّ تقدیر دلالة هذه النصوص علی استحباب الزواج ظاهرة لا لبس فیها، و جُلّ المقصود من الزّواج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یکون سبباً لصیانة النفس عن الفاحشة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یکون ثمرة و غایة للتزویج، أعنی حفظ النسل و تکثیر الأولاد الموحّدین و بقاء الإنسان فی الدّنیا؛ و لأجل هذا صار التزویج من سنّة اللّه و سنّة رسوله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إذا رغبت النفس بالنکاح و اشتاقت إلیه، و أمّا إذا لم ترغب بالنکاح فهو أیضاً مستحب، و علیه المشهور من العامة</w:t>
      </w:r>
      <w:r>
        <w:rPr>
          <w:rStyle w:val="FootnoteAnchor"/>
          <w:rtl w:val="true"/>
        </w:rPr>
        <w:footnoteReference w:id="39"/>
      </w:r>
      <w:r>
        <w:rPr>
          <w:rFonts w:ascii="Amiri" w:hAnsi="Amiri" w:eastAsia="Amiri" w:cs="Amiri"/>
          <w:color w:val="111111"/>
          <w:sz w:val="28"/>
          <w:sz w:val="28"/>
          <w:szCs w:val="28"/>
          <w:rtl w:val="true"/>
          <w:lang w:bidi="ar-SA"/>
        </w:rPr>
        <w:t>و الخاصة</w:t>
      </w:r>
      <w:r>
        <w:rPr>
          <w:rStyle w:val="FootnoteAnchor"/>
          <w:rtl w:val="true"/>
        </w:rPr>
        <w:footnoteReference w:id="40"/>
      </w:r>
      <w:r>
        <w:rPr>
          <w:rFonts w:ascii="IRNazanin" w:hAnsi="IRNazanin" w:eastAsia="IRNazanin"/>
          <w:color w:val="111111"/>
          <w:sz w:val="28"/>
          <w:sz w:val="28"/>
          <w:szCs w:val="28"/>
          <w:rtl w:val="true"/>
          <w:lang w:bidi="fa-IR"/>
        </w:rPr>
        <w:t>لعموم أکثر الأدلّة و إطلاقها</w:t>
      </w:r>
      <w:r>
        <w:rPr>
          <w:rFonts w:eastAsia="IRNazanin" w:cs="IRNazanin"/>
          <w:color w:val="111111"/>
          <w:sz w:val="28"/>
          <w:szCs w:val="28"/>
          <w:rtl w:val="true"/>
          <w:lang w:bidi="fa-IR"/>
        </w:rPr>
        <w:t>.</w:t>
      </w:r>
    </w:p>
    <w:p>
      <w:pPr>
        <w:pStyle w:val="Heading5"/>
        <w:numPr>
          <w:ilvl w:val="4"/>
          <w:numId w:val="1"/>
        </w:numPr>
        <w:rPr/>
      </w:pPr>
      <w:bookmarkStart w:id="68" w:name="__RefHeading___Toc9423826_73709187"/>
      <w:bookmarkStart w:id="69" w:name="_Toc27"/>
      <w:bookmarkEnd w:id="68"/>
      <w:r>
        <w:rPr>
          <w:rtl w:val="true"/>
        </w:rPr>
        <w:t>مذهب أهل السنّة فی المسألة</w:t>
      </w:r>
      <w:bookmarkEnd w:id="69"/>
    </w:p>
    <w:p>
      <w:pPr>
        <w:pStyle w:val="BookText"/>
        <w:rPr/>
      </w:pPr>
      <w:r>
        <w:rPr>
          <w:rFonts w:ascii="Amiri" w:hAnsi="Amiri" w:eastAsia="Amiri" w:cs="Amiri"/>
          <w:color w:val="111111"/>
          <w:sz w:val="28"/>
          <w:sz w:val="28"/>
          <w:szCs w:val="28"/>
          <w:rtl w:val="true"/>
          <w:lang w:bidi="ar-SA"/>
        </w:rPr>
        <w:t>و باستحباب الزواج قال الجمهور من مذاهب أهل السنّة</w:t>
      </w:r>
      <w:r>
        <w:rPr>
          <w:rStyle w:val="FootnoteAnchor"/>
          <w:rtl w:val="true"/>
        </w:rPr>
        <w:footnoteReference w:id="41"/>
      </w:r>
      <w:r>
        <w:rPr>
          <w:rFonts w:ascii="IRNazanin" w:hAnsi="IRNazanin" w:eastAsia="IRNazanin"/>
          <w:color w:val="111111"/>
          <w:sz w:val="28"/>
          <w:sz w:val="28"/>
          <w:szCs w:val="28"/>
          <w:rtl w:val="true"/>
          <w:lang w:bidi="fa-IR"/>
        </w:rPr>
        <w:t>غیر الشافعی، بل قال داود بن علی الأصبهانی و غیره من أصحاب الظواهر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فرض عین بمنزلة الصوم و الصلاة، و غیرهما من فروض الأعیان</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یدلّ علیه الکتاب و السنّة</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الکتاب فقد مضی، و أمّا السنّة فقوله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معشر الشباب من استطاع منکم الباءة فلیتزوّج، فإنّه أغضّ بالبصر و أحصن للفرج، و من لم یستطع فعلیه بالصوم فإنّه له و جاء</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و غیرها من الروایات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احتجّ الشافعی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أُحِلَّ لَکُمْ ما وَراءَ ذلِکُمْ أَنْ تَبْتَغُوا بِأَمْوالِکُمْ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 عن إحلال النکاح و المحلّل و المباح من الأسماء المترادفة، و لأنّه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أُحِلَّ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 لکم یستعمل فی المباحات، و لأنّ النکاح سبب یتوصّل به إلی قضاء الشهوة، فیکون مباحاً کشراء الجاریة للتسرّی بها، و هذا لأنّ قضاء الشهوة ایصال النفع إلی نفسه، و لیس یجب علی الإنسان إیصال النفع إلی نفسه، بل هو مباح فی الأصل کالأکل و الشرب</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فیه ما لا یخفی علی المتأمِّل؛ لأنّ هذه الجملة من الآیة عطف علی ما قبلها، التی وردت فی بیان حرمة النکاح مع بعض النساء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حُرِّمَتْ عَلَیْکُمْ أُمَّهاتُکُمْ وَ بَناتُکُمْ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أُحِلَّ لَکُمْ ما وَراءَ ذلِکُمْ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فکأنّه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أحللت لکم ما وراء ما ذکرنا</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البیان لا ینافی استحبابه فی نفسه، و مع قطع النظر عن اللواحق المتعلّقة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احتجّ أصحاب الظاهر بدلیلین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الآیات و الروایات التی أمر فیها بالنکاح مطلقاً، و الأمر المطلق للفریضة و الوجوب قطعاً، إلاّ أن یقوم الدلیل بخلافه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الامتناع من الزنا واجب، و لا یتوصل إلیه إلاّ بالنکاح، و ما لا یتوصّل إلی الواجب إلاّ به یکون واجباً</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قام الدلیل من إجماع السلف و فقهاء الأمصار علی أنّه لم یرد بها الإیجاب و إنّما هو مستحب، و لو کان واجباً لورد النقل بفعله من النبیّ صلی الله علیه و آله</w:t>
      </w:r>
    </w:p>
    <w:p>
      <w:pPr>
        <w:pStyle w:val="BookText"/>
        <w:rPr/>
      </w:pPr>
      <w:r>
        <w:rPr>
          <w:rFonts w:ascii="IRNazanin" w:hAnsi="IRNazanin" w:eastAsia="IRNazanin"/>
          <w:color w:val="111111"/>
          <w:sz w:val="28"/>
          <w:sz w:val="28"/>
          <w:szCs w:val="28"/>
          <w:rtl w:val="true"/>
          <w:lang w:bidi="fa-IR"/>
        </w:rPr>
        <w:t>و من السلف مستفیضاً شائعاً؛ لعموم الحاجة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أنّه لم یرد الإیجاب اتّفاق الجمیع علی أنّه لا یجبر علی تزویج عبده و أمته، و هو معطوف علی الأیامی فی الآیة، فدلّ علی أنّه مندوب فی الجمیع</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لأنّه ورد فی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استطاع منکم الباءة فلیتزوّج، و من لم یستطع فلیصم</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أقام الصوم مقام النکاح و الصوم لیس بواجب، فدلّ أنّ النکاح لیس بواجبٍ أیضاً؛ لأنّ غیر الواجب یقوم مقام الواجب</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یرد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دلیل علی وجوب الامتناع من الزنا، بل الدلیل یدلّ علی حرمة الزنا، و هو لا یدلّ علی وجوب ضدّه إلاّ علی القول بأنّ النهی عن الشیء یقتضی وجوب ضدّه، و قد ثبت فی أصول الفقه عدم ذلک الاقتضاء، فقد قال المحقّق القمّی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النهی عن الشیء هل هو أمر بضدّه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عدم الاقتضاء</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و کذا غیره</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 تثبت الملازمة بین وجوب ذی المقدّمة و وجوب مقدّمته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وجوبه الشرعی الغیری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 حکم الوجوب إلی طبیعةٍ لا یسری منها إلی مقارناته الوجودیّة و ملازماته العینیّة، کما صرّح به الشیخ المرجع اللنکرانی فی دراساته الأصولیّة</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غضّ النظر عمّا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الامتناع من الزنا بغیر النکاح أیضاً کالصوم مثلاً کما ورد فی بعض الروایات</w:t>
      </w:r>
      <w:r>
        <w:rPr>
          <w:rStyle w:val="FootnoteAnchor"/>
          <w:rtl w:val="true"/>
        </w:rPr>
        <w:footnoteReference w:id="53"/>
      </w:r>
      <w:bookmarkStart w:id="70" w:name="pg11752_146060"/>
    </w:p>
    <w:p>
      <w:pPr>
        <w:pStyle w:val="Heading4"/>
        <w:numPr>
          <w:ilvl w:val="3"/>
          <w:numId w:val="1"/>
        </w:numPr>
        <w:rPr/>
      </w:pPr>
      <w:bookmarkStart w:id="71" w:name="__RefHeading___Toc9423828_73709187"/>
      <w:bookmarkStart w:id="72" w:name="_Toc28"/>
      <w:bookmarkEnd w:id="70"/>
      <w:bookmarkEnd w:id="71"/>
      <w:r>
        <w:rPr>
          <w:rtl w:val="true"/>
        </w:rPr>
        <w:t>المبحث الثانی</w:t>
      </w:r>
      <w:r>
        <w:rPr>
          <w:rtl w:val="true"/>
        </w:rPr>
        <w:t xml:space="preserve">: </w:t>
      </w:r>
      <w:r>
        <w:rPr>
          <w:rtl w:val="true"/>
        </w:rPr>
        <w:t>فی حکم الزواج ثانیاً و بالعرض</w:t>
      </w:r>
      <w:bookmarkEnd w:id="72"/>
    </w:p>
    <w:p>
      <w:pPr>
        <w:pStyle w:val="BookText"/>
        <w:rPr/>
      </w:pPr>
      <w:r>
        <w:rPr>
          <w:rFonts w:ascii="IRNazanin" w:hAnsi="IRNazanin" w:eastAsia="IRNazanin"/>
          <w:color w:val="111111"/>
          <w:sz w:val="28"/>
          <w:sz w:val="28"/>
          <w:szCs w:val="28"/>
          <w:rtl w:val="true"/>
          <w:lang w:bidi="fa-IR"/>
        </w:rPr>
        <w:t>و أمّا النکاح مع النظر إلی اللواحق المتعلّقة به لیس له حکم واحد ینطبق علیه فی جمیع الحالات، بل یختلف حکمه بحسب أحوال الناس، و ینقسم إلی أقسامٍ 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النکاح واجباً، و هو فیما إذا تیقّن الإنسان الوقوع فی المعصیة بترکه، کارتکاب الزنا و الفحشاء، و کذا إذا خیف من وقوعه فیها، ذهب إلیه الخاصّة و الحنفیة من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أیضاً مع النذر و شبهه؛ لرجحانه بالأصل، و مع ظنّ الضرر بترکه؛ لوجوب دفع الضرر المظنون، و لأنّ صیانة الإنسان نفسه من الضرر و الزنا واجب، و الزواج وسیلته، فیکون واجباً فی هذه الحالة؛ لأنّ ما لا یتم الواجب إلاّ به فهو واجب</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الزّواج محرّماً کما إذا أفضی الإتیان به إلی ترک واجب کالحجّ و الزکاة، و إذا استلزم الزیادة علی الأربع</w:t>
      </w:r>
      <w:r>
        <w:rPr>
          <w:rStyle w:val="FootnoteAnchor"/>
          <w:rtl w:val="true"/>
        </w:rPr>
        <w:footnoteReference w:id="55"/>
      </w:r>
      <w:r>
        <w:rPr>
          <w:rFonts w:ascii="IRNazanin" w:hAnsi="IRNazanin" w:eastAsia="IRNazanin"/>
          <w:color w:val="111111"/>
          <w:sz w:val="28"/>
          <w:sz w:val="28"/>
          <w:szCs w:val="28"/>
          <w:rtl w:val="true"/>
          <w:lang w:bidi="fa-IR"/>
        </w:rPr>
        <w:t>، و إذا أدّی إلی معصیة أو مفسدة أیضاً فهو حرام؛ لأنّ ما یحصل به الحرام حرام</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بعض الفقهاء من أهل السنّة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تیقّن الشخص ظلم المرأة و الإضرار بها إذا تزوّج بأن کان عاجزاً عن تکالیف الزّواج أو لا یعدل إن تزوّج بزوجة أخری</w:t>
      </w:r>
    </w:p>
    <w:p>
      <w:pPr>
        <w:pStyle w:val="BookText"/>
        <w:rPr/>
      </w:pPr>
      <w:r>
        <w:rPr>
          <w:rFonts w:ascii="IRNazanin" w:hAnsi="IRNazanin" w:eastAsia="IRNazanin"/>
          <w:color w:val="111111"/>
          <w:sz w:val="28"/>
          <w:sz w:val="28"/>
          <w:szCs w:val="28"/>
          <w:rtl w:val="true"/>
          <w:lang w:bidi="fa-IR"/>
        </w:rPr>
        <w:t>فإنّه حرام؛ لأنّ ما أدّی إلی الحرام فهو حرام</w:t>
      </w:r>
      <w:r>
        <w:rPr>
          <w:rFonts w:eastAsia="IRNazanin" w:cs="IRNazanin"/>
          <w:color w:val="111111"/>
          <w:sz w:val="28"/>
          <w:szCs w:val="28"/>
          <w:rtl w:val="true"/>
          <w:lang w:bidi="fa-IR"/>
        </w:rPr>
        <w:t>»</w:t>
      </w: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لا یصحّ نکاحه مع عدم الحاجة کالسفیه فإنّه یحرم علیه النکاح</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هذا صحیحاً یلزم أن یکون نکاح أکثر الناس محرّماً؛ لأنّهم تیقنوا الاضرار بالمرأة فی أیّام النکاح الدائم و لو قلیلاً، هذا أوّلاً، و ثانیاً بما ذا یحصل هذا الیقین مع إمکان الفرض بأن لا ینتهی النکاح إلی الظلم و عدم العدالة بعد وقوعه؟ و علی فرض حصول الیقین قلنا بعدم حرمة مقدّمة الحرام علی الإطلاق، و من قال به یقول فیما إذا کانت موصلة، فعلی هذا لا دلیل علی حرمة النکاح؛ لإطلاق أدلّته و عدم وجود ما یقیّدها، و أمّا الظلم بالمرأة و عدم العدالة بین الزوجات، و عدم الحاجة إلی النکاح فهی تکالیف أُخری ینبغی للشخص رعایتها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الزواج مکروهاً، فهو مع انتفاء الشهوة بالکُلّیة کما فی العنّین و المریض مرضاً ملازماً یمنعه عن الوط‌ء، فإنّ الظاهر رجحان الترک بالنسبة إلیه؛ لانتفاء مصالح النکاح فیه، و منعه الزوجة من التحصّن بغیره، و لاشتغاله عن العلم و العبادة بما لا فائدة فیه</w:t>
      </w:r>
      <w:r>
        <w:rPr>
          <w:rStyle w:val="FootnoteAnchor"/>
          <w:rtl w:val="true"/>
        </w:rPr>
        <w:footnoteReference w:id="59"/>
      </w:r>
      <w:r>
        <w:rPr>
          <w:rFonts w:ascii="Amiri" w:hAnsi="Amiri" w:eastAsia="Amiri" w:cs="Amiri"/>
          <w:color w:val="111111"/>
          <w:sz w:val="28"/>
          <w:sz w:val="28"/>
          <w:szCs w:val="28"/>
          <w:rtl w:val="true"/>
          <w:lang w:bidi="ar-SA"/>
        </w:rPr>
        <w:t>، هذا قول ابن حمزة</w:t>
      </w:r>
      <w:r>
        <w:rPr>
          <w:rStyle w:val="FootnoteAnchor"/>
          <w:rtl w:val="true"/>
        </w:rPr>
        <w:footnoteReference w:id="60"/>
      </w:r>
      <w:r>
        <w:rPr>
          <w:rFonts w:ascii="IRNazanin" w:hAnsi="IRNazanin" w:eastAsia="IRNazanin"/>
          <w:color w:val="111111"/>
          <w:sz w:val="28"/>
          <w:sz w:val="28"/>
          <w:szCs w:val="28"/>
          <w:rtl w:val="true"/>
          <w:lang w:bidi="fa-IR"/>
        </w:rPr>
        <w:t>، و إن کان لا یخلو من نظر کما قال فی الجواهر</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یکره النکاح أیضاً عند بعض أهل السنّة، إذا خاف الشخص الوقوع فی الجور و الضرر خوفاً لا یصل إلی مرتبة الیقین إن تزوّج، لعجزه عن الإنفاق، أو إساءة العشرة، أو فتور الرغبة فی النساء، و تکون الکراهة عند الحنفیّة تحریمیّة أو</w:t>
      </w:r>
    </w:p>
    <w:p>
      <w:pPr>
        <w:pStyle w:val="BookText"/>
        <w:rPr/>
      </w:pPr>
      <w:r>
        <w:rPr>
          <w:rFonts w:ascii="IRNazanin" w:hAnsi="IRNazanin" w:eastAsia="IRNazanin"/>
          <w:color w:val="111111"/>
          <w:sz w:val="28"/>
          <w:sz w:val="28"/>
          <w:szCs w:val="28"/>
          <w:rtl w:val="true"/>
          <w:lang w:bidi="fa-IR"/>
        </w:rPr>
        <w:t>تنزیهیة بحسب قوّة الخوف و ضعفه</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لا شهوة له إمّا لأنّه لم تخلق له شهوة کالعنّین، أو کانت له شهوة فذهبت بکبرٍ أو مرضٍ و نحوه ففیه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له النکاح؛ للعمومات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النکاح؛ لأنّه لا تتحقّق الغایة من النکاح، و یمنع زوجته من التحصین و یضرّ بها بحبسها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الأخبار تحمل علی من له شهوة؛ لما فیها من القرائن الدّالة علیه</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یظهر ما فیه أیضاً ممّا قلنا فی جواب القول بالتحریم من عموم الأدلّة و إطلاقها، و عدم وجود المقیّد أو المخصّص لها یردّ هذه الأقوال کُلّیةً، و هو معلوم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الزواج مستحبّاً، و مرّ الکلام عنه فی المبحث الأول فلا نعیده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الزواج مباحاً إذا تضمّن ترک النکاح مصلحةً تساوی مصلحة الفعل، فإنّ ذلک قد یتّفق کما إذا خاف من تلف مالٍ معتدٍّ به بواسطة التزویج، أو تضیع عیالٍ له فی محلّ آخر مع وجود الشهوة و کمال الرغبة</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بعض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اشتهی کلّ واحد من الرجل و المرأة النکاح و لا یقدر علیه أو یقدر علیه و لا یشتهی فهو مباح</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الشافعی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الشخص معتدل المزاج، فالزواج فی حقّه مباح یجوز فعله و ترکه</w:t>
      </w:r>
      <w:r>
        <w:rPr>
          <w:rFonts w:eastAsia="IRNazanin" w:cs="IRNazanin"/>
          <w:color w:val="111111"/>
          <w:sz w:val="28"/>
          <w:szCs w:val="28"/>
          <w:rtl w:val="true"/>
          <w:lang w:bidi="fa-IR"/>
        </w:rPr>
        <w:t>»</w:t>
      </w:r>
      <w:r>
        <w:rPr>
          <w:rStyle w:val="FootnoteAnchor"/>
          <w:rtl w:val="true"/>
        </w:rPr>
        <w:footnoteReference w:id="66"/>
      </w:r>
      <w:bookmarkStart w:id="73" w:name="pg11752_146063"/>
    </w:p>
    <w:p>
      <w:pPr>
        <w:pStyle w:val="Heading3"/>
        <w:numPr>
          <w:ilvl w:val="2"/>
          <w:numId w:val="1"/>
        </w:numPr>
        <w:rPr/>
      </w:pPr>
      <w:bookmarkStart w:id="74" w:name="__RefHeading___Toc9423830_73709187"/>
      <w:bookmarkStart w:id="75" w:name="_Toc29"/>
      <w:bookmarkEnd w:id="73"/>
      <w:bookmarkEnd w:id="74"/>
      <w:r>
        <w:rPr>
          <w:rtl w:val="true"/>
        </w:rPr>
        <w:t>الفصل الثانی فی بیان صفات الزوجین</w:t>
      </w:r>
      <w:bookmarkEnd w:id="75"/>
    </w:p>
    <w:p>
      <w:pPr>
        <w:pStyle w:val="Heading4"/>
        <w:numPr>
          <w:ilvl w:val="3"/>
          <w:numId w:val="1"/>
        </w:numPr>
        <w:rPr/>
      </w:pPr>
      <w:bookmarkStart w:id="76" w:name="__RefHeading___Toc9423832_73709187"/>
      <w:bookmarkStart w:id="77" w:name="_Toc30"/>
      <w:bookmarkEnd w:id="76"/>
      <w:r>
        <w:rPr>
          <w:rtl w:val="true"/>
        </w:rPr>
        <w:t>المبحث الأوّل</w:t>
      </w:r>
      <w:r>
        <w:rPr>
          <w:rtl w:val="true"/>
        </w:rPr>
        <w:t xml:space="preserve">: </w:t>
      </w:r>
      <w:r>
        <w:rPr>
          <w:rtl w:val="true"/>
        </w:rPr>
        <w:t>فی الصفات التی یستحبّ النکاح لأجلها</w:t>
      </w:r>
      <w:bookmarkEnd w:id="77"/>
    </w:p>
    <w:p>
      <w:pPr>
        <w:pStyle w:val="Heading5"/>
        <w:numPr>
          <w:ilvl w:val="4"/>
          <w:numId w:val="1"/>
        </w:numPr>
        <w:rPr/>
      </w:pPr>
      <w:bookmarkStart w:id="78" w:name="__RefHeading___Toc9423834_73709187"/>
      <w:bookmarkStart w:id="79" w:name="_Toc31"/>
      <w:bookmarkEnd w:id="78"/>
      <w:r>
        <w:rPr>
          <w:rtl w:val="true"/>
        </w:rPr>
        <w:t>اشارة</w:t>
      </w:r>
      <w:bookmarkEnd w:id="79"/>
    </w:p>
    <w:p>
      <w:pPr>
        <w:pStyle w:val="BookText"/>
        <w:rPr/>
      </w:pPr>
      <w:r>
        <w:rPr>
          <w:rFonts w:ascii="IRNazanin" w:hAnsi="IRNazanin" w:eastAsia="IRNazanin"/>
          <w:color w:val="111111"/>
          <w:sz w:val="28"/>
          <w:sz w:val="28"/>
          <w:szCs w:val="28"/>
          <w:rtl w:val="true"/>
          <w:lang w:bidi="fa-IR"/>
        </w:rPr>
        <w:t>قلنا بأنّ الإسلام اهتمّ بأمر الأولاد کثیراً، و لأجل ذلک رغّب من قصد الزواج أن یختار من النساء اللاتی جمعت فیهنّ صفات إن روعیت تکون سبباً للمحبّة و الرأفة و الرّحمة بین الزوجین، و ینجبان أولاداً یتمتّعون بالصحّة و السلامة و الرشد أکثر ممّن لم توجد فیهن هذه الصفات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 أن نبیّن الصفات التی وردت فی النصوص یلزم أن نذکّر بأنّ ما ذکر من الصفات و إن ذکرت بعنوان صفات النساء، و لکن الرجل یشارک المرأة فی بعضها و لا تختصّ بها جمیعاً</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الصفات لطبیعة الإنسان الذی یرید التزویج أعمّ من أن یکون رجلاً أو امرأةً، مثلاً إذا قیل بأنّه یستحبّ أن تکون المرأة کریمة الأصل، ذات دینٍ، غیر سیّئة الخلق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الصفات لا تختصّ بالمرأة، بل یستحبّ أن تراعی فیهما، بأن یختار الرجل المرأة التی لها هذه الصفات، و تختار المرأة الرجل الذی یکون کذلک، و لأجل أنّ العرف و العادة یقتضیان أن یختار الرجلُ المرأةَ، و هو الذی یصمّم علی الزواج ابتداءً و نهایة، ذکرت الصفات بعنوان صفات النساء</w:t>
      </w:r>
    </w:p>
    <w:p>
      <w:pPr>
        <w:pStyle w:val="BookText"/>
        <w:rPr/>
      </w:pPr>
      <w:r>
        <w:rPr>
          <w:rFonts w:ascii="IRNazanin" w:hAnsi="IRNazanin" w:eastAsia="IRNazanin"/>
          <w:color w:val="111111"/>
          <w:sz w:val="28"/>
          <w:sz w:val="28"/>
          <w:szCs w:val="28"/>
          <w:rtl w:val="true"/>
          <w:lang w:bidi="fa-IR"/>
        </w:rPr>
        <w:t>فقط، و إلاّ أمر التزویج مشترک بین المرأة و الرجل، و هکذا الأولاد لهما، و علیهما المسئولیّة فی کلّ الأحوال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علی هذا ما ورد من النصوص بلزوم مراعاة الکفاءة فی التزویج، فقد 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أنکحُوا الأکفاء و انکحُوا فیهم و اختاروا لنُطفکم</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اختاروا لنطفکم فإنّ الخال أحد الضجیعین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قریب من هذین النصّین نقل من طریق أهل السنّة أیضاً</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أن یختار الرجل المرأة التی توافرت علی الصفات التی وردت فی النصوص، و من ناحیةٍ أخری یستحبّ رعایة الکفاءة فی التزویج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فینتج أنّه یستحبّ أن تتوفّر الصفات فی المرأة و الرجل بمقتضی حالیهما، مع أنّه ورد فی الروایات صفات الرجل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قویّاً أنّ رعایة بعض الصفات فی المرأة أهمّ ممّا فی الرجل؛ حیث ثبت أنّ صفات المرأة تنتقل إلی الأولاد من طریق الرضاع، کما یشیر إلیه قول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الخال أحد الضجیعین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الروایة الأخیرة، و فی حدیث آخر عنه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تخیّروا لنطفکم فإنّ الأبناء تشبه الأخوال</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المعجم الوسیط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أضجع و ضجع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مال فی نطفها کما تُمال الألف إلی الیاء</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مجمع البحرین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 معنی الروایة أنّ أُخت الخال أحد الضجیعین، فإذا کان الخال شریفاً کان ابن الأخت شریفاً أو بنت الأخت کذلک، و إذا کان</w:t>
      </w:r>
      <w:bookmarkStart w:id="80" w:name="pg11752_146065"/>
    </w:p>
    <w:p>
      <w:pPr>
        <w:pStyle w:val="BookText"/>
        <w:rPr/>
      </w:pPr>
      <w:bookmarkEnd w:id="80"/>
      <w:r>
        <w:rPr>
          <w:rFonts w:ascii="Amiri" w:hAnsi="Amiri" w:eastAsia="Amiri" w:cs="Amiri"/>
          <w:color w:val="111111"/>
          <w:sz w:val="28"/>
          <w:sz w:val="28"/>
          <w:szCs w:val="28"/>
          <w:rtl w:val="true"/>
          <w:lang w:bidi="ar-SA"/>
        </w:rPr>
        <w:t>وضیعاً کان الولد وضیعاً</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لعلّ هذا هو السرّ فی أنّه ذکرت فی النصوص، الصفات التی یستحبّ رعایتها فی النکاح من المرأة أکثر ممّا فی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تقدیر فإنّ الصفات التی وردت فی النصوص للمرأة أو الرجل کثیرة، نذکر أهمّها اختصاراً علی الترتیب التالی</w:t>
      </w:r>
      <w:r>
        <w:rPr>
          <w:rFonts w:eastAsia="IRNazanin" w:cs="IRNazanin"/>
          <w:color w:val="111111"/>
          <w:sz w:val="28"/>
          <w:szCs w:val="28"/>
          <w:rtl w:val="true"/>
          <w:lang w:bidi="fa-IR"/>
        </w:rPr>
        <w:t>:</w:t>
      </w:r>
    </w:p>
    <w:p>
      <w:pPr>
        <w:pStyle w:val="Heading5"/>
        <w:numPr>
          <w:ilvl w:val="4"/>
          <w:numId w:val="1"/>
        </w:numPr>
        <w:rPr/>
      </w:pPr>
      <w:bookmarkStart w:id="81" w:name="__RefHeading___Toc9423836_73709187"/>
      <w:bookmarkStart w:id="82" w:name="_Toc32"/>
      <w:bookmarkEnd w:id="81"/>
      <w:r>
        <w:rPr>
          <w:rtl w:val="true"/>
        </w:rPr>
        <w:t>صفات المرأة</w:t>
      </w:r>
      <w:bookmarkEnd w:id="82"/>
    </w:p>
    <w:p>
      <w:pPr>
        <w:pStyle w:val="Heading6"/>
        <w:numPr>
          <w:ilvl w:val="5"/>
          <w:numId w:val="1"/>
        </w:numPr>
        <w:rPr/>
      </w:pPr>
      <w:bookmarkStart w:id="83" w:name="__RefHeading___Toc9423838_73709187"/>
      <w:bookmarkStart w:id="84" w:name="_Toc33"/>
      <w:bookmarkEnd w:id="83"/>
      <w:r>
        <w:rPr>
          <w:rtl w:val="true"/>
        </w:rPr>
        <w:t xml:space="preserve">أ </w:t>
      </w:r>
      <w:r>
        <w:rPr>
          <w:rtl w:val="true"/>
        </w:rPr>
        <w:t xml:space="preserve">- </w:t>
      </w:r>
      <w:r>
        <w:rPr>
          <w:rtl w:val="true"/>
        </w:rPr>
        <w:t>أن تکون المرأة کریمة الأصل ذات دِینٍ‌</w:t>
      </w:r>
      <w:bookmarkEnd w:id="84"/>
    </w:p>
    <w:p>
      <w:pPr>
        <w:pStyle w:val="BookText"/>
        <w:rPr/>
      </w:pPr>
      <w:r>
        <w:rPr>
          <w:rFonts w:ascii="IRNazanin" w:hAnsi="IRNazanin" w:eastAsia="IRNazanin"/>
          <w:color w:val="111111"/>
          <w:sz w:val="28"/>
          <w:sz w:val="28"/>
          <w:szCs w:val="28"/>
          <w:rtl w:val="true"/>
          <w:lang w:bidi="fa-IR"/>
        </w:rPr>
        <w:t>یستحبّ أن تکون المرأة کریمة الأصل ذات دِین، بأن لا تکون من زنا أو حیض أو شبهة، أو ممّن تنال الألسن أحداً من آبائها و امّهاتها، و أن یکون أبواها مؤمنین صالحین لیس فیهما ما هو معیب و مذموم، و کذا لم تکن هی نفسها مذمومة الخلق فاسدة الاعتقاد، ذهب إلی ذلک الشیعة</w:t>
      </w:r>
      <w:r>
        <w:rPr>
          <w:rStyle w:val="FootnoteAnchor"/>
          <w:rtl w:val="true"/>
        </w:rPr>
        <w:footnoteReference w:id="72"/>
      </w:r>
      <w:r>
        <w:rPr>
          <w:rFonts w:ascii="Amiri" w:hAnsi="Amiri" w:eastAsia="Amiri" w:cs="Amiri"/>
          <w:color w:val="111111"/>
          <w:sz w:val="28"/>
          <w:sz w:val="28"/>
          <w:szCs w:val="28"/>
          <w:rtl w:val="true"/>
          <w:lang w:bidi="ar-SA"/>
        </w:rPr>
        <w:t>و السنّة</w:t>
      </w:r>
      <w:r>
        <w:rPr>
          <w:rStyle w:val="FootnoteAnchor"/>
          <w:rtl w:val="true"/>
        </w:rPr>
        <w:footnoteReference w:id="73"/>
      </w:r>
      <w:r>
        <w:rPr>
          <w:rFonts w:ascii="IRNazanin" w:hAnsi="IRNazanin" w:eastAsia="IRNazanin"/>
          <w:color w:val="111111"/>
          <w:sz w:val="28"/>
          <w:sz w:val="28"/>
          <w:szCs w:val="28"/>
          <w:rtl w:val="true"/>
          <w:lang w:bidi="fa-IR"/>
        </w:rPr>
        <w:t>و یدلّ علی ذلک أحادیث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روی عن رسول اللّه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إیّاکم و خضراء الدّمن،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خضراء الدّمن؟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الحسناء فی منبت السوء</w:t>
      </w:r>
      <w:r>
        <w:rPr>
          <w:rFonts w:eastAsia="IRNazanin" w:cs="IRNazanin"/>
          <w:color w:val="111111"/>
          <w:sz w:val="28"/>
          <w:szCs w:val="28"/>
          <w:rtl w:val="true"/>
          <w:lang w:bidi="fa-IR"/>
        </w:rPr>
        <w:t>»</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هذا المضمون عن طریق أهل السنّة</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رواه محمد بن مسلم،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رجل النبیّ صلی الله علیه و آله یستأمره فی النکاح، فقال له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انکح و علیک بذات الدِّین تربت</w:t>
      </w:r>
      <w:bookmarkStart w:id="85" w:name="pg11752_146066"/>
    </w:p>
    <w:p>
      <w:pPr>
        <w:pStyle w:val="BookText"/>
        <w:rPr/>
      </w:pPr>
      <w:bookmarkEnd w:id="85"/>
      <w:r>
        <w:rPr>
          <w:rFonts w:ascii="IRNazanin" w:hAnsi="IRNazanin" w:eastAsia="IRNazanin"/>
          <w:color w:val="111111"/>
          <w:sz w:val="28"/>
          <w:sz w:val="28"/>
          <w:szCs w:val="28"/>
          <w:rtl w:val="true"/>
          <w:lang w:bidi="fa-IR"/>
        </w:rPr>
        <w:t>یداک</w:t>
      </w:r>
      <w:r>
        <w:rPr>
          <w:rFonts w:eastAsia="IRNazanin" w:cs="IRNazanin"/>
          <w:color w:val="111111"/>
          <w:sz w:val="28"/>
          <w:szCs w:val="28"/>
          <w:rtl w:val="true"/>
          <w:lang w:bidi="fa-IR"/>
        </w:rPr>
        <w:t>»</w:t>
      </w:r>
      <w:r>
        <w:rPr>
          <w:rStyle w:val="FootnoteAnchor"/>
          <w:rtl w:val="true"/>
        </w:rPr>
        <w:footnoteReference w:id="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المضمون ذکر عن طریق أبو هریرة أیضاً</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تربت یداک، استغنت إن فعلت، أو افتقرت إن خالفت</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6"/>
        <w:numPr>
          <w:ilvl w:val="5"/>
          <w:numId w:val="1"/>
        </w:numPr>
        <w:rPr/>
      </w:pPr>
      <w:bookmarkStart w:id="86" w:name="__RefHeading___Toc9423840_73709187"/>
      <w:bookmarkStart w:id="87" w:name="_Toc34"/>
      <w:bookmarkEnd w:id="86"/>
      <w:r>
        <w:rPr>
          <w:rtl w:val="true"/>
        </w:rPr>
        <w:t xml:space="preserve">ب </w:t>
      </w:r>
      <w:r>
        <w:rPr>
          <w:rtl w:val="true"/>
        </w:rPr>
        <w:t xml:space="preserve">- </w:t>
      </w:r>
      <w:r>
        <w:rPr>
          <w:rtl w:val="true"/>
        </w:rPr>
        <w:t>أن تکون باکرةً‌</w:t>
      </w:r>
      <w:bookmarkEnd w:id="87"/>
    </w:p>
    <w:p>
      <w:pPr>
        <w:pStyle w:val="BookText"/>
        <w:rPr/>
      </w:pPr>
      <w:r>
        <w:rPr>
          <w:rFonts w:ascii="IRNazanin" w:hAnsi="IRNazanin" w:eastAsia="IRNazanin"/>
          <w:color w:val="111111"/>
          <w:sz w:val="28"/>
          <w:sz w:val="28"/>
          <w:szCs w:val="28"/>
          <w:rtl w:val="true"/>
          <w:lang w:bidi="fa-IR"/>
        </w:rPr>
        <w:t>و یستحبّ أن تکون المرأة باکرةً؛ لکونها أحری بالمواقعة و الائتلاف، قال بذلک الشیعة</w:t>
      </w:r>
      <w:r>
        <w:rPr>
          <w:rStyle w:val="FootnoteAnchor"/>
          <w:rtl w:val="true"/>
        </w:rPr>
        <w:footnoteReference w:id="78"/>
      </w:r>
      <w:r>
        <w:rPr>
          <w:rFonts w:ascii="Amiri" w:hAnsi="Amiri" w:eastAsia="Amiri" w:cs="Amiri"/>
          <w:color w:val="111111"/>
          <w:sz w:val="28"/>
          <w:sz w:val="28"/>
          <w:szCs w:val="28"/>
          <w:rtl w:val="true"/>
          <w:lang w:bidi="ar-SA"/>
        </w:rPr>
        <w:t>و أهل السنّة</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تدلّ علیها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رواه عبد الأعلی بن أعین،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تزوّجوا الأبکار فإنَّهن أطیب شیءٍ أفواهاً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حدیثٍ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أنشفه</w:t>
      </w:r>
      <w:r>
        <w:rPr>
          <w:rStyle w:val="FootnoteAnchor"/>
          <w:rtl w:val="true"/>
        </w:rPr>
        <w:footnoteReference w:id="80"/>
      </w:r>
      <w:r>
        <w:rPr>
          <w:rFonts w:ascii="IRNazanin" w:hAnsi="IRNazanin" w:eastAsia="IRNazanin"/>
          <w:color w:val="111111"/>
          <w:sz w:val="28"/>
          <w:sz w:val="28"/>
          <w:szCs w:val="28"/>
          <w:rtl w:val="true"/>
          <w:lang w:bidi="fa-IR"/>
        </w:rPr>
        <w:t>أرحاماً و أدرّ شیء أخلافاً، و أفتح شیء أرحاماً، أ ما علمتم أنّی اباهی بکم الاُمم یوم القیامة حتّی بالسقط</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رواه المشایخ الثلاثة عن إبراهیم الکرخیّ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صاحبتی هلکت، و کانت لی موافقةً، و قد هممت أن أتزوّج؟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أین تضع نفسک و مَن تشرکه فی مالک، و تطلعه علی دینک و سرّک فإن کُنت لا بدَّ فاعلاً فبکراً تنسب إلی الخیر و إلی حُسن الخلق</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ورد من طریق أهل السنّة أنّ رسول اللّه صلی الله علیه و آله قال لجابر و قد تزوّج ثیّباً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فهلاّ</w:t>
      </w:r>
      <w:bookmarkStart w:id="88" w:name="pg11752_146067"/>
    </w:p>
    <w:p>
      <w:pPr>
        <w:pStyle w:val="BookText"/>
        <w:rPr/>
      </w:pPr>
      <w:bookmarkEnd w:id="88"/>
      <w:r>
        <w:rPr>
          <w:rFonts w:ascii="IRNazanin" w:hAnsi="IRNazanin" w:eastAsia="IRNazanin"/>
          <w:color w:val="111111"/>
          <w:sz w:val="28"/>
          <w:sz w:val="28"/>
          <w:szCs w:val="28"/>
          <w:rtl w:val="true"/>
          <w:lang w:bidi="fa-IR"/>
        </w:rPr>
        <w:t>بکراً تلاعبها و تلاعبک و تضاحکها و تضاحکک؟</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هکذا روی ابن ماجة أنّه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علیکم بالأبکار، فإنهنَّ أعذبُ أفواهاً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ألین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أنتق أرحاماً</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أی أکثر أولاداً</w:t>
      </w:r>
      <w:r>
        <w:rPr>
          <w:rFonts w:eastAsia="IRNazanin" w:cs="IRNazanin"/>
          <w:color w:val="111111"/>
          <w:sz w:val="28"/>
          <w:szCs w:val="28"/>
          <w:rtl w:val="true"/>
          <w:lang w:bidi="fa-IR"/>
        </w:rPr>
        <w:t>.</w:t>
      </w:r>
    </w:p>
    <w:p>
      <w:pPr>
        <w:pStyle w:val="Heading6"/>
        <w:numPr>
          <w:ilvl w:val="5"/>
          <w:numId w:val="1"/>
        </w:numPr>
        <w:rPr/>
      </w:pPr>
      <w:bookmarkStart w:id="89" w:name="__RefHeading___Toc9423842_73709187"/>
      <w:bookmarkStart w:id="90" w:name="_Toc35"/>
      <w:bookmarkEnd w:id="89"/>
      <w:r>
        <w:rPr>
          <w:rtl w:val="true"/>
        </w:rPr>
        <w:t xml:space="preserve">ج </w:t>
      </w:r>
      <w:r>
        <w:rPr>
          <w:rtl w:val="true"/>
        </w:rPr>
        <w:t xml:space="preserve">- </w:t>
      </w:r>
      <w:r>
        <w:rPr>
          <w:rtl w:val="true"/>
        </w:rPr>
        <w:t>أن تکون المرأة عفیفةً، ولوداً، و دوداً</w:t>
      </w:r>
      <w:bookmarkEnd w:id="90"/>
    </w:p>
    <w:p>
      <w:pPr>
        <w:pStyle w:val="BookText"/>
        <w:rPr/>
      </w:pPr>
      <w:r>
        <w:rPr>
          <w:rFonts w:ascii="IRNazanin" w:hAnsi="IRNazanin" w:eastAsia="IRNazanin"/>
          <w:color w:val="111111"/>
          <w:sz w:val="28"/>
          <w:sz w:val="28"/>
          <w:szCs w:val="28"/>
          <w:rtl w:val="true"/>
          <w:lang w:bidi="fa-IR"/>
        </w:rPr>
        <w:t>من الصفات الحسنة فی الزوجة أن تکون ولوداً و دوداً عفیفةً تعین زوجها طیلة حیاته علی دنیاه و آخرته، و المراد بالولود، ما من شأنها ذلک، بأن لا تکون صغیرةً و لا یائسة، و لا فی مزاجها ما یدلّ علی عُقمها، کعدم الحیض، و بهذا یجمع بین الولود و البکر، و الأولی فی معرفة کون البکر ولوداً الرجوع إلی نساء أقاربها و أخواتها، بأن لا یَکُنَّ عقیمات، و باستحباب ذلک قالت الشیعة</w:t>
      </w:r>
      <w:r>
        <w:rPr>
          <w:rStyle w:val="FootnoteAnchor"/>
          <w:rtl w:val="true"/>
        </w:rPr>
        <w:footnoteReference w:id="85"/>
      </w:r>
      <w:r>
        <w:rPr>
          <w:rFonts w:ascii="Amiri" w:hAnsi="Amiri" w:eastAsia="Amiri" w:cs="Amiri"/>
          <w:color w:val="111111"/>
          <w:sz w:val="28"/>
          <w:sz w:val="28"/>
          <w:szCs w:val="28"/>
          <w:rtl w:val="true"/>
          <w:lang w:bidi="ar-SA"/>
        </w:rPr>
        <w:t>و أهل السنّة</w:t>
      </w:r>
      <w:r>
        <w:rPr>
          <w:rStyle w:val="FootnoteAnchor"/>
          <w:rtl w:val="true"/>
        </w:rPr>
        <w:footnoteReference w:id="86"/>
      </w:r>
      <w:r>
        <w:rPr>
          <w:rFonts w:ascii="Amiri" w:hAnsi="Amiri" w:eastAsia="Amiri" w:cs="Amiri"/>
          <w:color w:val="111111"/>
          <w:sz w:val="28"/>
          <w:sz w:val="28"/>
          <w:szCs w:val="28"/>
          <w:rtl w:val="true"/>
          <w:lang w:bidi="ar-SA"/>
        </w:rPr>
        <w:t>، و یدلُّ علی ذلک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رواه أبی حمزة، عن جابر بن عبد اللّه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کنّا عند النبیّ صلی الله علیه و آله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خیر نسائکم الولود، الودود، العفیفة، العزیزة فی أهلها، الذّلیلة مع بعلها، المتبرّجة مع زوجها، الحصان علی غیره، التی تسمع قوله و تطیع أمره، و إذا خلا بها بذلت له ما یرید منها، و لم تبذل کتبذّل الرجُل</w:t>
      </w:r>
      <w:r>
        <w:rPr>
          <w:rFonts w:eastAsia="IRNazanin" w:cs="IRNazanin"/>
          <w:color w:val="111111"/>
          <w:sz w:val="28"/>
          <w:szCs w:val="28"/>
          <w:rtl w:val="true"/>
          <w:lang w:bidi="fa-IR"/>
        </w:rPr>
        <w:t>»</w:t>
      </w:r>
      <w:r>
        <w:rPr>
          <w:rStyle w:val="FootnoteAnchor"/>
          <w:rtl w:val="true"/>
        </w:rPr>
        <w:footnoteReference w:id="87"/>
      </w:r>
      <w:bookmarkStart w:id="91" w:name="pg11752_146068"/>
    </w:p>
    <w:p>
      <w:pPr>
        <w:pStyle w:val="BookText"/>
        <w:rPr/>
      </w:pPr>
      <w:bookmarkEnd w:id="91"/>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سعید الخدری فی وصیّة النبیّ صلی الله علیه و آله لعلیّ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امنع العروس فی أسبوعک من الألبان و الخلّ و الکزبرة و التفّاح الحامض من هذه الأشیاء،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 لأیّ شیءٍ أمنعُها من هذه الأشیاء الأربعة؟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الرحم یعقم و یبرد من هذه الأشیاء الأربعة عن الولد، و لحصیر فی ناحیة البیت خیر من امرأةٍ لا تلد</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رواه أبو داود و الحاکم عنه صلی الله علیه و آله أیضاً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تزوّجوا الودود الولود، فإنّی مکاثر بکم الأمم یوم القیامة</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امرأة ولود أحبّ إلی اللّه من امرأةٍ حسناء لا تلد</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إلی غیر ذلک من الروایات</w:t>
      </w:r>
      <w:r>
        <w:rPr>
          <w:rFonts w:eastAsia="IRNazanin" w:cs="IRNazanin"/>
          <w:color w:val="111111"/>
          <w:sz w:val="28"/>
          <w:szCs w:val="28"/>
          <w:rtl w:val="true"/>
          <w:lang w:bidi="fa-IR"/>
        </w:rPr>
        <w:t>.</w:t>
      </w:r>
    </w:p>
    <w:p>
      <w:pPr>
        <w:pStyle w:val="Heading6"/>
        <w:numPr>
          <w:ilvl w:val="5"/>
          <w:numId w:val="1"/>
        </w:numPr>
        <w:rPr/>
      </w:pPr>
      <w:bookmarkStart w:id="92" w:name="__RefHeading___Toc9423844_73709187"/>
      <w:bookmarkStart w:id="93" w:name="_Toc36"/>
      <w:bookmarkEnd w:id="92"/>
      <w:r>
        <w:rPr>
          <w:rtl w:val="true"/>
        </w:rPr>
        <w:t xml:space="preserve">د </w:t>
      </w:r>
      <w:r>
        <w:rPr>
          <w:rtl w:val="true"/>
        </w:rPr>
        <w:t xml:space="preserve">- </w:t>
      </w:r>
      <w:r>
        <w:rPr>
          <w:rtl w:val="true"/>
        </w:rPr>
        <w:t>أن تکون جمیلةً ذات شعرٍ</w:t>
      </w:r>
      <w:bookmarkEnd w:id="93"/>
    </w:p>
    <w:p>
      <w:pPr>
        <w:pStyle w:val="BookText"/>
        <w:rPr/>
      </w:pPr>
      <w:r>
        <w:rPr>
          <w:rFonts w:ascii="IRNazanin" w:hAnsi="IRNazanin" w:eastAsia="IRNazanin"/>
          <w:color w:val="111111"/>
          <w:sz w:val="28"/>
          <w:sz w:val="28"/>
          <w:szCs w:val="28"/>
          <w:rtl w:val="true"/>
          <w:lang w:bidi="fa-IR"/>
        </w:rPr>
        <w:t>و یستحبّ أن تکون المرأة جمیلة ذات شعرٍ و خلق حسن، ذهب إلیه الشیعة</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و بعض أهل السنّة</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علیه 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رواه مرفوعاً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الجمیلة تقطع البلغم</w:t>
      </w:r>
      <w:r>
        <w:rPr>
          <w:rStyle w:val="FootnoteAnchor"/>
          <w:rtl w:val="true"/>
        </w:rPr>
        <w:footnoteReference w:id="93"/>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رواه الصدوق فی المقنع</w:t>
      </w:r>
      <w:r>
        <w:rPr>
          <w:rStyle w:val="FootnoteAnchor"/>
          <w:rtl w:val="true"/>
        </w:rPr>
        <w:footnoteReference w:id="94"/>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bookmarkStart w:id="94" w:name="pg11752_146069"/>
    </w:p>
    <w:p>
      <w:pPr>
        <w:pStyle w:val="BookText"/>
        <w:rPr/>
      </w:pPr>
      <w:bookmarkEnd w:id="94"/>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رواه فی الفقیه عنه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أراد أحدکم أن یتزوّج فلیسأل عن شعرها کما یسأل عن وجهها، فإنَّ الشعر أحد الجمالین</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ورد عن طریق أهل السنّة أیضاً أنّه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المرأة تُنکح لدینها و مالها و جمالها</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اعلم أنّه لا شکّ فی أهمّیة الجمال و الثروة و حسنهما، و لکن ینبغی إذا أراد الرجل التزویج أن لا یقتصر علی الجمال و الثروة فقط، فإذا قصر و کانت هدفه فی تحصیل زوجة ذات جمالٍ أو مالٍ و لم یکن هدفه الدین، فإنّ اللّه یَکِلُه إلی إرادته، و لم یوفّقه لنیل حسنها و التمتع من مالها، کما ورد فی صحیحة هشام بن الحکم، 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تزوّج الرجل المرأة لجمالها أو مالها وکّل إلی ذلک، و إذا تزوَّجها لدینها رزقه اللّه الجمال و المال</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5" w:name="__RefHeading___Toc9423846_73709187"/>
      <w:bookmarkStart w:id="96" w:name="_Toc37"/>
      <w:bookmarkEnd w:id="95"/>
      <w:r>
        <w:rPr>
          <w:rtl w:val="true"/>
        </w:rPr>
        <w:t xml:space="preserve">ه </w:t>
      </w:r>
      <w:r>
        <w:rPr>
          <w:rtl w:val="true"/>
        </w:rPr>
        <w:t xml:space="preserve">- </w:t>
      </w:r>
      <w:r>
        <w:rPr>
          <w:rtl w:val="true"/>
        </w:rPr>
        <w:t>أن تکون صالحة مطیعة</w:t>
      </w:r>
      <w:bookmarkEnd w:id="96"/>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یستحبّ کونها صالحة مطیعة حافظة لنفسها و مال زوجها</w:t>
      </w:r>
      <w:r>
        <w:rPr>
          <w:rStyle w:val="FootnoteAnchor"/>
          <w:rtl w:val="true"/>
        </w:rPr>
        <w:footnoteReference w:id="98"/>
      </w:r>
      <w:r>
        <w:rPr>
          <w:rFonts w:ascii="IRNazanin" w:hAnsi="IRNazanin" w:eastAsia="IRNazanin"/>
          <w:color w:val="111111"/>
          <w:sz w:val="28"/>
          <w:sz w:val="28"/>
          <w:szCs w:val="28"/>
          <w:rtl w:val="true"/>
          <w:lang w:bidi="fa-IR"/>
        </w:rPr>
        <w:t>، و تُعینه علی طلب الدنیا و الآخرة</w:t>
      </w:r>
      <w:r>
        <w:rPr>
          <w:rStyle w:val="FootnoteAnchor"/>
          <w:rtl w:val="true"/>
        </w:rPr>
        <w:footnoteReference w:id="99"/>
      </w:r>
      <w:r>
        <w:rPr>
          <w:rFonts w:ascii="IRNazanin" w:hAnsi="IRNazanin" w:eastAsia="IRNazanin"/>
          <w:color w:val="111111"/>
          <w:sz w:val="28"/>
          <w:sz w:val="28"/>
          <w:szCs w:val="28"/>
          <w:rtl w:val="true"/>
          <w:lang w:bidi="fa-IR"/>
        </w:rPr>
        <w:t>، کما عن الصادق، عن آبائه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استفاد امرؤ مسلم فائدة بعد الإسلام أفضل من زوجةٍ مسلمة، تسرّه إذا نظر إلیها، و تطیعُهُ إذا أمرها، و تحفظهُ إذا غاب عنها فی نفسها</w:t>
      </w:r>
      <w:r>
        <w:rPr>
          <w:rFonts w:eastAsia="IRNazanin" w:cs="IRNazanin"/>
          <w:color w:val="111111"/>
          <w:sz w:val="28"/>
          <w:szCs w:val="28"/>
          <w:rtl w:val="true"/>
          <w:lang w:bidi="fa-IR"/>
        </w:rPr>
        <w:t>»</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المضمون جاء</w:t>
      </w:r>
      <w:bookmarkStart w:id="97" w:name="pg11752_146070"/>
    </w:p>
    <w:p>
      <w:pPr>
        <w:pStyle w:val="BookText"/>
        <w:rPr/>
      </w:pPr>
      <w:bookmarkEnd w:id="97"/>
      <w:r>
        <w:rPr>
          <w:rFonts w:ascii="IRNazanin" w:hAnsi="IRNazanin" w:eastAsia="IRNazanin"/>
          <w:color w:val="111111"/>
          <w:sz w:val="28"/>
          <w:sz w:val="28"/>
          <w:szCs w:val="28"/>
          <w:rtl w:val="true"/>
          <w:lang w:bidi="fa-IR"/>
        </w:rPr>
        <w:t>فی کنز العمّال</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عقد صاحبا الوسائل و المستدرک بهذا المضمون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استحباب اختیار الزوجة الصالحة المطیعة، الحافظة لنفسها و مال زوجها</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 xml:space="preserve">و کذا فی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من وفّق له الزوجة الصالحة</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8" w:name="__RefHeading___Toc9423848_73709187"/>
      <w:bookmarkStart w:id="99" w:name="_Toc38"/>
      <w:bookmarkEnd w:id="98"/>
      <w:r>
        <w:rPr>
          <w:rtl w:val="true"/>
        </w:rPr>
        <w:t xml:space="preserve">و </w:t>
      </w:r>
      <w:r>
        <w:rPr>
          <w:rtl w:val="true"/>
        </w:rPr>
        <w:t xml:space="preserve">- </w:t>
      </w:r>
      <w:r>
        <w:rPr>
          <w:rtl w:val="true"/>
        </w:rPr>
        <w:t>أن تکون متوسطةً بین البیاض و السواد</w:t>
      </w:r>
      <w:bookmarkEnd w:id="99"/>
    </w:p>
    <w:p>
      <w:pPr>
        <w:pStyle w:val="BookText"/>
        <w:rPr/>
      </w:pPr>
      <w:r>
        <w:rPr>
          <w:rFonts w:ascii="IRNazanin" w:hAnsi="IRNazanin" w:eastAsia="IRNazanin"/>
          <w:color w:val="111111"/>
          <w:sz w:val="28"/>
          <w:sz w:val="28"/>
          <w:szCs w:val="28"/>
          <w:rtl w:val="true"/>
          <w:lang w:bidi="fa-IR"/>
        </w:rPr>
        <w:t>و یستحبّ أن تکون المرأة من حیث اللّون متوسطة بین البیاض و السواد</w:t>
      </w:r>
      <w:r>
        <w:rPr>
          <w:rStyle w:val="FootnoteAnchor"/>
          <w:rtl w:val="true"/>
        </w:rPr>
        <w:footnoteReference w:id="104"/>
      </w:r>
      <w:r>
        <w:rPr>
          <w:rFonts w:ascii="IRNazanin" w:hAnsi="IRNazanin" w:eastAsia="IRNazanin"/>
          <w:color w:val="111111"/>
          <w:sz w:val="28"/>
          <w:sz w:val="28"/>
          <w:szCs w:val="28"/>
          <w:rtl w:val="true"/>
          <w:lang w:bidi="fa-IR"/>
        </w:rPr>
        <w:t>، فقد ورد فی روایة مرسلة عن مولانا أمیر المؤمنین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تزوّجوا سمراء عیناء عجزاء مربوعة، فإن کرهتها فعلیّ مهرُها</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منزلة بین البیاض و السواد، و العیناء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العظیم سواد عینها فی سعة، و عجزاء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العظیمة العجز، و مربوعة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الطویلة و القصیرة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أیضاً أحمد بن محمّد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نکحت فانکح عجزاء</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بهذا المضمون روی بکر بن صالح، عنه أیضاً مرسلاً،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سعادة الرجل أن یکشف الثوب عن امرأة بیضاء</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الجمع بین السمراء و البیضاء بحملها علی ما یقابل السوداء فیشمل</w:t>
      </w:r>
      <w:bookmarkStart w:id="100" w:name="pg11752_146071"/>
    </w:p>
    <w:p>
      <w:pPr>
        <w:pStyle w:val="BookText"/>
        <w:rPr/>
      </w:pPr>
      <w:bookmarkEnd w:id="100"/>
      <w:r>
        <w:rPr>
          <w:rFonts w:ascii="IRNazanin" w:hAnsi="IRNazanin" w:eastAsia="IRNazanin"/>
          <w:color w:val="111111"/>
          <w:sz w:val="28"/>
          <w:sz w:val="28"/>
          <w:szCs w:val="28"/>
          <w:rtl w:val="true"/>
          <w:lang w:bidi="fa-IR"/>
        </w:rPr>
        <w:t>السمراء کما أشار إلیه فی الوافی</w:t>
      </w:r>
      <w:r>
        <w:rPr>
          <w:rStyle w:val="FootnoteAnchor"/>
          <w:rtl w:val="true"/>
        </w:rPr>
        <w:footnoteReference w:id="108"/>
      </w:r>
      <w:r>
        <w:rPr>
          <w:rFonts w:ascii="IRNazanin" w:hAnsi="IRNazanin" w:eastAsia="IRNazanin"/>
          <w:color w:val="111111"/>
          <w:sz w:val="28"/>
          <w:sz w:val="28"/>
          <w:szCs w:val="28"/>
          <w:rtl w:val="true"/>
          <w:lang w:bidi="fa-IR"/>
        </w:rPr>
        <w:t>أو بأن یکون المقصود من السمراء ما یبرز إلی الشمس و من البیضاء ما تواریه الثیاب و تستره، کما ذکره فی النهایة فی وجه الجمع بین صفات النبیّ صلی الله علیه و آله فإنّه قد ورد أنّه کان أسمر اللون، و فی روایة اخری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أبیض مشرباً حمرة</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1" w:name="__RefHeading___Toc9423850_73709187"/>
      <w:bookmarkStart w:id="102" w:name="_Toc39"/>
      <w:bookmarkEnd w:id="101"/>
      <w:r>
        <w:rPr>
          <w:rtl w:val="true"/>
        </w:rPr>
        <w:t xml:space="preserve">ز </w:t>
      </w:r>
      <w:r>
        <w:rPr>
          <w:rtl w:val="true"/>
        </w:rPr>
        <w:t xml:space="preserve">- </w:t>
      </w:r>
      <w:r>
        <w:rPr>
          <w:rtl w:val="true"/>
        </w:rPr>
        <w:t>أن تکون طیّبة الریح</w:t>
      </w:r>
      <w:bookmarkEnd w:id="102"/>
    </w:p>
    <w:p>
      <w:pPr>
        <w:pStyle w:val="BookText"/>
        <w:rPr/>
      </w:pPr>
      <w:r>
        <w:rPr>
          <w:rFonts w:ascii="IRNazanin" w:hAnsi="IRNazanin" w:eastAsia="IRNazanin"/>
          <w:color w:val="111111"/>
          <w:sz w:val="28"/>
          <w:sz w:val="28"/>
          <w:szCs w:val="28"/>
          <w:rtl w:val="true"/>
          <w:lang w:bidi="fa-IR"/>
        </w:rPr>
        <w:t>یستحبّ أن تکون المرأة طیّبة الریح</w:t>
      </w:r>
      <w:r>
        <w:rPr>
          <w:rStyle w:val="FootnoteAnchor"/>
          <w:rtl w:val="true"/>
        </w:rPr>
        <w:footnoteReference w:id="110"/>
      </w:r>
      <w:r>
        <w:rPr>
          <w:rFonts w:ascii="IRNazanin" w:hAnsi="IRNazanin" w:eastAsia="IRNazanin"/>
          <w:color w:val="111111"/>
          <w:sz w:val="28"/>
          <w:sz w:val="28"/>
          <w:szCs w:val="28"/>
          <w:rtl w:val="true"/>
          <w:lang w:bidi="fa-IR"/>
        </w:rPr>
        <w:t>، فقد ذکر فی الکافی مرسلاً عن بعض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 الله علیه و آله إذا أراد أن یتزوّج امرأة بعث إلیها مَن ینظر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شمّی لیتها، فإن طاب لیتها طاب عرفها، و انظری إلی کعبها فإن درم کعبها عظم کعثبها</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الصدوق رحمه الله فی ذیل 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العنق، و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الریح الطیّبة، 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درم کعبها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کثر لحم کعبها،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درماء، اذا کانت کثیرة لحم القدم و الکعب، و الکعثب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نسائکم الطیّبة الریح، الطیّبة الطعام، التی إن أنفقت أنفقت بمعروفٍ، و إن أمسکت أمسکت بمعروفٍ، فتلک من عمّال اللّه، و عامل اللّه لا یخیب</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3" w:name="__RefHeading___Toc9423852_73709187"/>
      <w:bookmarkStart w:id="104" w:name="_Toc40"/>
      <w:bookmarkEnd w:id="103"/>
      <w:r>
        <w:rPr>
          <w:rtl w:val="true"/>
        </w:rPr>
        <w:t xml:space="preserve">ح </w:t>
      </w:r>
      <w:r>
        <w:rPr>
          <w:rtl w:val="true"/>
        </w:rPr>
        <w:t xml:space="preserve">- </w:t>
      </w:r>
      <w:r>
        <w:rPr>
          <w:rtl w:val="true"/>
        </w:rPr>
        <w:t>أن تکون حدیدة النظر</w:t>
      </w:r>
      <w:bookmarkEnd w:id="104"/>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تستحبّ أن تکون المرأة حدیدة النظر، أی عارفة بوظائفها، و یدلّ</w:t>
      </w:r>
      <w:bookmarkStart w:id="105" w:name="pg11752_146072"/>
    </w:p>
    <w:p>
      <w:pPr>
        <w:pStyle w:val="BookText"/>
        <w:rPr/>
      </w:pPr>
      <w:bookmarkEnd w:id="105"/>
      <w:r>
        <w:rPr>
          <w:rFonts w:ascii="IRNazanin" w:hAnsi="IRNazanin" w:eastAsia="IRNazanin"/>
          <w:color w:val="111111"/>
          <w:sz w:val="28"/>
          <w:sz w:val="28"/>
          <w:szCs w:val="28"/>
          <w:rtl w:val="true"/>
          <w:lang w:bidi="fa-IR"/>
        </w:rPr>
        <w:t>علیه ما رواه السکونی،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تزوّجوا الزرق فإنّ فیهنَّ الیمن</w:t>
      </w:r>
      <w:r>
        <w:rPr>
          <w:rFonts w:eastAsia="IRNazanin" w:cs="IRNazanin"/>
          <w:color w:val="111111"/>
          <w:sz w:val="28"/>
          <w:szCs w:val="28"/>
          <w:rtl w:val="true"/>
          <w:lang w:bidi="fa-IR"/>
        </w:rPr>
        <w:t>»</w:t>
      </w:r>
      <w:r>
        <w:rPr>
          <w:rStyle w:val="FootnoteAnchor"/>
          <w:rtl w:val="true"/>
        </w:rPr>
        <w:footnoteReference w:id="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الصدوق مرسلاً، 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فیهنّ البرکة</w:t>
      </w:r>
      <w:r>
        <w:rPr>
          <w:rFonts w:eastAsia="Amiri" w:cs="Amiri" w:ascii="Amiri" w:hAnsi="Amiri"/>
          <w:color w:val="111111"/>
          <w:sz w:val="28"/>
          <w:szCs w:val="28"/>
          <w:rtl w:val="true"/>
          <w:lang w:bidi="ar-SA"/>
        </w:rPr>
        <w:t>»</w:t>
      </w:r>
      <w:r>
        <w:rPr>
          <w:rStyle w:val="FootnoteAnchor"/>
          <w:rtl w:val="true"/>
        </w:rPr>
        <w:footnoteReference w:id="114"/>
      </w:r>
      <w:r>
        <w:rPr>
          <w:rFonts w:ascii="Amiri" w:hAnsi="Amiri" w:eastAsia="Amiri" w:cs="Amiri"/>
          <w:color w:val="111111"/>
          <w:sz w:val="28"/>
          <w:sz w:val="28"/>
          <w:szCs w:val="28"/>
          <w:rtl w:val="true"/>
          <w:lang w:bidi="ar-SA"/>
        </w:rPr>
        <w:t>و ذکرها فی المستدرک، 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فی تزویجهنّ یمناً</w:t>
      </w:r>
      <w:r>
        <w:rPr>
          <w:rFonts w:eastAsia="Amiri" w:cs="Amiri" w:ascii="Amiri" w:hAnsi="Amiri"/>
          <w:color w:val="111111"/>
          <w:sz w:val="28"/>
          <w:szCs w:val="28"/>
          <w:rtl w:val="true"/>
          <w:lang w:bidi="ar-SA"/>
        </w:rPr>
        <w:t>»</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فی کنز العمّال</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 کلّ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الزای و فتح الراء المشدّدة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حدید النظر</w:t>
      </w:r>
      <w:r>
        <w:rPr>
          <w:rStyle w:val="FootnoteAnchor"/>
          <w:rtl w:val="true"/>
        </w:rPr>
        <w:footnoteReference w:id="117"/>
      </w:r>
      <w:r>
        <w:rPr>
          <w:rFonts w:ascii="IRNazanin" w:hAnsi="IRNazanin" w:eastAsia="IRNazanin"/>
          <w:color w:val="111111"/>
          <w:sz w:val="28"/>
          <w:sz w:val="28"/>
          <w:szCs w:val="28"/>
          <w:rtl w:val="true"/>
          <w:lang w:bidi="fa-IR"/>
        </w:rPr>
        <w:t>، و من البرکة و الیمن و السعادة، بل أفضلها، الولد الصالح</w:t>
      </w:r>
      <w:r>
        <w:rPr>
          <w:rFonts w:eastAsia="IRNazanin" w:cs="IRNazanin"/>
          <w:color w:val="111111"/>
          <w:sz w:val="28"/>
          <w:szCs w:val="28"/>
          <w:rtl w:val="true"/>
          <w:lang w:bidi="fa-IR"/>
        </w:rPr>
        <w:t>.</w:t>
      </w:r>
    </w:p>
    <w:p>
      <w:pPr>
        <w:pStyle w:val="Heading6"/>
        <w:numPr>
          <w:ilvl w:val="5"/>
          <w:numId w:val="1"/>
        </w:numPr>
        <w:rPr/>
      </w:pPr>
      <w:bookmarkStart w:id="106" w:name="__RefHeading___Toc9423854_73709187"/>
      <w:bookmarkStart w:id="107" w:name="_Toc41"/>
      <w:bookmarkEnd w:id="106"/>
      <w:r>
        <w:rPr>
          <w:rtl w:val="true"/>
        </w:rPr>
        <w:t xml:space="preserve">ط </w:t>
      </w:r>
      <w:r>
        <w:rPr>
          <w:rtl w:val="true"/>
        </w:rPr>
        <w:t xml:space="preserve">- </w:t>
      </w:r>
      <w:r>
        <w:rPr>
          <w:rtl w:val="true"/>
        </w:rPr>
        <w:t>أن تکون خفیفة المؤنة و المهر</w:t>
      </w:r>
      <w:bookmarkEnd w:id="107"/>
    </w:p>
    <w:p>
      <w:pPr>
        <w:pStyle w:val="BookText"/>
        <w:rPr/>
      </w:pPr>
      <w:r>
        <w:rPr>
          <w:rFonts w:ascii="IRNazanin" w:hAnsi="IRNazanin" w:eastAsia="IRNazanin"/>
          <w:color w:val="111111"/>
          <w:sz w:val="28"/>
          <w:sz w:val="28"/>
          <w:szCs w:val="28"/>
          <w:rtl w:val="true"/>
          <w:lang w:bidi="fa-IR"/>
        </w:rPr>
        <w:t>و تستحبّ أن تکون المرأة خفیفة المهر و المئونة، فقد ورد فی النصوص أن أوّل شؤم المرأة أن یکثر صداقُها، کما روی محمّد بن مسلم،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الشؤم فی ثلاثة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الدّابة، و المرأة، و الدّار، فأمّا المرأة فشؤمها غلاء مهرها و عسر ولدها، و</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السکونی،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نساء امّتی أصبحهنّ وجهاً و أقلهنّ مهراً</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روی محمّد بن مسلم،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برکة المرأة خفّة مئونتها، و تیسیر ولدها، و من شؤمها شدّة مئونتها و تعسیر ولدها</w:t>
      </w:r>
      <w:r>
        <w:rPr>
          <w:rFonts w:eastAsia="IRNazanin" w:cs="IRNazanin"/>
          <w:color w:val="111111"/>
          <w:sz w:val="28"/>
          <w:szCs w:val="28"/>
          <w:rtl w:val="true"/>
          <w:lang w:bidi="fa-IR"/>
        </w:rPr>
        <w:t>»</w:t>
      </w:r>
      <w:r>
        <w:rPr>
          <w:rStyle w:val="FootnoteAnchor"/>
          <w:rtl w:val="true"/>
        </w:rPr>
        <w:footnoteReference w:id="120"/>
      </w:r>
      <w:bookmarkStart w:id="108" w:name="pg11752_146073"/>
    </w:p>
    <w:p>
      <w:pPr>
        <w:pStyle w:val="BookText"/>
        <w:rPr/>
      </w:pPr>
      <w:bookmarkEnd w:id="108"/>
      <w:r>
        <w:rPr>
          <w:rFonts w:ascii="IRNazanin" w:hAnsi="IRNazanin" w:eastAsia="IRNazanin"/>
          <w:color w:val="111111"/>
          <w:sz w:val="28"/>
          <w:sz w:val="28"/>
          <w:szCs w:val="28"/>
          <w:rtl w:val="true"/>
          <w:lang w:bidi="fa-IR"/>
        </w:rPr>
        <w:t>و عن طریق أهل السنّة روی الحاکم، عن عائشة، أنّ النبیّ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أعظم النساء برکةً أیسرهُنّ صداقاً</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9" w:name="__RefHeading___Toc9423856_73709187"/>
      <w:bookmarkStart w:id="110" w:name="_Toc42"/>
      <w:bookmarkEnd w:id="109"/>
      <w:r>
        <w:rPr>
          <w:rtl w:val="true"/>
        </w:rPr>
        <w:t xml:space="preserve">ی </w:t>
      </w:r>
      <w:r>
        <w:rPr>
          <w:rtl w:val="true"/>
        </w:rPr>
        <w:t xml:space="preserve">- </w:t>
      </w:r>
      <w:r>
        <w:rPr>
          <w:rtl w:val="true"/>
        </w:rPr>
        <w:t>أن تکون قریبة</w:t>
      </w:r>
      <w:bookmarkEnd w:id="110"/>
    </w:p>
    <w:p>
      <w:pPr>
        <w:pStyle w:val="BookText"/>
        <w:rPr/>
      </w:pPr>
      <w:r>
        <w:rPr>
          <w:rFonts w:ascii="IRNazanin" w:hAnsi="IRNazanin" w:eastAsia="IRNazanin"/>
          <w:color w:val="111111"/>
          <w:sz w:val="28"/>
          <w:sz w:val="28"/>
          <w:szCs w:val="28"/>
          <w:rtl w:val="true"/>
          <w:lang w:bidi="fa-IR"/>
        </w:rPr>
        <w:t xml:space="preserve">قال الشهید رحمه الله فی البحث عن تقسیم النکاح بحسب المرأة المنکوحة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صفات المرأة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الثالث مستحبّ و هو النکاح فی الأقارب لما فیه من الجمع بین الصلة و فضیلة النکاح</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و نسبه فی المسالک إلی القیل</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یدلّ علیه ما رواه الصدوق رحمه الله عن علیّ بن الحسین سیّد العابدین علیهما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تزوّج للّه و لصلة الرحم توجّه اللّه بتاج الملک</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یؤیّده ما رواه، بأنّ رسول اللّه صلی الله علیه و آله و سلم نظر إلی ولد أمیر المؤمنین الحسن و الحسین صلوات اللّه علیهم و بنات جعفر بن أبی طالب صلوات اللّه علیه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بنونا لبناتنا و بناتنا لبنینا</w:t>
      </w:r>
      <w:r>
        <w:rPr>
          <w:rFonts w:eastAsia="IRNazanin" w:cs="IRNazanin"/>
          <w:color w:val="111111"/>
          <w:sz w:val="28"/>
          <w:szCs w:val="28"/>
          <w:rtl w:val="true"/>
          <w:lang w:bidi="fa-IR"/>
        </w:rPr>
        <w:t>»</w:t>
      </w:r>
      <w:r>
        <w:rPr>
          <w:rStyle w:val="FootnoteAnchor"/>
          <w:rtl w:val="true"/>
        </w:rPr>
        <w:footnoteReference w:id="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أیضاً فی البحار عن فقه الرضا علیه السلام</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مقابل هذا قول باستحباب النکاح مع التباعد، نسبه فی القواعد</w:t>
      </w:r>
      <w:r>
        <w:rPr>
          <w:rStyle w:val="FootnoteAnchor"/>
          <w:rtl w:val="true"/>
        </w:rPr>
        <w:footnoteReference w:id="127"/>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المسالک</w:t>
      </w:r>
      <w:r>
        <w:rPr>
          <w:rStyle w:val="FootnoteAnchor"/>
          <w:rtl w:val="true"/>
        </w:rPr>
        <w:footnoteReference w:id="128"/>
      </w:r>
      <w:r>
        <w:rPr>
          <w:rFonts w:ascii="IRNazanin" w:hAnsi="IRNazanin" w:eastAsia="IRNazanin"/>
          <w:color w:val="111111"/>
          <w:sz w:val="28"/>
          <w:sz w:val="28"/>
          <w:szCs w:val="28"/>
          <w:rtl w:val="true"/>
          <w:lang w:bidi="fa-IR"/>
        </w:rPr>
        <w:t>إلی القیل، و یستظهر أیضاً من کلام العلاّمة فی التذکرة</w:t>
      </w:r>
      <w:r>
        <w:rPr>
          <w:rStyle w:val="FootnoteAnchor"/>
          <w:rtl w:val="true"/>
        </w:rPr>
        <w:footnoteReference w:id="129"/>
      </w:r>
      <w:r>
        <w:rPr>
          <w:rFonts w:ascii="IRNazanin" w:hAnsi="IRNazanin" w:eastAsia="IRNazanin"/>
          <w:color w:val="111111"/>
          <w:sz w:val="28"/>
          <w:sz w:val="28"/>
          <w:szCs w:val="28"/>
          <w:rtl w:val="true"/>
          <w:lang w:bidi="fa-IR"/>
        </w:rPr>
        <w:t>و هو قول</w:t>
      </w:r>
    </w:p>
    <w:p>
      <w:pPr>
        <w:pStyle w:val="BookText"/>
        <w:rPr/>
      </w:pPr>
      <w:r>
        <w:rPr>
          <w:rFonts w:ascii="Amiri" w:hAnsi="Amiri" w:eastAsia="Amiri" w:cs="Amiri"/>
          <w:color w:val="111111"/>
          <w:sz w:val="28"/>
          <w:sz w:val="28"/>
          <w:szCs w:val="28"/>
          <w:rtl w:val="true"/>
          <w:lang w:bidi="ar-SA"/>
        </w:rPr>
        <w:t>بعض الفقهاء من أهل السنّة</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یدلّ علیه ما روی عن طریق أهل السنّة عن النبیّ صلی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تنکحوا القرابة القریبة فإنّ الولد یخلق ضاویاً</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العسقلانی فی تلخیص الحبیر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الحدیث تبع فی إیراده إمام الحرمین هو و القاضی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الصلاح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أجد له أصلاً معتمداً، و قد وقع فی غریب الحدیث لابن قتیبة،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اغربوا لا تضوُوا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فسّره بأنّ معنی الضاوی هو النحیف الجسم</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 فی النهایة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اغتربوا لا تضوُوا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تزوّجوا الغرائب دون القرائب، فإنّ ولد الغریبة أنجب و أقوی من ولد القریبة، و قد أضوت المرأة إذا ولدت ولداً ضعیفاً، فمعنی لا تُضوُوا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تأتوا بأولاد ضاوین أی ضعفاء نحفاء</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القول موافق لما أثبتته العلوم الطبّیة الحدیثة من أنّ النکاح مع القریبة ربّما یوجب سریان الأمراض الوراثیة من الزوجین إلی الولد، فیولد الطفل مریضاً أو مستعدّاً لقبول الأمراض المختلفة</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یمکن الجمع بین هذا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لم نظفر علی مستند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قبله بحمله علی القرابة القریبة مثل نکاح أولاد الأعمام، و حمل الآخر علی القرابة البعیدة مثل نکاح أحفاد الأعمام</w:t>
      </w:r>
      <w:r>
        <w:rPr>
          <w:rStyle w:val="FootnoteAnchor"/>
          <w:rtl w:val="true"/>
        </w:rPr>
        <w:footnoteReference w:id="134"/>
      </w:r>
      <w:bookmarkStart w:id="111" w:name="pg11752_146075"/>
    </w:p>
    <w:p>
      <w:pPr>
        <w:pStyle w:val="Heading5"/>
        <w:numPr>
          <w:ilvl w:val="4"/>
          <w:numId w:val="1"/>
        </w:numPr>
        <w:rPr/>
      </w:pPr>
      <w:bookmarkStart w:id="112" w:name="__RefHeading___Toc9423858_73709187"/>
      <w:bookmarkStart w:id="113" w:name="_Toc43"/>
      <w:bookmarkEnd w:id="111"/>
      <w:bookmarkEnd w:id="112"/>
      <w:r>
        <w:rPr>
          <w:rtl w:val="true"/>
        </w:rPr>
        <w:t>ما یستحبّ للمرأة و أهلها فی اختیارها الزوج</w:t>
      </w:r>
      <w:bookmarkEnd w:id="113"/>
    </w:p>
    <w:p>
      <w:pPr>
        <w:pStyle w:val="BookText"/>
        <w:rPr/>
      </w:pPr>
      <w:r>
        <w:rPr>
          <w:rFonts w:ascii="IRNazanin" w:hAnsi="IRNazanin" w:eastAsia="IRNazanin"/>
          <w:color w:val="111111"/>
          <w:sz w:val="28"/>
          <w:sz w:val="28"/>
          <w:szCs w:val="28"/>
          <w:rtl w:val="true"/>
          <w:lang w:bidi="fa-IR"/>
        </w:rPr>
        <w:t>کما یستحبّ للرجل إذا أراد الزّواج أن یتخیّر من النساء اللاتی تجمع فیهن صفات حسنة، یستحبّ للمرأة و أهلها أیضاً اختیار الزوج الذی یُرضی خلقه و دینه، و یکون عفیفاً صاحب یسارٍ، و تدلَّ علی ذلک نصوص، مثل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رواه علیّ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علیّ بن أسباط إلی أبی جعفر علیه السلام فی أمر بناته، و أنّه لا یجد أحداً مثله، فکتب إلیه أبو جعفر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فهمت ما ذکرت من أمر بناتک، و أنّک لا تجد أحداً مثلک، فلا تنظر فی ذلک رحمک اللّه، فإنّ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جاءکم مَن ترضون خلقه و دینه فزوّجوه، إِلاّ تَفْعَلُوهُ تَکُنْ فِتْنَةٌ فِی الْأَرْضِ وَ فَسادٌ کَبِیرٌ </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رواه إبراهیم بن محمّد الهمدانی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جعفر علیه السلام فی التزویج، فأتانی کتابه بخطّه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جاءکم مَن ترضون خلقه و دینه فزوّجُوهُ، إِلاّ تَفْعَلُوهُ تَکُنْ فِتْنَةٌ فِی الْأَرْضِ وَ فَسادٌ کَبِیرٌ </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بهذا المضمون روی حسین بن بشار الواسطی، عن أبی جعفر علیه السلام</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روی عیسی بن عبد اللّه، عن أبیه، عن جدّه، عن علیّ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جاءکم مَن ترضون خلقه و دینه فزوّجُوه،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 إن کان دنیئاً فی نسبه؟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جاءکم مَن ترضون خلقه و دینه فزوّجوه، إِلاّ</w:t>
      </w:r>
    </w:p>
    <w:p>
      <w:pPr>
        <w:pStyle w:val="BookText"/>
        <w:rPr/>
      </w:pPr>
      <w:r>
        <w:rPr>
          <w:rFonts w:ascii="Amiri" w:hAnsi="Amiri" w:eastAsia="Amiri" w:cs="Amiri"/>
          <w:color w:val="111111"/>
          <w:sz w:val="28"/>
          <w:sz w:val="28"/>
          <w:szCs w:val="28"/>
          <w:rtl w:val="true"/>
          <w:lang w:bidi="ar-SA"/>
        </w:rPr>
        <w:t>تَفْعَلُوهُ تَکُنْ فِتْنَةٌ فِی الْأَرْضِ وَ فَسادٌ کَبِیرٌ</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الکفو فی اللغة بمعنی التساوی فی الشیئین و المماثل و النظیر</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 المعجم الوسیط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الکفاءة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المماثلة فی القوّة و الشرف، و منه الکفاءة فی الزواج بأن یکون الرجل مساویاً للمرأة فی حسبها و دینها و غیر ذلک</w:t>
      </w:r>
      <w:r>
        <w:rPr>
          <w:rFonts w:eastAsia="IRNazanin" w:cs="IRNazanin"/>
          <w:color w:val="111111"/>
          <w:sz w:val="28"/>
          <w:szCs w:val="28"/>
          <w:rtl w:val="true"/>
          <w:lang w:bidi="fa-IR"/>
        </w:rPr>
        <w:t>»</w:t>
      </w:r>
      <w:r>
        <w:rPr>
          <w:rStyle w:val="FootnoteAnchor"/>
          <w:rtl w:val="true"/>
        </w:rPr>
        <w:footnoteReference w:id="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لسان العرب</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الکفاءة فی الشرع فهی بمعنی التساوی فی الإسلام علی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المقنعة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المسلمون الأحرار یتکافئون بالإسلام و الحریّة فی النکاح و إن تفاضلوا فی الشرف بالأنساب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فالمسلم إذا کان واجداً طولاً للإنفاق بحسب الحاجة علی الأزواج، مستطیعاً للنکاح، مأموناً علی الأنفس و الأموال، و لم تکن به آفة فی عقله و لا سفه فی الرأی فهو کفو فی النکاح</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بعضهم أکفاء لبعض فی عقد النکاح کما أنّهم متکافئون فی الدماء و إن اختلفوا فی النسب و الشرف</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عندنا الکفاءة هی الإیمان مع القیام بالنفقة</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 هذه الروایة فی مقام بیان الکفء بمعناه الشرعی، لا ما هو عند العرف؛ لأنّ مقتضی الروایات أنّه یعتبر فی الکفو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الإیمان و الیسار بقدر ما یقوم بأمرها و الإنفاق علیها کما جاء فی صحیحة أبی حمزة الثمالی إنّه 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زیاد جویبر مؤمن و المؤمن کفو المؤمنة و المسلم کفو المسلمة فزوّجه</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الکلینی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بعضهم أکفاء بعض، المؤمنون بعضهم أکفاء بعض</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اللّه بن الفضل الهاشمی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الکفو أن یکون عفیفاً و عنده یسار</w:t>
      </w:r>
      <w:r>
        <w:rPr>
          <w:rFonts w:eastAsia="IRNazanin" w:cs="IRNazanin"/>
          <w:color w:val="111111"/>
          <w:sz w:val="28"/>
          <w:szCs w:val="28"/>
          <w:rtl w:val="true"/>
          <w:lang w:bidi="fa-IR"/>
        </w:rPr>
        <w:t>»</w:t>
      </w:r>
      <w:r>
        <w:rPr>
          <w:rStyle w:val="FootnoteAnchor"/>
          <w:rtl w:val="true"/>
        </w:rPr>
        <w:footnoteReference w:id="146"/>
      </w:r>
      <w:bookmarkStart w:id="114" w:name="pg11752_146078"/>
    </w:p>
    <w:p>
      <w:pPr>
        <w:pStyle w:val="Heading4"/>
        <w:numPr>
          <w:ilvl w:val="3"/>
          <w:numId w:val="1"/>
        </w:numPr>
        <w:rPr/>
      </w:pPr>
      <w:bookmarkStart w:id="115" w:name="__RefHeading___Toc9423860_73709187"/>
      <w:bookmarkStart w:id="116" w:name="_Toc44"/>
      <w:bookmarkEnd w:id="114"/>
      <w:bookmarkEnd w:id="115"/>
      <w:r>
        <w:rPr>
          <w:rtl w:val="true"/>
        </w:rPr>
        <w:t>المبحث الثانی</w:t>
      </w:r>
      <w:r>
        <w:rPr>
          <w:rtl w:val="true"/>
        </w:rPr>
        <w:t xml:space="preserve">: </w:t>
      </w:r>
      <w:r>
        <w:rPr>
          <w:rtl w:val="true"/>
        </w:rPr>
        <w:t>فی الصفات التی یکره التزویج من أجلها</w:t>
      </w:r>
      <w:bookmarkEnd w:id="116"/>
    </w:p>
    <w:p>
      <w:pPr>
        <w:pStyle w:val="BookText"/>
        <w:rPr/>
      </w:pPr>
      <w:r>
        <w:rPr>
          <w:rFonts w:ascii="IRNazanin" w:hAnsi="IRNazanin" w:eastAsia="IRNazanin"/>
          <w:color w:val="111111"/>
          <w:sz w:val="28"/>
          <w:sz w:val="28"/>
          <w:szCs w:val="28"/>
          <w:rtl w:val="true"/>
          <w:lang w:bidi="fa-IR"/>
        </w:rPr>
        <w:t>کما أنّ بعض الصفات فی المرأة و الرجل توجب استحباب النکاح بینهما کذلک بعض الصفات أو الاُمور توجب کراهیة التزویج أو مرجوحیّة الولد، و هی أیضاً کثیرة نذکر أهمّها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المتولّدة من الزنا</w:t>
      </w:r>
    </w:p>
    <w:p>
      <w:pPr>
        <w:pStyle w:val="BookText"/>
        <w:rPr/>
      </w:pPr>
      <w:r>
        <w:rPr>
          <w:rFonts w:ascii="IRNazanin" w:hAnsi="IRNazanin" w:eastAsia="IRNazanin"/>
          <w:color w:val="111111"/>
          <w:sz w:val="28"/>
          <w:sz w:val="28"/>
          <w:szCs w:val="28"/>
          <w:rtl w:val="true"/>
          <w:lang w:bidi="fa-IR"/>
        </w:rPr>
        <w:t>یکره النکاح مع المرأة المتولّدة من الزنا، قالت بها الشیعة</w:t>
      </w:r>
      <w:r>
        <w:rPr>
          <w:rStyle w:val="FootnoteAnchor"/>
          <w:rtl w:val="true"/>
        </w:rPr>
        <w:footnoteReference w:id="147"/>
      </w:r>
      <w:r>
        <w:rPr>
          <w:rFonts w:ascii="Amiri" w:hAnsi="Amiri" w:eastAsia="Amiri" w:cs="Amiri"/>
          <w:color w:val="111111"/>
          <w:sz w:val="28"/>
          <w:sz w:val="28"/>
          <w:szCs w:val="28"/>
          <w:rtl w:val="true"/>
          <w:lang w:bidi="ar-SA"/>
        </w:rPr>
        <w:t>و أهل السنّة</w:t>
      </w:r>
      <w:r>
        <w:rPr>
          <w:rStyle w:val="FootnoteAnchor"/>
          <w:rtl w:val="true"/>
        </w:rPr>
        <w:footnoteReference w:id="148"/>
      </w:r>
      <w:r>
        <w:rPr>
          <w:rFonts w:ascii="IRNazanin" w:hAnsi="IRNazanin" w:eastAsia="IRNazanin"/>
          <w:color w:val="111111"/>
          <w:sz w:val="28"/>
          <w:sz w:val="28"/>
          <w:szCs w:val="28"/>
          <w:rtl w:val="true"/>
          <w:lang w:bidi="fa-IR"/>
        </w:rPr>
        <w:t>، و تدلّ علیها نصوص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رواه الکلینی فی الصحیح عن الحلبی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الرجل یکون له الخادم ولد زنا علیه جناح أن یطأها؟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 إن تنزّه عن ذلک فهو أحبُّ إلیَّ</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رواه أیضاً فی الصحیح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ولد الزنا ینکح؟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 لا یطلب ولدها</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
      </w:r>
      <w:r>
        <w:rPr>
          <w:rFonts w:ascii="IRNazanin" w:hAnsi="IRNazanin" w:eastAsia="IRNazanin"/>
          <w:color w:val="111111"/>
          <w:sz w:val="28"/>
          <w:sz w:val="28"/>
          <w:szCs w:val="28"/>
          <w:rtl w:val="true"/>
          <w:lang w:bidi="fa-IR"/>
        </w:rPr>
        <w:t>تدلّ بخصوصها علی مرجوحیّة</w:t>
      </w:r>
    </w:p>
    <w:p>
      <w:pPr>
        <w:pStyle w:val="BookText"/>
        <w:rPr/>
      </w:pPr>
      <w:r>
        <w:rPr>
          <w:rFonts w:ascii="IRNazanin" w:hAnsi="IRNazanin" w:eastAsia="IRNazanin"/>
          <w:color w:val="111111"/>
          <w:sz w:val="28"/>
          <w:sz w:val="28"/>
          <w:szCs w:val="28"/>
          <w:rtl w:val="true"/>
          <w:lang w:bidi="fa-IR"/>
        </w:rPr>
        <w:t>ولد الذی تولّد من ولد الزنا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رواه الشیخ رحمه الله عن عبد اللّه بن هلال، عن أبی عبد اللّه علیه السلام فی الرجل یتزوّج ولد الزنا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إنّما یکره ذلک مخافة العار، و إنّما الولد للصلب و إنّما المرأة وعاء،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یشتری خادماً ولد زنا فیطأها،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یشمله أیضاً 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الحسناء فی منبت السوء</w:t>
      </w:r>
      <w:r>
        <w:rPr>
          <w:rFonts w:eastAsia="IRNazanin" w:cs="IRNazanin"/>
          <w:color w:val="111111"/>
          <w:sz w:val="28"/>
          <w:szCs w:val="28"/>
          <w:rtl w:val="true"/>
          <w:lang w:bidi="fa-IR"/>
        </w:rPr>
        <w:t>»</w:t>
      </w:r>
      <w:r>
        <w:rPr>
          <w:rStyle w:val="FootnoteAnchor"/>
          <w:rtl w:val="true"/>
        </w:rPr>
        <w:footnoteReference w:id="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صرّح به فی المهذّب</w:t>
      </w:r>
      <w:r>
        <w:rPr>
          <w:rStyle w:val="FootnoteAnchor"/>
          <w:rtl w:val="true"/>
        </w:rPr>
        <w:footnoteReference w:id="154"/>
      </w:r>
      <w:r>
        <w:rPr>
          <w:rFonts w:ascii="IRNazanin" w:hAnsi="IRNazanin" w:eastAsia="IRNazanin"/>
          <w:color w:val="111111"/>
          <w:sz w:val="28"/>
          <w:sz w:val="28"/>
          <w:szCs w:val="28"/>
          <w:rtl w:val="true"/>
          <w:lang w:bidi="fa-IR"/>
        </w:rPr>
        <w:t>، و کذا یشمله أیضاً کلّ من کان أبواه أو أحدهما فاسداً سیّئ الخلق ظالماً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یصدق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المرأة نبتت فی منبت السوء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المشهورة بالزنا قبل أن تتوب</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المشهور بین الفقهاء</w:t>
      </w:r>
      <w:r>
        <w:rPr>
          <w:rStyle w:val="FootnoteAnchor"/>
          <w:rtl w:val="true"/>
        </w:rPr>
        <w:footnoteReference w:id="155"/>
      </w:r>
      <w:r>
        <w:rPr>
          <w:rFonts w:ascii="IRNazanin" w:hAnsi="IRNazanin" w:eastAsia="IRNazanin"/>
          <w:color w:val="111111"/>
          <w:sz w:val="28"/>
          <w:sz w:val="28"/>
          <w:szCs w:val="28"/>
          <w:rtl w:val="true"/>
          <w:lang w:bidi="fa-IR"/>
        </w:rPr>
        <w:t>أنّه یکره نکاح المرأة المشهورة بالزنا قبل أن تتوب؛ للنهی عنه فی عدّةٍ من الأخبار المحمولة علی الکراهة، جمعاً بینها و بین ما دلّ علی الجواز</w:t>
      </w:r>
      <w:r>
        <w:rPr>
          <w:rStyle w:val="FootnoteAnchor"/>
          <w:rtl w:val="true"/>
        </w:rPr>
        <w:footnoteReference w:id="156"/>
      </w:r>
      <w:r>
        <w:rPr>
          <w:rFonts w:ascii="Amiri" w:hAnsi="Amiri" w:eastAsia="Amiri" w:cs="Amiri"/>
          <w:color w:val="111111"/>
          <w:sz w:val="28"/>
          <w:sz w:val="28"/>
          <w:szCs w:val="28"/>
          <w:rtl w:val="true"/>
          <w:lang w:bidi="ar-SA"/>
        </w:rPr>
        <w:t>، مثل ما رواه الکلینی فی الصحیح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أبا عبد اللّه علیه السلام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الزّانِی لا یَنْکِحُ إِلاّ زانِیَةً أَوْ مُشْرِکَةً وَ الزّانِیَةُ لا یَنْکِحُها إِلاّ</w:t>
      </w:r>
    </w:p>
    <w:p>
      <w:pPr>
        <w:pStyle w:val="BookText"/>
        <w:rPr/>
      </w:pPr>
      <w:r>
        <w:rPr>
          <w:rFonts w:ascii="IRNazanin" w:hAnsi="IRNazanin" w:eastAsia="IRNazanin"/>
          <w:color w:val="111111"/>
          <w:sz w:val="28"/>
          <w:sz w:val="28"/>
          <w:szCs w:val="28"/>
          <w:rtl w:val="true"/>
          <w:lang w:bidi="fa-IR"/>
        </w:rPr>
        <w:t>زانٍ أَوْ مُشْرِکٌ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 نساء مشهورات بالزنا و رجال مشهورون بالزنا، شهروا و عرفوا به و الناس الیوم بذلک المنزل، فمن اقیم علیه حدّ الزنا أو متّهم بالزنا لم ینبغ لأحد أن یناکحه حتّی یعرف منه التوبة</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تتزوّج المرأة المعلنة بالزنا و لا یتزوّج الرجل المعلن بالزنا إلاّ بعد أن تعرف منهما التوبة</w:t>
      </w:r>
      <w:r>
        <w:rPr>
          <w:rStyle w:val="FootnoteAnchor"/>
          <w:rtl w:val="true"/>
        </w:rPr>
        <w:footnoteReference w:id="158"/>
      </w:r>
      <w:r>
        <w:rPr>
          <w:rFonts w:ascii="IRNazanin" w:hAnsi="IRNazanin" w:eastAsia="IRNazanin"/>
          <w:color w:val="111111"/>
          <w:sz w:val="28"/>
          <w:sz w:val="28"/>
          <w:szCs w:val="28"/>
          <w:rtl w:val="true"/>
          <w:lang w:bidi="fa-IR"/>
        </w:rPr>
        <w:t>و غیره</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المجنونة</w:t>
      </w:r>
    </w:p>
    <w:p>
      <w:pPr>
        <w:pStyle w:val="BookText"/>
        <w:rPr/>
      </w:pPr>
      <w:r>
        <w:rPr>
          <w:rFonts w:ascii="IRNazanin" w:hAnsi="IRNazanin" w:eastAsia="IRNazanin"/>
          <w:color w:val="111111"/>
          <w:sz w:val="28"/>
          <w:sz w:val="28"/>
          <w:szCs w:val="28"/>
          <w:rtl w:val="true"/>
          <w:lang w:bidi="fa-IR"/>
        </w:rPr>
        <w:t>قال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نکاح المجنونة</w:t>
      </w:r>
      <w:r>
        <w:rPr>
          <w:rStyle w:val="FootnoteAnchor"/>
          <w:rtl w:val="true"/>
        </w:rPr>
        <w:footnoteReference w:id="160"/>
      </w:r>
      <w:r>
        <w:rPr>
          <w:rFonts w:ascii="IRNazanin" w:hAnsi="IRNazanin" w:eastAsia="IRNazanin"/>
          <w:color w:val="111111"/>
          <w:sz w:val="28"/>
          <w:sz w:val="28"/>
          <w:szCs w:val="28"/>
          <w:rtl w:val="true"/>
          <w:lang w:bidi="fa-IR"/>
        </w:rPr>
        <w:t>لما رواه الکلینی و الشیخ فی الصحیح عن محمّد بن مسلم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بعض أصحابنا عن الرجل المسلم تعجبه المرأة الحسناء أ یصلح له أن یتزوّجها و هی مجنونة؟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 لکن إن کانت عنده أمة مجنونة فلا بأس بأن یطأها و لا یطلب ولدها</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رواه عبد اللّه بن مصعب الزبیری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موسی ابن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الحرائر فلا تذاکروهنّ، و لکن خیر الجواری ما کان لک فیها هوی و کان لها عقل و أدب فلست تحتاج إلی أن تأمر و لا تنهی، و دون ذلک ما کان لک فیها هوی و لیس لها أدب فأنت تحتاج إلی الأمر و النهی، و دونها ما کان لک فیها هوی و لیس لها عقل و لا أدب فتصبر علیها لمکان هواک فیها، و جاریة</w:t>
      </w:r>
    </w:p>
    <w:p>
      <w:pPr>
        <w:pStyle w:val="BookText"/>
        <w:rPr/>
      </w:pPr>
      <w:r>
        <w:rPr>
          <w:rFonts w:ascii="IRNazanin" w:hAnsi="IRNazanin" w:eastAsia="IRNazanin"/>
          <w:color w:val="111111"/>
          <w:sz w:val="28"/>
          <w:sz w:val="28"/>
          <w:szCs w:val="28"/>
          <w:rtl w:val="true"/>
          <w:lang w:bidi="fa-IR"/>
        </w:rPr>
        <w:t>لیس لک فیها هوی و لیس لها عقل و لا أدب فتجعل فیما بینک و بینها البحر الأخضر</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الدالّ علی اعتبار ذلک فی الحرائر بالفحوی</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العجوزة</w:t>
      </w:r>
    </w:p>
    <w:p>
      <w:pPr>
        <w:pStyle w:val="BookText"/>
        <w:rPr/>
      </w:pPr>
      <w:r>
        <w:rPr>
          <w:rFonts w:ascii="IRNazanin" w:hAnsi="IRNazanin" w:eastAsia="IRNazanin"/>
          <w:color w:val="111111"/>
          <w:sz w:val="28"/>
          <w:sz w:val="28"/>
          <w:szCs w:val="28"/>
          <w:rtl w:val="true"/>
          <w:lang w:bidi="fa-IR"/>
        </w:rPr>
        <w:t>و هکذا یکره نکاح العجائز</w:t>
      </w:r>
      <w:r>
        <w:rPr>
          <w:rStyle w:val="FootnoteAnchor"/>
          <w:rtl w:val="true"/>
        </w:rPr>
        <w:footnoteReference w:id="164"/>
      </w:r>
      <w:r>
        <w:rPr>
          <w:rFonts w:ascii="IRNazanin" w:hAnsi="IRNazanin" w:eastAsia="IRNazanin"/>
          <w:color w:val="111111"/>
          <w:sz w:val="28"/>
          <w:sz w:val="28"/>
          <w:szCs w:val="28"/>
          <w:rtl w:val="true"/>
          <w:lang w:bidi="fa-IR"/>
        </w:rPr>
        <w:t>و یدلّ علیه ما روی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یهدِمن البدن و ربّما قتلن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أکل القدید الغاب</w:t>
      </w:r>
      <w:r>
        <w:rPr>
          <w:rStyle w:val="FootnoteAnchor"/>
          <w:rtl w:val="true"/>
        </w:rPr>
        <w:footnoteReference w:id="165"/>
      </w:r>
      <w:r>
        <w:rPr>
          <w:rFonts w:ascii="IRNazanin" w:hAnsi="IRNazanin" w:eastAsia="IRNazanin"/>
          <w:color w:val="111111"/>
          <w:sz w:val="28"/>
          <w:sz w:val="28"/>
          <w:szCs w:val="28"/>
          <w:rtl w:val="true"/>
          <w:lang w:bidi="fa-IR"/>
        </w:rPr>
        <w:t>، و دخول الحمّام علی البطنة و نکاح العجائز</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مضافاً إلی روایات اخری نذکرها فی العقیم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العقیمة</w:t>
      </w:r>
    </w:p>
    <w:p>
      <w:pPr>
        <w:pStyle w:val="BookText"/>
        <w:rPr/>
      </w:pPr>
      <w:r>
        <w:rPr>
          <w:rFonts w:ascii="IRNazanin" w:hAnsi="IRNazanin" w:eastAsia="IRNazanin"/>
          <w:color w:val="111111"/>
          <w:sz w:val="28"/>
          <w:sz w:val="28"/>
          <w:szCs w:val="28"/>
          <w:rtl w:val="true"/>
          <w:lang w:bidi="fa-IR"/>
        </w:rPr>
        <w:t>و یکره نکاح العقیمة، قال به الشیعة</w:t>
      </w:r>
      <w:r>
        <w:rPr>
          <w:rStyle w:val="FootnoteAnchor"/>
          <w:rtl w:val="true"/>
        </w:rPr>
        <w:footnoteReference w:id="167"/>
      </w:r>
      <w:r>
        <w:rPr>
          <w:rFonts w:ascii="Amiri" w:hAnsi="Amiri" w:eastAsia="Amiri" w:cs="Amiri"/>
          <w:color w:val="111111"/>
          <w:sz w:val="28"/>
          <w:sz w:val="28"/>
          <w:szCs w:val="28"/>
          <w:rtl w:val="true"/>
          <w:lang w:bidi="ar-SA"/>
        </w:rPr>
        <w:t>و أهل السنّة</w:t>
      </w:r>
      <w:r>
        <w:rPr>
          <w:rStyle w:val="FootnoteAnchor"/>
          <w:rtl w:val="true"/>
        </w:rPr>
        <w:footnoteReference w:id="168"/>
      </w:r>
      <w:r>
        <w:rPr>
          <w:rFonts w:ascii="IRNazanin" w:hAnsi="IRNazanin" w:eastAsia="IRNazanin"/>
          <w:color w:val="111111"/>
          <w:sz w:val="28"/>
          <w:sz w:val="28"/>
          <w:szCs w:val="28"/>
          <w:rtl w:val="true"/>
          <w:lang w:bidi="fa-IR"/>
        </w:rPr>
        <w:t>و یدلّ علیه ما ورد منهم علیهم السلام فی الترغیب إلی التزویج بالولود کما عن أبی الحسن الرضا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 و سلم 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تزوّجها سوداء ولوداً، و لا تزوّجها جمیلة حسناء عاقراً، فإنّی مباه بکم الاُمم یوم القیامة</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غیرها التی ذکرنا بعضها دلیلاً علی استحباب تزویج الولود فی هذا الفصل،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الحمقاء</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قال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اختیار الحمقاء</w:t>
      </w:r>
      <w:r>
        <w:rPr>
          <w:rStyle w:val="FootnoteAnchor"/>
          <w:rtl w:val="true"/>
        </w:rPr>
        <w:footnoteReference w:id="171"/>
      </w:r>
      <w:r>
        <w:rPr>
          <w:rFonts w:ascii="IRNazanin" w:hAnsi="IRNazanin" w:eastAsia="IRNazanin"/>
          <w:color w:val="111111"/>
          <w:sz w:val="28"/>
          <w:sz w:val="28"/>
          <w:szCs w:val="28"/>
          <w:rtl w:val="true"/>
          <w:lang w:bidi="fa-IR"/>
        </w:rPr>
        <w:t>لما رواه فی الکافی بسند حسن أو الموثّق عن السکونی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إیّاکم و تزویج الحمقاء فإنّ صحبتها بلاء و ولدها ضیاع</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أیضاً المشایخ الثلاثة مرسلاً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زوّجوا الأحمق و لا تزوّجوا الحمقاء، فإنّ الأحمق ینجب و الحمقاء لا تنجب</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تزویج الصغار</w:t>
      </w:r>
    </w:p>
    <w:p>
      <w:pPr>
        <w:pStyle w:val="BookText"/>
        <w:rPr/>
      </w:pPr>
      <w:r>
        <w:rPr>
          <w:rFonts w:ascii="IRNazanin" w:hAnsi="IRNazanin" w:eastAsia="IRNazanin"/>
          <w:color w:val="111111"/>
          <w:sz w:val="28"/>
          <w:sz w:val="28"/>
          <w:szCs w:val="28"/>
          <w:rtl w:val="true"/>
          <w:lang w:bidi="fa-IR"/>
        </w:rPr>
        <w:t>قال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تزویج الصغار قبل البلوغ</w:t>
      </w:r>
      <w:r>
        <w:rPr>
          <w:rStyle w:val="FootnoteAnchor"/>
          <w:rtl w:val="true"/>
        </w:rPr>
        <w:footnoteReference w:id="174"/>
      </w:r>
      <w:r>
        <w:rPr>
          <w:rFonts w:ascii="IRNazanin" w:hAnsi="IRNazanin" w:eastAsia="IRNazanin"/>
          <w:color w:val="111111"/>
          <w:sz w:val="28"/>
          <w:sz w:val="28"/>
          <w:szCs w:val="28"/>
          <w:rtl w:val="true"/>
          <w:lang w:bidi="fa-IR"/>
        </w:rPr>
        <w:t xml:space="preserve">و یدلّ علیه صحیحة هشام بن الحکم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أبی الحسن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نزوّج صبیاننا و هم صغار،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زوّجوا و هم صغار لم یکادوا یتآلفوا</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 علی القابلة المربّیة و بنتها</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المشهور بین الأصحاب أنّ العقد علی القابلة المربّیة و علی ابنتها من الولد</w:t>
      </w:r>
    </w:p>
    <w:p>
      <w:pPr>
        <w:pStyle w:val="BookText"/>
        <w:rPr/>
      </w:pPr>
      <w:r>
        <w:rPr>
          <w:rFonts w:ascii="IRNazanin" w:hAnsi="IRNazanin" w:eastAsia="IRNazanin"/>
          <w:color w:val="111111"/>
          <w:sz w:val="28"/>
          <w:sz w:val="28"/>
          <w:szCs w:val="28"/>
          <w:rtl w:val="true"/>
          <w:lang w:bidi="fa-IR"/>
        </w:rPr>
        <w:t>الذی ربّته جائز علی کراهیة</w:t>
      </w:r>
      <w:r>
        <w:rPr>
          <w:rStyle w:val="FootnoteAnchor"/>
          <w:rtl w:val="true"/>
        </w:rPr>
        <w:footnoteReference w:id="176"/>
      </w:r>
      <w:r>
        <w:rPr>
          <w:rFonts w:ascii="IRNazanin" w:hAnsi="IRNazanin" w:eastAsia="IRNazanin"/>
          <w:color w:val="111111"/>
          <w:sz w:val="28"/>
          <w:sz w:val="28"/>
          <w:szCs w:val="28"/>
          <w:rtl w:val="true"/>
          <w:lang w:bidi="fa-IR"/>
        </w:rPr>
        <w:t>؛ للنهی عنه فی خبر إبراهیم بن عبد الحمید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الحسن علیه السلام عن القابلة تقبِّل الرجل أ له أن یتزوّجها؟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کانت قبّلته المرّة و المرّتین و الثلاثة فلا بأس، و إن کانت قبّلته و ربّته و کفلته فإنّی أنهی نفسی عنها و 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خبر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صدیقی</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خبر جابر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القابلة أ یحلّ للمولود أن ینکحها؟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 لا ابنتها هی بعض امّهاته</w:t>
      </w:r>
      <w:r>
        <w:rPr>
          <w:rFonts w:eastAsia="IRNazanin" w:cs="IRNazanin"/>
          <w:color w:val="111111"/>
          <w:sz w:val="28"/>
          <w:szCs w:val="28"/>
          <w:rtl w:val="true"/>
          <w:lang w:bidi="fa-IR"/>
        </w:rPr>
        <w:t>»</w:t>
      </w:r>
      <w:r>
        <w:rPr>
          <w:rStyle w:val="FootnoteAnchor"/>
          <w:rtl w:val="true"/>
        </w:rPr>
        <w:footnoteReference w:id="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الروایات</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یدلّ علی الحلّیة أصالة الحلّ کما فی المسالک</w:t>
      </w:r>
      <w:r>
        <w:rPr>
          <w:rStyle w:val="FootnoteAnchor"/>
          <w:rtl w:val="true"/>
        </w:rPr>
        <w:footnoteReference w:id="180"/>
      </w:r>
      <w:r>
        <w:rPr>
          <w:rFonts w:ascii="IRNazanin" w:hAnsi="IRNazanin" w:eastAsia="IRNazanin"/>
          <w:color w:val="111111"/>
          <w:sz w:val="28"/>
          <w:sz w:val="28"/>
          <w:szCs w:val="28"/>
          <w:rtl w:val="true"/>
          <w:lang w:bidi="fa-IR"/>
        </w:rPr>
        <w:t>، و صحیحة أحمد بن محمّد بن أبی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یتزوّج الرجل المرأة التی قبّلته؟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ما حرّم اللّه علیه من ذلک</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هکذا خبر أحمد بن محمّد بن أبی نصر عنه علیه السلام</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الجمع بین الأخبار یقتضی حمل النهی علی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التزویج مع ضرّة</w:t>
      </w:r>
      <w:r>
        <w:rPr>
          <w:rStyle w:val="FootnoteAnchor"/>
          <w:rtl w:val="true"/>
        </w:rPr>
        <w:footnoteReference w:id="183"/>
      </w:r>
      <w:r>
        <w:rPr>
          <w:rFonts w:ascii="Amiri" w:hAnsi="Amiri" w:eastAsia="Amiri" w:cs="Amiri"/>
          <w:color w:val="111111"/>
          <w:sz w:val="28"/>
          <w:sz w:val="28"/>
          <w:szCs w:val="28"/>
          <w:rtl w:val="true"/>
          <w:lang w:bidi="ar-SA"/>
        </w:rPr>
        <w:t>امّه</w:t>
      </w:r>
    </w:p>
    <w:p>
      <w:pPr>
        <w:pStyle w:val="BookText"/>
        <w:rPr/>
      </w:pPr>
      <w:r>
        <w:rPr>
          <w:rFonts w:ascii="IRNazanin" w:hAnsi="IRNazanin" w:eastAsia="IRNazanin"/>
          <w:color w:val="111111"/>
          <w:sz w:val="28"/>
          <w:sz w:val="28"/>
          <w:szCs w:val="28"/>
          <w:rtl w:val="true"/>
          <w:lang w:bidi="fa-IR"/>
        </w:rPr>
        <w:t>المشهور بین الفقهاء أنّه یکره تزویج الرجل مع امرأةٍ کانت ضرّةً لاُمّه من غیر أبیه</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الشیخ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یکره أن یتزوّج بضرّة امّه إذا کانت من غیر أبیه</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یدلّ علی ذلک ما رواه الشیخ فی الصحیح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أحبّ للرجل المسلم أن یتزوّج ضرّة کانت لاُمّه مع غیر أبیه</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تزویج الرجل مع اخت أخیه</w:t>
      </w:r>
    </w:p>
    <w:p>
      <w:pPr>
        <w:pStyle w:val="BookText"/>
        <w:rPr/>
      </w:pPr>
      <w:r>
        <w:rPr>
          <w:rFonts w:ascii="IRNazanin" w:hAnsi="IRNazanin" w:eastAsia="IRNazanin"/>
          <w:color w:val="111111"/>
          <w:sz w:val="28"/>
          <w:sz w:val="28"/>
          <w:szCs w:val="28"/>
          <w:rtl w:val="true"/>
          <w:lang w:bidi="fa-IR"/>
        </w:rPr>
        <w:t>قال الشیخ فی النهایة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بأس أن یتزوّج الرجل اخت أخیه إذا لم تکن اختاً له، و إن ترکه کان أفضل</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و مثله فی الحدائق</w:t>
      </w:r>
      <w:r>
        <w:rPr>
          <w:rStyle w:val="FootnoteAnchor"/>
          <w:rtl w:val="true"/>
        </w:rPr>
        <w:footnoteReference w:id="188"/>
      </w:r>
      <w:r>
        <w:rPr>
          <w:rFonts w:ascii="IRNazanin" w:hAnsi="IRNazanin" w:eastAsia="IRNazanin"/>
          <w:color w:val="111111"/>
          <w:sz w:val="28"/>
          <w:sz w:val="28"/>
          <w:szCs w:val="28"/>
          <w:rtl w:val="true"/>
          <w:lang w:bidi="fa-IR"/>
        </w:rPr>
        <w:t>و غیره</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یدلّ علیه ما رواه الصدوق عن أبی جریر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أزوّج أخی من امّی اختی من أبی؟ فقال أبو الحسن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 إیّاها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إیّاه إیّاها</w:t>
      </w:r>
      <w:r>
        <w:rPr>
          <w:rFonts w:eastAsia="IRNazanin" w:cs="IRNazanin"/>
          <w:color w:val="111111"/>
          <w:sz w:val="28"/>
          <w:szCs w:val="28"/>
          <w:rtl w:val="true"/>
          <w:lang w:bidi="fa-IR"/>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رواه الشیخ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یتزوّج اخت</w:t>
      </w:r>
    </w:p>
    <w:p>
      <w:pPr>
        <w:pStyle w:val="BookText"/>
        <w:rPr/>
      </w:pPr>
      <w:r>
        <w:rPr>
          <w:rFonts w:ascii="IRNazanin" w:hAnsi="IRNazanin" w:eastAsia="IRNazanin"/>
          <w:color w:val="111111"/>
          <w:sz w:val="28"/>
          <w:sz w:val="28"/>
          <w:szCs w:val="28"/>
          <w:rtl w:val="true"/>
          <w:lang w:bidi="fa-IR"/>
        </w:rPr>
        <w:t>أخیه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أحبّ له ذلک</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بدّ أن یحمل علی الکراهة بقرینة روایة أبی جریر و خبر یونس بن یعقوب</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تزویج ولد الرجل بنت زوجته من غیره</w:t>
      </w:r>
    </w:p>
    <w:p>
      <w:pPr>
        <w:pStyle w:val="BookText"/>
        <w:rPr/>
      </w:pPr>
      <w:r>
        <w:rPr>
          <w:rFonts w:ascii="IRNazanin" w:hAnsi="IRNazanin" w:eastAsia="IRNazanin"/>
          <w:color w:val="111111"/>
          <w:sz w:val="28"/>
          <w:sz w:val="28"/>
          <w:szCs w:val="28"/>
          <w:rtl w:val="true"/>
          <w:lang w:bidi="fa-IR"/>
        </w:rPr>
        <w:t>قال العلاّمة فی القواعد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یکره تزویج ابنه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ابن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امرأته إذا ولدتها بعد مفارقته، و لا یکره قبل نکاحه بها</w:t>
      </w:r>
      <w:r>
        <w:rPr>
          <w:rStyle w:val="FootnoteAnchor"/>
          <w:rtl w:val="true"/>
        </w:rPr>
        <w:footnoteReference w:id="193"/>
      </w:r>
      <w:r>
        <w:rPr>
          <w:rFonts w:ascii="IRNazanin" w:hAnsi="IRNazanin" w:eastAsia="IRNazanin"/>
          <w:color w:val="111111"/>
          <w:sz w:val="28"/>
          <w:sz w:val="28"/>
          <w:szCs w:val="28"/>
          <w:rtl w:val="true"/>
          <w:lang w:bidi="fa-IR"/>
        </w:rPr>
        <w:t>أی إن کانت بنت الزوجة ولدت قبل أن یتزوّج الرجل بها فلا کراهة فی تزویجه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النهایة</w:t>
      </w:r>
      <w:r>
        <w:rPr>
          <w:rStyle w:val="FootnoteAnchor"/>
          <w:rtl w:val="true"/>
        </w:rPr>
        <w:footnoteReference w:id="194"/>
      </w:r>
      <w:r>
        <w:rPr>
          <w:rFonts w:ascii="IRNazanin" w:hAnsi="IRNazanin" w:eastAsia="IRNazanin"/>
          <w:color w:val="111111"/>
          <w:sz w:val="28"/>
          <w:sz w:val="28"/>
          <w:szCs w:val="28"/>
          <w:rtl w:val="true"/>
          <w:lang w:bidi="fa-IR"/>
        </w:rPr>
        <w:t>و الشرائع</w:t>
      </w:r>
      <w:r>
        <w:rPr>
          <w:rStyle w:val="FootnoteAnchor"/>
          <w:rtl w:val="true"/>
        </w:rPr>
        <w:footnoteReference w:id="195"/>
      </w:r>
      <w:r>
        <w:rPr>
          <w:rFonts w:ascii="IRNazanin" w:hAnsi="IRNazanin" w:eastAsia="IRNazanin"/>
          <w:color w:val="111111"/>
          <w:sz w:val="28"/>
          <w:sz w:val="28"/>
          <w:szCs w:val="28"/>
          <w:rtl w:val="true"/>
          <w:lang w:bidi="fa-IR"/>
        </w:rPr>
        <w:t>و غیرها</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الکراهة ما رواه إسماعیل بن همام فی الصحیح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الحسن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محمّد بن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یتزوّج المرأة و تزوّج ابنتها ابنه فیفارقها و یتزوّجها آخر بعد فتلد منه بنتاً فکره أن یتزوّجها أحد من ولده؛ لأنّها کانت امرأته فطلّقها فصار بمنزلة الأب و کان قبل ذلک أباً لها</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غیرها من الروایات</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وجه حمل النهی علی الکراهة الأصل، و العمومات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أُحِلَّ لَکُمْ ما وَراءَ ذلِکُمْ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طابَ لَکُمْ مِنَ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خصوص صحیحة العیص بن القاسم،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یطلّق امرأته ثمّ خلف علیها رجل بعد فولدت للآخر، هل یحلّ ولدها من الآخر لولد الأوّل من غیرها؟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سألته عن رجل أعتق سریّة له ثمّ خلف علیها رجل بعده ثمّ ولدت للآخر هل یحلّ ولدها لولد الذی أعتقها؟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 علی خطبة المؤمن بعد الإجابة</w:t>
      </w:r>
    </w:p>
    <w:p>
      <w:pPr>
        <w:pStyle w:val="BookText"/>
        <w:rPr/>
      </w:pPr>
      <w:r>
        <w:rPr>
          <w:rFonts w:ascii="IRNazanin" w:hAnsi="IRNazanin" w:eastAsia="IRNazanin"/>
          <w:color w:val="111111"/>
          <w:sz w:val="28"/>
          <w:sz w:val="28"/>
          <w:szCs w:val="28"/>
          <w:rtl w:val="true"/>
          <w:lang w:bidi="fa-IR"/>
        </w:rPr>
        <w:t>بمعنی أنّه لو خطب أحد امرأة و أجابه ولیّها، أو هی إن لم یکن نکاحها بید الولیّ، فإنّه یکره لغیره الخطبة لها؛ لما فیه من الإیذاء و إثارة الشحناء و العداوة و النزاع بینهما</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یدلّ علیه ما ورد من طریق أهل السنّة عن النبیّ صلی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یخطب أحدکم علی خطبة أخیه</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یخطب أحدکم علی خطبة أخیه حتّی ینکح أو یترک</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الشیخ بتحریم ذلک</w:t>
      </w:r>
      <w:r>
        <w:rPr>
          <w:rStyle w:val="FootnoteAnchor"/>
          <w:rtl w:val="true"/>
        </w:rPr>
        <w:footnoteReference w:id="203"/>
      </w:r>
      <w:r>
        <w:rPr>
          <w:rFonts w:ascii="IRNazanin" w:hAnsi="IRNazanin" w:eastAsia="IRNazanin"/>
          <w:color w:val="111111"/>
          <w:sz w:val="28"/>
          <w:sz w:val="28"/>
          <w:szCs w:val="28"/>
          <w:rtl w:val="true"/>
          <w:lang w:bidi="fa-IR"/>
        </w:rPr>
        <w:t>لظاهر النهی، و نسبه فی الشرائع إلی القیل</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تکون المرأة غیر متورّعة</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یکره التزویج مع المرأة التی لم تکن متورّعة</w:t>
      </w:r>
      <w:r>
        <w:rPr>
          <w:rStyle w:val="FootnoteAnchor"/>
          <w:rtl w:val="true"/>
        </w:rPr>
        <w:footnoteReference w:id="205"/>
      </w:r>
      <w:r>
        <w:rPr>
          <w:rFonts w:ascii="IRNazanin" w:hAnsi="IRNazanin" w:eastAsia="IRNazanin"/>
          <w:color w:val="111111"/>
          <w:sz w:val="28"/>
          <w:sz w:val="28"/>
          <w:szCs w:val="28"/>
          <w:rtl w:val="true"/>
          <w:lang w:bidi="fa-IR"/>
        </w:rPr>
        <w:t>و یدلّ علیه ما رواه</w:t>
      </w:r>
    </w:p>
    <w:p>
      <w:pPr>
        <w:pStyle w:val="BookText"/>
        <w:rPr/>
      </w:pPr>
      <w:r>
        <w:rPr>
          <w:rFonts w:ascii="IRNazanin" w:hAnsi="IRNazanin" w:eastAsia="IRNazanin"/>
          <w:color w:val="111111"/>
          <w:sz w:val="28"/>
          <w:sz w:val="28"/>
          <w:szCs w:val="28"/>
          <w:rtl w:val="true"/>
          <w:lang w:bidi="fa-IR"/>
        </w:rPr>
        <w:t>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لا أخبرکم بشرار نسائکم؟ الذلیلة فی أهلها، العزیزة مع بعلها، العقیم الحقود التی لا تتورّع من قبیح، المتبرّجة إذا غاب عنها بعلها، الحصان معه إذا حضر، لا تسمع قوله و لا تطیع أمره، و إذا خلا بها بعلها تمنّعت منه کما تمنع الصعبة عند رکوبها، و لا تقبل منه عذراً و لا تغفر له ذنباً</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الاقتصار علی الجمال و الثروة</w:t>
      </w:r>
    </w:p>
    <w:p>
      <w:pPr>
        <w:pStyle w:val="BookText"/>
        <w:rPr/>
      </w:pPr>
      <w:r>
        <w:rPr>
          <w:rFonts w:ascii="IRNazanin" w:hAnsi="IRNazanin" w:eastAsia="IRNazanin"/>
          <w:color w:val="111111"/>
          <w:sz w:val="28"/>
          <w:sz w:val="28"/>
          <w:szCs w:val="28"/>
          <w:rtl w:val="true"/>
          <w:lang w:bidi="fa-IR"/>
        </w:rPr>
        <w:t>و هکذا یکره النکاح إن اکتفی الرجل علی جمال المرأة و ثروتها فقط من دون أن ینظر إلی الأصل و العفّة و الورع منها</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یدلّ علیه جملة من النصوص منها قول النبیّ صلی الله علیه و آله و سلم فی الصحیح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تزوّج امرأة لمالها وکّله اللّه إلیه، و مَن تزوّجها لجمالها رأی فیها ما یکره، و مَن تزوّجها لدینها جمع اللّه له ذلک</w:t>
      </w:r>
      <w:r>
        <w:rPr>
          <w:rFonts w:eastAsia="IRNazanin" w:cs="IRNazanin"/>
          <w:color w:val="111111"/>
          <w:sz w:val="28"/>
          <w:szCs w:val="28"/>
          <w:rtl w:val="true"/>
          <w:lang w:bidi="fa-IR"/>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صحیح هشام بن 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تزوّج الرجل المرأة لجمالها أو لمالها وکّل إلی ذلک، و إذا تزوّجها لدینها رزقه اللّه المال و الجمال</w:t>
      </w:r>
      <w:r>
        <w:rPr>
          <w:rFonts w:eastAsia="IRNazanin" w:cs="IRNazanin"/>
          <w:color w:val="111111"/>
          <w:sz w:val="28"/>
          <w:szCs w:val="28"/>
          <w:rtl w:val="true"/>
          <w:lang w:bidi="fa-IR"/>
        </w:rPr>
        <w:t>»</w:t>
      </w:r>
      <w:r>
        <w:rPr>
          <w:rStyle w:val="FootnoteAnchor"/>
          <w:rtl w:val="true"/>
        </w:rPr>
        <w:footnoteReference w:id="2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من الروایات</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مقتضی الروایتین أنّه لو قصدهما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المال و الجمال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ما یترجّح بالسنّة لم یکن مکروهاً کأن یرجّح ذات المال أو الجمال العفیفة علی العفیفة الکریهة إذا لم یکن المال أو الجمال مستقلاًّ فی التعیین</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التزویج فی ساعةٍ حارّة</w:t>
      </w:r>
    </w:p>
    <w:p>
      <w:pPr>
        <w:pStyle w:val="BookText"/>
        <w:rPr/>
      </w:pPr>
      <w:r>
        <w:rPr>
          <w:rFonts w:ascii="IRNazanin" w:hAnsi="IRNazanin" w:eastAsia="IRNazanin"/>
          <w:color w:val="111111"/>
          <w:sz w:val="28"/>
          <w:sz w:val="28"/>
          <w:szCs w:val="28"/>
          <w:rtl w:val="true"/>
          <w:lang w:bidi="fa-IR"/>
        </w:rPr>
        <w:t>و یکره التزویج فی ساعة حارّة</w:t>
      </w:r>
      <w:r>
        <w:rPr>
          <w:rStyle w:val="FootnoteAnchor"/>
          <w:rtl w:val="true"/>
        </w:rPr>
        <w:footnoteReference w:id="212"/>
      </w:r>
      <w:r>
        <w:rPr>
          <w:rFonts w:ascii="IRNazanin" w:hAnsi="IRNazanin" w:eastAsia="IRNazanin"/>
          <w:color w:val="111111"/>
          <w:sz w:val="28"/>
          <w:sz w:val="28"/>
          <w:szCs w:val="28"/>
          <w:rtl w:val="true"/>
          <w:lang w:bidi="fa-IR"/>
        </w:rPr>
        <w:t>لما رواه ضریس بن عبد الملک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أبا جعفر علیه السلام أنّ رجلاً تزوّج فی ساعة حارّة عند نصف النهار، فقال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أراهما یتّفقان فافترقا</w:t>
      </w:r>
      <w:r>
        <w:rPr>
          <w:rFonts w:eastAsia="IRNazanin" w:cs="IRNazanin"/>
          <w:color w:val="111111"/>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یدلّ علیه ما رواه زرارة عن أبی جعفر علیه السلام أراد أن یتزوّج امرأة فکره ذلک أبوه،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فمضیت فتزوّجتها حتّی إذا کان بعد ذلک زرتها فنظرت فلم أر ما یعجبنی، فقمت أنصرف فبادرتنی القیّمة الباب لتغلقه عَلیّ،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تغلقیه لک الذی تریدین، فلمّا رجعت إلی أبی أخبرته بالأمر کیف کان،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إنّه لیس علیک إلاّ نصف المهر،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تزوّجتها فی ساعة حارّة</w:t>
      </w:r>
      <w:r>
        <w:rPr>
          <w:rFonts w:eastAsia="IRNazanin" w:cs="IRNazanin"/>
          <w:color w:val="111111"/>
          <w:sz w:val="28"/>
          <w:szCs w:val="28"/>
          <w:rtl w:val="true"/>
          <w:lang w:bidi="fa-IR"/>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التزویج و القمر فی برج العقرب أو فی محاق الشهر</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قال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التزویج و القمر فی برج العقرب</w:t>
      </w:r>
      <w:r>
        <w:rPr>
          <w:rStyle w:val="FootnoteAnchor"/>
          <w:rtl w:val="true"/>
        </w:rPr>
        <w:footnoteReference w:id="216"/>
      </w:r>
      <w:r>
        <w:rPr>
          <w:rFonts w:ascii="IRNazanin" w:hAnsi="IRNazanin" w:eastAsia="IRNazanin"/>
          <w:color w:val="111111"/>
          <w:sz w:val="28"/>
          <w:sz w:val="28"/>
          <w:szCs w:val="28"/>
          <w:rtl w:val="true"/>
          <w:lang w:bidi="fa-IR"/>
        </w:rPr>
        <w:t>و یدلّ علیه ما ورد عن أبی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تزوّج امرأة و القمر فی العقرب لم یر الحسنی</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ما ورد فی عیون الأخبار و فی العلل عن علیّ بن محمّد العسکری عن آبائه علیهم السلام 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تزوّج و القمر فی العقرب لم یر الحسنی،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تزوّج فی محاق الشهر فلیسلّم لسقط الولد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ما ورد فی الصفات الرجل بخصوصه</w:t>
      </w:r>
    </w:p>
    <w:p>
      <w:pPr>
        <w:pStyle w:val="BookText"/>
        <w:rPr/>
      </w:pPr>
      <w:r>
        <w:rPr>
          <w:rFonts w:ascii="IRNazanin" w:hAnsi="IRNazanin" w:eastAsia="IRNazanin"/>
          <w:color w:val="111111"/>
          <w:sz w:val="28"/>
          <w:sz w:val="28"/>
          <w:szCs w:val="28"/>
          <w:rtl w:val="true"/>
          <w:lang w:bidi="fa-IR"/>
        </w:rPr>
        <w:t>کما ورد فی النصوص بأنّ بعض الصفات فی المرأة توجب کراهیة النکاح معها فقد ورد بأنّ بعض الصفات فی الرجل توجب کراهیة النکاح معه، و هی أیضاً کثیرة نذکر أهمّها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سیّئ الخُلق</w:t>
      </w:r>
    </w:p>
    <w:p>
      <w:pPr>
        <w:pStyle w:val="BookText"/>
        <w:rPr/>
      </w:pPr>
      <w:r>
        <w:rPr>
          <w:rFonts w:ascii="IRNazanin" w:hAnsi="IRNazanin" w:eastAsia="IRNazanin"/>
          <w:color w:val="111111"/>
          <w:sz w:val="28"/>
          <w:sz w:val="28"/>
          <w:szCs w:val="28"/>
          <w:rtl w:val="true"/>
          <w:lang w:bidi="fa-IR"/>
        </w:rPr>
        <w:t>قال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ینبغی للمرأة أن تختار زوجاً سیّئ الخلق</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یدلّ علیه خبر بشّار الواسطی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الحسن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لی قرابة قد خطب إلیَّ و فی خلقه سوء،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تزوّجه إن کان سیّئ الخلق</w:t>
      </w:r>
      <w:r>
        <w:rPr>
          <w:rFonts w:eastAsia="IRNazanin" w:cs="IRNazanin"/>
          <w:color w:val="111111"/>
          <w:sz w:val="28"/>
          <w:szCs w:val="28"/>
          <w:rtl w:val="true"/>
          <w:lang w:bidi="fa-IR"/>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هکذا مفهوم بعض النصوص المتقدّمة مثل ما ورد عن النبیّ صلی الله علیه و آله و سلم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جاءکم مَن ترضون خلقه و دینه فزوّجوه</w:t>
      </w:r>
      <w:r>
        <w:rPr>
          <w:rFonts w:eastAsia="IRNazanin" w:cs="IRNazanin"/>
          <w:color w:val="111111"/>
          <w:sz w:val="28"/>
          <w:szCs w:val="28"/>
          <w:rtl w:val="true"/>
          <w:lang w:bidi="fa-IR"/>
        </w:rPr>
        <w:t>»</w:t>
      </w:r>
      <w:r>
        <w:rPr>
          <w:rStyle w:val="FootnoteAnchor"/>
          <w:rtl w:val="true"/>
        </w:rPr>
        <w:footnoteReference w:id="2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 علی من لا یرضی خلقه لا ینبغی للمرأة التزویج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فاسقاً</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یکره أن تتزوّج المؤمنة الفاسق کما فی الشرائع</w:t>
      </w:r>
      <w:r>
        <w:rPr>
          <w:rStyle w:val="FootnoteAnchor"/>
          <w:rtl w:val="true"/>
        </w:rPr>
        <w:footnoteReference w:id="222"/>
      </w:r>
      <w:r>
        <w:rPr>
          <w:rFonts w:ascii="IRNazanin" w:hAnsi="IRNazanin" w:eastAsia="IRNazanin"/>
          <w:color w:val="111111"/>
          <w:sz w:val="28"/>
          <w:sz w:val="28"/>
          <w:szCs w:val="28"/>
          <w:rtl w:val="true"/>
          <w:lang w:bidi="fa-IR"/>
        </w:rPr>
        <w:t>و النافع</w:t>
      </w:r>
      <w:r>
        <w:rPr>
          <w:rStyle w:val="FootnoteAnchor"/>
          <w:rtl w:val="true"/>
        </w:rPr>
        <w:footnoteReference w:id="223"/>
      </w:r>
      <w:r>
        <w:rPr>
          <w:rFonts w:ascii="IRNazanin" w:hAnsi="IRNazanin" w:eastAsia="IRNazanin"/>
          <w:color w:val="111111"/>
          <w:sz w:val="28"/>
          <w:sz w:val="28"/>
          <w:szCs w:val="28"/>
          <w:rtl w:val="true"/>
          <w:lang w:bidi="fa-IR"/>
        </w:rPr>
        <w:t>و القواعد</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و المسالک</w:t>
      </w:r>
      <w:r>
        <w:rPr>
          <w:rStyle w:val="FootnoteAnchor"/>
          <w:rtl w:val="true"/>
        </w:rPr>
        <w:footnoteReference w:id="225"/>
      </w:r>
      <w:r>
        <w:rPr>
          <w:rFonts w:ascii="IRNazanin" w:hAnsi="IRNazanin" w:eastAsia="IRNazanin"/>
          <w:color w:val="111111"/>
          <w:sz w:val="28"/>
          <w:sz w:val="28"/>
          <w:szCs w:val="28"/>
          <w:rtl w:val="true"/>
          <w:lang w:bidi="fa-IR"/>
        </w:rPr>
        <w:t>و جامع المقاصد</w:t>
      </w:r>
      <w:r>
        <w:rPr>
          <w:rStyle w:val="FootnoteAnchor"/>
          <w:rtl w:val="true"/>
        </w:rPr>
        <w:footnoteReference w:id="226"/>
      </w:r>
      <w:r>
        <w:rPr>
          <w:rFonts w:ascii="IRNazanin" w:hAnsi="IRNazanin" w:eastAsia="IRNazanin"/>
          <w:color w:val="111111"/>
          <w:sz w:val="28"/>
          <w:sz w:val="28"/>
          <w:szCs w:val="28"/>
          <w:rtl w:val="true"/>
          <w:lang w:bidi="fa-IR"/>
        </w:rPr>
        <w:t>، و کشف اللثام</w:t>
      </w:r>
      <w:r>
        <w:rPr>
          <w:rStyle w:val="FootnoteAnchor"/>
          <w:rtl w:val="true"/>
        </w:rPr>
        <w:footnoteReference w:id="227"/>
      </w:r>
      <w:r>
        <w:rPr>
          <w:rFonts w:ascii="IRNazanin" w:hAnsi="IRNazanin" w:eastAsia="IRNazanin"/>
          <w:color w:val="111111"/>
          <w:sz w:val="28"/>
          <w:sz w:val="28"/>
          <w:szCs w:val="28"/>
          <w:rtl w:val="true"/>
          <w:lang w:bidi="fa-IR"/>
        </w:rPr>
        <w:t>و المفاتیح</w:t>
      </w:r>
      <w:r>
        <w:rPr>
          <w:rStyle w:val="FootnoteAnchor"/>
          <w:rtl w:val="true"/>
        </w:rPr>
        <w:footnoteReference w:id="228"/>
      </w:r>
      <w:r>
        <w:rPr>
          <w:rFonts w:ascii="IRNazanin" w:hAnsi="IRNazanin" w:eastAsia="IRNazanin"/>
          <w:color w:val="111111"/>
          <w:sz w:val="28"/>
          <w:sz w:val="28"/>
          <w:szCs w:val="28"/>
          <w:rtl w:val="true"/>
          <w:lang w:bidi="fa-IR"/>
        </w:rPr>
        <w:t>و الریاض</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و العروة</w:t>
      </w:r>
      <w:r>
        <w:rPr>
          <w:rStyle w:val="FootnoteAnchor"/>
          <w:rtl w:val="true"/>
        </w:rPr>
        <w:footnoteReference w:id="230"/>
      </w:r>
      <w:r>
        <w:rPr>
          <w:rFonts w:ascii="IRNazanin" w:hAnsi="IRNazanin" w:eastAsia="IRNazanin"/>
          <w:color w:val="111111"/>
          <w:sz w:val="28"/>
          <w:sz w:val="28"/>
          <w:szCs w:val="28"/>
          <w:rtl w:val="true"/>
          <w:lang w:bidi="fa-IR"/>
        </w:rPr>
        <w:t>و غیرها</w:t>
      </w:r>
      <w:r>
        <w:rPr>
          <w:rStyle w:val="FootnoteAnchor"/>
          <w:rtl w:val="true"/>
        </w:rPr>
        <w:footnoteReference w:id="231"/>
      </w:r>
      <w:r>
        <w:rPr>
          <w:rFonts w:ascii="IRNazanin" w:hAnsi="IRNazanin" w:eastAsia="IRNazanin"/>
          <w:color w:val="111111"/>
          <w:sz w:val="28"/>
          <w:sz w:val="28"/>
          <w:szCs w:val="28"/>
          <w:rtl w:val="true"/>
          <w:lang w:bidi="fa-IR"/>
        </w:rPr>
        <w:t>؛ لأنّ المرأة تأخذ من أدب زوجها، و لمفهوم الروایة المتقدّمة عن النبیّ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جاءکم مَن ترضون خلقه و دینه فزوّجوه</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الدالّ علی أنّ من لا یُرضی دینه لا یزوّج، و الفاسق کذلک</w:t>
      </w:r>
      <w:r>
        <w:rPr>
          <w:rStyle w:val="FootnoteAnchor"/>
          <w:rtl w:val="true"/>
        </w:rPr>
        <w:footnoteReference w:id="233"/>
      </w:r>
      <w:r>
        <w:rPr>
          <w:rFonts w:ascii="IRNazanin" w:hAnsi="IRNazanin" w:eastAsia="IRNazanin"/>
          <w:color w:val="111111"/>
          <w:sz w:val="28"/>
          <w:sz w:val="28"/>
          <w:szCs w:val="28"/>
          <w:rtl w:val="true"/>
          <w:lang w:bidi="fa-IR"/>
        </w:rPr>
        <w:t>، و لأنّه لفسقه حریّ بالإعراض و الإهانة، و التزویج إکرام و موادّة، و لأنّه لا یؤمن من الإضرار بها و قهرها علی الفسق و لا أقلّ من میلها إلیه</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الجمیع کما تری لا یفید الکراهة لمطلق الفسق حتّی الإصرار علی بعض الصغائر التی قلّما یخلو منها أحد؛ إذ لیس الفاسق مندرجاً فیمن لا یرضی دینه قطعاً، بل و الخُلق؛ بناءً علی أنّ المراد منه حسن السجایا التی لا ینافیها بعض أنواع الفسق، کما عساه أن یومئ إلیه النهی عن تزویج سیّئ الخلق، کما فی روایة حسین بن بشّار الواسطی</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مفهوم الخبر المذکور کراهة التزویج لغیر الموصوف بالوصف المذکور،</w:t>
      </w:r>
    </w:p>
    <w:p>
      <w:pPr>
        <w:pStyle w:val="BookText"/>
        <w:rPr/>
      </w:pPr>
      <w:r>
        <w:rPr>
          <w:rFonts w:ascii="IRNazanin" w:hAnsi="IRNazanin" w:eastAsia="IRNazanin"/>
          <w:color w:val="111111"/>
          <w:sz w:val="28"/>
          <w:sz w:val="28"/>
          <w:szCs w:val="28"/>
          <w:rtl w:val="true"/>
          <w:lang w:bidi="fa-IR"/>
        </w:rPr>
        <w:t>و لیس کلّ فسق حریّاً بالإعراض و الإهانة علی وجه ینافی التزویج و لا یؤمن معه من الإضرار بها و من قهرها علیه، و لا کلّ فسق یسقط حرمة الإیمان التی قد علمت من الشریعة</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لا ریب فی الکراهة بالنسبة إلی بعض أنواع الفسق کشرب الخمر و الزنا و غیرهما من أنواع الفسق التی فیها من الغضاضة و عدم الائتمان ما لا یخفی؛ و لذا قال بعض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یکره أن یزوّج الفاسق و یتأکّد فی شارب الخمر</w:t>
      </w:r>
      <w:r>
        <w:rPr>
          <w:rStyle w:val="FootnoteAnchor"/>
          <w:rtl w:val="true"/>
        </w:rPr>
        <w:footnoteReference w:id="237"/>
      </w:r>
      <w:r>
        <w:rPr>
          <w:rFonts w:ascii="IRNazanin" w:hAnsi="IRNazanin" w:eastAsia="IRNazanin"/>
          <w:color w:val="111111"/>
          <w:sz w:val="28"/>
          <w:sz w:val="28"/>
          <w:szCs w:val="28"/>
          <w:rtl w:val="true"/>
          <w:lang w:bidi="fa-IR"/>
        </w:rPr>
        <w:t>لقول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شرب الخمر بعد ما حرّمها اللّه علی لسانی فلیس بأهل أن یزوَّج إذا خطب</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زوّج کریمته من شارب الخمر فقد قطع رحمها</w:t>
      </w:r>
      <w:r>
        <w:rPr>
          <w:rFonts w:eastAsia="IRNazanin" w:cs="IRNazanin"/>
          <w:color w:val="111111"/>
          <w:sz w:val="28"/>
          <w:szCs w:val="28"/>
          <w:rtl w:val="true"/>
          <w:lang w:bidi="fa-IR"/>
        </w:rPr>
        <w:t>»</w:t>
      </w:r>
      <w:r>
        <w:rPr>
          <w:rStyle w:val="FootnoteAnchor"/>
          <w:rtl w:val="true"/>
        </w:rPr>
        <w:footnoteReference w:id="239"/>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 ذلک من الروایات</w:t>
      </w:r>
      <w:r>
        <w:rPr>
          <w:rStyle w:val="FootnoteAnchor"/>
          <w:rtl w:val="true"/>
        </w:rPr>
        <w:footnoteReference w:id="2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تتأکّد الکراهة أیضاً بالنسبة إلی الزانی کما فی الجواهر</w:t>
      </w:r>
      <w:r>
        <w:rPr>
          <w:rStyle w:val="FootnoteAnchor"/>
          <w:rtl w:val="true"/>
        </w:rPr>
        <w:footnoteReference w:id="241"/>
      </w:r>
      <w:r>
        <w:rPr>
          <w:rFonts w:ascii="Amiri" w:hAnsi="Amiri" w:eastAsia="Amiri" w:cs="Amiri"/>
          <w:color w:val="111111"/>
          <w:sz w:val="28"/>
          <w:sz w:val="28"/>
          <w:szCs w:val="28"/>
          <w:rtl w:val="true"/>
          <w:lang w:bidi="ar-SA"/>
        </w:rPr>
        <w:t>؛ لصحیح أبی الصباح الکنانی،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الزّانِی لا یَنْکِحُ إِلاّ زانِیَةً أَوْ مُشْرِکَةً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 نسوة مشهورات بالزنا و رجال مشهورون بالزنا قد عرفوا بذلک، و الناس الیوم بتلک المنزلة فمن اقیم علیه حدّ الزنا أو شهر به لم ینبغ لأحد أن یناکحه حتّی یعرف</w:t>
      </w:r>
    </w:p>
    <w:p>
      <w:pPr>
        <w:pStyle w:val="BookText"/>
        <w:rPr/>
      </w:pPr>
      <w:r>
        <w:rPr>
          <w:rFonts w:ascii="Amiri" w:hAnsi="Amiri" w:eastAsia="Amiri" w:cs="Amiri"/>
          <w:color w:val="111111"/>
          <w:sz w:val="28"/>
          <w:sz w:val="28"/>
          <w:szCs w:val="28"/>
          <w:rtl w:val="true"/>
          <w:lang w:bidi="ar-SA"/>
        </w:rPr>
        <w:t>منه التوبة</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لصحیح الحلبی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تتزوّج المرأة المستعلنة بالزنا، و لا تزوّج الرجل المستعلن بالزنا إلاّ أن تعرف منهما التوبة</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إلی غیر ذلک من الروایات</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تزویج المؤمنة بالمخالف</w:t>
      </w:r>
    </w:p>
    <w:p>
      <w:pPr>
        <w:pStyle w:val="BookText"/>
        <w:rPr/>
      </w:pPr>
      <w:r>
        <w:rPr>
          <w:rFonts w:ascii="IRNazanin" w:hAnsi="IRNazanin" w:eastAsia="IRNazanin"/>
          <w:color w:val="111111"/>
          <w:sz w:val="28"/>
          <w:sz w:val="28"/>
          <w:szCs w:val="28"/>
          <w:rtl w:val="true"/>
          <w:lang w:bidi="fa-IR"/>
        </w:rPr>
        <w:t>و یکره أن تتزوّج المؤمنة بالرجل المخالف</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خلاف بین أهل الإسلام فی اعتبار الکفاءة فی النکاح، لکنّهم اختلفوا فی تفسیرها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جمع من فقهائنا بأنّها عبارة عن الإیمان و التمکّن من النفقة، و اقتصر بعضهم علی الإیمان، و بعضهم لم یعتبر الإیمان و اکتفی بالإسلام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فحصلت ثلاثة أقوال</w:t>
      </w:r>
      <w:r>
        <w:rPr>
          <w:rStyle w:val="FootnoteAnchor"/>
          <w:rtl w:val="true"/>
        </w:rPr>
        <w:footnoteReference w:id="246"/>
      </w:r>
      <w:r>
        <w:rPr>
          <w:rFonts w:ascii="IRNazanin" w:hAnsi="IRNazanin" w:eastAsia="IRNazanin"/>
          <w:color w:val="111111"/>
          <w:sz w:val="28"/>
          <w:sz w:val="28"/>
          <w:szCs w:val="28"/>
          <w:rtl w:val="true"/>
          <w:lang w:bidi="fa-IR"/>
        </w:rPr>
        <w:t>فی المسألة، و لکن فی اعتبار الإیمان و عدمه قولین</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الإسلام و الإیمان معاً، و المراد منه الإقرار بالأئمّة الاثنی عشر علیهم صلوات اللّه و صلوات ملائکته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لا یصحّ تزویج المسلمة المؤمنة إلاّ بمثلها کما لا یصحّ للمسلمة نکاح غیر المسلم، بعد عدم الخلاف علی جواز نکاح المؤمن المخالفة کما فی الریاض و الجواهر</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و هذا القول للشیخ</w:t>
      </w:r>
      <w:r>
        <w:rPr>
          <w:rStyle w:val="FootnoteAnchor"/>
          <w:rtl w:val="true"/>
        </w:rPr>
        <w:footnoteReference w:id="248"/>
      </w:r>
      <w:r>
        <w:rPr>
          <w:rFonts w:ascii="Amiri" w:hAnsi="Amiri" w:eastAsia="Amiri" w:cs="Amiri"/>
          <w:color w:val="111111"/>
          <w:sz w:val="28"/>
          <w:sz w:val="28"/>
          <w:szCs w:val="28"/>
          <w:rtl w:val="true"/>
          <w:lang w:bidi="ar-SA"/>
        </w:rPr>
        <w:t>و ابن حمزة</w:t>
      </w:r>
      <w:r>
        <w:rPr>
          <w:rStyle w:val="FootnoteAnchor"/>
          <w:rtl w:val="true"/>
        </w:rPr>
        <w:footnoteReference w:id="249"/>
      </w:r>
      <w:r>
        <w:rPr>
          <w:rFonts w:ascii="IRNazanin" w:hAnsi="IRNazanin" w:eastAsia="IRNazanin"/>
          <w:color w:val="111111"/>
          <w:sz w:val="28"/>
          <w:sz w:val="28"/>
          <w:szCs w:val="28"/>
          <w:rtl w:val="true"/>
          <w:lang w:bidi="fa-IR"/>
        </w:rPr>
        <w:t>و ابن إدریس</w:t>
      </w:r>
      <w:r>
        <w:rPr>
          <w:rStyle w:val="FootnoteAnchor"/>
          <w:rtl w:val="true"/>
        </w:rPr>
        <w:footnoteReference w:id="250"/>
      </w:r>
      <w:r>
        <w:rPr>
          <w:rFonts w:ascii="IRNazanin" w:hAnsi="IRNazanin" w:eastAsia="IRNazanin"/>
          <w:color w:val="111111"/>
          <w:sz w:val="28"/>
          <w:sz w:val="28"/>
          <w:szCs w:val="28"/>
          <w:rtl w:val="true"/>
          <w:lang w:bidi="fa-IR"/>
        </w:rPr>
        <w:t>و ابن البرّاج</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و ابن زهرة</w:t>
      </w:r>
      <w:r>
        <w:rPr>
          <w:rStyle w:val="FootnoteAnchor"/>
          <w:rtl w:val="true"/>
        </w:rPr>
        <w:footnoteReference w:id="252"/>
      </w:r>
      <w:r>
        <w:rPr>
          <w:rFonts w:ascii="Amiri" w:hAnsi="Amiri" w:eastAsia="Amiri" w:cs="Amiri"/>
          <w:color w:val="111111"/>
          <w:sz w:val="28"/>
          <w:sz w:val="28"/>
          <w:szCs w:val="28"/>
          <w:rtl w:val="true"/>
          <w:lang w:bidi="ar-SA"/>
        </w:rPr>
        <w:t>و العلاّمة</w:t>
      </w:r>
      <w:r>
        <w:rPr>
          <w:rStyle w:val="FootnoteAnchor"/>
          <w:rtl w:val="true"/>
        </w:rPr>
        <w:footnoteReference w:id="253"/>
      </w:r>
      <w:r>
        <w:rPr>
          <w:rFonts w:ascii="IRNazanin" w:hAnsi="IRNazanin" w:eastAsia="IRNazanin"/>
          <w:color w:val="111111"/>
          <w:sz w:val="28"/>
          <w:sz w:val="28"/>
          <w:szCs w:val="28"/>
          <w:rtl w:val="true"/>
          <w:lang w:bidi="fa-IR"/>
        </w:rPr>
        <w:t>و المحقّق الثانی</w:t>
      </w:r>
      <w:r>
        <w:rPr>
          <w:rStyle w:val="FootnoteAnchor"/>
          <w:rtl w:val="true"/>
        </w:rPr>
        <w:footnoteReference w:id="2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صاحب الریاض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المشهور بین الطائفة</w:t>
      </w:r>
      <w:r>
        <w:rPr>
          <w:rFonts w:eastAsia="IRNazanin" w:cs="IRNazanin"/>
          <w:color w:val="111111"/>
          <w:sz w:val="28"/>
          <w:szCs w:val="28"/>
          <w:rtl w:val="true"/>
          <w:lang w:bidi="fa-IR"/>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استدلّ علیه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الإجماعات المستفیضة کما عن الخلاف</w:t>
      </w:r>
      <w:r>
        <w:rPr>
          <w:rStyle w:val="FootnoteAnchor"/>
          <w:rtl w:val="true"/>
        </w:rPr>
        <w:footnoteReference w:id="256"/>
      </w:r>
      <w:r>
        <w:rPr>
          <w:rFonts w:ascii="IRNazanin" w:hAnsi="IRNazanin" w:eastAsia="IRNazanin"/>
          <w:color w:val="111111"/>
          <w:sz w:val="28"/>
          <w:sz w:val="28"/>
          <w:szCs w:val="28"/>
          <w:rtl w:val="true"/>
          <w:lang w:bidi="fa-IR"/>
        </w:rPr>
        <w:t>و المبسوط‌</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و السرائر</w:t>
      </w:r>
      <w:r>
        <w:rPr>
          <w:rStyle w:val="FootnoteAnchor"/>
          <w:rtl w:val="true"/>
        </w:rPr>
        <w:footnoteReference w:id="258"/>
      </w:r>
      <w:r>
        <w:rPr>
          <w:rFonts w:ascii="IRNazanin" w:hAnsi="IRNazanin" w:eastAsia="IRNazanin"/>
          <w:color w:val="111111"/>
          <w:sz w:val="28"/>
          <w:sz w:val="28"/>
          <w:szCs w:val="28"/>
          <w:rtl w:val="true"/>
          <w:lang w:bidi="fa-IR"/>
        </w:rPr>
        <w:t>و المراسم</w:t>
      </w:r>
      <w:r>
        <w:rPr>
          <w:rStyle w:val="FootnoteAnchor"/>
          <w:rtl w:val="true"/>
        </w:rPr>
        <w:footnoteReference w:id="259"/>
      </w:r>
      <w:r>
        <w:rPr>
          <w:rFonts w:ascii="IRNazanin" w:hAnsi="IRNazanin" w:eastAsia="IRNazanin"/>
          <w:color w:val="111111"/>
          <w:sz w:val="28"/>
          <w:sz w:val="28"/>
          <w:szCs w:val="28"/>
          <w:rtl w:val="true"/>
          <w:lang w:bidi="fa-IR"/>
        </w:rPr>
        <w:t>و الغنیة</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النصوص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 ما ورد عن أبی عبد اللّه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 جلّ لم یترک شیئاً ممّا یحتاج إلیه إلاّ علّمه نبیّه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إلیه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فمن نزوّج؟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الأکفّاء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 مَن الأکفّاء؟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المؤمنون بعضهم أکفاء بعض</w:t>
      </w:r>
      <w:r>
        <w:rPr>
          <w:rFonts w:eastAsia="IRNazanin" w:cs="IRNazanin"/>
          <w:color w:val="111111"/>
          <w:sz w:val="28"/>
          <w:szCs w:val="28"/>
          <w:rtl w:val="true"/>
          <w:lang w:bidi="fa-IR"/>
        </w:rPr>
        <w:t>»</w:t>
      </w:r>
      <w:r>
        <w:rPr>
          <w:rStyle w:val="FootnoteAnchor"/>
          <w:rtl w:val="true"/>
        </w:rPr>
        <w:footnoteReference w:id="261"/>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دلّ الحدیث علی أنّ غیر المؤمن لا یکون کفؤاً للمؤمنة، و إلاّ لزم تأخیر البیان</w:t>
      </w:r>
    </w:p>
    <w:p>
      <w:pPr>
        <w:pStyle w:val="BookText"/>
        <w:rPr/>
      </w:pPr>
      <w:r>
        <w:rPr>
          <w:rFonts w:ascii="Amiri" w:hAnsi="Amiri" w:eastAsia="Amiri" w:cs="Amiri"/>
          <w:color w:val="111111"/>
          <w:sz w:val="28"/>
          <w:sz w:val="28"/>
          <w:szCs w:val="28"/>
          <w:rtl w:val="true"/>
          <w:lang w:bidi="ar-SA"/>
        </w:rPr>
        <w:t>عن وقت الحاجة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جاءکم مَن ترضون خلقه و دینه فزوّجوه</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و غیر المؤمن لا یُرضی دینه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قول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تزوّجوا فی الشکّاک و لا تزوّجوهم، فإنّ المرأة تأخذ من أدب زوجها و یقهرها علی دینه</w:t>
      </w:r>
      <w:r>
        <w:rPr>
          <w:rFonts w:eastAsia="IRNazanin" w:cs="IRNazanin"/>
          <w:color w:val="111111"/>
          <w:sz w:val="28"/>
          <w:szCs w:val="28"/>
          <w:rtl w:val="true"/>
          <w:lang w:bidi="fa-IR"/>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کذا ما ورد عن أبی عبد اللّه علیه السلام فی صحیحة فضیل بن یسار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العارفة لا توضع إلاّ عند عارف</w:t>
      </w:r>
      <w:r>
        <w:rPr>
          <w:rFonts w:eastAsia="IRNazanin" w:cs="IRNazanin"/>
          <w:color w:val="111111"/>
          <w:sz w:val="28"/>
          <w:szCs w:val="28"/>
          <w:rtl w:val="true"/>
          <w:lang w:bidi="fa-IR"/>
        </w:rPr>
        <w:t>..»</w:t>
      </w:r>
      <w:r>
        <w:rPr>
          <w:rStyle w:val="FootnoteAnchor"/>
          <w:rtl w:val="true"/>
        </w:rPr>
        <w:footnoteReference w:id="2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الروایات</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الاستدلال بها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الإجماع المحکیّ فلم نتحقّقه؛ إذ لیس فی المحکیّ عن المبسوط و الخلاف إلاّ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الکفاءة معتبرة فی النکاح، و هی عندنا شیئان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الإیمان و إمکان القیام بالنفقة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الجمیع کما تری إنّما یراد من الإیمان فیها المرادف للإسلام لا المعنی الأخصّ؛ بقرینة استدلالهم علی نفی الزیادة عن ذلک فی مقابل الشافعی و غیره من العامّة ممّن اعتبر فی الکفاءة أزید من ذلک بکون المجمع علیه ذلک، و الأصل عدم الزیادة، و لا ریب فی أنّ المعتبر عند الجمیع الإسلام</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فیرد علی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إرسال سندها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الإیمان فی الأخبار النبویّة مرادف للإسلام، لا الإیمان الذی یعتبره أصحابنا فإنّه اصطلاح متأخّر لا یراد عند إطلاقه فی کلام اللّه تعالی و نبیّه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الثانیة بأنّه من المعلوم أنّ من لا یرضی دینه فی زمانه صلی الله علیه و آله و سلم هو من لم یکن مسلماً، فلا یستفاد حینئذٍ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بقاعدة الاشتراک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أزید من ذلک، علی أنّ ذکر الخلق معه معلومیّة عدم اعتباره فی الکفاءة قرینة علی عدم إرادة بیان الکفاءة المعتبرة فی الصحّة، بل أنّ المقصود منها الأمر بتزویج مَن هو کذلک لکماله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الثالثة فلم یعلم المراد من الشاکّ فیه، و یمکن إرادة المستضعفین منهم، و حینئذٍ فالتعلیل فیها یناسب الأمر فیه باعتبار صیرورته حینئذٍ سبباً لنجاة المرأة لا النهی؛ فإنّ المستضعف لا یخشی منه القهر لعدم معرفته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علی الأخیرة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وجود إرسال فی طریقها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حمل النهی فیها علی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 الجمیع بأنّ فی مقابلها روایات تقتضی الاکتفاء بالإسلام فقط و سنذکرها قریباً، و الجمع یقتضی الحمل علی الکراهة؛ جمعاً بینها و بین ما عارضها</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الکفاءة شرط فی النکاح، و لکن هی بمعنی التساوی فی الإسلام کما فی المقنعة</w:t>
      </w:r>
      <w:r>
        <w:rPr>
          <w:rStyle w:val="FootnoteAnchor"/>
          <w:rtl w:val="true"/>
        </w:rPr>
        <w:footnoteReference w:id="268"/>
      </w:r>
      <w:r>
        <w:rPr>
          <w:rFonts w:ascii="IRNazanin" w:hAnsi="IRNazanin" w:eastAsia="IRNazanin"/>
          <w:color w:val="111111"/>
          <w:sz w:val="28"/>
          <w:sz w:val="28"/>
          <w:szCs w:val="28"/>
          <w:rtl w:val="true"/>
          <w:lang w:bidi="fa-IR"/>
        </w:rPr>
        <w:t>و الجامع للشرائع</w:t>
      </w:r>
      <w:r>
        <w:rPr>
          <w:rStyle w:val="FootnoteAnchor"/>
          <w:rtl w:val="true"/>
        </w:rPr>
        <w:footnoteReference w:id="269"/>
      </w:r>
      <w:r>
        <w:rPr>
          <w:rFonts w:ascii="IRNazanin" w:hAnsi="IRNazanin" w:eastAsia="IRNazanin"/>
          <w:color w:val="111111"/>
          <w:sz w:val="28"/>
          <w:sz w:val="28"/>
          <w:szCs w:val="28"/>
          <w:rtl w:val="true"/>
          <w:lang w:bidi="fa-IR"/>
        </w:rPr>
        <w:t>و النافع</w:t>
      </w:r>
      <w:r>
        <w:rPr>
          <w:rStyle w:val="FootnoteAnchor"/>
          <w:rtl w:val="true"/>
        </w:rPr>
        <w:footnoteReference w:id="270"/>
      </w:r>
      <w:r>
        <w:rPr>
          <w:rFonts w:ascii="IRNazanin" w:hAnsi="IRNazanin" w:eastAsia="IRNazanin"/>
          <w:color w:val="111111"/>
          <w:sz w:val="28"/>
          <w:sz w:val="28"/>
          <w:szCs w:val="28"/>
          <w:rtl w:val="true"/>
          <w:lang w:bidi="fa-IR"/>
        </w:rPr>
        <w:t>و المسالک</w:t>
      </w:r>
      <w:r>
        <w:rPr>
          <w:rStyle w:val="FootnoteAnchor"/>
          <w:rtl w:val="true"/>
        </w:rPr>
        <w:footnoteReference w:id="271"/>
      </w:r>
      <w:r>
        <w:rPr>
          <w:rFonts w:ascii="IRNazanin" w:hAnsi="IRNazanin" w:eastAsia="IRNazanin"/>
          <w:color w:val="111111"/>
          <w:sz w:val="28"/>
          <w:sz w:val="28"/>
          <w:szCs w:val="28"/>
          <w:rtl w:val="true"/>
          <w:lang w:bidi="fa-IR"/>
        </w:rPr>
        <w:t>و المفاتیح</w:t>
      </w:r>
      <w:r>
        <w:rPr>
          <w:rStyle w:val="FootnoteAnchor"/>
          <w:rtl w:val="true"/>
        </w:rPr>
        <w:footnoteReference w:id="272"/>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کشف اللثام</w:t>
      </w:r>
      <w:r>
        <w:rPr>
          <w:rStyle w:val="FootnoteAnchor"/>
          <w:rtl w:val="true"/>
        </w:rPr>
        <w:footnoteReference w:id="273"/>
      </w:r>
      <w:r>
        <w:rPr>
          <w:rFonts w:ascii="IRNazanin" w:hAnsi="IRNazanin" w:eastAsia="IRNazanin"/>
          <w:color w:val="111111"/>
          <w:sz w:val="28"/>
          <w:sz w:val="28"/>
          <w:szCs w:val="28"/>
          <w:rtl w:val="true"/>
          <w:lang w:bidi="fa-IR"/>
        </w:rPr>
        <w:t>و الجواهر</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علی هذا لا یشترط الإیمان فی الزوج، لکنّه یستحبّ و یتأکّد الاستحباب فی طرف الزوجة؛ لأنّ المرأة تأخذ من دین بعلها</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الاستحباب؛ للإجماع علی اعتبار الإسلام فی الکفاءة، و عدم الدلیل الصالح لاعتبار غیره</w:t>
      </w:r>
      <w:r>
        <w:rPr>
          <w:rStyle w:val="FootnoteAnchor"/>
          <w:rtl w:val="true"/>
        </w:rPr>
        <w:footnoteReference w:id="276"/>
      </w:r>
      <w:r>
        <w:rPr>
          <w:rFonts w:ascii="IRNazanin" w:hAnsi="IRNazanin" w:eastAsia="IRNazanin"/>
          <w:color w:val="111111"/>
          <w:sz w:val="28"/>
          <w:sz w:val="28"/>
          <w:szCs w:val="28"/>
          <w:rtl w:val="true"/>
          <w:lang w:bidi="fa-IR"/>
        </w:rPr>
        <w:t>، و للشبهة فی أدلّة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الجواز، فللأصل، و العمومات، و النصوص المستفیضة</w:t>
      </w:r>
      <w:r>
        <w:rPr>
          <w:rStyle w:val="FootnoteAnchor"/>
          <w:rtl w:val="true"/>
        </w:rPr>
        <w:footnoteReference w:id="277"/>
      </w:r>
      <w:r>
        <w:rPr>
          <w:rFonts w:ascii="IRNazanin" w:hAnsi="IRNazanin" w:eastAsia="IRNazanin"/>
          <w:color w:val="111111"/>
          <w:sz w:val="28"/>
          <w:sz w:val="28"/>
          <w:szCs w:val="28"/>
          <w:rtl w:val="true"/>
          <w:lang w:bidi="fa-IR"/>
        </w:rPr>
        <w:t>التی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منها صحیح علاء بن رزین، أنّه سأل أبا جعفر علیه السلام عن جمهور الناس،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الیوم أهل هدنة، تردّ ضالّتهم، و تؤدّی أمانتهم، و تحقن دماؤهم، و تجوز مناکحتهم و موارثتهم فی هذه الحال</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منها صحیح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یکون الرجل مسلماً تحلّ مناکحته و موارثته و بِمَ یحرم دمه؟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یحرم دمه بالإسلام إذا ظهر و تحلّ مناکحته و موارثته</w:t>
      </w:r>
      <w:r>
        <w:rPr>
          <w:rFonts w:eastAsia="IRNazanin" w:cs="IRNazanin"/>
          <w:color w:val="111111"/>
          <w:sz w:val="28"/>
          <w:szCs w:val="28"/>
          <w:rtl w:val="true"/>
          <w:lang w:bidi="fa-IR"/>
        </w:rPr>
        <w:t>»</w:t>
      </w:r>
      <w:r>
        <w:rPr>
          <w:rStyle w:val="FootnoteAnchor"/>
          <w:rtl w:val="true"/>
        </w:rPr>
        <w:footnoteReference w:id="2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غیرهما من الروایات</w:t>
      </w:r>
      <w:r>
        <w:rPr>
          <w:rStyle w:val="FootnoteAnchor"/>
          <w:rtl w:val="true"/>
        </w:rPr>
        <w:footnoteReference w:id="2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یستفاد من ظاهر تحریر الوسیلة التفصیل بین نکاح المؤمن المخالفة، و نکاح المؤمنة المخالف حیث قال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إشکال فی جواز نکاح المؤمن المخالفة غیر الناصبة، و أمّا نکاح المؤمنة المخالف غیر الناصب ففیه خلاف، و الجواز مع الکراهة لا یخلو من قوّة، لکن لا ینبغی ترک الاحتیاط مهما أمکن</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علی هذا حصلت فی هذه المسألة أیضاً ثلاثة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تزویج المخنّث</w:t>
      </w:r>
    </w:p>
    <w:p>
      <w:pPr>
        <w:pStyle w:val="BookText"/>
        <w:rPr/>
      </w:pPr>
      <w:r>
        <w:rPr>
          <w:rFonts w:ascii="IRNazanin" w:hAnsi="IRNazanin" w:eastAsia="IRNazanin"/>
          <w:color w:val="111111"/>
          <w:sz w:val="28"/>
          <w:sz w:val="28"/>
          <w:szCs w:val="28"/>
          <w:rtl w:val="true"/>
          <w:lang w:bidi="fa-IR"/>
        </w:rPr>
        <w:t>یکره تزویج المخنّث</w:t>
      </w:r>
      <w:r>
        <w:rPr>
          <w:rStyle w:val="FootnoteAnchor"/>
          <w:rtl w:val="true"/>
        </w:rPr>
        <w:footnoteReference w:id="282"/>
      </w:r>
      <w:r>
        <w:rPr>
          <w:rFonts w:ascii="IRNazanin" w:hAnsi="IRNazanin" w:eastAsia="IRNazanin"/>
          <w:color w:val="111111"/>
          <w:sz w:val="28"/>
          <w:sz w:val="28"/>
          <w:szCs w:val="28"/>
          <w:rtl w:val="true"/>
          <w:lang w:bidi="fa-IR"/>
        </w:rPr>
        <w:t>کما فی الحدائق و العروة و غیرهما</w:t>
      </w:r>
      <w:r>
        <w:rPr>
          <w:rStyle w:val="FootnoteAnchor"/>
          <w:rtl w:val="true"/>
        </w:rPr>
        <w:footnoteReference w:id="283"/>
      </w:r>
      <w:r>
        <w:rPr>
          <w:rFonts w:ascii="IRNazanin" w:hAnsi="IRNazanin" w:eastAsia="IRNazanin"/>
          <w:color w:val="111111"/>
          <w:sz w:val="28"/>
          <w:sz w:val="28"/>
          <w:szCs w:val="28"/>
          <w:rtl w:val="true"/>
          <w:lang w:bidi="fa-IR"/>
        </w:rPr>
        <w:t>، لخبر علی بن جعفر، عن أخیه موسی بن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أنّ زوج ابنتی غلام فیه لین و أبوه لا بأس به،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لم تکن به فاحشة فزوّجه یعنی الخنث</w:t>
      </w:r>
      <w:r>
        <w:rPr>
          <w:rFonts w:eastAsia="IRNazanin" w:cs="IRNazanin"/>
          <w:color w:val="111111"/>
          <w:sz w:val="28"/>
          <w:szCs w:val="28"/>
          <w:rtl w:val="true"/>
          <w:lang w:bidi="fa-IR"/>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إیضاح</w:t>
      </w:r>
    </w:p>
    <w:p>
      <w:pPr>
        <w:pStyle w:val="BookText"/>
        <w:rPr/>
      </w:pPr>
      <w:r>
        <w:rPr>
          <w:rFonts w:ascii="IRNazanin" w:hAnsi="IRNazanin" w:eastAsia="IRNazanin"/>
          <w:color w:val="111111"/>
          <w:sz w:val="28"/>
          <w:sz w:val="28"/>
          <w:szCs w:val="28"/>
          <w:rtl w:val="true"/>
          <w:lang w:bidi="fa-IR"/>
        </w:rPr>
        <w:t>کما أنّ النکاح باعتبار صفات المرأة أو الرجل یتّصف بالکراهة أو الاستحباب کذلک یتّصف بالحرمة باعتبارات اخری، و حیث إنّ البحث عنه خارج عن مورد کلامنا لم نذکره، فراجع المطوّلات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الشهید رحمه الله فی البحث عن تقسیم النکاح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ینقسم بحسب المنکوحة إلی خمسة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و أقسامه خمسة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حرام عیناً و هی الأربع عشرة المذکورة فی الکتاب</w:t>
      </w:r>
      <w:r>
        <w:rPr>
          <w:rStyle w:val="FootnoteAnchor"/>
          <w:rtl w:val="true"/>
        </w:rPr>
        <w:footnoteReference w:id="285"/>
      </w:r>
      <w:r>
        <w:rPr>
          <w:rFonts w:ascii="IRNazanin" w:hAnsi="IRNazanin" w:eastAsia="IRNazanin"/>
          <w:color w:val="111111"/>
          <w:sz w:val="28"/>
          <w:sz w:val="28"/>
          <w:szCs w:val="28"/>
          <w:rtl w:val="true"/>
          <w:lang w:bidi="fa-IR"/>
        </w:rPr>
        <w:t>و هی ترجع إلی التحریم بالنسب و المصاهرة و الرضاع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حرام جمعاً مطلقاً، هو بین الاُختین</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حرام جمعاً إلاّ مع الإذن، کبین العمّة و الخالة و بنت الأخ و بنت الاُخت و بنت</w:t>
      </w:r>
    </w:p>
    <w:p>
      <w:pPr>
        <w:pStyle w:val="BookText"/>
        <w:rPr/>
      </w:pPr>
      <w:r>
        <w:rPr>
          <w:rFonts w:ascii="Amiri" w:hAnsi="Amiri" w:eastAsia="Amiri" w:cs="Amiri"/>
          <w:color w:val="111111"/>
          <w:sz w:val="28"/>
          <w:sz w:val="28"/>
          <w:szCs w:val="28"/>
          <w:rtl w:val="true"/>
          <w:lang w:bidi="ar-SA"/>
        </w:rPr>
        <w:t>الحرّة و الأَمة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حرام بحسب العارض، کالشغار و نکاح المعتدّة و المحرّمة و الوثنیة و المرتدّة و الملاعنة و الکتابیة بالدوام و شبهه</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حرام بالاشتباه، کاختلاط محرم له بنساء محصورات</w:t>
      </w:r>
      <w:r>
        <w:rPr>
          <w:rFonts w:eastAsia="IRNazanin" w:cs="IRNazanin"/>
          <w:color w:val="111111"/>
          <w:sz w:val="28"/>
          <w:szCs w:val="28"/>
          <w:rtl w:val="true"/>
          <w:lang w:bidi="fa-IR"/>
        </w:rPr>
        <w:t>»</w:t>
      </w:r>
      <w:r>
        <w:rPr>
          <w:rStyle w:val="FootnoteAnchor"/>
          <w:rtl w:val="true"/>
        </w:rPr>
        <w:footnoteReference w:id="286"/>
      </w:r>
      <w:bookmarkStart w:id="117" w:name="pg11752_146099"/>
    </w:p>
    <w:p>
      <w:pPr>
        <w:pStyle w:val="Heading3"/>
        <w:numPr>
          <w:ilvl w:val="2"/>
          <w:numId w:val="1"/>
        </w:numPr>
        <w:rPr/>
      </w:pPr>
      <w:bookmarkStart w:id="118" w:name="__RefHeading___Toc9423862_73709187"/>
      <w:bookmarkStart w:id="119" w:name="_Toc45"/>
      <w:bookmarkEnd w:id="117"/>
      <w:bookmarkEnd w:id="118"/>
      <w:r>
        <w:rPr>
          <w:rtl w:val="true"/>
        </w:rPr>
        <w:t>الفصل الثالث فی مسائل الخلوة</w:t>
      </w:r>
      <w:bookmarkEnd w:id="119"/>
    </w:p>
    <w:p>
      <w:pPr>
        <w:pStyle w:val="Heading4"/>
        <w:numPr>
          <w:ilvl w:val="3"/>
          <w:numId w:val="1"/>
        </w:numPr>
        <w:rPr/>
      </w:pPr>
      <w:bookmarkStart w:id="120" w:name="__RefHeading___Toc9423864_73709187"/>
      <w:bookmarkStart w:id="121" w:name="_Toc46"/>
      <w:bookmarkEnd w:id="120"/>
      <w:r>
        <w:rPr>
          <w:rtl w:val="true"/>
        </w:rPr>
        <w:t>تمهید</w:t>
      </w:r>
      <w:bookmarkEnd w:id="121"/>
    </w:p>
    <w:p>
      <w:pPr>
        <w:pStyle w:val="BookText"/>
        <w:rPr/>
      </w:pPr>
      <w:r>
        <w:rPr>
          <w:rFonts w:ascii="Amiri" w:hAnsi="Amiri" w:eastAsia="Amiri" w:cs="Amiri"/>
          <w:color w:val="111111"/>
          <w:sz w:val="28"/>
          <w:sz w:val="28"/>
          <w:szCs w:val="28"/>
          <w:rtl w:val="true"/>
          <w:lang w:bidi="ar-SA"/>
        </w:rPr>
        <w:t>لا شکّ فی أنّ الإسلام أخبر عن أمور لم یکن بمقدور الإنسان أن یعلمها، و لا یمکن له أن یعرفها بالتحقیق و التفحّص بالطرق العادیة أو التجربة، و هذه هی التی اصطُلِح علیها فی القرآن و الروایات بالغیب أو علم الغیب،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اللّهُ لِیُطْلِعَکُمْ عَلَی الْغَیْبِ وَ لکِنَّ اللّهَ یَجْتَبِی مِنْ رُسُلِهِ مَنْ یَشاءُ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أنّ علم الغیب ما استأثر اللّهُ به نفسه فلا یُطلع علیه أحداً إلاّ من اجتبی من رسله، فإنّه ربّما أطلعه علیه بالوحی</w:t>
      </w:r>
      <w:r>
        <w:rPr>
          <w:rStyle w:val="FootnoteAnchor"/>
          <w:rtl w:val="true"/>
        </w:rPr>
        <w:footnoteReference w:id="287"/>
      </w:r>
      <w:r>
        <w:rPr>
          <w:rFonts w:ascii="IRNazanin" w:hAnsi="IRNazanin" w:eastAsia="IRNazanin"/>
          <w:color w:val="111111"/>
          <w:sz w:val="28"/>
          <w:sz w:val="28"/>
          <w:szCs w:val="28"/>
          <w:rtl w:val="true"/>
          <w:lang w:bidi="fa-IR"/>
        </w:rPr>
        <w:t>، فیمکن للرسول صلی الله علیه و آله و أوصیائه المعصومین علیهم السلام الإخبار عن عالم الغیب، و عن تأثیر أمور فی الآخرین، و من ذلک ما أخبروا بتأثیر بعض الاُمور فی سعادة الولد و حسن خلقه، و طهارة لسانه من الغیبة و البهتان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بتأثیر أمور أخر فی فسقه و سوء خلقه، و أن یکون عوناً</w:t>
      </w:r>
    </w:p>
    <w:p>
      <w:pPr>
        <w:pStyle w:val="BookText"/>
        <w:rPr/>
      </w:pPr>
      <w:r>
        <w:rPr>
          <w:rFonts w:ascii="IRNazanin" w:hAnsi="IRNazanin" w:eastAsia="IRNazanin"/>
          <w:color w:val="111111"/>
          <w:sz w:val="28"/>
          <w:sz w:val="28"/>
          <w:szCs w:val="28"/>
          <w:rtl w:val="true"/>
          <w:lang w:bidi="fa-IR"/>
        </w:rPr>
        <w:t>للظالمین فیهلک ناس علی یده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بقولٍ واحد أخبروا عن أشیاء تؤثّر فی سعادة الولد أو شقاوته، و هذا أظهر دلیلٍ علی اهتمام الإسلام بأمر الولد، و أنّه یلزم علی الوالدین الانتباه إلی هذه الأُمور؛ لئلاّ یندما بعد وقوع ولدهما فی شیء لم یکن له دواء و لا مخلص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کلّ تقدیرٍ عقدنا هذا الفصل للبحث عن هذه الأُمور، و فیه ثلاثة مباحث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المسائل المستحبّة عند الخلوة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الجماع فی أوقات معیّنة</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الجماع فی أوقات معیّنة</w:t>
      </w:r>
      <w:r>
        <w:rPr>
          <w:rFonts w:eastAsia="IRNazanin" w:cs="IRNazanin"/>
          <w:color w:val="111111"/>
          <w:sz w:val="28"/>
          <w:szCs w:val="28"/>
          <w:rtl w:val="true"/>
          <w:lang w:bidi="fa-IR"/>
        </w:rPr>
        <w:t>.</w:t>
      </w:r>
      <w:bookmarkStart w:id="122" w:name="pg11752_146101"/>
    </w:p>
    <w:p>
      <w:pPr>
        <w:pStyle w:val="Heading4"/>
        <w:numPr>
          <w:ilvl w:val="3"/>
          <w:numId w:val="1"/>
        </w:numPr>
        <w:rPr/>
      </w:pPr>
      <w:bookmarkStart w:id="123" w:name="__RefHeading___Toc9423866_73709187"/>
      <w:bookmarkStart w:id="124" w:name="_Toc47"/>
      <w:bookmarkEnd w:id="122"/>
      <w:bookmarkEnd w:id="123"/>
      <w:r>
        <w:rPr>
          <w:rtl w:val="true"/>
        </w:rPr>
        <w:t>المبحث الأول</w:t>
      </w:r>
      <w:r>
        <w:rPr>
          <w:rtl w:val="true"/>
        </w:rPr>
        <w:t xml:space="preserve">: </w:t>
      </w:r>
      <w:r>
        <w:rPr>
          <w:rtl w:val="true"/>
        </w:rPr>
        <w:t>فی المسائل المستحبّة عند الخلوة</w:t>
      </w:r>
      <w:bookmarkEnd w:id="124"/>
    </w:p>
    <w:p>
      <w:pPr>
        <w:pStyle w:val="Heading5"/>
        <w:numPr>
          <w:ilvl w:val="4"/>
          <w:numId w:val="1"/>
        </w:numPr>
        <w:rPr/>
      </w:pPr>
      <w:bookmarkStart w:id="125" w:name="__RefHeading___Toc9423868_73709187"/>
      <w:bookmarkStart w:id="126" w:name="_Toc48"/>
      <w:bookmarkEnd w:id="125"/>
      <w:r>
        <w:rPr>
          <w:rtl w:val="true"/>
        </w:rPr>
        <w:t>اشارة</w:t>
      </w:r>
      <w:bookmarkEnd w:id="126"/>
    </w:p>
    <w:p>
      <w:pPr>
        <w:pStyle w:val="BookText"/>
        <w:rPr/>
      </w:pPr>
      <w:r>
        <w:rPr>
          <w:rStyle w:val="FootnoteAnchor"/>
          <w:rtl w:val="true"/>
        </w:rPr>
        <w:footnoteReference w:id="2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عند الخلوة رعایة أُمور نذکر أهمّها علی نحو الاختصار</w:t>
      </w:r>
      <w:r>
        <w:rPr>
          <w:rFonts w:eastAsia="IRNazanin" w:cs="IRNazanin"/>
          <w:color w:val="111111"/>
          <w:sz w:val="28"/>
          <w:szCs w:val="28"/>
          <w:rtl w:val="true"/>
          <w:lang w:bidi="fa-IR"/>
        </w:rPr>
        <w:t>:</w:t>
      </w:r>
    </w:p>
    <w:p>
      <w:pPr>
        <w:pStyle w:val="Heading5"/>
        <w:numPr>
          <w:ilvl w:val="4"/>
          <w:numId w:val="1"/>
        </w:numPr>
        <w:rPr/>
      </w:pPr>
      <w:bookmarkStart w:id="127" w:name="__RefHeading___Toc9423870_73709187"/>
      <w:bookmarkStart w:id="128" w:name="_Toc49"/>
      <w:bookmarkEnd w:id="127"/>
      <w:r>
        <w:rPr>
          <w:rtl w:val="true"/>
        </w:rPr>
        <w:t xml:space="preserve">أ </w:t>
      </w:r>
      <w:r>
        <w:rPr>
          <w:rtl w:val="true"/>
        </w:rPr>
        <w:t xml:space="preserve">- </w:t>
      </w:r>
      <w:r>
        <w:rPr>
          <w:rtl w:val="true"/>
        </w:rPr>
        <w:t>ذکر اللّه تعالی و الاستعاذة به من الشیطان</w:t>
      </w:r>
      <w:bookmarkEnd w:id="128"/>
    </w:p>
    <w:p>
      <w:pPr>
        <w:pStyle w:val="BookText"/>
        <w:rPr/>
      </w:pPr>
      <w:r>
        <w:rPr>
          <w:rStyle w:val="FootnoteAnchor"/>
          <w:rtl w:val="true"/>
        </w:rPr>
        <w:footnoteReference w:id="2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علیه روایات، 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رواه ابن القدّاح،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جامع أحدکم فلیقل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باللّه اللهمّ جنّبنی الشیطان و جنّب الشیطان ما رزقتنی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قضی اللّه بینهُما ولداً لا یضره الشیطان بشیء أبداً</w:t>
      </w:r>
      <w:r>
        <w:rPr>
          <w:rFonts w:eastAsia="IRNazanin" w:cs="IRNazanin"/>
          <w:color w:val="111111"/>
          <w:sz w:val="28"/>
          <w:szCs w:val="28"/>
          <w:rtl w:val="true"/>
          <w:lang w:bidi="fa-IR"/>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رواه عبد الرحمن بن کثیر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 علیه السلام جالساً، فذکر شرک الشیطان فعظّمه حتّی أفزعنی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فما المخرج من ذلک؟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أردت الجماع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الذی لا إله إلاّ هو بدیع السموات و الأرض، اللهمّ إن قضیت منّی فی هذه اللیلة خلیفةً، فلا تجعل للشیطان فیه شرکاً و لا نصیباً و لا حظّاً، و اجعله مؤمناً مخلصاً مصفّی من الشیطان و رجزه جلّ ثناؤک</w:t>
      </w:r>
      <w:r>
        <w:rPr>
          <w:rFonts w:eastAsia="IRNazanin" w:cs="IRNazanin"/>
          <w:color w:val="111111"/>
          <w:sz w:val="28"/>
          <w:szCs w:val="28"/>
          <w:rtl w:val="true"/>
          <w:lang w:bidi="fa-IR"/>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روی عن طریق أهل السنّة، عن النبیّ صلی الله علیه و آله أنّه قال</w:t>
      </w:r>
      <w:r>
        <w:rPr>
          <w:rFonts w:eastAsia="IRNazanin" w:cs="IRNazanin"/>
          <w:color w:val="111111"/>
          <w:sz w:val="28"/>
          <w:szCs w:val="28"/>
          <w:rtl w:val="true"/>
          <w:lang w:bidi="fa-IR"/>
        </w:rPr>
        <w:t>:</w:t>
      </w:r>
      <w:bookmarkStart w:id="129" w:name="pg11752_146102"/>
    </w:p>
    <w:p>
      <w:pPr>
        <w:pStyle w:val="BookText"/>
        <w:rPr/>
      </w:pPr>
      <w:bookmarkEnd w:id="1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أحدکم إذا أراد أن یأتی أهله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اللّه، اللهمّ جنّبنا الشیطان و جنّب الشیطان ما رزقتنا، فإنّه إن یقدَّر بینهما ولد فی ذلک لم یضرّه شیطان أبداً</w:t>
      </w:r>
      <w:r>
        <w:rPr>
          <w:rFonts w:eastAsia="IRNazanin" w:cs="IRNazanin"/>
          <w:color w:val="111111"/>
          <w:sz w:val="28"/>
          <w:szCs w:val="28"/>
          <w:rtl w:val="true"/>
          <w:lang w:bidi="fa-IR"/>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بهذا المضمون وردت روایات اخر أیضاً</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0" w:name="__RefHeading___Toc9423872_73709187"/>
      <w:bookmarkStart w:id="131" w:name="_Toc50"/>
      <w:bookmarkEnd w:id="130"/>
      <w:r>
        <w:rPr>
          <w:rtl w:val="true"/>
        </w:rPr>
        <w:t xml:space="preserve">ب </w:t>
      </w:r>
      <w:r>
        <w:rPr>
          <w:rtl w:val="true"/>
        </w:rPr>
        <w:t xml:space="preserve">- </w:t>
      </w:r>
      <w:r>
        <w:rPr>
          <w:rtl w:val="true"/>
        </w:rPr>
        <w:t>أن یکون کلّ من الزوج و الزوجة حین الجماع علی طهارة</w:t>
      </w:r>
      <w:bookmarkEnd w:id="131"/>
    </w:p>
    <w:p>
      <w:pPr>
        <w:pStyle w:val="BookText"/>
        <w:rPr/>
      </w:pPr>
      <w:r>
        <w:rPr>
          <w:rFonts w:ascii="IRNazanin" w:hAnsi="IRNazanin" w:eastAsia="IRNazanin"/>
          <w:color w:val="111111"/>
          <w:sz w:val="28"/>
          <w:sz w:val="28"/>
          <w:szCs w:val="28"/>
          <w:rtl w:val="true"/>
          <w:lang w:bidi="fa-IR"/>
        </w:rPr>
        <w:t>و یستحبّ أن یکون الزوجان عند الجماع علی طهارة، خصوصاً فی لیلة الزفاف و فیما إذا کانت المرأة حاملاً</w:t>
      </w:r>
      <w:r>
        <w:rPr>
          <w:rStyle w:val="FootnoteAnchor"/>
          <w:rtl w:val="true"/>
        </w:rPr>
        <w:footnoteReference w:id="294"/>
      </w:r>
      <w:r>
        <w:rPr>
          <w:rFonts w:ascii="IRNazanin" w:hAnsi="IRNazanin" w:eastAsia="IRNazanin"/>
          <w:color w:val="111111"/>
          <w:sz w:val="28"/>
          <w:sz w:val="28"/>
          <w:szCs w:val="28"/>
          <w:rtl w:val="true"/>
          <w:lang w:bidi="fa-IR"/>
        </w:rPr>
        <w:t>، یدلّ علیه أیضاً روایات، 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جاء فی وصیّة رسول اللّه صلی الله علیه و آله لعلیّ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إذا حملت امرأتک، فلا تجامعها إلاّ و أنت علی وضوء، فإنّه إن قضی بینکما ولد یکون أعمی القلب بخیل الید</w:t>
      </w:r>
      <w:r>
        <w:rPr>
          <w:rFonts w:eastAsia="IRNazanin" w:cs="IRNazanin"/>
          <w:color w:val="111111"/>
          <w:sz w:val="28"/>
          <w:szCs w:val="28"/>
          <w:rtl w:val="true"/>
          <w:lang w:bidi="fa-IR"/>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رواه أبی بصیر،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رجلاً و هو یقول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رجل قد أسننت، و قد تزوّجت امرأةً بکراً صغیرةً و لم أدخل بها، و أنا أخاف إذا دخلت علیّ فرأتنی أن تکرهنی لخضابی و کبری، فقال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دخلت فمرهم قبل أن تصل إلیک أن تکون متوضّئة، ثمّ أنت لا تصل إلیها حتّی توضّأ و صلّ رکعتین، ثمّ مجّد اللّه و صلِّ علی محمّدٍ و آل محمّد، ثمّ ادع اللّه و مُر مَن معها أن یؤمِّنوا علی دعائک</w:t>
      </w:r>
      <w:r>
        <w:rPr>
          <w:rFonts w:eastAsia="IRNazanin" w:cs="IRNazanin"/>
          <w:color w:val="111111"/>
          <w:sz w:val="28"/>
          <w:szCs w:val="28"/>
          <w:rtl w:val="true"/>
          <w:lang w:bidi="fa-IR"/>
        </w:rPr>
        <w:t>...»</w:t>
      </w:r>
      <w:r>
        <w:rPr>
          <w:rStyle w:val="FootnoteAnchor"/>
          <w:rtl w:val="true"/>
        </w:rPr>
        <w:footnoteReference w:id="296"/>
      </w:r>
      <w:bookmarkStart w:id="132" w:name="pg11752_146103"/>
    </w:p>
    <w:p>
      <w:pPr>
        <w:pStyle w:val="Heading5"/>
        <w:numPr>
          <w:ilvl w:val="4"/>
          <w:numId w:val="1"/>
        </w:numPr>
        <w:rPr/>
      </w:pPr>
      <w:bookmarkStart w:id="133" w:name="__RefHeading___Toc9423874_73709187"/>
      <w:bookmarkStart w:id="134" w:name="_Toc51"/>
      <w:bookmarkEnd w:id="132"/>
      <w:bookmarkEnd w:id="133"/>
      <w:r>
        <w:rPr>
          <w:rtl w:val="true"/>
        </w:rPr>
        <w:t xml:space="preserve">ج </w:t>
      </w:r>
      <w:r>
        <w:rPr>
          <w:rtl w:val="true"/>
        </w:rPr>
        <w:t xml:space="preserve">- </w:t>
      </w:r>
      <w:r>
        <w:rPr>
          <w:rtl w:val="true"/>
        </w:rPr>
        <w:t>أن یکون الجماع فی لیالی مخصوصة</w:t>
      </w:r>
      <w:bookmarkEnd w:id="134"/>
    </w:p>
    <w:p>
      <w:pPr>
        <w:pStyle w:val="BookText"/>
        <w:rPr/>
      </w:pPr>
      <w:r>
        <w:rPr>
          <w:rFonts w:ascii="IRNazanin" w:hAnsi="IRNazanin" w:eastAsia="IRNazanin"/>
          <w:color w:val="111111"/>
          <w:sz w:val="28"/>
          <w:sz w:val="28"/>
          <w:szCs w:val="28"/>
          <w:rtl w:val="true"/>
          <w:lang w:bidi="fa-IR"/>
        </w:rPr>
        <w:t>یستحبّ الجماع فی لیالی الاثنین و الثلاثاء و الخمیس و الجمعة، و فی یوم الخمیس عند الزوال و یوم الجمعة بعد العصر</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یدلّ علی ذلک ما فی وصایا رسول اللّه صلی الله علیه و آله لأمیر المؤمنین علیه السلام، 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علیک بالجماع لیلة الاثنین، فإنّه إن قضی بینکما ولد یکون حافظاً لکتاب اللّه راضیاً بما قسم اللّه عزّ و جلّ له، یا علیّ، إن جامعت أهلک فی لیلة الثلاثاء فقضی بینکما ولد فإنّه یرزق الشهادة بعد شهادة أن لا إله إلاّ اللّه و أنّ محمّداً رسول اللّه، و لا یعذّبه اللّه مع المشرکین، و یکون طیّب النکهة و الفم، رحیم القلب، سخیّ الید، طاهر اللسان من الغیبة و الکذب و البهتان، یا علیّ، إن جامعت أهلک لیلة الخمیس فقضی بینکُما ولد فإنّه یکون حاکماً من الحکّام أو عالماً من العلماء، و إن جامعتها یوم الخمیس عند زوال الشمس عن کبد السماء فقضی بینکما ولد فإنّ الشیطان لا یقربه حتّی یشیب و یکون قیّماً، و یرزقه اللّه عزّ و جلّ السلامة فی الدین و الدنیا، و إن جامعتها لیلة الجمعة و کان بینکما ولد فإنّه یکون خطیباً قوّالاً مفوّهاً، و إن جامعتها یوم الجمعة بعد العصر فقضی بینکما ولد فإنّه یکون معروفاً مشهوراً عالماً، و إن جامعتها فی لیلة الجمعة بعد العشاء فإنّه یرجی أن یکون الولد من الأبدال إن شاء اللّه تعالی</w:t>
      </w:r>
      <w:r>
        <w:rPr>
          <w:rFonts w:eastAsia="IRNazanin" w:cs="IRNazanin"/>
          <w:color w:val="111111"/>
          <w:sz w:val="28"/>
          <w:szCs w:val="28"/>
          <w:rtl w:val="true"/>
          <w:lang w:bidi="fa-IR"/>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لا دخل لخصوصیّة المخاطب، فیصحّ الحکم باستحباب الجماع فی الأوقات التی ذکرت فی الروایة</w:t>
      </w:r>
      <w:r>
        <w:rPr>
          <w:rFonts w:eastAsia="IRNazanin" w:cs="IRNazanin"/>
          <w:color w:val="111111"/>
          <w:sz w:val="28"/>
          <w:szCs w:val="28"/>
          <w:rtl w:val="true"/>
          <w:lang w:bidi="fa-IR"/>
        </w:rPr>
        <w:t>.</w:t>
      </w:r>
      <w:bookmarkStart w:id="135" w:name="pg11752_146104"/>
    </w:p>
    <w:p>
      <w:pPr>
        <w:pStyle w:val="Heading5"/>
        <w:numPr>
          <w:ilvl w:val="4"/>
          <w:numId w:val="1"/>
        </w:numPr>
        <w:rPr/>
      </w:pPr>
      <w:bookmarkStart w:id="136" w:name="__RefHeading___Toc9423876_73709187"/>
      <w:bookmarkStart w:id="137" w:name="_Toc52"/>
      <w:bookmarkEnd w:id="135"/>
      <w:bookmarkEnd w:id="136"/>
      <w:r>
        <w:rPr>
          <w:rtl w:val="true"/>
        </w:rPr>
        <w:t xml:space="preserve">د </w:t>
      </w:r>
      <w:r>
        <w:rPr>
          <w:rtl w:val="true"/>
        </w:rPr>
        <w:t xml:space="preserve">- </w:t>
      </w:r>
      <w:r>
        <w:rPr>
          <w:rtl w:val="true"/>
        </w:rPr>
        <w:t>أن تکون خرقة الرجل غیر خرقة المرأة</w:t>
      </w:r>
      <w:bookmarkEnd w:id="137"/>
    </w:p>
    <w:p>
      <w:pPr>
        <w:pStyle w:val="BookText"/>
        <w:rPr/>
      </w:pPr>
      <w:r>
        <w:rPr>
          <w:rFonts w:ascii="IRNazanin" w:hAnsi="IRNazanin" w:eastAsia="IRNazanin"/>
          <w:color w:val="111111"/>
          <w:sz w:val="28"/>
          <w:sz w:val="28"/>
          <w:szCs w:val="28"/>
          <w:rtl w:val="true"/>
          <w:lang w:bidi="fa-IR"/>
        </w:rPr>
        <w:t>و ممّا یستحب عند المجامعة أن تکون خرقة الرجل غیر خرقة المرأة</w:t>
      </w:r>
      <w:r>
        <w:rPr>
          <w:rStyle w:val="FootnoteAnchor"/>
          <w:rtl w:val="true"/>
        </w:rPr>
        <w:footnoteReference w:id="299"/>
      </w:r>
      <w:r>
        <w:rPr>
          <w:rFonts w:ascii="IRNazanin" w:hAnsi="IRNazanin" w:eastAsia="IRNazanin"/>
          <w:color w:val="111111"/>
          <w:sz w:val="28"/>
          <w:sz w:val="28"/>
          <w:szCs w:val="28"/>
          <w:rtl w:val="true"/>
          <w:lang w:bidi="fa-IR"/>
        </w:rPr>
        <w:t>، فلا یمسحا بخرقةٍ واحدة، ففی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تجامع امرأتک إلاّ و معک خرقة و مع أهلک خرقة، و لا تمسحا بخرقة واحدة فتقع الشهوة علی الشهوة، فإنّ ذلک یعقب العداوة بینکما ثمّ یؤدّیکما إلی الفرقة و الطلاق</w:t>
      </w:r>
      <w:r>
        <w:rPr>
          <w:rFonts w:eastAsia="IRNazanin" w:cs="IRNazanin"/>
          <w:color w:val="111111"/>
          <w:sz w:val="28"/>
          <w:szCs w:val="28"/>
          <w:rtl w:val="true"/>
          <w:lang w:bidi="fa-IR"/>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یستحبّ أیضاً أن یلاعب الرجل المرأة قبل جماعها، و أن یمکث فیه و لا یتعجّل، و یدلّ علیه ما رواه ابن القداح،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جامع أحدکم أهله فلا یأتیهنَّ کما یأتی الطیر، لیمکث و لیلبث</w:t>
      </w:r>
      <w:r>
        <w:rPr>
          <w:rFonts w:eastAsia="IRNazanin" w:cs="IRNazanin"/>
          <w:color w:val="111111"/>
          <w:sz w:val="28"/>
          <w:szCs w:val="28"/>
          <w:rtl w:val="true"/>
          <w:lang w:bidi="fa-IR"/>
        </w:rPr>
        <w:t>»</w:t>
      </w:r>
      <w:r>
        <w:rPr>
          <w:rStyle w:val="FootnoteAnchor"/>
          <w:rtl w:val="true"/>
        </w:rPr>
        <w:footnoteReference w:id="3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لیتلبّث</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خبرٍ آخر عن علیّ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أراد أحدکم أن یأتی زوجته فلا یعجّلها فإنّ للنساء حوائج</w:t>
      </w:r>
      <w:r>
        <w:rPr>
          <w:rFonts w:eastAsia="IRNazanin" w:cs="IRNazanin"/>
          <w:color w:val="111111"/>
          <w:sz w:val="28"/>
          <w:szCs w:val="28"/>
          <w:rtl w:val="true"/>
          <w:lang w:bidi="fa-IR"/>
        </w:rPr>
        <w:t>»</w:t>
      </w:r>
      <w:r>
        <w:rPr>
          <w:rStyle w:val="FootnoteAnchor"/>
          <w:rtl w:val="true"/>
        </w:rPr>
        <w:footnoteReference w:id="3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ورد بهذا المضمون روایات أُخری</w:t>
      </w:r>
      <w:r>
        <w:rPr>
          <w:rStyle w:val="FootnoteAnchor"/>
          <w:rtl w:val="true"/>
        </w:rPr>
        <w:footnoteReference w:id="304"/>
      </w:r>
      <w:bookmarkStart w:id="138" w:name="pg11752_146105"/>
    </w:p>
    <w:p>
      <w:pPr>
        <w:pStyle w:val="Heading4"/>
        <w:numPr>
          <w:ilvl w:val="3"/>
          <w:numId w:val="1"/>
        </w:numPr>
        <w:rPr/>
      </w:pPr>
      <w:bookmarkStart w:id="139" w:name="__RefHeading___Toc9423878_73709187"/>
      <w:bookmarkStart w:id="140" w:name="_Toc53"/>
      <w:bookmarkEnd w:id="138"/>
      <w:bookmarkEnd w:id="139"/>
      <w:r>
        <w:rPr>
          <w:rtl w:val="true"/>
        </w:rPr>
        <w:t>المبحث الثانی</w:t>
      </w:r>
      <w:r>
        <w:rPr>
          <w:rtl w:val="true"/>
        </w:rPr>
        <w:t>:</w:t>
      </w:r>
      <w:bookmarkEnd w:id="140"/>
    </w:p>
    <w:p>
      <w:pPr>
        <w:pStyle w:val="Heading5"/>
        <w:numPr>
          <w:ilvl w:val="4"/>
          <w:numId w:val="1"/>
        </w:numPr>
        <w:rPr/>
      </w:pPr>
      <w:bookmarkStart w:id="141" w:name="__RefHeading___Toc9423880_73709187"/>
      <w:bookmarkStart w:id="142" w:name="_Toc54"/>
      <w:bookmarkEnd w:id="141"/>
      <w:r>
        <w:rPr>
          <w:rtl w:val="true"/>
        </w:rPr>
        <w:t>اشارة</w:t>
      </w:r>
      <w:bookmarkEnd w:id="142"/>
    </w:p>
    <w:p>
      <w:pPr>
        <w:pStyle w:val="BookText"/>
        <w:rPr/>
      </w:pPr>
      <w:r>
        <w:rPr>
          <w:rFonts w:ascii="IRNazanin" w:hAnsi="IRNazanin" w:eastAsia="IRNazanin"/>
          <w:color w:val="111111"/>
          <w:sz w:val="28"/>
          <w:sz w:val="28"/>
          <w:szCs w:val="28"/>
          <w:rtl w:val="true"/>
          <w:lang w:bidi="fa-IR"/>
        </w:rPr>
        <w:t>کراهة الجماع فی أوقاتٍ و عند وقوع أمور</w:t>
      </w:r>
    </w:p>
    <w:p>
      <w:pPr>
        <w:pStyle w:val="Heading5"/>
        <w:numPr>
          <w:ilvl w:val="4"/>
          <w:numId w:val="1"/>
        </w:numPr>
        <w:rPr/>
      </w:pPr>
      <w:bookmarkStart w:id="143" w:name="__RefHeading___Toc9423882_73709187"/>
      <w:bookmarkStart w:id="144" w:name="_Toc55"/>
      <w:bookmarkEnd w:id="143"/>
      <w:r>
        <w:rPr>
          <w:rtl w:val="true"/>
        </w:rPr>
        <w:t>المطلب الأوّل</w:t>
      </w:r>
      <w:r>
        <w:rPr>
          <w:rtl w:val="true"/>
        </w:rPr>
        <w:t xml:space="preserve">: </w:t>
      </w:r>
      <w:r>
        <w:rPr>
          <w:rtl w:val="true"/>
        </w:rPr>
        <w:t>کراهة الجماع فی أوقات معیّنة</w:t>
      </w:r>
      <w:bookmarkEnd w:id="144"/>
    </w:p>
    <w:p>
      <w:pPr>
        <w:pStyle w:val="BookText"/>
        <w:rPr/>
      </w:pPr>
      <w:r>
        <w:rPr>
          <w:rStyle w:val="FootnoteAnchor"/>
          <w:rtl w:val="true"/>
        </w:rPr>
        <w:footnoteReference w:id="3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وردت النصوص بأنّه یکره الجماع فی أوقات معیّنة، مثل وقت خسوف القمر، و کسوف الشمس، بل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صار فیهما ولد کان فی ضرّ و بؤس حتّی یموت، و عند الغروب حتّی یذهب الشفق، و بعد الفجر حتّی تطلع الشمس، و غیر ذلک</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 ذلک ما رواه الصدوق و الشیخ فی الصحیح عن عمر، بن عثمان،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یُکره الجماع فی ساعة من الساعات؟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یکره فی اللیلة التی ینخسف</w:t>
      </w:r>
      <w:r>
        <w:rPr>
          <w:rStyle w:val="FootnoteAnchor"/>
          <w:rtl w:val="true"/>
        </w:rPr>
        <w:footnoteReference w:id="306"/>
      </w:r>
      <w:r>
        <w:rPr>
          <w:rFonts w:ascii="IRNazanin" w:hAnsi="IRNazanin" w:eastAsia="IRNazanin"/>
          <w:color w:val="111111"/>
          <w:sz w:val="28"/>
          <w:sz w:val="28"/>
          <w:szCs w:val="28"/>
          <w:rtl w:val="true"/>
          <w:lang w:bidi="fa-IR"/>
        </w:rPr>
        <w:t>فیها القمر، و الیوم الذی تنکسف فیه الشمس، و فیما بین غروب الشمس إلی أن یغیب الشفق، و من طلوع الفجر إلی طلوع الشمس، و فی الریح السوداء و الصفراء و الحمراء و الزلزلة، و لقد بات رسول اللّه صلی الله علیه و آله عند بعض النساء فانخسف القمر فی تلک اللیلة فلم یکن فیها شیء، فقالت له 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بأبی أنت و أمّی أ کُلّ هذا لبغضٍ؟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حدث هذا الحادث فی السماء، فکرهت أن أتلذّذ و أدخل فی شیءٍ، و لقد عیّر اللّه قوماً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یَرَوْا کِسْفاً مِنَ السَّماءِ ساقِطاً یَقُولُوا سَحابٌ مَرْکُومٌ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أیم اللّه</w:t>
      </w:r>
    </w:p>
    <w:p>
      <w:pPr>
        <w:pStyle w:val="BookText"/>
        <w:rPr/>
      </w:pPr>
      <w:r>
        <w:rPr>
          <w:rFonts w:ascii="IRNazanin" w:hAnsi="IRNazanin" w:eastAsia="IRNazanin"/>
          <w:color w:val="111111"/>
          <w:sz w:val="28"/>
          <w:sz w:val="28"/>
          <w:szCs w:val="28"/>
          <w:rtl w:val="true"/>
          <w:lang w:bidi="fa-IR"/>
        </w:rPr>
        <w:t>لا یجامع فی هذه الساعات التی وصفت فیرزق من جماعه ولداً و قد سمع هذا الحدیث فیری ما یحبّ</w:t>
      </w:r>
      <w:r>
        <w:rPr>
          <w:rFonts w:eastAsia="IRNazanin" w:cs="IRNazanin"/>
          <w:color w:val="111111"/>
          <w:sz w:val="28"/>
          <w:szCs w:val="28"/>
          <w:rtl w:val="true"/>
          <w:lang w:bidi="fa-IR"/>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خبر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أیم اللّه لا یجامع أحد فی هذه الأوقات التی نهی عنها رسول اللّه صلی الله علیه و آله، و قد انتهی إلیه الخبر فیرزق ولداً فیری فی ولده ذلک ما یحبّ</w:t>
      </w:r>
      <w:r>
        <w:rPr>
          <w:rFonts w:eastAsia="IRNazanin" w:cs="IRNazanin"/>
          <w:color w:val="111111"/>
          <w:sz w:val="28"/>
          <w:szCs w:val="28"/>
          <w:rtl w:val="true"/>
          <w:lang w:bidi="fa-IR"/>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بهذا المضمون روایةٌ أخری أیضاً</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یکره فی أوّل لیلةٍ من کلّ شهر إلاّ شهر رمضان و فی لیلة النصف و اللیلة الأخیرة منه؛ حذراً من الإسقاط أو الجنون أو البخل أو الجذام</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یدلّ علی ذلک أیضاً روایات،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الصدوق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تجامع فی أوّل الشهر، و لا فی وسطه، و لا فی آخره، فإنّه من فعل ذلک فلیسلّم لسقط الولد، فإن تمّ أوشک أن یکون مجنوناً، أ لا تری أنّ المجنون أکثر ما یصرع فی أوّل الشهر و وسطه و آخره</w:t>
      </w:r>
      <w:r>
        <w:rPr>
          <w:rFonts w:eastAsia="IRNazanin" w:cs="IRNazanin"/>
          <w:color w:val="111111"/>
          <w:sz w:val="28"/>
          <w:szCs w:val="28"/>
          <w:rtl w:val="true"/>
          <w:lang w:bidi="fa-IR"/>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فیما أوصی به رسول اللّه صلی الله علیه و آله علیّاً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تجامع أهلک فی أوّل لیلة من الهلال، و لا فی لیلة النصف، و لا فی آخر لیلةٍ، فإنّه یتخوّف علی ولد من یفعل ذلک الخبل،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ذلک یا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الجنّ یکثرون غشیان نسائهم فی أوّل لیلةٍ من الهلال و لیلة النصف و فی آخر لیلةٍ، أما رأیت المجنون یصرع فی أوّل الشهر و فی آخره و فی وسطه</w:t>
      </w:r>
      <w:r>
        <w:rPr>
          <w:rFonts w:eastAsia="IRNazanin" w:cs="IRNazanin"/>
          <w:color w:val="111111"/>
          <w:sz w:val="28"/>
          <w:szCs w:val="28"/>
          <w:rtl w:val="true"/>
          <w:lang w:bidi="fa-IR"/>
        </w:rPr>
        <w:t>»</w:t>
      </w:r>
      <w:r>
        <w:rPr>
          <w:rStyle w:val="FootnoteAnchor"/>
          <w:rtl w:val="true"/>
        </w:rPr>
        <w:footnoteReference w:id="3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الأخبار بهذا المضمون کثیرة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عدم الکراهة فی اللیلة الأولی من شهر رمضان بل استحبابه؛ لما روی و اشتهر بین الأصحاب من استحباب المجامعة فی تلک اللیلة، و فی المرسل قال علی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یستحب للرجل أن یأتی أهله أوّل لیلةٍ من شهر رمضان؛ لقوله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لَکُمْ لَیْلَةَ الصِّیامِ الرَّفَثُ إِلی نِسائِکُمْ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الرفث المجامعة</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یکره أیضاً فی المحاق، و هو لیلتان أو ثلاث من آخر الشهر، و یُستر القمر فلا یری غدوةً و لا عشیةً؛ لأنّه طلع مع الشمس فمحقه، خصوصاً آخر لیلة التی تجتمع فیها کراهتان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کونها من المحاق، و کونها آخر الشهر</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یدلّ علیه ما رواه ابن بابویه، عن سلیمان بن جعفر الجعفری، عن أبی الحسن موسی بن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أتی أهله فی محاق الشهر فلیسلّم لسقط الولد</w:t>
      </w:r>
      <w:r>
        <w:rPr>
          <w:rFonts w:eastAsia="IRNazanin" w:cs="IRNazanin"/>
          <w:color w:val="111111"/>
          <w:sz w:val="28"/>
          <w:szCs w:val="28"/>
          <w:rtl w:val="true"/>
          <w:lang w:bidi="fa-IR"/>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أبی سعید الخدری فی وصیّة النبیّ صلی الله علیه و آله لعلیّ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لا تجامع أهلک فی آخر درجةٍ منه إذا بقی یومان، فإنّه إن قضی بینکما ولد یکون عشّاراً و عوناً للظالمین، و یکون هلاک فئام من الناس علی یدیه</w:t>
      </w:r>
      <w:r>
        <w:rPr>
          <w:rFonts w:eastAsia="IRNazanin" w:cs="IRNazanin"/>
          <w:color w:val="111111"/>
          <w:sz w:val="28"/>
          <w:szCs w:val="28"/>
          <w:rtl w:val="true"/>
          <w:lang w:bidi="fa-IR"/>
        </w:rPr>
        <w:t>»</w:t>
      </w:r>
      <w:r>
        <w:rPr>
          <w:rStyle w:val="FootnoteAnchor"/>
          <w:rtl w:val="true"/>
        </w:rPr>
        <w:footnoteReference w:id="316"/>
      </w:r>
      <w:r>
        <w:rPr>
          <w:rFonts w:ascii="IRNazanin" w:hAnsi="IRNazanin" w:eastAsia="IRNazanin"/>
          <w:color w:val="111111"/>
          <w:sz w:val="28"/>
          <w:sz w:val="28"/>
          <w:szCs w:val="28"/>
          <w:rtl w:val="true"/>
          <w:lang w:bidi="fa-IR"/>
        </w:rPr>
        <w:t>و کذا یکره الجماع بعد الزوال؛ حذراً عن الحول، إلاّ یوم الخمیس فیستحبّ کما بیّنا سابقاً، و یُدلّ علیه ما جاء فی وصیّة النبیّ صلی الله علیه و آله لعلیٍّ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تجامع امرأتک بعد الظهر فإنّه إن قضی بینکُما ولد فی ذلک الوقت یکون أحول، و الشیطان یفرح بالحول فی الإنسان</w:t>
      </w:r>
      <w:r>
        <w:rPr>
          <w:rFonts w:eastAsia="IRNazanin" w:cs="IRNazanin"/>
          <w:color w:val="111111"/>
          <w:sz w:val="28"/>
          <w:szCs w:val="28"/>
          <w:rtl w:val="true"/>
          <w:lang w:bidi="fa-IR"/>
        </w:rPr>
        <w:t>»</w:t>
      </w:r>
      <w:r>
        <w:rPr>
          <w:rStyle w:val="FootnoteAnchor"/>
          <w:rtl w:val="true"/>
        </w:rPr>
        <w:footnoteReference w:id="317"/>
      </w:r>
      <w:bookmarkStart w:id="145" w:name="pg11752_146108"/>
    </w:p>
    <w:p>
      <w:pPr>
        <w:pStyle w:val="Heading5"/>
        <w:numPr>
          <w:ilvl w:val="4"/>
          <w:numId w:val="1"/>
        </w:numPr>
        <w:rPr/>
      </w:pPr>
      <w:bookmarkStart w:id="146" w:name="__RefHeading___Toc9423884_73709187"/>
      <w:bookmarkStart w:id="147" w:name="_Toc56"/>
      <w:bookmarkEnd w:id="145"/>
      <w:bookmarkEnd w:id="146"/>
      <w:r>
        <w:rPr>
          <w:rtl w:val="true"/>
        </w:rPr>
        <w:t>المطلب الثانی</w:t>
      </w:r>
      <w:r>
        <w:rPr>
          <w:rtl w:val="true"/>
        </w:rPr>
        <w:t xml:space="preserve">: </w:t>
      </w:r>
      <w:r>
        <w:rPr>
          <w:rtl w:val="true"/>
        </w:rPr>
        <w:t>کراهة الجماع عند فعل شیء أو وقوعه</w:t>
      </w:r>
      <w:bookmarkEnd w:id="147"/>
    </w:p>
    <w:p>
      <w:pPr>
        <w:pStyle w:val="Heading6"/>
        <w:numPr>
          <w:ilvl w:val="5"/>
          <w:numId w:val="1"/>
        </w:numPr>
        <w:rPr/>
      </w:pPr>
      <w:bookmarkStart w:id="148" w:name="__RefHeading___Toc9423886_73709187"/>
      <w:bookmarkStart w:id="149" w:name="_Toc57"/>
      <w:bookmarkEnd w:id="148"/>
      <w:r>
        <w:rPr>
          <w:rtl w:val="true"/>
        </w:rPr>
        <w:t>اشارة</w:t>
      </w:r>
      <w:bookmarkEnd w:id="149"/>
    </w:p>
    <w:p>
      <w:pPr>
        <w:pStyle w:val="BookText"/>
        <w:rPr/>
      </w:pPr>
      <w:r>
        <w:rPr>
          <w:rFonts w:ascii="IRNazanin" w:hAnsi="IRNazanin" w:eastAsia="IRNazanin"/>
          <w:color w:val="111111"/>
          <w:sz w:val="28"/>
          <w:sz w:val="28"/>
          <w:szCs w:val="28"/>
          <w:rtl w:val="true"/>
          <w:lang w:bidi="fa-IR"/>
        </w:rPr>
        <w:t>یکره الجماع أیضاً عند وقوع 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عقیب الاحتلام قبل الغسل</w:t>
      </w:r>
      <w:r>
        <w:rPr>
          <w:rStyle w:val="FootnoteAnchor"/>
          <w:rtl w:val="true"/>
        </w:rPr>
        <w:footnoteReference w:id="318"/>
      </w:r>
      <w:r>
        <w:rPr>
          <w:rFonts w:ascii="IRNazanin" w:hAnsi="IRNazanin" w:eastAsia="IRNazanin"/>
          <w:color w:val="111111"/>
          <w:sz w:val="28"/>
          <w:sz w:val="28"/>
          <w:szCs w:val="28"/>
          <w:rtl w:val="true"/>
          <w:lang w:bidi="fa-IR"/>
        </w:rPr>
        <w:t>، و الدلیل علیه ما عن الصادق علیه السلام،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یکره أن یغشی الرجل المرأة و قد احتلم حتّی یغتسل من احتلامه الذی رأی، فإن فعل و خرج الولد مجنوناً فلا یلومنّ إلاّ نفسه</w:t>
      </w:r>
      <w:r>
        <w:rPr>
          <w:rFonts w:eastAsia="IRNazanin" w:cs="IRNazanin"/>
          <w:color w:val="111111"/>
          <w:sz w:val="28"/>
          <w:szCs w:val="28"/>
          <w:rtl w:val="true"/>
          <w:lang w:bidi="fa-IR"/>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لا بأس أن یجامع مرّات من غیر غسل یتخلّلها، و یکون غسله فی المرّة الأخیرة؛ للأصل، و فعل النبیّ صلی الله علیه و آله، لکن یستحبّ غسل الفرج و وضوء الصلاة بلا خلاف فی ذلک</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یدلّ علیه ما رواه حسن بن علیّ الوشاء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فلان بن محرز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بلغنا أنّ أبا عبد اللّه علیه السلام کان إذا أراد أن یعاود أهله للجماع توضّأ وضوء الصلاة، فأحبّ أن تسأل أبا الحسن الثانی علیه السلام عن ذلک، قال الوشّاء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علیه فابتدأنی من غیر أن أسأله،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أبو عبد اللّه علیه السلام إذا جامع و أراد أن یعاود توضّأ وضوء الصلاة، و إذا أراد أیضاً توضّأ للصلاة</w:t>
      </w:r>
      <w:r>
        <w:rPr>
          <w:rFonts w:eastAsia="IRNazanin" w:cs="IRNazanin"/>
          <w:color w:val="111111"/>
          <w:sz w:val="28"/>
          <w:szCs w:val="28"/>
          <w:rtl w:val="true"/>
          <w:lang w:bidi="fa-IR"/>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ورد بهذا المضمون عن طریق أهل السنّة عن رسول اللّه صلی الله علیه و آله أیضاً</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الجماع عریاناً، الذی هو من فعل الحمار، و تخرج الملائکة من بینهما،</w:t>
      </w:r>
    </w:p>
    <w:p>
      <w:pPr>
        <w:pStyle w:val="BookText"/>
        <w:rPr/>
      </w:pPr>
      <w:r>
        <w:rPr>
          <w:rFonts w:ascii="Amiri" w:hAnsi="Amiri" w:eastAsia="Amiri" w:cs="Amiri"/>
          <w:color w:val="111111"/>
          <w:sz w:val="28"/>
          <w:sz w:val="28"/>
          <w:szCs w:val="28"/>
          <w:rtl w:val="true"/>
          <w:lang w:bidi="ar-SA"/>
        </w:rPr>
        <w:t>و یکون الولد جلاّداً</w:t>
      </w:r>
      <w:r>
        <w:rPr>
          <w:rStyle w:val="FootnoteAnchor"/>
          <w:rtl w:val="true"/>
        </w:rPr>
        <w:footnoteReference w:id="323"/>
      </w:r>
      <w:r>
        <w:rPr>
          <w:rFonts w:ascii="IRNazanin" w:hAnsi="IRNazanin" w:eastAsia="IRNazanin"/>
          <w:color w:val="111111"/>
          <w:sz w:val="28"/>
          <w:sz w:val="28"/>
          <w:szCs w:val="28"/>
          <w:rtl w:val="true"/>
          <w:lang w:bidi="fa-IR"/>
        </w:rPr>
        <w:t>، و الدلیل علیه ما رواه الشیخ بإسناده عن محمد بن العیص، أنّه سأل أبا عبد اللّه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اجامع و أنا عریان؟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عن النبیّ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تجامع الرجل و المرأة فلا یتعرّیان فعل الحمارین، فإنّ الملائکة تخرج من بینهما إذا فعلا ذلک</w:t>
      </w:r>
      <w:r>
        <w:rPr>
          <w:rFonts w:eastAsia="IRNazanin" w:cs="IRNazanin"/>
          <w:color w:val="111111"/>
          <w:sz w:val="28"/>
          <w:szCs w:val="28"/>
          <w:rtl w:val="true"/>
          <w:lang w:bidi="fa-IR"/>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یجامع و فی البیت صبیّ ینظر إلیه</w:t>
      </w:r>
      <w:r>
        <w:rPr>
          <w:rStyle w:val="FootnoteAnchor"/>
          <w:rtl w:val="true"/>
        </w:rPr>
        <w:footnoteReference w:id="326"/>
      </w:r>
      <w:r>
        <w:rPr>
          <w:rFonts w:ascii="IRNazanin" w:hAnsi="IRNazanin" w:eastAsia="IRNazanin"/>
          <w:color w:val="111111"/>
          <w:sz w:val="28"/>
          <w:sz w:val="28"/>
          <w:szCs w:val="28"/>
          <w:rtl w:val="true"/>
          <w:lang w:bidi="fa-IR"/>
        </w:rPr>
        <w:t>؛ لما رواه فی الکافی عن ابن راشد،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یجامع الرجل امرأته و لا جاریته و فی البیت صبیّ، فإنّ ذلک ممّا یورث الزنا</w:t>
      </w:r>
      <w:r>
        <w:rPr>
          <w:rFonts w:eastAsia="IRNazanin" w:cs="IRNazanin"/>
          <w:color w:val="111111"/>
          <w:sz w:val="28"/>
          <w:szCs w:val="28"/>
          <w:rtl w:val="true"/>
          <w:lang w:bidi="fa-IR"/>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خبرٍ آخر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نفسی بیده لو أنّ رجلاً غشی امرأته و فی البیت صبیّ مستیقظ یراهُما و یسمع کلامهما و نفسهما ما أفلح أبداً، إذا کان غلاماً کان زانیاً أو جاریة کانت زانیةً، و کان علیّ بن الحسین علیهما السلام إذا أراد أن یغشی أهله أغلق الباب و أرخی الستور و أخرج الخدم</w:t>
      </w:r>
      <w:r>
        <w:rPr>
          <w:rFonts w:eastAsia="IRNazanin" w:cs="IRNazanin"/>
          <w:color w:val="111111"/>
          <w:sz w:val="28"/>
          <w:szCs w:val="28"/>
          <w:rtl w:val="true"/>
          <w:lang w:bidi="fa-IR"/>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فی کتاب طبّ الأئمة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و الجماع حیث یراک صبیّ یحسن أن یصف حالک،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صلی الله علیه و آله کراهة الشنعة؟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فإنّک إن رزقت ولداً کان شهرةً عَلَماً فی الفسق و الفجور</w:t>
      </w:r>
      <w:r>
        <w:rPr>
          <w:rFonts w:eastAsia="IRNazanin" w:cs="IRNazanin"/>
          <w:color w:val="111111"/>
          <w:sz w:val="28"/>
          <w:szCs w:val="28"/>
          <w:rtl w:val="true"/>
          <w:lang w:bidi="fa-IR"/>
        </w:rPr>
        <w:t>»</w:t>
      </w:r>
      <w:r>
        <w:rPr>
          <w:rStyle w:val="FootnoteAnchor"/>
          <w:rtl w:val="true"/>
        </w:rPr>
        <w:footnoteReference w:id="329"/>
      </w:r>
      <w:r>
        <w:rPr>
          <w:rFonts w:ascii="IRNazanin" w:hAnsi="IRNazanin" w:eastAsia="IRNazanin"/>
          <w:color w:val="111111"/>
          <w:sz w:val="28"/>
          <w:sz w:val="28"/>
          <w:szCs w:val="28"/>
          <w:rtl w:val="true"/>
          <w:lang w:bidi="fa-IR"/>
        </w:rPr>
        <w:t>و فی معناها</w:t>
      </w:r>
    </w:p>
    <w:p>
      <w:pPr>
        <w:pStyle w:val="BookText"/>
        <w:rPr/>
      </w:pPr>
      <w:r>
        <w:rPr>
          <w:rFonts w:ascii="IRNazanin" w:hAnsi="IRNazanin" w:eastAsia="IRNazanin"/>
          <w:color w:val="111111"/>
          <w:sz w:val="28"/>
          <w:sz w:val="28"/>
          <w:szCs w:val="28"/>
          <w:rtl w:val="true"/>
          <w:lang w:bidi="fa-IR"/>
        </w:rPr>
        <w:t>روایات اخر</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مستقبل القبلة و مستدبرها، و یدلّ علی ذلک ما رواه الشیخ مرسلاً عن محمّد بن العیص، أنّه سأل أبا عبد اللّه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اجامع و أنا عریان؟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 لا مستقبل القبلة و لا مستدبرها، و 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تجامع فی السفینة</w:t>
      </w:r>
      <w:r>
        <w:rPr>
          <w:rFonts w:eastAsia="IRNazanin" w:cs="IRNazanin"/>
          <w:color w:val="111111"/>
          <w:sz w:val="28"/>
          <w:szCs w:val="28"/>
          <w:rtl w:val="true"/>
          <w:lang w:bidi="fa-IR"/>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هکذا خبر غیاث بن إبراهیم، عن أبی عبد اللّه علیه السلام</w:t>
      </w:r>
      <w:r>
        <w:rPr>
          <w:rStyle w:val="FootnoteAnchor"/>
          <w:rtl w:val="true"/>
        </w:rPr>
        <w:footnoteReference w:id="3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أبی البختری، عن جعفر، عن أبیه، عن علیّ علیه السلام</w:t>
      </w:r>
      <w:r>
        <w:rPr>
          <w:rStyle w:val="FootnoteAnchor"/>
          <w:rtl w:val="true"/>
        </w:rPr>
        <w:footnoteReference w:id="333"/>
      </w:r>
      <w:r>
        <w:rPr>
          <w:rFonts w:ascii="IRNazanin" w:hAnsi="IRNazanin" w:eastAsia="IRNazanin"/>
          <w:color w:val="111111"/>
          <w:sz w:val="28"/>
          <w:sz w:val="28"/>
          <w:szCs w:val="28"/>
          <w:rtl w:val="true"/>
          <w:lang w:bidi="fa-IR"/>
        </w:rPr>
        <w:t>، و هکذا ورد فی حدیث المناهی عن رسول اللّه صلی الله علیه و آله أیضاً</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الکلام عند الجماع بغیر ذکر اللّه تعالی، خصوصاً الکثیر منه</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یدلّ علیه ما رواه الکُلینی و الشیخ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الکلام عند ملتقی الختانین، فإنّه یورث الخرس</w:t>
      </w:r>
      <w:r>
        <w:rPr>
          <w:rFonts w:eastAsia="IRNazanin" w:cs="IRNazanin"/>
          <w:color w:val="111111"/>
          <w:sz w:val="28"/>
          <w:szCs w:val="28"/>
          <w:rtl w:val="true"/>
          <w:lang w:bidi="fa-IR"/>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رواه حسین بن زید عن الصادق عن آبائه علیهم السلام فی حدیث المناهی، قال</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نهی رسول اللّه صلی الله علیه و آله أن یکثر الکلام عند المجامعة،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منه خرس الولد</w:t>
      </w:r>
      <w:r>
        <w:rPr>
          <w:rStyle w:val="FootnoteAnchor"/>
          <w:rtl w:val="true"/>
        </w:rPr>
        <w:footnoteReference w:id="336"/>
      </w:r>
      <w:r>
        <w:rPr>
          <w:rFonts w:ascii="IRNazanin" w:hAnsi="IRNazanin" w:eastAsia="IRNazanin"/>
          <w:color w:val="111111"/>
          <w:sz w:val="28"/>
          <w:sz w:val="28"/>
          <w:szCs w:val="28"/>
          <w:rtl w:val="true"/>
          <w:lang w:bidi="fa-IR"/>
        </w:rPr>
        <w:t>، و فی الخصال عن علیٍّ علیه السلام فی حدیث الأربعمائة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أتی احدکُم زوجته فلیقلّ الکلام، فإنّ الکلام عند ذلک یورث الخرس</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النظر إلی فرج المرأة عند الجماع</w:t>
      </w:r>
      <w:r>
        <w:rPr>
          <w:rStyle w:val="FootnoteAnchor"/>
          <w:rtl w:val="true"/>
        </w:rPr>
        <w:footnoteReference w:id="338"/>
      </w:r>
      <w:r>
        <w:rPr>
          <w:rFonts w:ascii="IRNazanin" w:hAnsi="IRNazanin" w:eastAsia="IRNazanin"/>
          <w:color w:val="111111"/>
          <w:sz w:val="28"/>
          <w:sz w:val="28"/>
          <w:szCs w:val="28"/>
          <w:rtl w:val="true"/>
          <w:lang w:bidi="fa-IR"/>
        </w:rPr>
        <w:t>، و الدلیل علیه ما رواه الشیخ فی الموثق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ینظر فی فرج المرأة و هو یجامعُها؟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به إلاّ أنّه یورث العمی فی الولد</w:t>
      </w:r>
      <w:r>
        <w:rPr>
          <w:rFonts w:eastAsia="IRNazanin" w:cs="IRNazanin"/>
          <w:color w:val="111111"/>
          <w:sz w:val="28"/>
          <w:szCs w:val="28"/>
          <w:rtl w:val="true"/>
          <w:lang w:bidi="fa-IR"/>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وصیّة النبیّ صلی الله علیه و آله لعلیّ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ینظر أحد إلی فرج امرأته، و لیغضّ بصرهُ عند الجماع، فإنّ النظر إلی الفرج یورث العمی فی الولد</w:t>
      </w:r>
      <w:r>
        <w:rPr>
          <w:rFonts w:eastAsia="IRNazanin" w:cs="IRNazanin"/>
          <w:color w:val="111111"/>
          <w:sz w:val="28"/>
          <w:szCs w:val="28"/>
          <w:rtl w:val="true"/>
          <w:lang w:bidi="fa-IR"/>
        </w:rPr>
        <w:t>»</w:t>
      </w:r>
      <w:r>
        <w:rPr>
          <w:rStyle w:val="FootnoteAnchor"/>
          <w:rtl w:val="true"/>
        </w:rPr>
        <w:footnoteReference w:id="3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من الروایات</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الجماع فی اللیلة التی یرید السفر فیها؛ لما رواه جابر الجعفی،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 رسولُ اللّه صلی الله علیه و آله الجماع فی اللیلة التی یرید فیها الرجل سفراً،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رزق ولداً کان جوالةً‌</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أخری عن الباقر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الحسین علیه السلام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اجتنبوا الغشیان فی اللیلة التی تریدون فیها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من فعل ذلک ثمّ رزق ولداً کان جوّالةً</w:t>
      </w:r>
      <w:r>
        <w:rPr>
          <w:rFonts w:eastAsia="IRNazanin" w:cs="IRNazanin"/>
          <w:color w:val="111111"/>
          <w:sz w:val="28"/>
          <w:szCs w:val="28"/>
          <w:rtl w:val="true"/>
          <w:lang w:bidi="fa-IR"/>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خبر الوصایا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خرجت فی سفر فلا تجامع أهلک فی تلک اللیلة فإنّه إن قضی بینکما ولد ینفق ماله فی غیر حقّ</w:t>
      </w:r>
      <w:r>
        <w:rPr>
          <w:rFonts w:eastAsia="IRNazanin" w:cs="IRNazanin"/>
          <w:color w:val="111111"/>
          <w:sz w:val="28"/>
          <w:szCs w:val="28"/>
          <w:rtl w:val="true"/>
          <w:lang w:bidi="fa-IR"/>
        </w:rPr>
        <w:t>»</w:t>
      </w:r>
      <w:r>
        <w:rPr>
          <w:rStyle w:val="FootnoteAnchor"/>
          <w:rtl w:val="true"/>
        </w:rPr>
        <w:footnoteReference w:id="345"/>
      </w:r>
      <w:bookmarkStart w:id="150" w:name="pg11752_146112"/>
    </w:p>
    <w:p>
      <w:pPr>
        <w:pStyle w:val="BookText"/>
        <w:rPr/>
      </w:pPr>
      <w:bookmarkEnd w:id="150"/>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جماع المختضب و المختضبة</w:t>
      </w:r>
      <w:r>
        <w:rPr>
          <w:rStyle w:val="FootnoteAnchor"/>
          <w:rtl w:val="true"/>
        </w:rPr>
        <w:footnoteReference w:id="346"/>
      </w:r>
      <w:r>
        <w:rPr>
          <w:rFonts w:ascii="IRNazanin" w:hAnsi="IRNazanin" w:eastAsia="IRNazanin"/>
          <w:color w:val="111111"/>
          <w:sz w:val="28"/>
          <w:sz w:val="28"/>
          <w:szCs w:val="28"/>
          <w:rtl w:val="true"/>
          <w:lang w:bidi="fa-IR"/>
        </w:rPr>
        <w:t>، و یدلّ علیه خبر إسماعیل بن أبی زینب، عن أبی عبد اللّه علیه السلام أنّه قال لرجلٍ من أولیائه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تجامع أهلک و أنت مختضب، فإنّک إن رزقت ولداً کان مخنّثاً</w:t>
      </w:r>
      <w:r>
        <w:rPr>
          <w:rFonts w:eastAsia="IRNazanin" w:cs="IRNazanin"/>
          <w:color w:val="111111"/>
          <w:sz w:val="28"/>
          <w:szCs w:val="28"/>
          <w:rtl w:val="true"/>
          <w:lang w:bidi="fa-IR"/>
        </w:rPr>
        <w:t>»</w:t>
      </w:r>
      <w:r>
        <w:rPr>
          <w:rStyle w:val="FootnoteAnchor"/>
          <w:rtl w:val="true"/>
        </w:rPr>
        <w:footnoteReference w:id="3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غیره</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الجماع بعد النظر إلی امرأة الغیر بشهوةٍ، و قیاماً، و تحت شجرةٍ مثمرةٍ‌</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و غیر ذلک، فقد ورد فی خبر الوصیّة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لا تجامع امرأتک بشهوة امرأة غیرک، فإنّی أخشی إن قضی بینکما ولد أن یکون مخنّثاً أو مؤنّثاً مخبّلاً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تجامع امرأتک من قیامٍ، فإنّ ذلک من فعل الحمیر، فإن قضی بینکما ولد کان بوّالاً فی الفراش کالحمیر البوّالة فی کلّ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لا تجامع امرأتک تحت شجرةٍ مثمرةٍ، فإنّه إن قضی بینکما ولد یکون جلاّداً قتّالاً أو عریفاً، یا علیّ لا تجامع امرأتک فی وجه الشمس و تلألئها إلاّ أن ترخی ستراً فیسترکُما، فإنّه إن قضی بینکما ولد لا یزال فی بؤسٍ و فقرٍ حتّی 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لا تجامع أهلک فی أوّل ساعةٍ من اللیل، فإنّه إن قضی بینکما ولد لا یؤمن أن یکون ساحراً مؤثِراً للدنیا علی الآخرة</w:t>
      </w:r>
      <w:r>
        <w:rPr>
          <w:rFonts w:eastAsia="IRNazanin" w:cs="IRNazanin"/>
          <w:color w:val="111111"/>
          <w:sz w:val="28"/>
          <w:szCs w:val="28"/>
          <w:rtl w:val="true"/>
          <w:lang w:bidi="fa-IR"/>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1" w:name="__RefHeading___Toc9423888_73709187"/>
      <w:bookmarkStart w:id="152" w:name="_Toc58"/>
      <w:bookmarkEnd w:id="151"/>
      <w:r>
        <w:rPr>
          <w:rtl w:val="true"/>
        </w:rPr>
        <w:t>إیضاح</w:t>
      </w:r>
      <w:bookmarkEnd w:id="152"/>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بعض الأصحاب طعن بخبر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الحدائق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یبعد أن یکون الخبر المذکور عامّیاً؛ و لهذا أنّ بعض أصحابنا طعن فیه، قال فی</w:t>
      </w:r>
    </w:p>
    <w:p>
      <w:pPr>
        <w:pStyle w:val="BookText"/>
        <w:rPr/>
      </w:pPr>
      <w:r>
        <w:rPr>
          <w:rFonts w:ascii="IRNazanin" w:hAnsi="IRNazanin" w:eastAsia="IRNazanin"/>
          <w:color w:val="111111"/>
          <w:sz w:val="28"/>
          <w:sz w:val="28"/>
          <w:szCs w:val="28"/>
          <w:rtl w:val="true"/>
          <w:lang w:bidi="fa-IR"/>
        </w:rPr>
        <w:t xml:space="preserve">المسالک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الاستدلال ببعض ما تضمّنه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هذه الوصیّة تفوح رائحة الوضع</w:t>
      </w:r>
      <w:r>
        <w:rPr>
          <w:rStyle w:val="FootnoteAnchor"/>
          <w:rtl w:val="true"/>
        </w:rPr>
        <w:footnoteReference w:id="351"/>
      </w:r>
      <w:r>
        <w:rPr>
          <w:rFonts w:ascii="IRNazanin" w:hAnsi="IRNazanin" w:eastAsia="IRNazanin"/>
          <w:color w:val="111111"/>
          <w:sz w:val="28"/>
          <w:sz w:val="28"/>
          <w:szCs w:val="28"/>
          <w:rtl w:val="true"/>
          <w:lang w:bidi="fa-IR"/>
        </w:rPr>
        <w:t>، و قال المحدّث الکاشانی فی 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ما فی هذه الوصایا و بُعد مناسبتها، لجلالة قدر المخاطب بها</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لقد أجاد فی الجواب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الظاهر أنّ الخطاب و إن وقع لعلیّ علیه السلام إلاّ أنّ المراد حقیقة إنّما هو الاُمّة، کما دلّت علیه الأخبار، و ممّا یؤیّده أن جُلّ ما اشتمل علیه هذا الخبر من الأحکام قد دلّت علیه أخبارنا المرویّة عن الأئمة علیهم السلام</w:t>
      </w:r>
      <w:r>
        <w:rPr>
          <w:rFonts w:eastAsia="IRNazanin" w:cs="IRNazanin"/>
          <w:color w:val="111111"/>
          <w:sz w:val="28"/>
          <w:szCs w:val="28"/>
          <w:rtl w:val="true"/>
          <w:lang w:bidi="fa-IR"/>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 سوء التعبیر من الرواة، و أمّا نفس الحکم فإنّ اللّه لا یستحی من الحقّ</w:t>
      </w:r>
      <w:r>
        <w:rPr>
          <w:rFonts w:eastAsia="IRNazanin" w:cs="IRNazanin"/>
          <w:color w:val="111111"/>
          <w:sz w:val="28"/>
          <w:szCs w:val="28"/>
          <w:rtl w:val="true"/>
          <w:lang w:bidi="fa-IR"/>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یلزم أن نذکّر أیضاً بأنّه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تفحّصنا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نجد آراءً لفقهاء أهل السنّة فی المسائل المتعلّقة بالمبحث الأوّل و الثانی من هذا الفصل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استحباب مسائل عند الخلوة و کراهة الجماع فی أوقاتٍ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لأجل هذا لم نستعرض آراءهم</w:t>
      </w:r>
      <w:r>
        <w:rPr>
          <w:rFonts w:eastAsia="IRNazanin" w:cs="IRNazanin"/>
          <w:color w:val="111111"/>
          <w:sz w:val="28"/>
          <w:szCs w:val="28"/>
          <w:rtl w:val="true"/>
          <w:lang w:bidi="fa-IR"/>
        </w:rPr>
        <w:t>.</w:t>
      </w:r>
      <w:bookmarkStart w:id="153" w:name="pg11752_146114"/>
    </w:p>
    <w:p>
      <w:pPr>
        <w:pStyle w:val="Heading4"/>
        <w:numPr>
          <w:ilvl w:val="3"/>
          <w:numId w:val="1"/>
        </w:numPr>
        <w:rPr/>
      </w:pPr>
      <w:bookmarkStart w:id="154" w:name="__RefHeading___Toc9423890_73709187"/>
      <w:bookmarkStart w:id="155" w:name="_Toc59"/>
      <w:bookmarkEnd w:id="153"/>
      <w:bookmarkEnd w:id="154"/>
      <w:r>
        <w:rPr>
          <w:rtl w:val="true"/>
        </w:rPr>
        <w:t>المبحث الثالث</w:t>
      </w:r>
      <w:r>
        <w:rPr>
          <w:rtl w:val="true"/>
        </w:rPr>
        <w:t xml:space="preserve">: </w:t>
      </w:r>
      <w:r>
        <w:rPr>
          <w:rtl w:val="true"/>
        </w:rPr>
        <w:t>حرمة الجماع فی أیّام الحیض</w:t>
      </w:r>
      <w:bookmarkEnd w:id="155"/>
    </w:p>
    <w:p>
      <w:pPr>
        <w:pStyle w:val="BookText"/>
        <w:rPr/>
      </w:pPr>
      <w:r>
        <w:rPr>
          <w:rFonts w:ascii="IRNazanin" w:hAnsi="IRNazanin" w:eastAsia="IRNazanin"/>
          <w:color w:val="111111"/>
          <w:sz w:val="28"/>
          <w:sz w:val="28"/>
          <w:szCs w:val="28"/>
          <w:rtl w:val="true"/>
          <w:lang w:bidi="fa-IR"/>
        </w:rPr>
        <w:t>لا یجوز للرجل مجامعة امرأته فی أیّام حیضها، و یفسق إن فعل عالماً عامداً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یحرم علیها تمکینُه من ذلک أیضاً حتّی تطهّر، إجماعاً بل ضرورةً من الدین</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یدلّ علیه بعد الإجماع الکتاب و السنّة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الکتاب فقوله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یَسْئَلُونَکَ عَنِ الْمَحِیضِ قُلْ هُوَ أَذیً فَاعْتَزِلُوا النِّساءَ فِی الْمَحِیضِ وَ لا تَقْرَبُوهُنَّ حَتّی یَطْهُرْنَ فَإِذا تَطَهَّرْنَ فَأْتُوهُنَّ مِنْ حَیْثُ أَمَرَکُمُ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کانوا فی الجاهلیّة یمتنعون عن مؤاکلة الحُیَّض و مشاربتهنّ و مجالستهنّ، فسألوا عن ذلک، فنزلت الآیة</w:t>
      </w:r>
      <w:r>
        <w:rPr>
          <w:rFonts w:eastAsia="IRNazanin" w:cs="IRNazanin"/>
          <w:color w:val="111111"/>
          <w:sz w:val="28"/>
          <w:szCs w:val="28"/>
          <w:rtl w:val="true"/>
          <w:lang w:bidi="fa-IR"/>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یسألونک یا محمّد عن الحیض و أحکامه، قل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الحیض قذر و نجس و مؤذ لمن یقربه نفرة منه و کراهة له، فاعتزلوا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اجتنبوا مجامعتهنّ فی الفرج زمان الحیض، و لا تقربوهنّ حتّی یطهرن</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فکیف کان، أجمع علماء الإسلام علی تحریم وط‌ء الحائض قُبلاً</w:t>
      </w:r>
      <w:r>
        <w:rPr>
          <w:rStyle w:val="FootnoteAnchor"/>
          <w:rtl w:val="true"/>
        </w:rPr>
        <w:footnoteReference w:id="357"/>
      </w:r>
      <w:r>
        <w:rPr>
          <w:rFonts w:ascii="IRNazanin" w:hAnsi="IRNazanin" w:eastAsia="IRNazanin"/>
          <w:color w:val="111111"/>
          <w:sz w:val="28"/>
          <w:sz w:val="28"/>
          <w:szCs w:val="28"/>
          <w:rtl w:val="true"/>
          <w:lang w:bidi="fa-IR"/>
        </w:rPr>
        <w:t>و إن اختلفوا فی معنی الاعتزال علی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عباس و عبیدة السلمانی أنّه یجب أن یعتزل الرجل فراش زوجته إذا حاضت، و هذا قول شاذّ خارج عن قول العلماء، و إن کان عموم الآیة یقتضیه، فالسنّة الثابتة بخلافه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أبی حنیفة و أبی یوسف و مالک و الشافعی و الأوزاعی و جماعة عظیمة من العلماء یوجبون اعتزال ما اشتمل علیه الإزار</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ابن عباس و عائشة و الحسن و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العربی و الزمخشری و القرطبی، بأنّ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فَاعْتَزِلُوا النِّساءَ فِی الْمَحِیضِ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فاجتنبوا مجامعة النساء فی الفرج و مکان الحیض، و هو مذهب أکثر أصحابنا</w:t>
      </w:r>
      <w:r>
        <w:rPr>
          <w:rStyle w:val="FootnoteAnchor"/>
          <w:rtl w:val="true"/>
        </w:rPr>
        <w:footnoteReference w:id="359"/>
      </w:r>
      <w:r>
        <w:rPr>
          <w:rFonts w:ascii="Amiri" w:hAnsi="Amiri" w:eastAsia="Amiri" w:cs="Amiri"/>
          <w:color w:val="111111"/>
          <w:sz w:val="28"/>
          <w:sz w:val="28"/>
          <w:szCs w:val="28"/>
          <w:rtl w:val="true"/>
          <w:lang w:bidi="ar-SA"/>
        </w:rPr>
        <w:t>و هو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یدلّ علیه أنّه المتبادر من اعتزالهنَّ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المقصود من معاشرتهنّ هو الجماع فی الفرج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الأصل، و الاستصحاب، و هکذا بعض الروایات</w:t>
      </w:r>
      <w:r>
        <w:rPr>
          <w:rStyle w:val="FootnoteAnchor"/>
          <w:rtl w:val="true"/>
        </w:rPr>
        <w:footnoteReference w:id="360"/>
      </w:r>
      <w:r>
        <w:rPr>
          <w:rFonts w:ascii="IRNazanin" w:hAnsi="IRNazanin" w:eastAsia="IRNazanin"/>
          <w:color w:val="111111"/>
          <w:sz w:val="28"/>
          <w:sz w:val="28"/>
          <w:szCs w:val="28"/>
          <w:rtl w:val="true"/>
          <w:lang w:bidi="fa-IR"/>
        </w:rPr>
        <w:t>، و الشهرة و الکثرة، و سهولة الجمع بینها و بین ما ینافیها بالحمل علی الاستحباب، أی حمل ما دلّت علی الامتناع من مطلق الدخول، بل مطلق الانتفاع منهنّ علی الاستحباب و الاحتیاط‌</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 هذا المعنی أیضاً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تَقْرَبُوهُنَّ حَتّی یَطْهُرْنَ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تأکید للاعتزال و بیان لغایته؛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الغایة و هو انتهاء الشیء و تمامه، و حکم الغایة أن یکون ما بعدها مخالفاً لما قبلها، فقراءة التخفیف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جواز الوط‌ء عند انقطاع الدم، کما هو مذهب أکثر الأصحاب، و یدلّ علیه بعض الروایات</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و تحمل قراءة التشدید و بعض الروایات</w:t>
      </w:r>
      <w:r>
        <w:rPr>
          <w:rStyle w:val="FootnoteAnchor"/>
          <w:rtl w:val="true"/>
        </w:rPr>
        <w:footnoteReference w:id="363"/>
      </w:r>
      <w:r>
        <w:rPr>
          <w:rFonts w:ascii="IRNazanin" w:hAnsi="IRNazanin" w:eastAsia="IRNazanin"/>
          <w:color w:val="111111"/>
          <w:sz w:val="28"/>
          <w:sz w:val="28"/>
          <w:szCs w:val="28"/>
          <w:rtl w:val="true"/>
          <w:lang w:bidi="fa-IR"/>
        </w:rPr>
        <w:t>الاُخر علی عدم رجحان المطلق إلی حین الغسل، أی التحریم قبل الانقطاع و الکراهیّة بعده إلی حین الغسل</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فروایاتها کثیرة، نذکر أنموذجاً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إسماعیل بن الفضل الهاشمی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رجلٍ أتی أهله و هی حائض،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یستغفر اللّه و لا یعود،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 أدب؟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خمسة و عشرون سوطاً ربع حدّ الزانی و هو صاغر؛ لأنّه أتی سفاحاً</w:t>
      </w:r>
      <w:r>
        <w:rPr>
          <w:rFonts w:eastAsia="IRNazanin" w:cs="IRNazanin"/>
          <w:color w:val="111111"/>
          <w:sz w:val="28"/>
          <w:szCs w:val="28"/>
          <w:rtl w:val="true"/>
          <w:lang w:bidi="fa-IR"/>
        </w:rPr>
        <w:t>»</w:t>
      </w:r>
      <w:r>
        <w:rPr>
          <w:rStyle w:val="FootnoteAnchor"/>
          <w:rtl w:val="true"/>
        </w:rPr>
        <w:footnoteReference w:id="3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بالنسبة للحکم التکلیفی، و أمّا بالنسبة للحکم الوضعی فکثیر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أبی أیّوب، عن رسول اللّه صلی الله علیه و آله أنّه قال لعلیّ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یحبُّک إلاّ مؤمن، و لا یبغضک إلاّ منافق، أو ولد الزنیة، أو من حملته امّه و هی طامث</w:t>
      </w:r>
      <w:r>
        <w:rPr>
          <w:rFonts w:eastAsia="IRNazanin" w:cs="IRNazanin"/>
          <w:color w:val="111111"/>
          <w:sz w:val="28"/>
          <w:szCs w:val="28"/>
          <w:rtl w:val="true"/>
          <w:lang w:bidi="fa-IR"/>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سلیمان بن جعفر البصری، عن أبی عبد اللّه، عن آبائه علیهم السلام، أنّه کره للرجل أن یغشی امرأته و هی حائض، فإن غشیها فخرج الولد مجذوماً أو أبرص فلا یلومنَّ إلاّ نفسه</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قطب الراوندی، بأنّه أتی عمر بولدٍ أسود انتفی منه أبوه، فأراد عمر أن یعزّره، قال علی علیه السلام للرجل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جامعت أمّه فی حیضها؟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سوّدهُ اللّه،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علیّ لهلک عمر</w:t>
      </w:r>
      <w:r>
        <w:rPr>
          <w:rFonts w:eastAsia="IRNazanin" w:cs="IRNazanin"/>
          <w:color w:val="111111"/>
          <w:sz w:val="28"/>
          <w:szCs w:val="28"/>
          <w:rtl w:val="true"/>
          <w:lang w:bidi="fa-IR"/>
        </w:rPr>
        <w:t>»</w:t>
      </w:r>
      <w:r>
        <w:rPr>
          <w:rStyle w:val="FootnoteAnchor"/>
          <w:rtl w:val="true"/>
        </w:rPr>
        <w:footnoteReference w:id="368"/>
      </w:r>
      <w:bookmarkStart w:id="156" w:name="pg11752_146117"/>
    </w:p>
    <w:p>
      <w:pPr>
        <w:pStyle w:val="Heading3"/>
        <w:numPr>
          <w:ilvl w:val="2"/>
          <w:numId w:val="1"/>
        </w:numPr>
        <w:rPr/>
      </w:pPr>
      <w:bookmarkStart w:id="157" w:name="__RefHeading___Toc9423892_73709187"/>
      <w:bookmarkStart w:id="158" w:name="_Toc60"/>
      <w:bookmarkEnd w:id="156"/>
      <w:bookmarkEnd w:id="157"/>
      <w:r>
        <w:rPr>
          <w:rtl w:val="true"/>
        </w:rPr>
        <w:t>الفصل الرابع فی مسائل تغذیة الحامل فی أیّام حملها</w:t>
      </w:r>
      <w:bookmarkEnd w:id="158"/>
    </w:p>
    <w:p>
      <w:pPr>
        <w:pStyle w:val="Heading4"/>
        <w:numPr>
          <w:ilvl w:val="3"/>
          <w:numId w:val="1"/>
        </w:numPr>
        <w:rPr/>
      </w:pPr>
      <w:bookmarkStart w:id="159" w:name="__RefHeading___Toc9423894_73709187"/>
      <w:bookmarkStart w:id="160" w:name="_Toc61"/>
      <w:bookmarkEnd w:id="159"/>
      <w:r>
        <w:rPr>
          <w:rtl w:val="true"/>
        </w:rPr>
        <w:t>اشارة</w:t>
      </w:r>
      <w:bookmarkEnd w:id="160"/>
    </w:p>
    <w:p>
      <w:pPr>
        <w:pStyle w:val="BookText"/>
        <w:rPr/>
      </w:pPr>
      <w:r>
        <w:rPr>
          <w:rFonts w:ascii="IRNazanin" w:hAnsi="IRNazanin" w:eastAsia="IRNazanin"/>
          <w:color w:val="111111"/>
          <w:sz w:val="28"/>
          <w:sz w:val="28"/>
          <w:szCs w:val="28"/>
          <w:rtl w:val="true"/>
          <w:lang w:bidi="fa-IR"/>
        </w:rPr>
        <w:t>من الاُمور التی تؤثِّر فی خلقة الولد و خُلقه و روحه، و فی سعادته و کماله أو شقاوته و ذلّته؛ هی تغذیة الحامل أیّام الحمل، و لأجل هذا عقدنا هذا الفصل، و یشتمل علی مبحثین</w:t>
      </w:r>
      <w:r>
        <w:rPr>
          <w:rFonts w:eastAsia="IRNazanin" w:cs="IRNazanin"/>
          <w:color w:val="111111"/>
          <w:sz w:val="28"/>
          <w:szCs w:val="28"/>
          <w:rtl w:val="true"/>
          <w:lang w:bidi="fa-IR"/>
        </w:rPr>
        <w:t>:</w:t>
      </w:r>
    </w:p>
    <w:p>
      <w:pPr>
        <w:pStyle w:val="Heading4"/>
        <w:numPr>
          <w:ilvl w:val="3"/>
          <w:numId w:val="1"/>
        </w:numPr>
        <w:rPr/>
      </w:pPr>
      <w:bookmarkStart w:id="161" w:name="__RefHeading___Toc9423896_73709187"/>
      <w:bookmarkStart w:id="162" w:name="_Toc62"/>
      <w:bookmarkEnd w:id="161"/>
      <w:r>
        <w:rPr>
          <w:rtl w:val="true"/>
        </w:rPr>
        <w:t>المبحث الأوّل</w:t>
      </w:r>
      <w:r>
        <w:rPr>
          <w:rtl w:val="true"/>
        </w:rPr>
        <w:t xml:space="preserve">: </w:t>
      </w:r>
      <w:r>
        <w:rPr>
          <w:rtl w:val="true"/>
        </w:rPr>
        <w:t>فی استحباب أکل الحامل مأکولات خاصّة</w:t>
      </w:r>
      <w:bookmarkEnd w:id="162"/>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اضطرار الحامل إلی أکل المحرّم للحمل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وردت النصوص علی أفضلیّة أکل الحامل مأکولات تنفع الحمل، و سنذکر أهمّها علی الترتیب التالی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روی موسی بن إسماعیل بن موسی بن جعفر، عن أبیه، عن آبائه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بعث اللّه نبیّاً و لا وصیّاً إلاّ وجد منه رائحة السفرجل، فکُلوا و أطعموا حبالاکم یحسنُ أولادکم</w:t>
      </w:r>
      <w:r>
        <w:rPr>
          <w:rFonts w:eastAsia="IRNazanin" w:cs="IRNazanin"/>
          <w:color w:val="111111"/>
          <w:sz w:val="28"/>
          <w:szCs w:val="28"/>
          <w:rtl w:val="true"/>
          <w:lang w:bidi="fa-IR"/>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روی السید فضل اللّه الراوندی، عن رسول اللّه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أطعمُوا</w:t>
      </w:r>
    </w:p>
    <w:p>
      <w:pPr>
        <w:pStyle w:val="BookText"/>
        <w:rPr/>
      </w:pPr>
      <w:r>
        <w:rPr>
          <w:rFonts w:ascii="IRNazanin" w:hAnsi="IRNazanin" w:eastAsia="IRNazanin"/>
          <w:color w:val="111111"/>
          <w:sz w:val="28"/>
          <w:sz w:val="28"/>
          <w:szCs w:val="28"/>
          <w:rtl w:val="true"/>
          <w:lang w:bidi="fa-IR"/>
        </w:rPr>
        <w:t>حبالاکم السفرجل، فإنّه یحسّن أخلاق أولادکم</w:t>
      </w:r>
      <w:r>
        <w:rPr>
          <w:rFonts w:eastAsia="IRNazanin" w:cs="IRNazanin"/>
          <w:color w:val="111111"/>
          <w:sz w:val="28"/>
          <w:szCs w:val="28"/>
          <w:rtl w:val="true"/>
          <w:lang w:bidi="fa-IR"/>
        </w:rPr>
        <w:t>»</w:t>
      </w:r>
      <w:r>
        <w:rPr>
          <w:rStyle w:val="FootnoteAnchor"/>
          <w:rtl w:val="true"/>
        </w:rPr>
        <w:footnoteReference w:id="3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معناها غیرها</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رواه أبو بصیر و محمّد بن مسلم، عن أبی عبد اللّه، عن آبائه علیهم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تأکل الحامل من شیء و لا تتداوی به أفضل من الرطب، قال اللّه عزّ و جلّ لمریم علیها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هُزِّی إِلَیْکِ بِجِذْعِ النَّخْلَةِ تُساقِطْ عَلَیْکِ رُطَباً جَنِیًّا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فَکُلِی وَ اشْرَبِی وَ قَرِّی عَیْناً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Style w:val="FootnoteAnchor"/>
          <w:rtl w:val="true"/>
        </w:rPr>
        <w:footnoteReference w:id="3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معناها غیرها</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رواه صالح بن عقبة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أطعموا البرنی نساءکم فی نفاسهنّ تحلم أولادکم</w:t>
      </w:r>
      <w:r>
        <w:rPr>
          <w:rFonts w:eastAsia="IRNazanin" w:cs="IRNazanin"/>
          <w:color w:val="111111"/>
          <w:sz w:val="28"/>
          <w:szCs w:val="28"/>
          <w:rtl w:val="true"/>
          <w:lang w:bidi="fa-IR"/>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حدیث آخر لأمیر المؤمنین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تمراتکم البرنی، فأطعموا نساءکم فی نفاسهنّ یخرج أولادکم حُلماء</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 رحمه الله فی ذیل 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المراد بنفاسهنّ قرب نفاسهن قبل الولادة، أو محمول علی ما إذا أرضعن أولادهنَّ، و الأخیر أنسب بقصّة مریم 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روی عن رسول اللّه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امرأةٍ حاملةٍ أکلت البطّیخ بالجبن إلاّ یکون مولودها حسن الوجه و الخلق</w:t>
      </w:r>
      <w:r>
        <w:rPr>
          <w:rFonts w:eastAsia="IRNazanin" w:cs="IRNazanin"/>
          <w:color w:val="111111"/>
          <w:sz w:val="28"/>
          <w:szCs w:val="28"/>
          <w:rtl w:val="true"/>
          <w:lang w:bidi="fa-IR"/>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روی أبو العباس المستغفری فی طبّ النبیّ عنه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اسقوا نساءکم الحوامل اللبان، فإنّها تزید فی عقل الصّبی</w:t>
      </w:r>
      <w:r>
        <w:rPr>
          <w:rFonts w:eastAsia="IRNazanin" w:cs="IRNazanin"/>
          <w:color w:val="111111"/>
          <w:sz w:val="28"/>
          <w:szCs w:val="28"/>
          <w:rtl w:val="true"/>
          <w:lang w:bidi="fa-IR"/>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رواه أبی زیاد، عن الحسن بن علی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bookmarkStart w:id="163" w:name="pg11752_146119"/>
    </w:p>
    <w:p>
      <w:pPr>
        <w:pStyle w:val="BookText"/>
        <w:rPr/>
      </w:pPr>
      <w:bookmarkEnd w:id="1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أطعمُوا حبالاکم اللبان، فإنَّ الصبیَّ إذا غذی فی بطن امّه باللبان اشتدّ قلبه و زید فی عقله، فإن یک ذکراً کان شجاعاً، و إن ولدت أُنثی عظمت عجیزتُها فتحظی عند زوجها</w:t>
      </w:r>
      <w:r>
        <w:rPr>
          <w:rFonts w:eastAsia="IRNazanin" w:cs="IRNazanin"/>
          <w:color w:val="111111"/>
          <w:sz w:val="28"/>
          <w:szCs w:val="28"/>
          <w:rtl w:val="true"/>
          <w:lang w:bidi="fa-IR"/>
        </w:rPr>
        <w:t>»</w:t>
      </w:r>
      <w:r>
        <w:rPr>
          <w:rStyle w:val="FootnoteAnchor"/>
          <w:rtl w:val="true"/>
        </w:rPr>
        <w:footnoteReference w:id="377"/>
      </w:r>
      <w:r>
        <w:rPr>
          <w:rFonts w:ascii="IRNazanin" w:hAnsi="IRNazanin" w:eastAsia="IRNazanin"/>
          <w:color w:val="111111"/>
          <w:sz w:val="28"/>
          <w:sz w:val="28"/>
          <w:szCs w:val="28"/>
          <w:rtl w:val="true"/>
          <w:lang w:bidi="fa-IR"/>
        </w:rPr>
        <w:t>و بهذا المضمون ورد عن الرضا علیه السلام أیضاً</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روی عن طریق العامّة أیضاً أنّ النبیّ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أطعمُوا حبالاکم اللبان یخرج الغلام شجاعاً ذکیّاً، و إن کانت جاریةً حسّنها و عظم عجیزتها</w:t>
      </w:r>
      <w:r>
        <w:rPr>
          <w:rFonts w:eastAsia="IRNazanin" w:cs="IRNazanin"/>
          <w:color w:val="111111"/>
          <w:sz w:val="28"/>
          <w:szCs w:val="28"/>
          <w:rtl w:val="true"/>
          <w:lang w:bidi="fa-IR"/>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أطعموا نساءکم فی نفاسهنَّ التمر، فإنّه من کان طعامها فی نفاسها التمر خرج ولدُها ولداً حلیماً، فإنّه کان طعام مریم حیث ولدت عیسی علیه السلام، و لو علم اللّه طعاماً هو خیر لها من التمر لأطعمها إیّاه</w:t>
      </w:r>
      <w:r>
        <w:rPr>
          <w:rFonts w:eastAsia="IRNazanin" w:cs="IRNazanin"/>
          <w:color w:val="111111"/>
          <w:sz w:val="28"/>
          <w:szCs w:val="28"/>
          <w:rtl w:val="true"/>
          <w:lang w:bidi="fa-IR"/>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أطعمُوا نساءکم اللوز</w:t>
      </w:r>
      <w:r>
        <w:rPr>
          <w:rFonts w:eastAsia="IRNazanin" w:cs="IRNazanin"/>
          <w:color w:val="111111"/>
          <w:sz w:val="28"/>
          <w:szCs w:val="28"/>
          <w:rtl w:val="true"/>
          <w:lang w:bidi="fa-IR"/>
        </w:rPr>
        <w:t>»</w:t>
      </w:r>
      <w:r>
        <w:rPr>
          <w:rStyle w:val="FootnoteAnchor"/>
          <w:rtl w:val="true"/>
        </w:rPr>
        <w:footnoteReference w:id="380"/>
      </w:r>
      <w:r>
        <w:rPr>
          <w:rFonts w:ascii="IRNazanin" w:hAnsi="IRNazanin" w:eastAsia="IRNazanin"/>
          <w:color w:val="111111"/>
          <w:sz w:val="28"/>
          <w:sz w:val="28"/>
          <w:szCs w:val="28"/>
          <w:rtl w:val="true"/>
          <w:lang w:bidi="fa-IR"/>
        </w:rPr>
        <w:t>و فی حدیث آخر السفرجل</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4"/>
        <w:numPr>
          <w:ilvl w:val="3"/>
          <w:numId w:val="1"/>
        </w:numPr>
        <w:rPr/>
      </w:pPr>
      <w:bookmarkStart w:id="164" w:name="__RefHeading___Toc9423898_73709187"/>
      <w:bookmarkStart w:id="165" w:name="_Toc63"/>
      <w:bookmarkEnd w:id="164"/>
      <w:r>
        <w:rPr>
          <w:rtl w:val="true"/>
        </w:rPr>
        <w:t>المبحث الثانی</w:t>
      </w:r>
      <w:r>
        <w:rPr>
          <w:rtl w:val="true"/>
        </w:rPr>
        <w:t xml:space="preserve">: </w:t>
      </w:r>
      <w:r>
        <w:rPr>
          <w:rtl w:val="true"/>
        </w:rPr>
        <w:t>اضطرار الحامل إلی أکل المحرّم</w:t>
      </w:r>
      <w:bookmarkEnd w:id="165"/>
    </w:p>
    <w:p>
      <w:pPr>
        <w:pStyle w:val="BookText"/>
        <w:rPr/>
      </w:pPr>
      <w:r>
        <w:rPr>
          <w:rFonts w:ascii="IRNazanin" w:hAnsi="IRNazanin" w:eastAsia="IRNazanin"/>
          <w:color w:val="111111"/>
          <w:sz w:val="28"/>
          <w:sz w:val="28"/>
          <w:szCs w:val="28"/>
          <w:rtl w:val="true"/>
          <w:lang w:bidi="fa-IR"/>
        </w:rPr>
        <w:t>إذا خافت الحامل علی الجنین، و اضطرّت أن تتناول المحرّم بحیث إن لم تتناوله لتلف الحمل، و یکون التلف مستنداً إلی الأُمّ، فما وظیفة الحامل؟</w:t>
      </w:r>
    </w:p>
    <w:p>
      <w:pPr>
        <w:pStyle w:val="BookText"/>
        <w:rPr/>
      </w:pPr>
      <w:r>
        <w:rPr>
          <w:rFonts w:ascii="IRNazanin" w:hAnsi="IRNazanin" w:eastAsia="IRNazanin"/>
          <w:color w:val="111111"/>
          <w:sz w:val="28"/>
          <w:sz w:val="28"/>
          <w:szCs w:val="28"/>
          <w:rtl w:val="true"/>
          <w:lang w:bidi="fa-IR"/>
        </w:rPr>
        <w:t>یستفاد من کلمات الفقهاء بأنّه لا خلاف بینهم فی جواز أکل المحرّم فی هذه الصورة</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رحمه الله فی الخلاف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اضطرّ إلی أکل المیتة یجب علیه أکلُها، و لا یجوز الامتناع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علمناه ضرورةً من وجوب دفع المضار عن النفس، فإذا کان هذا مباحاً فی هذا الوقت و به یدفع الضرر العظیم من نفسه وجب علیه تناوله</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و قال فی کشف اللثام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المضطرّ و هو کلّ من یخاف التلف علی نفسه أو غیره من محترم کالحامل تخاف علی الجنین و المرضع علی الطفل لو لم یتناول کان التلف لنفس عدم التناول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فالأقرب أنّه مضطرّ؛ لصدق الاضطرار علیه عرفاً، و نفی الحرج فی الدین و الضرر</w:t>
      </w:r>
      <w:r>
        <w:rPr>
          <w:rFonts w:eastAsia="IRNazanin" w:cs="IRNazanin"/>
          <w:color w:val="111111"/>
          <w:sz w:val="28"/>
          <w:szCs w:val="28"/>
          <w:rtl w:val="true"/>
          <w:lang w:bidi="fa-IR"/>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اختاره فی المبسوط‌</w:t>
      </w:r>
      <w:r>
        <w:rPr>
          <w:rStyle w:val="FootnoteAnchor"/>
          <w:rtl w:val="true"/>
        </w:rPr>
        <w:footnoteReference w:id="383"/>
      </w:r>
      <w:r>
        <w:rPr>
          <w:rFonts w:ascii="IRNazanin" w:hAnsi="IRNazanin" w:eastAsia="IRNazanin"/>
          <w:color w:val="111111"/>
          <w:sz w:val="28"/>
          <w:sz w:val="28"/>
          <w:szCs w:val="28"/>
          <w:rtl w:val="true"/>
          <w:lang w:bidi="fa-IR"/>
        </w:rPr>
        <w:t>و الشرائع</w:t>
      </w:r>
      <w:r>
        <w:rPr>
          <w:rStyle w:val="FootnoteAnchor"/>
          <w:rtl w:val="true"/>
        </w:rPr>
        <w:footnoteReference w:id="384"/>
      </w:r>
      <w:r>
        <w:rPr>
          <w:rFonts w:ascii="Amiri" w:hAnsi="Amiri" w:eastAsia="Amiri" w:cs="Amiri"/>
          <w:color w:val="111111"/>
          <w:sz w:val="28"/>
          <w:sz w:val="28"/>
          <w:szCs w:val="28"/>
          <w:rtl w:val="true"/>
          <w:lang w:bidi="ar-SA"/>
        </w:rPr>
        <w:t>و الروضة</w:t>
      </w:r>
      <w:r>
        <w:rPr>
          <w:rStyle w:val="FootnoteAnchor"/>
          <w:rtl w:val="true"/>
        </w:rPr>
        <w:footnoteReference w:id="385"/>
      </w:r>
      <w:r>
        <w:rPr>
          <w:rFonts w:ascii="IRNazanin" w:hAnsi="IRNazanin" w:eastAsia="IRNazanin"/>
          <w:color w:val="111111"/>
          <w:sz w:val="28"/>
          <w:sz w:val="28"/>
          <w:szCs w:val="28"/>
          <w:rtl w:val="true"/>
          <w:lang w:bidi="fa-IR"/>
        </w:rPr>
        <w:t>و المسالک</w:t>
      </w:r>
      <w:r>
        <w:rPr>
          <w:rStyle w:val="FootnoteAnchor"/>
          <w:rtl w:val="true"/>
        </w:rPr>
        <w:footnoteReference w:id="386"/>
      </w:r>
      <w:r>
        <w:rPr>
          <w:rFonts w:ascii="IRNazanin" w:hAnsi="IRNazanin" w:eastAsia="IRNazanin"/>
          <w:color w:val="111111"/>
          <w:sz w:val="28"/>
          <w:sz w:val="28"/>
          <w:szCs w:val="28"/>
          <w:rtl w:val="true"/>
          <w:lang w:bidi="fa-IR"/>
        </w:rPr>
        <w:t>و الجواهر</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و تحریر الوسیلة</w:t>
      </w:r>
      <w:r>
        <w:rPr>
          <w:rStyle w:val="FootnoteAnchor"/>
          <w:rtl w:val="true"/>
        </w:rPr>
        <w:footnoteReference w:id="388"/>
      </w: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الاستدلال علی هذا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حَرَّمَ عَلَیْکُمُ الْمَیْتَةَ وَ الدَّمَ وَ لَحْمَ الْخِنْزِیرِ وَ ما أُهِلَّ بِهِ لِغَیْرِ اللّهِ فَمَنِ اضْطُرَّ غَیْرَ باغٍ وَ لا عادٍ فَلا إِثْمَ عَلَیْهِ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لَکُمْ أَلاّ تَأْکُلُوا مِمّا ذُکِرَ اسْمُ اللّهِ عَلَیْهِ وَ قَدْ فَصَّلَ لَکُمْ ما حَرَّمَ عَلَیْکُمْ إِلاّ مَا اضْطُرِرْتُمْ إِلَیْهِ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فإطلاق الآیتین یشمل المورد و یدلّ علی جواز أکل المحرّم سواء کان الاضطرار لنفس المضطرّ أو نفسٍ محترمةٍ غیره، کالحامل التی تخاف علی الجنین، ففی الظروف الاستثنائیة التی یضطرّ فیها المکلّف إلی تناول المحرّم؛ لکی ینقذ به حیاته أو حیاة نفسٍ محترمةٍ من الهلاک فإنّه یباح له أن یتناول هذا القدر من 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أبی بصیر، عن أبی عبد اللّه علیه السلام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لیس شیء ممّا حرّم اللّه إلاّ و قد أحلّه لمن اضطرّ إلیه</w:t>
      </w:r>
      <w:r>
        <w:rPr>
          <w:rFonts w:eastAsia="IRNazanin" w:cs="IRNazanin"/>
          <w:color w:val="111111"/>
          <w:sz w:val="28"/>
          <w:szCs w:val="28"/>
          <w:rtl w:val="true"/>
          <w:lang w:bidi="fa-IR"/>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یؤیّده مرسلة الصدوق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اضطرّ إلی المیتة و الدَّم و لحم الخنزیر فلم یأکل شیئاً من ذلک حتّی یمُوت فهو کافر</w:t>
      </w:r>
      <w:r>
        <w:rPr>
          <w:rFonts w:eastAsia="IRNazanin" w:cs="IRNazanin"/>
          <w:color w:val="111111"/>
          <w:sz w:val="28"/>
          <w:szCs w:val="28"/>
          <w:rtl w:val="true"/>
          <w:lang w:bidi="fa-IR"/>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روایات أخری مثل حدیث الرفع</w:t>
      </w:r>
      <w:r>
        <w:rPr>
          <w:rStyle w:val="FootnoteAnchor"/>
          <w:rtl w:val="true"/>
        </w:rPr>
        <w:footnoteReference w:id="391"/>
      </w:r>
      <w:r>
        <w:rPr>
          <w:rFonts w:ascii="IRNazanin" w:hAnsi="IRNazanin" w:eastAsia="IRNazanin"/>
          <w:color w:val="111111"/>
          <w:sz w:val="28"/>
          <w:sz w:val="28"/>
          <w:szCs w:val="28"/>
          <w:rtl w:val="true"/>
          <w:lang w:bidi="fa-IR"/>
        </w:rPr>
        <w:t>و غیرها التی لم نذکرها اختصاراً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نفی الضرر و الضرار</w:t>
      </w:r>
      <w:r>
        <w:rPr>
          <w:rStyle w:val="FootnoteAnchor"/>
          <w:rtl w:val="true"/>
        </w:rPr>
        <w:footnoteReference w:id="392"/>
      </w:r>
      <w:r>
        <w:rPr>
          <w:rFonts w:ascii="IRNazanin" w:hAnsi="IRNazanin" w:eastAsia="IRNazanin"/>
          <w:color w:val="111111"/>
          <w:sz w:val="28"/>
          <w:sz w:val="28"/>
          <w:szCs w:val="28"/>
          <w:rtl w:val="true"/>
          <w:lang w:bidi="fa-IR"/>
        </w:rPr>
        <w:t>، و نفی الحرج</w:t>
      </w:r>
      <w:r>
        <w:rPr>
          <w:rStyle w:val="FootnoteAnchor"/>
          <w:rtl w:val="true"/>
        </w:rPr>
        <w:footnoteReference w:id="393"/>
      </w:r>
      <w:r>
        <w:rPr>
          <w:rFonts w:ascii="IRNazanin" w:hAnsi="IRNazanin" w:eastAsia="IRNazanin"/>
          <w:color w:val="111111"/>
          <w:sz w:val="28"/>
          <w:sz w:val="28"/>
          <w:szCs w:val="28"/>
          <w:rtl w:val="true"/>
          <w:lang w:bidi="fa-IR"/>
        </w:rPr>
        <w:t>، و نفی العسر و إرادة الیُسر</w:t>
      </w:r>
      <w:r>
        <w:rPr>
          <w:rStyle w:val="FootnoteAnchor"/>
          <w:rtl w:val="true"/>
        </w:rPr>
        <w:footnoteReference w:id="394"/>
      </w:r>
      <w:r>
        <w:rPr>
          <w:rFonts w:ascii="Amiri" w:hAnsi="Amiri" w:eastAsia="Amiri" w:cs="Amiri"/>
          <w:color w:val="111111"/>
          <w:sz w:val="28"/>
          <w:sz w:val="28"/>
          <w:szCs w:val="28"/>
          <w:rtl w:val="true"/>
          <w:lang w:bidi="ar-SA"/>
        </w:rPr>
        <w:t>و سهولة الملّة و سماحتها</w:t>
      </w:r>
      <w:r>
        <w:rPr>
          <w:rStyle w:val="FootnoteAnchor"/>
          <w:rtl w:val="true"/>
        </w:rPr>
        <w:footnoteReference w:id="395"/>
      </w:r>
      <w:r>
        <w:rPr>
          <w:rFonts w:ascii="IRNazanin" w:hAnsi="IRNazanin" w:eastAsia="IRNazanin"/>
          <w:color w:val="111111"/>
          <w:sz w:val="28"/>
          <w:sz w:val="28"/>
          <w:szCs w:val="28"/>
          <w:rtl w:val="true"/>
          <w:lang w:bidi="fa-IR"/>
        </w:rPr>
        <w:t xml:space="preserve">، و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غلب اللّه علیه فهو أولی بالعذر</w:t>
      </w:r>
      <w:r>
        <w:rPr>
          <w:rFonts w:eastAsia="IRNazanin" w:cs="IRNazanin"/>
          <w:color w:val="111111"/>
          <w:sz w:val="28"/>
          <w:szCs w:val="28"/>
          <w:rtl w:val="true"/>
          <w:lang w:bidi="fa-IR"/>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فالروایات المذکورة و غیرها و القواعد التی أشرنا إلیها تدلّ علی جواز أکل المحرّم فی حال الاضطرار، بل علی وجوب التناول إذا خافت الحامل علی نفسها أو علی جنینها التلف، و استند التلف إلی عدم التناول، کما أفتی به الشیخ فی الخلاف</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فانقدح بما ذکرنا أمران</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حرمة أکل الأطعمة و الأشربة المحرّمة فی حال الاضطرار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الأکل إن وقعت النفس فی معرض الهلاک، و یستفاد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إلی ما ذکرنا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أدلّة وجوب حفظ النفس المحترمة من الهلاک،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تَقْتُلُوا أَنْفُسَکُمْ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تَقْتُلُوا النَّفْسَ الَّتِی حَرَّمَ اللّهُ إِلاّ بِالْحَقِّ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هکذا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تَقْتُلُوا أَوْلادَکُمْ خَشْیَةَ إِمْلاقٍ نَحْنُ نَرْزُقُهُمْ وَ إِیّاکُمْ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غیرها من الآیات و الروایات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رأی أهل السنّة فی المسألة</w:t>
      </w:r>
    </w:p>
    <w:p>
      <w:pPr>
        <w:pStyle w:val="BookText"/>
        <w:rPr/>
      </w:pPr>
      <w:r>
        <w:rPr>
          <w:rFonts w:ascii="IRNazanin" w:hAnsi="IRNazanin" w:eastAsia="IRNazanin"/>
          <w:color w:val="111111"/>
          <w:sz w:val="28"/>
          <w:sz w:val="28"/>
          <w:szCs w:val="28"/>
          <w:rtl w:val="true"/>
          <w:lang w:bidi="fa-IR"/>
        </w:rPr>
        <w:t>المذاهب الأربعة من أهل السنّة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الحنفیّة، و المالکیّة، و الحنابلة، و الشافعیّة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یوافقونا فی هذه المسألة، قالوا بأنّ المضطر یجوز له أکل المیتة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قدامة من فقهاء الحنابلة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أجمع العلماء علی تحریم المیتة حال الاختیار، و علی إباحة الأکل منها فی الاضطرار، و کذلک سائر المحرّمات</w:t>
      </w:r>
      <w:r>
        <w:rPr>
          <w:rFonts w:eastAsia="IRNazanin" w:cs="IRNazanin"/>
          <w:color w:val="111111"/>
          <w:sz w:val="28"/>
          <w:szCs w:val="28"/>
          <w:rtl w:val="true"/>
          <w:lang w:bidi="fa-IR"/>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الکواکب الدرّیة فی الفقه المالکی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جاز للضرورة تناول ما سدّ الرمق من کُلّ محرّم میتة أو غیرها إلاّ الآدمی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میتتهُ سمّ فلا تزیل 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الضرورة هی حفظ النفوس من الهلاک أو شدّة الضرر، و الضرورات تبیح المحذورات</w:t>
      </w:r>
      <w:r>
        <w:rPr>
          <w:rFonts w:eastAsia="IRNazanin" w:cs="IRNazanin"/>
          <w:color w:val="111111"/>
          <w:sz w:val="28"/>
          <w:szCs w:val="28"/>
          <w:rtl w:val="true"/>
          <w:lang w:bidi="fa-IR"/>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بمثل ذلک قال الشافعیّة</w:t>
      </w:r>
      <w:r>
        <w:rPr>
          <w:rStyle w:val="FootnoteAnchor"/>
          <w:rtl w:val="true"/>
        </w:rPr>
        <w:footnoteReference w:id="400"/>
      </w:r>
      <w:r>
        <w:rPr>
          <w:rFonts w:ascii="Amiri" w:hAnsi="Amiri" w:eastAsia="Amiri" w:cs="Amiri"/>
          <w:color w:val="111111"/>
          <w:sz w:val="28"/>
          <w:sz w:val="28"/>
          <w:szCs w:val="28"/>
          <w:rtl w:val="true"/>
          <w:lang w:bidi="ar-SA"/>
        </w:rPr>
        <w:t>و الحنفیّة</w:t>
      </w:r>
      <w:r>
        <w:rPr>
          <w:rStyle w:val="FootnoteAnchor"/>
          <w:rtl w:val="true"/>
        </w:rPr>
        <w:footnoteReference w:id="401"/>
      </w:r>
      <w:bookmarkStart w:id="166" w:name="pg11752_146123"/>
    </w:p>
    <w:p>
      <w:pPr>
        <w:pStyle w:val="Heading3"/>
        <w:numPr>
          <w:ilvl w:val="2"/>
          <w:numId w:val="1"/>
        </w:numPr>
        <w:rPr/>
      </w:pPr>
      <w:bookmarkStart w:id="167" w:name="__RefHeading___Toc9423900_73709187"/>
      <w:bookmarkStart w:id="168" w:name="_Toc64"/>
      <w:bookmarkEnd w:id="166"/>
      <w:bookmarkEnd w:id="167"/>
      <w:r>
        <w:rPr>
          <w:rtl w:val="true"/>
        </w:rPr>
        <w:t>الفصل الخامس فی أحکام الحمل</w:t>
      </w:r>
      <w:bookmarkEnd w:id="168"/>
    </w:p>
    <w:p>
      <w:pPr>
        <w:pStyle w:val="Heading4"/>
        <w:numPr>
          <w:ilvl w:val="3"/>
          <w:numId w:val="1"/>
        </w:numPr>
        <w:rPr/>
      </w:pPr>
      <w:bookmarkStart w:id="169" w:name="__RefHeading___Toc9423902_73709187"/>
      <w:bookmarkStart w:id="170" w:name="_Toc65"/>
      <w:bookmarkEnd w:id="169"/>
      <w:r>
        <w:rPr>
          <w:rtl w:val="true"/>
        </w:rPr>
        <w:t>منهج البحث</w:t>
      </w:r>
      <w:r>
        <w:rPr>
          <w:rtl w:val="true"/>
        </w:rPr>
        <w:t>:</w:t>
      </w:r>
      <w:bookmarkEnd w:id="170"/>
    </w:p>
    <w:p>
      <w:pPr>
        <w:pStyle w:val="BookText"/>
        <w:rPr/>
      </w:pPr>
      <w:r>
        <w:rPr>
          <w:rFonts w:ascii="IRNazanin" w:hAnsi="IRNazanin" w:eastAsia="IRNazanin"/>
          <w:color w:val="111111"/>
          <w:sz w:val="28"/>
          <w:sz w:val="28"/>
          <w:szCs w:val="28"/>
          <w:rtl w:val="true"/>
          <w:lang w:bidi="fa-IR"/>
        </w:rPr>
        <w:t xml:space="preserve">إنّ الإسلام اهتمّ بحیاة الإنسان منذ خلقته فی أرحام الاُمّهات علی نحو العلقة و المضغة إلی أن یصیر شیخاً کبیراً ذا عمر طویل، و وضع له أحکاماً و هو جنین فی بطن امّه مثل إجهاض الحمل الذی سمّی الیوم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إسقاط الجنین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تزاحم حیاة الولد مع الاُمّ، و حیاة الحمل حین موت امّه أو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فعقدنا هذا الفصل للتحقیق و البحث عن هذه المسائل، و نذکر أوّلاً حکم تحدید النسل الذی هو من المباحث الفقهیّة المهمّة فی زماننا، و یشتمل علی مباحث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تحدید النسل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حکم إجهاض الحمل و إسقاط الجنین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تزاحم الحقّین، أی حقّ حیاة الولد مع 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حکم حیاة الحمل حین موت امّه</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موت الحمل و حیاة الاُمّ</w:t>
      </w:r>
      <w:r>
        <w:rPr>
          <w:rFonts w:eastAsia="IRNazanin" w:cs="IRNazanin"/>
          <w:color w:val="111111"/>
          <w:sz w:val="28"/>
          <w:szCs w:val="28"/>
          <w:rtl w:val="true"/>
          <w:lang w:bidi="fa-IR"/>
        </w:rPr>
        <w:t>.</w:t>
      </w:r>
      <w:bookmarkStart w:id="171" w:name="pg11752_146124"/>
    </w:p>
    <w:p>
      <w:pPr>
        <w:pStyle w:val="Heading4"/>
        <w:numPr>
          <w:ilvl w:val="3"/>
          <w:numId w:val="1"/>
        </w:numPr>
        <w:rPr/>
      </w:pPr>
      <w:bookmarkStart w:id="172" w:name="__RefHeading___Toc9423904_73709187"/>
      <w:bookmarkStart w:id="173" w:name="_Toc66"/>
      <w:bookmarkEnd w:id="171"/>
      <w:bookmarkEnd w:id="172"/>
      <w:r>
        <w:rPr>
          <w:rtl w:val="true"/>
        </w:rPr>
        <w:t>المبحث الأوّل</w:t>
      </w:r>
      <w:r>
        <w:rPr>
          <w:rtl w:val="true"/>
        </w:rPr>
        <w:t xml:space="preserve">: </w:t>
      </w:r>
      <w:r>
        <w:rPr>
          <w:rtl w:val="true"/>
        </w:rPr>
        <w:t>حکم تحدید النسل</w:t>
      </w:r>
      <w:bookmarkEnd w:id="173"/>
    </w:p>
    <w:p>
      <w:pPr>
        <w:pStyle w:val="Heading5"/>
        <w:numPr>
          <w:ilvl w:val="4"/>
          <w:numId w:val="1"/>
        </w:numPr>
        <w:rPr/>
      </w:pPr>
      <w:bookmarkStart w:id="174" w:name="__RefHeading___Toc9423906_73709187"/>
      <w:bookmarkStart w:id="175" w:name="_Toc67"/>
      <w:bookmarkEnd w:id="174"/>
      <w:r>
        <w:rPr>
          <w:rtl w:val="true"/>
        </w:rPr>
        <w:t>تمهید</w:t>
      </w:r>
      <w:bookmarkEnd w:id="175"/>
    </w:p>
    <w:p>
      <w:pPr>
        <w:pStyle w:val="BookText"/>
        <w:rPr/>
      </w:pPr>
      <w:r>
        <w:rPr>
          <w:rFonts w:ascii="IRNazanin" w:hAnsi="IRNazanin" w:eastAsia="IRNazanin"/>
          <w:color w:val="111111"/>
          <w:sz w:val="28"/>
          <w:sz w:val="28"/>
          <w:szCs w:val="28"/>
          <w:rtl w:val="true"/>
          <w:lang w:bidi="fa-IR"/>
        </w:rPr>
        <w:t xml:space="preserve">لا شکّ أنّ تکثیر النسل فی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قطع النظر عن الطوارئ راجح؛ لأنّه سبب لکثرة عدد المسلمین و ثقل الأرض بکلمة لا إله إلاّ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یظهر من القرآن الکریم أنّ کثرة الأولاد من نِعم اللّه تبارک و تعالی، ففی سورة نوح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یُرْسِلِ السَّماءَ عَلَیْکُمْ مِدْراراً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یُمْدِدْکُمْ بِأَمْوالٍ وَ بَنِینَ وَ یَجْعَلْ لَکُمْ جَنّاتٍ وَ یَجْعَلْ لَکُمْ أَنْهاراً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فقد جعل سبحانه و تعالی الإمداد بالأموال و البنین من نعم اللّه تعالی و من قبیل الغیث الهاطل و السحاب الماطر و الأنهار العظیمة و الجنّات الرائعة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کذا ما ورد فی قصّة بنی إسرائیل من أنّ اللّه تعالی مَنَّ علیهم بزیادة الأموال و البنین، فقال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أَمْدَدْناکُمْ بِأَمْوالٍ وَ بَنِینَ وَ جَعَلْناکُمْ أَکْثَرَ نَفِیراً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أَمَدَّکُمْ بِما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أَمَدَّکُمْ بِأَنْعامٍ وَ بَنِینَ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قد ورد فی الأحادیث ما یدلّ علی أنّ کثرة الأولاد مطلوبة للشرع، و هی علی طوائف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تدلّ علی استحباب تزویج المرأة الولود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صحیحة محمّد بن مسلم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تزوّجوا بکراً ولوداً، و لا تزوّجوا حسناء جمیلة عاقراً، فإنّی اباهی بکم الأمم</w:t>
      </w:r>
    </w:p>
    <w:p>
      <w:pPr>
        <w:pStyle w:val="BookText"/>
        <w:rPr/>
      </w:pPr>
      <w:r>
        <w:rPr>
          <w:rFonts w:ascii="IRNazanin" w:hAnsi="IRNazanin" w:eastAsia="IRNazanin"/>
          <w:color w:val="111111"/>
          <w:sz w:val="28"/>
          <w:sz w:val="28"/>
          <w:szCs w:val="28"/>
          <w:rtl w:val="true"/>
          <w:lang w:bidi="fa-IR"/>
        </w:rPr>
        <w:t>یوم القیامة</w:t>
      </w:r>
      <w:r>
        <w:rPr>
          <w:rFonts w:eastAsia="IRNazanin" w:cs="IRNazanin"/>
          <w:color w:val="111111"/>
          <w:sz w:val="28"/>
          <w:szCs w:val="28"/>
          <w:rtl w:val="true"/>
          <w:lang w:bidi="fa-IR"/>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صحیحة عبد اللّه بن سنان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رجل إلی رسول اللّه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إنّ لی ابنة عمّ قد رضیت جمالها و حسنها و دینها و لکنّها عاقر، فقال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تزوّجها أنّ یوسف بن یعقوب لقی أخاه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استطعت أن تکون لک ذرّیة تثقل الأرض بالتسبیح فافعل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رجل من الغد إلی النبیّ صلی الله علیه و آله و سلم فقال له مثل ذلک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سوءاء ولوداً فإنّی مکاثر بکم الأُمم یوم القیامة</w:t>
      </w:r>
      <w:r>
        <w:rPr>
          <w:rFonts w:eastAsia="IRNazanin" w:cs="IRNazanin"/>
          <w:color w:val="111111"/>
          <w:sz w:val="28"/>
          <w:szCs w:val="28"/>
          <w:rtl w:val="true"/>
          <w:lang w:bidi="fa-IR"/>
        </w:rPr>
        <w:t>»</w:t>
      </w:r>
      <w:r>
        <w:rPr>
          <w:rStyle w:val="FootnoteAnchor"/>
          <w:rtl w:val="true"/>
        </w:rPr>
        <w:footnoteReference w:id="4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السوءاء؟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حثّت علی التزویج لکثرة الأولاد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صحیحة محمّد بن مسلم أو غیره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تزوّجوا فإنّی مکاثر بکم الأمم غداً فی القیامة حتّی السقط لیجیء محبنطئاً</w:t>
      </w:r>
      <w:r>
        <w:rPr>
          <w:rStyle w:val="FootnoteAnchor"/>
          <w:rtl w:val="true"/>
        </w:rPr>
        <w:footnoteReference w:id="404"/>
      </w:r>
      <w:r>
        <w:rPr>
          <w:rFonts w:ascii="IRNazanin" w:hAnsi="IRNazanin" w:eastAsia="IRNazanin"/>
          <w:color w:val="111111"/>
          <w:sz w:val="28"/>
          <w:sz w:val="28"/>
          <w:szCs w:val="28"/>
          <w:rtl w:val="true"/>
          <w:lang w:bidi="fa-IR"/>
        </w:rPr>
        <w:t>علی باب الجنّة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حتّی یدخل أبوای قبلی</w:t>
      </w:r>
      <w:r>
        <w:rPr>
          <w:rFonts w:eastAsia="IRNazanin" w:cs="IRNazanin"/>
          <w:color w:val="111111"/>
          <w:sz w:val="28"/>
          <w:szCs w:val="28"/>
          <w:rtl w:val="true"/>
          <w:lang w:bidi="fa-IR"/>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صحیحة أخری له</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أکثروا الولد أکاثر بکم الأُمم غداً</w:t>
      </w:r>
      <w:r>
        <w:rPr>
          <w:rFonts w:eastAsia="IRNazanin" w:cs="IRNazanin"/>
          <w:color w:val="111111"/>
          <w:sz w:val="28"/>
          <w:szCs w:val="28"/>
          <w:rtl w:val="true"/>
          <w:lang w:bidi="fa-IR"/>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مرسلة ابن مسکان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سعادة الرجل أن</w:t>
      </w:r>
    </w:p>
    <w:p>
      <w:pPr>
        <w:pStyle w:val="BookText"/>
        <w:rPr/>
      </w:pPr>
      <w:r>
        <w:rPr>
          <w:rFonts w:ascii="Amiri" w:hAnsi="Amiri" w:eastAsia="Amiri" w:cs="Amiri"/>
          <w:color w:val="111111"/>
          <w:sz w:val="28"/>
          <w:sz w:val="28"/>
          <w:szCs w:val="28"/>
          <w:rtl w:val="true"/>
          <w:lang w:bidi="ar-SA"/>
        </w:rPr>
        <w:t>یکون له وُلْد یستعین بهم</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رواه فی الکافی عن بکر بن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اجتنبت طلب الولد منذ خمسین سنین، و ذلک أنّ أهلی کرهت ذلک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یشتدّ علیَّ تربیتهم لقلّة الشیء فما تری؟ فکتب علیه السلام إلیَّ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اطلب الولد فإنّ اللّه عزّ و جلّ یرزقهم</w:t>
      </w:r>
      <w:r>
        <w:rPr>
          <w:rFonts w:eastAsia="IRNazanin" w:cs="IRNazanin"/>
          <w:color w:val="111111"/>
          <w:sz w:val="28"/>
          <w:szCs w:val="28"/>
          <w:rtl w:val="true"/>
          <w:lang w:bidi="fa-IR"/>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فی الخصال فی حدیث الأربعمائة عن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تزوّجوا فإنّ رسول اللّه صلی الله علیه و آله و سلم کثیراً 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یحبّ أن یتبع سنّتی فلیتزوّج فإنّ من سنّتی التزویج، و اطلبوا الولد فإنّی أُکاثر بکم الاُمم غداً</w:t>
      </w:r>
      <w:r>
        <w:rPr>
          <w:rFonts w:eastAsia="IRNazanin" w:cs="IRNazanin"/>
          <w:color w:val="111111"/>
          <w:sz w:val="28"/>
          <w:szCs w:val="28"/>
          <w:rtl w:val="true"/>
          <w:lang w:bidi="fa-IR"/>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محبوبیّة تکثیر الولد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تدلّ علی کراهة العزل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صحیحة محمّد بن مسلم عن أحدهما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العزل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الأَمة فلا بأس و أمّا الحرّة فإنّی أکره ذلک إلاّ أن یشترط علیها حین یتزوّجها</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فإنّها تدلّ علی أنّ الإنزال یلزم أن یکون فی الرحم، و هو یستلزم الحمل و ازدیاد النسل إلاّ أنّه یحتمل أن لا تکون بصدد بیان ذلک، بل هی فی مقام تبیین حقوق المرأة فی المجامعة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رفع کراهة العزل مع الشرط حین العقد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یلاحظ علی الآیات و الروایات المتقدِّمة بأنّها واردة فی رجحان کثرة الأولاد و استحبابها بعناوینها الأوّلیة مع قطع النظر عن الطوارئ التی قد تعرض فی المجتمع أو فی الفرد و الأسرة</w:t>
      </w:r>
      <w:r>
        <w:rPr>
          <w:rFonts w:eastAsia="IRNazanin" w:cs="IRNazanin"/>
          <w:color w:val="111111"/>
          <w:sz w:val="28"/>
          <w:szCs w:val="28"/>
          <w:rtl w:val="true"/>
          <w:lang w:bidi="fa-IR"/>
        </w:rPr>
        <w:t>.</w:t>
      </w:r>
      <w:bookmarkStart w:id="176" w:name="pg11752_146127"/>
    </w:p>
    <w:p>
      <w:pPr>
        <w:pStyle w:val="BookText"/>
        <w:rPr/>
      </w:pPr>
      <w:bookmarkEnd w:id="176"/>
      <w:r>
        <w:rPr>
          <w:rFonts w:ascii="IRNazanin" w:hAnsi="IRNazanin" w:eastAsia="IRNazanin"/>
          <w:color w:val="111111"/>
          <w:sz w:val="28"/>
          <w:sz w:val="28"/>
          <w:szCs w:val="28"/>
          <w:rtl w:val="true"/>
          <w:lang w:bidi="fa-IR"/>
        </w:rPr>
        <w:t>و أمّا لو ثبت بالضرورة أو الطرق القطعیّة أنّ کثرة النسل و تزاید السکّان فی بعض الأزمنة توجب الضعف و الوهن و الفقر و الجهل، بل تکون سبباً للتوانی و الفشل و المشاکل الاجتماعیة، فحینئذٍ تُرفع الید عن الغرض الأصلی بمقدار الضرورة لا بنحوٍ دائمٍ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بتعبیر آخر قام هناک ملاک شرعی مزاحم فیقدّم الأهمّ و یهتمّ بتحدید النسل، بمعنی التقلیل فی الإنجاب و التوالد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فیلزم أن نبحث فی حکم تحدید النسل و المنع عن الحمل علی النحو الدائم و المؤقّت</w:t>
      </w:r>
      <w:r>
        <w:rPr>
          <w:rFonts w:eastAsia="IRNazanin" w:cs="IRNazanin"/>
          <w:color w:val="111111"/>
          <w:sz w:val="28"/>
          <w:szCs w:val="28"/>
          <w:rtl w:val="true"/>
          <w:lang w:bidi="fa-IR"/>
        </w:rPr>
        <w:t>.</w:t>
      </w:r>
    </w:p>
    <w:p>
      <w:pPr>
        <w:pStyle w:val="Heading5"/>
        <w:numPr>
          <w:ilvl w:val="4"/>
          <w:numId w:val="1"/>
        </w:numPr>
        <w:rPr/>
      </w:pPr>
      <w:bookmarkStart w:id="177" w:name="__RefHeading___Toc9423908_73709187"/>
      <w:bookmarkStart w:id="178" w:name="_Toc68"/>
      <w:bookmarkEnd w:id="177"/>
      <w:r>
        <w:rPr>
          <w:rtl w:val="true"/>
        </w:rPr>
        <w:t>عدم جواز منع الحمل و التعقیم الدائم</w:t>
      </w:r>
      <w:bookmarkEnd w:id="178"/>
    </w:p>
    <w:p>
      <w:pPr>
        <w:pStyle w:val="Heading6"/>
        <w:numPr>
          <w:ilvl w:val="5"/>
          <w:numId w:val="1"/>
        </w:numPr>
        <w:rPr/>
      </w:pPr>
      <w:bookmarkStart w:id="179" w:name="__RefHeading___Toc9423910_73709187"/>
      <w:bookmarkStart w:id="180" w:name="_Toc69"/>
      <w:bookmarkEnd w:id="179"/>
      <w:r>
        <w:rPr>
          <w:rtl w:val="true"/>
        </w:rPr>
        <w:t>اشارة</w:t>
      </w:r>
      <w:bookmarkEnd w:id="180"/>
    </w:p>
    <w:p>
      <w:pPr>
        <w:pStyle w:val="BookText"/>
        <w:rPr/>
      </w:pPr>
      <w:r>
        <w:rPr>
          <w:rFonts w:ascii="IRNazanin" w:hAnsi="IRNazanin" w:eastAsia="IRNazanin"/>
          <w:color w:val="111111"/>
          <w:sz w:val="28"/>
          <w:sz w:val="28"/>
          <w:szCs w:val="28"/>
          <w:rtl w:val="true"/>
          <w:lang w:bidi="fa-IR"/>
        </w:rPr>
        <w:t xml:space="preserve">إنّ الطرق و الوسائل المعدّة لتحدید الإنجاب و التوالد علی قسمین؛ لأنّ هذه الوسائل إمّا یکون أثرها علی نحو دائم، و هو الذی یسمّی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التعقیم الدائم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یکون مؤقّتاً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التعقیم لغةً مأخوذ من العقم، و أصل العقم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 و الیبس المانع من قبول الأثر، و المرأة عقیم و الرجل عقیم أی لا یولد لهما، و التعقیم فعل العقم و إحداثه</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المقصود من منع الحمل الدائم هو استئصال القدرة علی الإنجاب فی المرأة، و ذلک بقطع قناتی الرحم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ربطهما أو الاثنین معاً</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التناسل إمّا بالإخصاء و إمّا بتناول مادّة طبّیة تعطّل القدرة</w:t>
      </w:r>
    </w:p>
    <w:p>
      <w:pPr>
        <w:pStyle w:val="BookText"/>
        <w:rPr/>
      </w:pPr>
      <w:r>
        <w:rPr>
          <w:rFonts w:ascii="IRNazanin" w:hAnsi="IRNazanin" w:eastAsia="IRNazanin"/>
          <w:color w:val="111111"/>
          <w:sz w:val="28"/>
          <w:sz w:val="28"/>
          <w:szCs w:val="28"/>
          <w:rtl w:val="true"/>
          <w:lang w:bidi="fa-IR"/>
        </w:rPr>
        <w:t>علی الإنسان، و إمّا بعملیة جراحیة خاصّة للأنثی تمنع من القدرة علی الإنجاب</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 لا یجوز استعمال شیء من الوسائل التی من شأنها القضاء علی النسل قضاءً مبرماً دائماً، بحیث یوجب عدم تمکّن الزوجین من الإنجاب بعد ذلک أبداً علی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الفقیه السیّد الخوئی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للمرأة أو الرجل تعقیم نفسیهما بحیث لا یتمکّنان بعد ذلک من الإنجاب أبداً علی الأحوط</w:t>
      </w:r>
      <w:r>
        <w:rPr>
          <w:rFonts w:eastAsia="IRNazanin" w:cs="IRNazanin"/>
          <w:color w:val="111111"/>
          <w:sz w:val="28"/>
          <w:szCs w:val="28"/>
          <w:rtl w:val="true"/>
          <w:lang w:bidi="fa-IR"/>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الإمام الخمینی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یحرم تناول کلّ ما یضرّ بالبدن سواء کان موجباً للهلاک، کشرب السموم القاتلة، و شرب الحامل ما یوجب سقط الجنین، أو سبباً لانحراف المزاج أو لتعطیل بعض الحواس الظاهرة أو الباطنة أو لفقد بعض القوی، کالرجل یشرب ما یقطع به قوّة الباه و التناسل، أو المرأة تشرب ما به تصیر عقیماً لا تلد</w:t>
      </w:r>
      <w:r>
        <w:rPr>
          <w:rFonts w:eastAsia="IRNazanin" w:cs="IRNazanin"/>
          <w:color w:val="111111"/>
          <w:sz w:val="28"/>
          <w:szCs w:val="28"/>
          <w:rtl w:val="true"/>
          <w:lang w:bidi="fa-IR"/>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سماحة المرجع الأعلی الشیخ الفقیه اللنکرانی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للإنسان تعقیم نفسه؛ لأنّ العقم نقص</w:t>
      </w:r>
      <w:r>
        <w:rPr>
          <w:rFonts w:eastAsia="IRNazanin" w:cs="IRNazanin"/>
          <w:color w:val="111111"/>
          <w:sz w:val="28"/>
          <w:szCs w:val="28"/>
          <w:rtl w:val="true"/>
          <w:lang w:bidi="fa-IR"/>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بعض آخر من فقهاء العصر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اتّباع کلّ الوسائل لمنع انعقاد النطفة، علی أن لا تکون مضرّة أو موجبة لنقص الرجل أو المرأة، کأن یفقد الرجل أو المرأة للأبد القابلیة علی الإخصاب، أمّا إذا استلزم النظر أو اللمس المحرّم فلا یجوز إلاّ عند الضرورة</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سدّ القنوات المنویّة عن الرجال و النساء موجباً للعقم</w:t>
      </w:r>
      <w:bookmarkStart w:id="181" w:name="pg11752_146129"/>
    </w:p>
    <w:p>
      <w:pPr>
        <w:pStyle w:val="BookText"/>
        <w:rPr/>
      </w:pPr>
      <w:bookmarkEnd w:id="181"/>
      <w:r>
        <w:rPr>
          <w:rFonts w:ascii="IRNazanin" w:hAnsi="IRNazanin" w:eastAsia="IRNazanin"/>
          <w:color w:val="111111"/>
          <w:sz w:val="28"/>
          <w:sz w:val="28"/>
          <w:szCs w:val="28"/>
          <w:rtl w:val="true"/>
          <w:lang w:bidi="fa-IR"/>
        </w:rPr>
        <w:t>الدائم ففیه إشکال</w:t>
      </w:r>
      <w:r>
        <w:rPr>
          <w:rFonts w:eastAsia="IRNazanin" w:cs="IRNazanin"/>
          <w:color w:val="111111"/>
          <w:sz w:val="28"/>
          <w:szCs w:val="28"/>
          <w:rtl w:val="true"/>
          <w:lang w:bidi="fa-IR"/>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قال السیّد الفقیه الگلبایگانی</w:t>
      </w:r>
      <w:r>
        <w:rPr>
          <w:rStyle w:val="FootnoteAnchor"/>
          <w:rtl w:val="true"/>
        </w:rPr>
        <w:footnoteReference w:id="418"/>
      </w:r>
      <w:r>
        <w:rPr>
          <w:rFonts w:ascii="IRNazanin" w:hAnsi="IRNazanin" w:eastAsia="IRNazanin"/>
          <w:color w:val="111111"/>
          <w:sz w:val="28"/>
          <w:sz w:val="28"/>
          <w:szCs w:val="28"/>
          <w:rtl w:val="true"/>
          <w:lang w:bidi="fa-IR"/>
        </w:rPr>
        <w:t>و غیرهم</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2" w:name="__RefHeading___Toc9423912_73709187"/>
      <w:bookmarkStart w:id="183" w:name="_Toc70"/>
      <w:bookmarkEnd w:id="182"/>
      <w:r>
        <w:rPr>
          <w:rtl w:val="true"/>
        </w:rPr>
        <w:t>أدلّة هذا الحکم</w:t>
      </w:r>
      <w:bookmarkEnd w:id="183"/>
    </w:p>
    <w:p>
      <w:pPr>
        <w:pStyle w:val="BookText"/>
        <w:rPr/>
      </w:pPr>
      <w:r>
        <w:rPr>
          <w:rFonts w:ascii="IRNazanin" w:hAnsi="IRNazanin" w:eastAsia="IRNazanin"/>
          <w:color w:val="111111"/>
          <w:sz w:val="28"/>
          <w:sz w:val="28"/>
          <w:szCs w:val="28"/>
          <w:rtl w:val="true"/>
          <w:lang w:bidi="fa-IR"/>
        </w:rPr>
        <w:t xml:space="preserve">عملیة التعقیم و المنع الدائم عن الحمل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أنّه مستلزم للنظر و اللمس المحرّم غالباً، و هو لا یجوز إلاّ عند الضرورة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إثبات تحریمه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تُلْقُوا بِأَیْدِیکُمْ إِلَی التَّهْلُکَةِ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وجه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صرّح اللغویّون بأنّ الهلاک و التهلکة بمعنی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لسان العرب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الهلاک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التهلکة کلّ شیء تصیر عاقبته إلی الهلاک</w:t>
      </w:r>
      <w:r>
        <w:rPr>
          <w:rFonts w:eastAsia="IRNazanin" w:cs="IRNazanin"/>
          <w:color w:val="111111"/>
          <w:sz w:val="28"/>
          <w:szCs w:val="28"/>
          <w:rtl w:val="true"/>
          <w:lang w:bidi="fa-IR"/>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العطب،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 الشیء أی عطب</w:t>
      </w:r>
      <w:r>
        <w:rPr>
          <w:rFonts w:eastAsia="IRNazanin" w:cs="IRNazanin"/>
          <w:color w:val="111111"/>
          <w:sz w:val="28"/>
          <w:szCs w:val="28"/>
          <w:rtl w:val="true"/>
          <w:lang w:bidi="fa-IR"/>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عطب عطباً أی هلک و فسد</w:t>
      </w:r>
      <w:r>
        <w:rPr>
          <w:rFonts w:eastAsia="IRNazanin" w:cs="IRNazanin"/>
          <w:color w:val="111111"/>
          <w:sz w:val="28"/>
          <w:szCs w:val="28"/>
          <w:rtl w:val="true"/>
          <w:lang w:bidi="fa-IR"/>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التبیان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التهلکة و الهلاک واحد، و أصل الهلاک الضیاع، و هو مصدر ضاع بحیث لا یدری أین هو</w:t>
      </w:r>
      <w:r>
        <w:rPr>
          <w:rFonts w:eastAsia="IRNazanin" w:cs="IRNazanin"/>
          <w:color w:val="111111"/>
          <w:sz w:val="28"/>
          <w:szCs w:val="28"/>
          <w:rtl w:val="true"/>
          <w:lang w:bidi="fa-IR"/>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المیزان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تُلْقُوا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کنایة عن النهی عن إبطال القوّة</w:t>
      </w:r>
    </w:p>
    <w:p>
      <w:pPr>
        <w:pStyle w:val="BookText"/>
        <w:rPr/>
      </w:pPr>
      <w:r>
        <w:rPr>
          <w:rFonts w:ascii="IRNazanin" w:hAnsi="IRNazanin" w:eastAsia="IRNazanin"/>
          <w:color w:val="111111"/>
          <w:sz w:val="28"/>
          <w:sz w:val="28"/>
          <w:szCs w:val="28"/>
          <w:rtl w:val="true"/>
          <w:lang w:bidi="fa-IR"/>
        </w:rPr>
        <w:t>و الاستطاعة و 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الکلام مطلق أُرید به النهی عن کلّ ما یوجب الهلاک من إفراط و تفریط</w:t>
      </w:r>
      <w:r>
        <w:rPr>
          <w:rFonts w:eastAsia="IRNazanin" w:cs="IRNazanin"/>
          <w:color w:val="111111"/>
          <w:sz w:val="28"/>
          <w:szCs w:val="28"/>
          <w:rtl w:val="true"/>
          <w:lang w:bidi="fa-IR"/>
        </w:rPr>
        <w:t>»</w:t>
      </w:r>
      <w:r>
        <w:rPr>
          <w:rStyle w:val="FootnoteAnchor"/>
          <w:rtl w:val="true"/>
        </w:rPr>
        <w:footnoteReference w:id="4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شبه هذا فی جامع الأحکام</w:t>
      </w:r>
      <w:r>
        <w:rPr>
          <w:rStyle w:val="FootnoteAnchor"/>
          <w:rtl w:val="true"/>
        </w:rPr>
        <w:footnoteReference w:id="425"/>
      </w:r>
      <w:r>
        <w:rPr>
          <w:rFonts w:ascii="IRNazanin" w:hAnsi="IRNazanin" w:eastAsia="IRNazanin"/>
          <w:color w:val="111111"/>
          <w:sz w:val="28"/>
          <w:sz w:val="28"/>
          <w:szCs w:val="28"/>
          <w:rtl w:val="true"/>
          <w:lang w:bidi="fa-IR"/>
        </w:rPr>
        <w:t>و مجمع البیان</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أوضح من الکلّ ما جاء فی مواهب الرحمن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التهلکة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تصیر عاقبته إلی الهلاک، و هو الفساد و الضیاع، و تطلق علی تبدّل الصور بأنحاء الاستحالات أیضاً، کما تطلق علی الفناء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النهی عام یشمل کلّ ما یوجب الإلقاء إلی التهلکة کالبخل و التقتیر</w:t>
      </w:r>
      <w:r>
        <w:rPr>
          <w:rFonts w:eastAsia="IRNazanin" w:cs="IRNazanin"/>
          <w:color w:val="111111"/>
          <w:sz w:val="28"/>
          <w:szCs w:val="28"/>
          <w:rtl w:val="true"/>
          <w:lang w:bidi="fa-IR"/>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التعقیم و المنع عن الحبل الدائم نقص و فساد و ضیاع علی النفس، فتشمله الآیة، و یجب الاجتناب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الشیخ الفقیه جعفر سبحانی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شکّ أنّ الإضرار بالنفس إذا انتهی إلی قتل النفس أو قطع عضو من الأعضاء أو إخماد قوّة من القوی کالرجولیّة و الإنجاب فهو محرّم لا خلاف فیه، و یکفی فی ذلک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تُلْقُوا بِأَیْدِیکُمْ إِلَی التَّهْلُکَةِ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لَآمُرَنَّهُمْ فَلَیُغَیِّرُنَّ خَلْقَ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التبیان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اختلفوا فی معناه، فقال ابن عبّاس و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الإخصاء، و کرهوا الإخصاء فی البهائم</w:t>
      </w:r>
      <w:r>
        <w:rPr>
          <w:rFonts w:eastAsia="IRNazanin" w:cs="IRNazanin"/>
          <w:color w:val="111111"/>
          <w:sz w:val="28"/>
          <w:szCs w:val="28"/>
          <w:rtl w:val="true"/>
          <w:lang w:bidi="fa-IR"/>
        </w:rPr>
        <w:t>...»</w:t>
      </w:r>
      <w:r>
        <w:rPr>
          <w:rStyle w:val="FootnoteAnchor"/>
          <w:rtl w:val="true"/>
        </w:rPr>
        <w:footnoteReference w:id="4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غیره</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و فی کنز الدقائق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یندرج فیه کلّ تغییر بخلق اللّه عن وجهه صورة أو صفة من دون إذن من اللّه، کفقئهم عین الفحل الذی طال مکثه عندهم و إعفائه عن الرکوب و خصاء العبید و کلّ مُثلة، و لا ینافیه التغییر بالدین و الأمر لأنّ ذلک کلّه داخل فیهما</w:t>
      </w:r>
      <w:r>
        <w:rPr>
          <w:rFonts w:eastAsia="IRNazanin" w:cs="IRNazanin"/>
          <w:color w:val="111111"/>
          <w:sz w:val="28"/>
          <w:szCs w:val="28"/>
          <w:rtl w:val="true"/>
          <w:lang w:bidi="fa-IR"/>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هذا إطلاق التغییر بخلق اللّه یشمل عملیّة التعقیم و استئصال القدرة علی الإنجاب فی الرجل أو المرأة؛ و لأجل هذا قیل فی وجه دلالتها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تغییر خلق اللّه هو من تزیین الشیطان و غوایته لأولیائه فکان محرّماً، و الإخصاء فیه تغییر لخلق اللّه بتعطیل القدرة علی الإنجاب، و هو ذاته فعل الوسائل الحدیثة التی تستأصل القدرة علی الإنجاب</w:t>
      </w:r>
      <w:r>
        <w:rPr>
          <w:rFonts w:eastAsia="IRNazanin" w:cs="IRNazanin"/>
          <w:color w:val="111111"/>
          <w:sz w:val="28"/>
          <w:szCs w:val="28"/>
          <w:rtl w:val="true"/>
          <w:lang w:bidi="fa-IR"/>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أقصی ما یستفاد من الآیة بقرینة السیاق أنّه یحرم کلّ تغییر بخلق اللّه إذا کان بأمر الشیطان و من تزییناته، حیث إنّ اللّه تعالی ذکر مقالة إبلیس لعنه اللّه و إضلاله أتباعه بحبائله و وساوسه، فلا تشمل التعقیم بغیر الإخصاء سیّما إذا وقع لأجل الأغراض العقلائیّة فإذا کان الرجل أو المرأة من أهل العلم و قصدا فی سلوک المراتب العالیة فی العلم لا سیّما إذا کان لهما أولاد متعدِّدون، و نذکر أقوال بعض المفسِّرین فی ذیل الآیة تأییداً لما ادّعیناه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مجمع البیان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من مقالة إبلیس، یعنی لأضلنّهم عن الحقّ و الصواب، و إضلاله دعاؤه إلی الضلال و تسبیبه له بحبائله و وساوسه</w:t>
      </w:r>
      <w:r>
        <w:rPr>
          <w:rFonts w:eastAsia="IRNazanin" w:cs="IRNazanin"/>
          <w:color w:val="111111"/>
          <w:sz w:val="28"/>
          <w:szCs w:val="28"/>
          <w:rtl w:val="true"/>
          <w:lang w:bidi="fa-IR"/>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المیزان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هذه الأمور المعدودة جمیعها 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ینطبق علی مثل الإخصاء و أنواع المثلة و اللواط و السحق</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و قال فی مواهب الرحمن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 عزّ و جلّ عن خطوات الشیطان المتتابعة فی إضلال الإنسان و غوایته، و هی خطوات دقیقة متقنة و لیست اعتباطیة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لَأُضِلَّنَّهُمْ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هی المرحلة الأولی من المراحل المتتابعة التی یستحوذ بها علی عباد اللّه تعالی و یستعبدهم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لَأُمَنِّیَنَّهُمْ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المرحلة الثانیة تأتی بعد إبعاد عباد اللّه تعالی عن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لَآمُرَنَّهُمْ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یملک أمرهم و یتمکّن من استبعادهم بعد طیّ المرحلتین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فتحقّق طاعة الشیطان و عبادته</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النصوص التی تدلّ علی حرمة الإخصاء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فی التهذیب عن عثمان بن مطعون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یا رسول اللّه أن أختصی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تفعل یا عثمان فإنّ اختصاء أمّتی الصیام</w:t>
      </w:r>
      <w:r>
        <w:rPr>
          <w:rFonts w:eastAsia="IRNazanin" w:cs="IRNazanin"/>
          <w:color w:val="111111"/>
          <w:sz w:val="28"/>
          <w:szCs w:val="28"/>
          <w:rtl w:val="true"/>
          <w:lang w:bidi="fa-IR"/>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فی الفقیه عن یونس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الإخصاء فلم یجبنی فسألت أبا الحسن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صاحب الوسائل علی إخصاء الحیوان، و تؤیّده روایة قرب الإسناد عن یونس بن یعقوب عن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إخصاء الغنم،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طریق أهل السنّة أنّ عبد 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نغزو مع رسول اللّه صلی الله علیه و آله و سلم و لیس لنا شیء فقلنا أ لا نختصی؟ فنهانا عن ذلک</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إنّ الاختصاء المحرّم هو صورة لمنع الإنجاب الدائم لدی الرجل کان</w:t>
      </w:r>
    </w:p>
    <w:p>
      <w:pPr>
        <w:pStyle w:val="BookText"/>
        <w:rPr/>
      </w:pPr>
      <w:r>
        <w:rPr>
          <w:rFonts w:ascii="IRNazanin" w:hAnsi="IRNazanin" w:eastAsia="IRNazanin"/>
          <w:color w:val="111111"/>
          <w:sz w:val="28"/>
          <w:sz w:val="28"/>
          <w:szCs w:val="28"/>
          <w:rtl w:val="true"/>
          <w:lang w:bidi="fa-IR"/>
        </w:rPr>
        <w:t>منع الإنجاب الدائم لدی المرأة محرّماً کذلک، بجامع أنّ کلیهما یمنع الحبل من أصله کما قیل</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ضعفه ظاهر؛ لأنّ الإخصاء یمنع الحبل و الشهوة؛ بخلاف عملیة التعقیم مع الوسائل الحدیثة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کسدّ قناتی الرحم و الکیّ بالحرارة الکهربائیة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فإنّها تقطع النسل و تُبقی الشهوة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أنّه لا طریق لکشف الملاکات فی الأحکام إلاّ بالنصّ الصحیح، و النصّ ورد فی إخصاء الرجل فقط، فقیاس المرأة بالرجل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الحالات المختلفة التی تحصل التعقیم بغیر الإخصاء به فی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مردود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العمدة؛ إطلاق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شکّ أنّ التعقیم و المنع الدائم عن الحبل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 وسیلة حصلت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فی البدن، و النقص ضرر، فکما أنّ الإضرار بالغیر حرام فکذا الإضرار بالنفس، فیشمله 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المقصود من لا ضرر هو نفی الحکم الضرری کالوضوء و الصوم إذا کانا ضرریّین، فلا یشمل ما کنّا فی بیان إثباته، أی حرمة التعقیم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قبول هذا المبنی یشمل المورد؛ لأنّ إطلاق نفی الحکم الضرری یشمل نفی تسلّط الإنسان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تسلّط الإنسان علی نفسه علی نحو الإطلاق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بأن یضرّ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الأحکام، و لا ضرر ینفیه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بقرینة المورد ینصرف عن الإضرار بالنفس، فإنّه صلی الله علیه و آله و سلم قال للأنصاری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اذهب فاقلعها و ارْمِ بها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إلی سمرة بن جندب</w:t>
      </w:r>
    </w:p>
    <w:p>
      <w:pPr>
        <w:pStyle w:val="BookText"/>
        <w:rPr/>
      </w:pPr>
      <w:r>
        <w:rPr>
          <w:rFonts w:ascii="Amiri" w:hAnsi="Amiri" w:eastAsia="Amiri" w:cs="Amiri"/>
          <w:color w:val="111111"/>
          <w:sz w:val="28"/>
          <w:sz w:val="28"/>
          <w:szCs w:val="28"/>
          <w:rtl w:val="true"/>
          <w:lang w:bidi="ar-SA"/>
        </w:rPr>
        <w:t xml:space="preserve">الذی کان مزاحماً و مضارّاً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ضرر و لا ضرار</w:t>
      </w:r>
      <w:r>
        <w:rPr>
          <w:rFonts w:eastAsia="Amiri" w:cs="Amiri" w:ascii="Amiri" w:hAnsi="Amiri"/>
          <w:color w:val="111111"/>
          <w:sz w:val="28"/>
          <w:szCs w:val="28"/>
          <w:rtl w:val="true"/>
          <w:lang w:bidi="ar-SA"/>
        </w:rPr>
        <w:t>»</w:t>
      </w:r>
      <w:r>
        <w:rPr>
          <w:rStyle w:val="FootnoteAnchor"/>
          <w:rtl w:val="true"/>
        </w:rPr>
        <w:footnoteReference w:id="442"/>
      </w:r>
      <w:r>
        <w:rPr>
          <w:rFonts w:ascii="IRNazanin" w:hAnsi="IRNazanin" w:eastAsia="IRNazanin"/>
          <w:color w:val="111111"/>
          <w:sz w:val="28"/>
          <w:sz w:val="28"/>
          <w:szCs w:val="28"/>
          <w:rtl w:val="true"/>
          <w:lang w:bidi="fa-IR"/>
        </w:rPr>
        <w:t>فلا یشمل مسألتنا هذه التی هی الإضرار بالنفس لا بالغیر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ما ورد فی مکاتبة محمّد بن الحسین المرویّة بسند صحیح إلی أبی محمّد علیه السلام فی رجل کانت له رحی علی نهر قریة، و القریة لرجل، فأراد صاحب القریة أن یسوق إلی قریته الماء فی غیر هذا النهر و یعطّل هذا الرحی أَ لَه ذلک أم لا؟ فوقّع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یتّقی اللّه و یعمل فی ذلک بالمعروف و لا یضرّ أخاه المؤمن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ما ورد فی روایة أُخری ما قال صلی الله علیه و آله و سلم لسمرة بن جندب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رجل مضارّ و لا ضرر و لا ضرار علی مؤمن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یضرّ أخاه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حرمة الإضرار بالغیر فقط، و معه یقیّد 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یدلّ علی حرمة الإضرار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یضرّ أخاه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أحد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المصداق لا یمکن أن یقیّد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عامّ، فلا یختصّ بمورد الروایة فقط، و مقتضی عمومیّة التعلیل نفی کلّ سبب یوجب الضرر</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النفی بالضرر الذی هو اسم مصدر، فیستفاد منه بدلالة الاقتضاء نفی کلّ علّة و سبب یوجب الضرر سواء کان الضرر علی الغیر أو علی النفس، و سواء کان فی حکم تکلیفی أو وضعی، کما صرّح به الفقهاء فی مفاد القاعدة، قال الشیخ الأعظم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العلماء لم یفرّقوا فی الاستدلال بالقاعدة بین الإضرار بالنفس و الإضرار بالغیر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استفید من الأدلّة العقلیة و النقلیّة</w:t>
      </w:r>
      <w:bookmarkStart w:id="184" w:name="pg11752_146135"/>
    </w:p>
    <w:p>
      <w:pPr>
        <w:pStyle w:val="BookText"/>
        <w:rPr/>
      </w:pPr>
      <w:bookmarkEnd w:id="184"/>
      <w:r>
        <w:rPr>
          <w:rFonts w:ascii="IRNazanin" w:hAnsi="IRNazanin" w:eastAsia="IRNazanin"/>
          <w:color w:val="111111"/>
          <w:sz w:val="28"/>
          <w:sz w:val="28"/>
          <w:szCs w:val="28"/>
          <w:rtl w:val="true"/>
          <w:lang w:bidi="fa-IR"/>
        </w:rPr>
        <w:t>تحریم الإضرار بالنفس</w:t>
      </w:r>
      <w:r>
        <w:rPr>
          <w:rFonts w:eastAsia="IRNazanin" w:cs="IRNazanin"/>
          <w:color w:val="111111"/>
          <w:sz w:val="28"/>
          <w:szCs w:val="28"/>
          <w:rtl w:val="true"/>
          <w:lang w:bidi="fa-IR"/>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فی الفرائد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فکلّ إضرار بالنفس أو الغیر محرّم غیر ماضٍ علی مَنْ أضرّ</w:t>
      </w:r>
      <w:r>
        <w:rPr>
          <w:rFonts w:eastAsia="Amiri" w:cs="Amiri" w:ascii="Amiri" w:hAnsi="Amiri"/>
          <w:color w:val="111111"/>
          <w:sz w:val="28"/>
          <w:szCs w:val="28"/>
          <w:rtl w:val="true"/>
          <w:lang w:bidi="ar-SA"/>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المحقّق البجنوردی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 من لفظ الضرر عرفاً هو النقص فی ماله أو عرضه أو نفسه أو فی شیء من شئونه بعد وجوده أو بعد وجود المقتضی القریب له بحیث یراه العرف موجوداً</w:t>
      </w:r>
      <w:r>
        <w:rPr>
          <w:rFonts w:eastAsia="IRNazanin" w:cs="IRNazanin"/>
          <w:color w:val="111111"/>
          <w:sz w:val="28"/>
          <w:szCs w:val="28"/>
          <w:rtl w:val="true"/>
          <w:lang w:bidi="fa-IR"/>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 المحقّق العراقی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تعلّقهما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الضرر و الضرار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أن یکون النفس و المال و العرض و 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المطلوب</w:t>
      </w:r>
      <w:r>
        <w:rPr>
          <w:rFonts w:eastAsia="IRNazanin" w:cs="IRNazanin"/>
          <w:color w:val="111111"/>
          <w:sz w:val="28"/>
          <w:szCs w:val="28"/>
          <w:rtl w:val="true"/>
          <w:lang w:bidi="fa-IR"/>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5" w:name="__RefHeading___Toc9423914_73709187"/>
      <w:bookmarkStart w:id="186" w:name="_Toc71"/>
      <w:bookmarkEnd w:id="185"/>
      <w:r>
        <w:rPr>
          <w:rtl w:val="true"/>
        </w:rPr>
        <w:t>جواز التعقیم فی بعض الحالات خاصّة</w:t>
      </w:r>
      <w:bookmarkEnd w:id="186"/>
    </w:p>
    <w:p>
      <w:pPr>
        <w:pStyle w:val="BookText"/>
        <w:rPr/>
      </w:pPr>
      <w:r>
        <w:rPr>
          <w:rFonts w:ascii="IRNazanin" w:hAnsi="IRNazanin" w:eastAsia="IRNazanin"/>
          <w:color w:val="111111"/>
          <w:sz w:val="28"/>
          <w:sz w:val="28"/>
          <w:szCs w:val="28"/>
          <w:rtl w:val="true"/>
          <w:lang w:bidi="fa-IR"/>
        </w:rPr>
        <w:t xml:space="preserve">أفتی بعض فقهاء المعاصرین بجواز التعقیم فی بعض الحالات، قال الأستاذ الشیخ الفقیه التبریزی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جواب السؤال من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للمرأة أو الرجل تعقیم نفسیهما بحیث لا یتمکّنان بعد ذلک من الإنجاب أبداً؟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بذلک إذا لم یعدّ ذلک جنایة علی النفس، کما إذا کان لهما أولاد متعدِّدون</w:t>
      </w:r>
      <w:r>
        <w:rPr>
          <w:rFonts w:eastAsia="IRNazanin" w:cs="IRNazanin"/>
          <w:color w:val="111111"/>
          <w:sz w:val="28"/>
          <w:szCs w:val="28"/>
          <w:rtl w:val="true"/>
          <w:lang w:bidi="fa-IR"/>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السیّد الفقیه السیستانی فی جواب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للمرأة أن تجری عملیّة جراحیة لقطع النسل بحیث لا تنجب أبداً؟</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إشکال و إن کان لا یبعد جوازه فیما إذا لم یستلزم ضرراً بلیغاً بها، و منه</w:t>
      </w:r>
    </w:p>
    <w:p>
      <w:pPr>
        <w:pStyle w:val="BookText"/>
        <w:rPr/>
      </w:pPr>
      <w:r>
        <w:rPr>
          <w:rFonts w:ascii="IRNazanin" w:hAnsi="IRNazanin" w:eastAsia="IRNazanin"/>
          <w:color w:val="111111"/>
          <w:sz w:val="28"/>
          <w:sz w:val="28"/>
          <w:szCs w:val="28"/>
          <w:rtl w:val="true"/>
          <w:lang w:bidi="fa-IR"/>
        </w:rPr>
        <w:t>قطع بعض الأعضاء کالمبیض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یجوز أن یکون المباشر للعملیّة غیر الزوج إذا کان موجباً للنظر إلی ما لا یجوز النظر إلیه أو مسّ ما لا یجوز مسّه من بدنها</w:t>
      </w:r>
      <w:r>
        <w:rPr>
          <w:rFonts w:eastAsia="IRNazanin" w:cs="IRNazanin"/>
          <w:color w:val="111111"/>
          <w:sz w:val="28"/>
          <w:szCs w:val="28"/>
          <w:rtl w:val="true"/>
          <w:lang w:bidi="fa-IR"/>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السیّد الفقیه الخامنه‌ای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الجواب عن تلک المسألة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مانع منه فیما إذا کان لغرض عقلائی و مأموناً عن الضرر المعتنی به، و کان عن إذن الزوج</w:t>
      </w:r>
      <w:r>
        <w:rPr>
          <w:rFonts w:eastAsia="IRNazanin" w:cs="IRNazanin"/>
          <w:color w:val="111111"/>
          <w:sz w:val="28"/>
          <w:szCs w:val="28"/>
          <w:rtl w:val="true"/>
          <w:lang w:bidi="fa-IR"/>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الظاهر أنّهم اعتقدوا بأنّ التعقیم و المنع الدائم عن الحمل فی بعض الحالات و بالنسبة إلی بعض الأشخاص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ما إذا کان الزوج و المرأة من أهل العلم، و کان لهما أولاد متعدِّدون أو کانا فقیرین و لم یتمکّنا من نفقة أولادهم و تربیتهم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ضرریّاً أصلاً أو لم یکن من الضرر الذی نهی عنه الشرع و اعتنی به، فیکون خارجاً عن شمول قاعدة لا ضرر تخصّصاً و جائز 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المقصود من الضرر فی الحدیث الشریف النبوی هو الضرر الشخصی لا النوعی؛ لأنّ کون الحدیث فی مقام الامتنان یقتضی أن یکون الرفع بلحاظ حال کلّ شخص بحسب نفسه، و إلاّ رفع حکم عن شخص بلحاظ شخص آخر أیّ امتنان فیه، کما أشار إلیه المحقّق البجنوردی</w:t>
      </w:r>
      <w:r>
        <w:rPr>
          <w:rStyle w:val="FootnoteAnchor"/>
          <w:rtl w:val="true"/>
        </w:rPr>
        <w:footnoteReference w:id="450"/>
      </w:r>
      <w:r>
        <w:rPr>
          <w:rFonts w:ascii="IRNazanin" w:hAnsi="IRNazanin" w:eastAsia="IRNazanin"/>
          <w:color w:val="111111"/>
          <w:sz w:val="28"/>
          <w:sz w:val="28"/>
          <w:szCs w:val="28"/>
          <w:rtl w:val="true"/>
          <w:lang w:bidi="fa-IR"/>
        </w:rPr>
        <w:t>و الشیخ ضیاء الدِّین العراقی</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أیضاً مختار الشیخ الأعظم الأنصاری فی الرسائل</w:t>
      </w:r>
      <w:r>
        <w:rPr>
          <w:rStyle w:val="FootnoteAnchor"/>
          <w:rtl w:val="true"/>
        </w:rPr>
        <w:footnoteReference w:id="452"/>
      </w:r>
      <w:r>
        <w:rPr>
          <w:rFonts w:ascii="IRNazanin" w:hAnsi="IRNazanin" w:eastAsia="IRNazanin"/>
          <w:color w:val="111111"/>
          <w:sz w:val="28"/>
          <w:sz w:val="28"/>
          <w:szCs w:val="28"/>
          <w:rtl w:val="true"/>
          <w:lang w:bidi="fa-IR"/>
        </w:rPr>
        <w:t>و المحقّق النائینی</w:t>
      </w:r>
      <w:r>
        <w:rPr>
          <w:rStyle w:val="FootnoteAnchor"/>
          <w:rtl w:val="true"/>
        </w:rPr>
        <w:footnoteReference w:id="453"/>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غیرهم</w:t>
      </w:r>
      <w:r>
        <w:rPr>
          <w:rStyle w:val="FootnoteAnchor"/>
          <w:rtl w:val="true"/>
        </w:rPr>
        <w:footnoteReference w:id="454"/>
      </w:r>
      <w:bookmarkStart w:id="187" w:name="pg11752_146137"/>
    </w:p>
    <w:p>
      <w:pPr>
        <w:pStyle w:val="BookText"/>
        <w:rPr/>
      </w:pPr>
      <w:bookmarkEnd w:id="187"/>
      <w:r>
        <w:rPr>
          <w:rFonts w:ascii="IRNazanin" w:hAnsi="IRNazanin" w:eastAsia="IRNazanin"/>
          <w:color w:val="111111"/>
          <w:sz w:val="28"/>
          <w:sz w:val="28"/>
          <w:szCs w:val="28"/>
          <w:rtl w:val="true"/>
          <w:lang w:bidi="fa-IR"/>
        </w:rPr>
        <w:t xml:space="preserve">و لکن الإنصاف أنّ التعقیم و استئصال القدرة علی الإنجاب دائماً بأیّ وسیلة تحصل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فی الرجل أو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و ضرر علی الشخص، و یجب الاجتناب عنه بمفاد الأدلّة المتقدِّمة، لا سیّما أنّه یمکن دفع ما یتصوّر دلیلاً بجواز التعقیم مثل المشاکل و الصعوبات الاقتصادیة و الاجتماعیة أو کثرة الأولاد و غیرها بالمنع عن الحمل مؤقّتاً، و سنذکره 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الشاهد علی ذلک أنّه لو تغیّرت الظروف بحیث کان اللازم علی الزوجین اللذین جعلا نفسیهما عقیمین إنجاب الأولاد من جدید، کأن طلّقت الزوجة و أخذ منها أولادها أو ماتوا فی بعض الحوادث المفاجئة غیر المتوقّعة و ما شابه ذلک، فیرد علیهما من الذمّ ما لا یطاق و یقال لهما قد سبّبا لنفسیهما عیباً، و هذا أصدق شاهد علی أنّ التعقیم نقص لکلّ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إن فرضنا أنّ المشاکل و الصعوبات المذکورة کانت ضرریّة فی حقّ بعض الأشخاص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کذلک فی بعض الأحیان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یمکن دفعها عن طریق المنع عن الحمل مؤقّتاً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هذا الفرض نادر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یبعد جواز التعقیم؛ من باب الجمع بین الضررین المتعارضین، حیث إنّ التعقیم ضرر، و کذا کثرة الأولاد کما لو ثبت بالأدلّة القطعیّة أنّ کثرتهم فی بعض الأزمنة توجب الضعف و الوهن و الفقر و الجهل و المرض و البطالة، فحینئذٍ القاعدة تقتضی أن تلاحظ بین الضررین فنحکم بوجوب الاجتناب عن الأهمّ، و هو کثرة الأولاد فی الفرض و جواز ارتکاب المهمّ، أی التعقیم</w:t>
      </w:r>
      <w:r>
        <w:rPr>
          <w:rFonts w:eastAsia="IRNazanin" w:cs="IRNazanin"/>
          <w:color w:val="111111"/>
          <w:sz w:val="28"/>
          <w:szCs w:val="28"/>
          <w:rtl w:val="true"/>
          <w:lang w:bidi="fa-IR"/>
        </w:rPr>
        <w:t>.</w:t>
      </w:r>
    </w:p>
    <w:p>
      <w:pPr>
        <w:pStyle w:val="Heading5"/>
        <w:numPr>
          <w:ilvl w:val="4"/>
          <w:numId w:val="1"/>
        </w:numPr>
        <w:rPr/>
      </w:pPr>
      <w:bookmarkStart w:id="188" w:name="__RefHeading___Toc9423916_73709187"/>
      <w:bookmarkStart w:id="189" w:name="_Toc72"/>
      <w:bookmarkEnd w:id="188"/>
      <w:r>
        <w:rPr>
          <w:rtl w:val="true"/>
        </w:rPr>
        <w:t>جواز المنع عن الحمل مؤقّتاً</w:t>
      </w:r>
      <w:bookmarkEnd w:id="189"/>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تحدید النسل و تقلیل الإنجاب مؤقّتاً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القسم أیضاً طرق مختلفة ففی بعضها جائز ذاتاً و لکن قد یلازم أمور محرّمة، مثل نصب بعض</w:t>
      </w:r>
    </w:p>
    <w:p>
      <w:pPr>
        <w:pStyle w:val="BookText"/>
        <w:rPr/>
      </w:pPr>
      <w:r>
        <w:rPr>
          <w:rFonts w:ascii="IRNazanin" w:hAnsi="IRNazanin" w:eastAsia="IRNazanin"/>
          <w:color w:val="111111"/>
          <w:sz w:val="28"/>
          <w:sz w:val="28"/>
          <w:szCs w:val="28"/>
          <w:rtl w:val="true"/>
          <w:lang w:bidi="fa-IR"/>
        </w:rPr>
        <w:t>الآلات فی رحم المرأة أو سدّ الأنابیب التناسلیّة مع التمکّن من الفتح أو أشباههما، فإنّ ذلک جائز؛ لعدم قیام دلیل علی الحرمة ذاتاً و لکن لا یمکن الوصول إلیها عادةً إلاّ عن طریق نظر الأجنبی إلی ما لا یحلّ له أو لمس ذلک، فلو لم یکن هناک ضرورة تبیح ذلک لم یجز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بعضها الآخر ما لا حرمة فیه ذاتاً و بالعرض، مثل استعمال الحبوب المانعة من الحمل ما دامت تنتفع بها إذا لم یکن فیها ضرر خاصّ معتدّ به، و مثل قذف المنی خارج الرحم، و کذا استعمال الغلاف الذی یمنع عن صبّه فی الرحم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الاعتماد علی الجداول الزمانیّة التی تبیّن زمان انعقاد النطفة فی أوقات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 المنع عن الحمل لو لم یحصل العقم الدائم، بل کان مؤقّتاً قابلاً للرجوع إلی حالة إمکان الإنجاب بعد حین، إن لم یستلزم محرّمات جانبیّة اخری، کما ذهب إلیه السیّد الخوئی</w:t>
      </w:r>
      <w:r>
        <w:rPr>
          <w:rStyle w:val="FootnoteAnchor"/>
          <w:rtl w:val="true"/>
        </w:rPr>
        <w:footnoteReference w:id="455"/>
      </w:r>
      <w:r>
        <w:rPr>
          <w:rFonts w:ascii="IRNazanin" w:hAnsi="IRNazanin" w:eastAsia="IRNazanin"/>
          <w:color w:val="111111"/>
          <w:sz w:val="28"/>
          <w:sz w:val="28"/>
          <w:szCs w:val="28"/>
          <w:rtl w:val="true"/>
          <w:lang w:bidi="fa-IR"/>
        </w:rPr>
        <w:t xml:space="preserve">و الشیخ الفقیه الفاضل اللنکرانی </w:t>
      </w:r>
      <w:r>
        <w:rPr>
          <w:rStyle w:val="FootnoteAnchor"/>
          <w:rtl w:val="true"/>
        </w:rPr>
        <w:footnoteReference w:id="4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کثیر من فقهاء المعاصرین</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یدلّ علی جوازه الأحادیث المستفیضة الدالّة علی جواز العزل علی المرأة اتّقاءَ الحمل، و هی</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صحیحة محمّد بن مسلم التی رواها المشایخ الثلاثة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العزل،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ذاک إلی الرجل یصرفه حین شاء</w:t>
      </w:r>
      <w:r>
        <w:rPr>
          <w:rFonts w:eastAsia="IRNazanin" w:cs="IRNazanin"/>
          <w:color w:val="111111"/>
          <w:sz w:val="28"/>
          <w:szCs w:val="28"/>
          <w:rtl w:val="true"/>
          <w:lang w:bidi="fa-IR"/>
        </w:rPr>
        <w:t>»</w:t>
      </w:r>
      <w:r>
        <w:rPr>
          <w:rStyle w:val="FootnoteAnchor"/>
          <w:rtl w:val="true"/>
        </w:rPr>
        <w:footnoteReference w:id="458"/>
      </w:r>
      <w:bookmarkStart w:id="190" w:name="pg11752_146139"/>
    </w:p>
    <w:p>
      <w:pPr>
        <w:pStyle w:val="BookText"/>
        <w:rPr/>
      </w:pPr>
      <w:bookmarkEnd w:id="190"/>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موثّقة عبد الرحمن بن أبی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العزل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ذاک إلی الرجل</w:t>
      </w:r>
      <w:r>
        <w:rPr>
          <w:rFonts w:eastAsia="IRNazanin" w:cs="IRNazanin"/>
          <w:color w:val="111111"/>
          <w:sz w:val="28"/>
          <w:szCs w:val="28"/>
          <w:rtl w:val="true"/>
          <w:lang w:bidi="fa-IR"/>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صحیحة الحذّاء عن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کان علیّ بن الحسین علیهما السلام لا یری العزل بأساً یقرأ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 رَبُّکَ مِنْ بَنِی آدَمَ مِنْ ظُهُورِهِمْ ذُرِّیَّتَهُمْ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فکلّ شیء أخذ اللّه منه المیثاق فهو خارج و إن کان علی صخرة صمّاء</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صحیحة أُخری لمحمّد بن مسلم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المسلم یتزوّج المجوسیة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 لکن إن کان له أَمَة مجوسیة فلا بأس أن یطأها و یعزل عنها و لا یطلب ولدها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غیرها</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غضّ البصر عن تلک النصوص یمکن أن نقول بالجواز أیضاً؛ حیث إنّه لم یقم دلیل فقهی علی المنع، و الفرض أنّ المنع کذلک لم یکن فیه ضرر و نقص، فنحکم بجوازه استناداً إلی البراءة الشرعیّة و العقلیّة</w:t>
      </w:r>
      <w:r>
        <w:rPr>
          <w:rFonts w:eastAsia="IRNazanin" w:cs="IRNazanin"/>
          <w:color w:val="111111"/>
          <w:sz w:val="28"/>
          <w:szCs w:val="28"/>
          <w:rtl w:val="true"/>
          <w:lang w:bidi="fa-IR"/>
        </w:rPr>
        <w:t>.</w:t>
      </w:r>
    </w:p>
    <w:p>
      <w:pPr>
        <w:pStyle w:val="Heading5"/>
        <w:numPr>
          <w:ilvl w:val="4"/>
          <w:numId w:val="1"/>
        </w:numPr>
        <w:rPr/>
      </w:pPr>
      <w:bookmarkStart w:id="191" w:name="__RefHeading___Toc9423918_73709187"/>
      <w:bookmarkStart w:id="192" w:name="_Toc73"/>
      <w:bookmarkEnd w:id="191"/>
      <w:r>
        <w:rPr>
          <w:rtl w:val="true"/>
        </w:rPr>
        <w:t>أولویّة تحدید النسل فی بعض الأزمنة</w:t>
      </w:r>
      <w:bookmarkEnd w:id="192"/>
    </w:p>
    <w:p>
      <w:pPr>
        <w:pStyle w:val="BookText"/>
        <w:rPr/>
      </w:pPr>
      <w:r>
        <w:rPr>
          <w:rFonts w:ascii="IRNazanin" w:hAnsi="IRNazanin" w:eastAsia="IRNazanin"/>
          <w:color w:val="111111"/>
          <w:sz w:val="28"/>
          <w:sz w:val="28"/>
          <w:szCs w:val="28"/>
          <w:rtl w:val="true"/>
          <w:lang w:bidi="fa-IR"/>
        </w:rPr>
        <w:t>إنّ رجحان تکثیر النسل و حرمة المنع الدائم عن الحمل لیس حکماً مطلقاً باتّاً لجمیع الأزمنة، بل هو مرهون بالظروف الموجودة فی کثیر من البلدان، فلو تغیّرت الظروف تغیّر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تکثیر نسل المسلمین فی نفسه راجح، و لکن یمکن أن یکون فی بعض الحالات و الأزمنة بعنوان الحکم الثانوی مرجوحاً، کما أنّه یمکن أن یکون المنع عن الحمل فی بعض الحالات واجباً</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علمنا أنّ کثرة النفوس تکون سبباً للاستضعاف کما هو</w:t>
      </w:r>
    </w:p>
    <w:p>
      <w:pPr>
        <w:pStyle w:val="BookText"/>
        <w:rPr/>
      </w:pPr>
      <w:r>
        <w:rPr>
          <w:rFonts w:ascii="IRNazanin" w:hAnsi="IRNazanin" w:eastAsia="IRNazanin"/>
          <w:color w:val="111111"/>
          <w:sz w:val="28"/>
          <w:sz w:val="28"/>
          <w:szCs w:val="28"/>
          <w:rtl w:val="true"/>
          <w:lang w:bidi="fa-IR"/>
        </w:rPr>
        <w:t>کذلک فی زماننا بالنسبة إلی بعض الأشخاص، فقد صار کثرة النفوس سبباً للضعف و الفتور و التخلّف، کما نشاهد فی بعض بلدان المسلمین و فی الهند و الصین حیث عجزت حکوماتهم عن توفیر الحدّ الأدنی من متطلّبات الحیاة الأساسیّة کالطعام و المسکن، فأصبح الکثیر منهم لا سیّما فی الهند یعیشون علی حافّات الطرق مع فقر شدید، یُولدون و یموتون فیها، فهل تعدّ هذه الکثرة دلیلاً علی القوّة و القدرة أم هی من أسباب الضعف و الوهن و الهلاک؟</w:t>
      </w:r>
    </w:p>
    <w:p>
      <w:pPr>
        <w:pStyle w:val="BookText"/>
        <w:rPr/>
      </w:pPr>
      <w:r>
        <w:rPr>
          <w:rFonts w:ascii="IRNazanin" w:hAnsi="IRNazanin" w:eastAsia="IRNazanin"/>
          <w:color w:val="111111"/>
          <w:sz w:val="28"/>
          <w:sz w:val="28"/>
          <w:szCs w:val="28"/>
          <w:rtl w:val="true"/>
          <w:lang w:bidi="fa-IR"/>
        </w:rPr>
        <w:t xml:space="preserve">فلو شهد أهل الخبرة من متخصّصی علم الاجتماع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بشرط أن یکونوا مسلمین موثّقین معتمدین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ازدیاد النفوس بهذا النحو سوف ینتهی إلی کارثة کبیرة لا ینفع معها توسیع الأراضی الزراعیّة بالمقدار الممکن و لا غیرها، و بالجملة لو کان ازدیاد النفوس یوجب واحداً من الأربعة الموحشة أو جمیعها، الفقر و الجهل و المرض و الفراغ و البطالة</w:t>
      </w:r>
      <w:r>
        <w:rPr>
          <w:rStyle w:val="FootnoteAnchor"/>
          <w:rtl w:val="true"/>
        </w:rPr>
        <w:footnoteReference w:id="460"/>
      </w:r>
      <w:r>
        <w:rPr>
          <w:rFonts w:ascii="IRNazanin" w:hAnsi="IRNazanin" w:eastAsia="IRNazanin"/>
          <w:color w:val="111111"/>
          <w:sz w:val="28"/>
          <w:sz w:val="28"/>
          <w:szCs w:val="28"/>
          <w:rtl w:val="true"/>
          <w:lang w:bidi="fa-IR"/>
        </w:rPr>
        <w:t>، فحینئذٍ یرجح تقلیل الموالید و تحدید النسل مؤقّتاً؛ دفعاً للصعوبات و المشاکل الاقتصادیة و الاجتماعیّة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یُستأنس هذا الحکم من بعض النصوص أیضاً، مثل ما رواه فی الخصال عن أبی بصیر و محمّد بن مسلم،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حدّثنی أبی عن جدّی، عن آبائه علیهم السلام أنّ أمیر المؤمنین علیه السلام علّم أصحابه فی مجلس واحد أربعمائة باب ممّا یصلح للمسلم فی دینه و دنیاه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قلّة العیال أحد الیسارین</w:t>
      </w:r>
      <w:r>
        <w:rPr>
          <w:rFonts w:eastAsia="IRNazanin" w:cs="IRNazanin"/>
          <w:color w:val="111111"/>
          <w:sz w:val="28"/>
          <w:szCs w:val="28"/>
          <w:rtl w:val="true"/>
          <w:lang w:bidi="fa-IR"/>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مثله ما رواه فی قرب الإسناد عن الصادق عن أبیه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قلّة العیال أحد الیسارین</w:t>
      </w:r>
      <w:r>
        <w:rPr>
          <w:rFonts w:eastAsia="IRNazanin" w:cs="IRNazanin"/>
          <w:color w:val="111111"/>
          <w:sz w:val="28"/>
          <w:szCs w:val="28"/>
          <w:rtl w:val="true"/>
          <w:lang w:bidi="fa-IR"/>
        </w:rPr>
        <w:t>»</w:t>
      </w:r>
      <w:r>
        <w:rPr>
          <w:rStyle w:val="FootnoteAnchor"/>
          <w:rtl w:val="true"/>
        </w:rPr>
        <w:footnoteReference w:id="462"/>
      </w:r>
      <w:r>
        <w:rPr>
          <w:rFonts w:ascii="IRNazanin" w:hAnsi="IRNazanin" w:eastAsia="IRNazanin"/>
          <w:color w:val="111111"/>
          <w:sz w:val="28"/>
          <w:sz w:val="28"/>
          <w:szCs w:val="28"/>
          <w:rtl w:val="true"/>
          <w:lang w:bidi="fa-IR"/>
        </w:rPr>
        <w:t>و غیره</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الطائفة من النصوص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الغضّ عن ضعف سندها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أنّ قلّة</w:t>
      </w:r>
      <w:bookmarkStart w:id="193" w:name="pg11752_146141"/>
    </w:p>
    <w:p>
      <w:pPr>
        <w:pStyle w:val="BookText"/>
        <w:rPr/>
      </w:pPr>
      <w:bookmarkEnd w:id="193"/>
      <w:r>
        <w:rPr>
          <w:rFonts w:ascii="IRNazanin" w:hAnsi="IRNazanin" w:eastAsia="IRNazanin"/>
          <w:color w:val="111111"/>
          <w:sz w:val="28"/>
          <w:sz w:val="28"/>
          <w:szCs w:val="28"/>
          <w:rtl w:val="true"/>
          <w:lang w:bidi="fa-IR"/>
        </w:rPr>
        <w:t xml:space="preserve">العیال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جملتها الأولاد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توجب الیسر و هو مطلوب للشرع، لا سیّما أنّه قد ذکر فی صدر الحدیث أنّ أمیر المؤمنین علّم أصحابه أربعمائة باب ممّا یصلح للمسلم فی دینه و دنیاه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مقابلها النصوص المتقدِّمة التی تدلّ علی رجحان تکثیر الأولاد، فنجمع بینهما بأنّ تکثیر الأولاد مطلوب و راجح ما لم یکن سبباً للضعف و الفتور و الجهل، و أمّا إذا کان کذلک فتقلیل الأولاد و المنع عن الحمل مؤقّتاً راجح، بل إذا علمنا بطریق معتبر أنّ تکثیر الأولاد سوف ینتهی إلی الموجبات الموحشة المتقدِّمة، و کذا یوجب اختلال النظام، فیجب علی الزوجین و کذا علی الحاکم الإسلامی و سائر المسلمین أن یمنعوا عنه بطرق شرعیّة، کما أنّه یجب علی المرأة الامتناع عن الحمل إذا کانت مریضة و کان الحمل أو الولادة خطراً علی حیاتها أو علی صحّتها إلی حدٍّ کبیر، کما أفتی به جمع من الفقهاء المعاصرین</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4" w:name="__RefHeading___Toc9423920_73709187"/>
      <w:bookmarkStart w:id="195" w:name="_Toc74"/>
      <w:bookmarkEnd w:id="194"/>
      <w:r>
        <w:rPr>
          <w:rtl w:val="true"/>
        </w:rPr>
        <w:t>عدم اعتبار رضا الزوجین فی المنع عن الحمل</w:t>
      </w:r>
      <w:bookmarkEnd w:id="195"/>
    </w:p>
    <w:p>
      <w:pPr>
        <w:pStyle w:val="Heading6"/>
        <w:numPr>
          <w:ilvl w:val="5"/>
          <w:numId w:val="1"/>
        </w:numPr>
        <w:rPr/>
      </w:pPr>
      <w:bookmarkStart w:id="196" w:name="__RefHeading___Toc9423922_73709187"/>
      <w:bookmarkStart w:id="197" w:name="_Toc75"/>
      <w:bookmarkEnd w:id="196"/>
      <w:r>
        <w:rPr>
          <w:rtl w:val="true"/>
        </w:rPr>
        <w:t>اشارة</w:t>
      </w:r>
      <w:bookmarkEnd w:id="197"/>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الزوجة فإنّ لها أن تمتنع عن الإنجاب بدون رضا زوجها، کما أفتی به الشیخ الفقیه الفاضل اللنکرانی</w:t>
      </w:r>
      <w:r>
        <w:rPr>
          <w:rStyle w:val="FootnoteAnchor"/>
          <w:rtl w:val="true"/>
        </w:rPr>
        <w:footnoteReference w:id="464"/>
      </w:r>
      <w:r>
        <w:rPr>
          <w:rFonts w:ascii="IRNazanin" w:hAnsi="IRNazanin" w:eastAsia="IRNazanin"/>
          <w:color w:val="111111"/>
          <w:sz w:val="28"/>
          <w:sz w:val="28"/>
          <w:szCs w:val="28"/>
          <w:rtl w:val="true"/>
          <w:lang w:bidi="fa-IR"/>
        </w:rPr>
        <w:t>و السیّد الفقیه الخوئی</w:t>
      </w:r>
      <w:r>
        <w:rPr>
          <w:rStyle w:val="FootnoteAnchor"/>
          <w:rtl w:val="true"/>
        </w:rPr>
        <w:footnoteReference w:id="465"/>
      </w:r>
      <w:r>
        <w:rPr>
          <w:rFonts w:ascii="IRNazanin" w:hAnsi="IRNazanin" w:eastAsia="IRNazanin"/>
          <w:color w:val="111111"/>
          <w:sz w:val="28"/>
          <w:sz w:val="28"/>
          <w:szCs w:val="28"/>
          <w:rtl w:val="true"/>
          <w:lang w:bidi="fa-IR"/>
        </w:rPr>
        <w:t>و غیرهما</w:t>
      </w:r>
      <w:r>
        <w:rPr>
          <w:rStyle w:val="FootnoteAnchor"/>
          <w:rtl w:val="true"/>
        </w:rPr>
        <w:footnoteReference w:id="466"/>
      </w:r>
      <w:r>
        <w:rPr>
          <w:rFonts w:ascii="IRNazanin" w:hAnsi="IRNazanin" w:eastAsia="IRNazanin"/>
          <w:color w:val="111111"/>
          <w:sz w:val="28"/>
          <w:sz w:val="28"/>
          <w:szCs w:val="28"/>
          <w:rtl w:val="true"/>
          <w:lang w:bidi="fa-IR"/>
        </w:rPr>
        <w:t>؛ لأنّ طلب الولد لیس حقّاً للزوج علی الزوجة و إن کان ذلک حکمة تشریع الزواج</w:t>
      </w:r>
    </w:p>
    <w:p>
      <w:pPr>
        <w:pStyle w:val="BookText"/>
        <w:rPr/>
      </w:pPr>
      <w:r>
        <w:rPr>
          <w:rFonts w:ascii="IRNazanin" w:hAnsi="IRNazanin" w:eastAsia="IRNazanin"/>
          <w:color w:val="111111"/>
          <w:sz w:val="28"/>
          <w:sz w:val="28"/>
          <w:szCs w:val="28"/>
          <w:rtl w:val="true"/>
          <w:lang w:bidi="fa-IR"/>
        </w:rPr>
        <w:t>و لکنّها غیر مطردة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لو کان ذلک حقّاً له بمقتضی الحکمة فیلزم بقاؤه مع الإذن و الاشتراط أیضاً، و هو خلاف النصّ و الفتوی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الزوج فهل له الامتناع من الإنجاب بدون رضا الزوجة به، فلعلّه مبنیّ علی الخلاف فی العزل من أنّه هل یشترط فی جواز العزل الإذن من الزوجة و رضاها به أم لا؟</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الشیخ فی النهایة</w:t>
      </w:r>
      <w:r>
        <w:rPr>
          <w:rStyle w:val="FootnoteAnchor"/>
          <w:rtl w:val="true"/>
        </w:rPr>
        <w:footnoteReference w:id="467"/>
      </w:r>
      <w:r>
        <w:rPr>
          <w:rFonts w:ascii="IRNazanin" w:hAnsi="IRNazanin" w:eastAsia="IRNazanin"/>
          <w:color w:val="111111"/>
          <w:sz w:val="28"/>
          <w:sz w:val="28"/>
          <w:szCs w:val="28"/>
          <w:rtl w:val="true"/>
          <w:lang w:bidi="fa-IR"/>
        </w:rPr>
        <w:t>و ابن البرّاج</w:t>
      </w:r>
      <w:r>
        <w:rPr>
          <w:rStyle w:val="FootnoteAnchor"/>
          <w:rtl w:val="true"/>
        </w:rPr>
        <w:footnoteReference w:id="468"/>
      </w:r>
      <w:r>
        <w:rPr>
          <w:rFonts w:ascii="IRNazanin" w:hAnsi="IRNazanin" w:eastAsia="IRNazanin"/>
          <w:color w:val="111111"/>
          <w:sz w:val="28"/>
          <w:sz w:val="28"/>
          <w:szCs w:val="28"/>
          <w:rtl w:val="true"/>
          <w:lang w:bidi="fa-IR"/>
        </w:rPr>
        <w:t>و ابن إدریس</w:t>
      </w:r>
      <w:r>
        <w:rPr>
          <w:rStyle w:val="FootnoteAnchor"/>
          <w:rtl w:val="true"/>
        </w:rPr>
        <w:footnoteReference w:id="469"/>
      </w:r>
      <w:r>
        <w:rPr>
          <w:rFonts w:ascii="Amiri" w:hAnsi="Amiri" w:eastAsia="Amiri" w:cs="Amiri"/>
          <w:color w:val="111111"/>
          <w:sz w:val="28"/>
          <w:sz w:val="28"/>
          <w:szCs w:val="28"/>
          <w:rtl w:val="true"/>
          <w:lang w:bidi="ar-SA"/>
        </w:rPr>
        <w:t>و المحقّق</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و العلاّمة</w:t>
      </w:r>
      <w:r>
        <w:rPr>
          <w:rStyle w:val="FootnoteAnchor"/>
          <w:rtl w:val="true"/>
        </w:rPr>
        <w:footnoteReference w:id="471"/>
      </w:r>
      <w:r>
        <w:rPr>
          <w:rFonts w:ascii="Amiri" w:hAnsi="Amiri" w:eastAsia="Amiri" w:cs="Amiri"/>
          <w:color w:val="111111"/>
          <w:sz w:val="28"/>
          <w:sz w:val="28"/>
          <w:szCs w:val="28"/>
          <w:rtl w:val="true"/>
          <w:lang w:bidi="ar-SA"/>
        </w:rPr>
        <w:t xml:space="preserve">و أکثر المتأخِّرین </w:t>
      </w:r>
      <w:r>
        <w:rPr>
          <w:rStyle w:val="FootnoteAnchor"/>
          <w:rtl w:val="true"/>
        </w:rPr>
        <w:footnoteReference w:id="4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أنّه مکروه إلاّ مع الإذن أو الاشتراط فی العقد؛ تمسّکاً بأصالة الإباحة، و بالأخبار المتقدّمة المستفیضة من الصحاح و الموثّقات، مثل صحیحة محمّد بن مسلم عن أحدهما علیهما السلام أنّه سُئل عن العزل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الأَمَة فلا بأس، فأمّا الحرّة فإنّی أکره ذلک إلاّ أن یشترط علیها حین یتزوّجها</w:t>
      </w:r>
      <w:r>
        <w:rPr>
          <w:rFonts w:eastAsia="IRNazanin" w:cs="IRNazanin"/>
          <w:color w:val="111111"/>
          <w:sz w:val="28"/>
          <w:szCs w:val="28"/>
          <w:rtl w:val="true"/>
          <w:lang w:bidi="fa-IR"/>
        </w:rPr>
        <w:t>»</w:t>
      </w:r>
      <w:r>
        <w:rPr>
          <w:rStyle w:val="FootnoteAnchor"/>
          <w:rtl w:val="true"/>
        </w:rPr>
        <w:footnoteReference w:id="4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أفتی الشیخ فی الخلاف بالتحریم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العزل عن الحرّة لا یجوز إلاّ برضاها، فمتی عزل بغیر رضاها أثِم</w:t>
      </w:r>
      <w:r>
        <w:rPr>
          <w:rFonts w:eastAsia="IRNazanin" w:cs="IRNazanin"/>
          <w:color w:val="111111"/>
          <w:sz w:val="28"/>
          <w:szCs w:val="28"/>
          <w:rtl w:val="true"/>
          <w:lang w:bidi="fa-IR"/>
        </w:rPr>
        <w:t>»</w:t>
      </w:r>
      <w:r>
        <w:rPr>
          <w:rStyle w:val="FootnoteAnchor"/>
          <w:rtl w:val="true"/>
        </w:rPr>
        <w:footnoteReference w:id="4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المبسوط‌</w:t>
      </w:r>
      <w:r>
        <w:rPr>
          <w:rStyle w:val="FootnoteAnchor"/>
          <w:rtl w:val="true"/>
        </w:rPr>
        <w:footnoteReference w:id="475"/>
      </w:r>
      <w:bookmarkStart w:id="198" w:name="pg11752_146143"/>
    </w:p>
    <w:p>
      <w:pPr>
        <w:pStyle w:val="BookText"/>
        <w:rPr/>
      </w:pPr>
      <w:bookmarkEnd w:id="198"/>
      <w:r>
        <w:rPr>
          <w:rFonts w:ascii="IRNazanin" w:hAnsi="IRNazanin" w:eastAsia="IRNazanin"/>
          <w:color w:val="111111"/>
          <w:sz w:val="28"/>
          <w:sz w:val="28"/>
          <w:szCs w:val="28"/>
          <w:rtl w:val="true"/>
          <w:lang w:bidi="fa-IR"/>
        </w:rPr>
        <w:t>و یوهم ذلک من کلام المفید</w:t>
      </w:r>
      <w:r>
        <w:rPr>
          <w:rStyle w:val="FootnoteAnchor"/>
          <w:rtl w:val="true"/>
        </w:rPr>
        <w:footnoteReference w:id="476"/>
      </w:r>
      <w:r>
        <w:rPr>
          <w:rFonts w:ascii="Amiri" w:hAnsi="Amiri" w:eastAsia="Amiri" w:cs="Amiri"/>
          <w:color w:val="111111"/>
          <w:sz w:val="28"/>
          <w:sz w:val="28"/>
          <w:szCs w:val="28"/>
          <w:rtl w:val="true"/>
          <w:lang w:bidi="ar-SA"/>
        </w:rPr>
        <w:t>و اختاره ابن حمزة</w:t>
      </w:r>
      <w:r>
        <w:rPr>
          <w:rStyle w:val="FootnoteAnchor"/>
          <w:rtl w:val="true"/>
        </w:rPr>
        <w:footnoteReference w:id="477"/>
      </w:r>
      <w:r>
        <w:rPr>
          <w:rFonts w:ascii="IRNazanin" w:hAnsi="IRNazanin" w:eastAsia="IRNazanin"/>
          <w:color w:val="111111"/>
          <w:sz w:val="28"/>
          <w:sz w:val="28"/>
          <w:szCs w:val="28"/>
          <w:rtl w:val="true"/>
          <w:lang w:bidi="fa-IR"/>
        </w:rPr>
        <w:t>و کذا الشهید فی اللمعة</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9" w:name="__RefHeading___Toc9423924_73709187"/>
      <w:bookmarkStart w:id="200" w:name="_Toc76"/>
      <w:bookmarkEnd w:id="199"/>
      <w:r>
        <w:rPr>
          <w:rtl w:val="true"/>
        </w:rPr>
        <w:t>أدلّة هذا الحکم</w:t>
      </w:r>
      <w:bookmarkEnd w:id="200"/>
    </w:p>
    <w:p>
      <w:pPr>
        <w:pStyle w:val="BookText"/>
        <w:rPr/>
      </w:pPr>
      <w:r>
        <w:rPr>
          <w:rFonts w:ascii="IRNazanin" w:hAnsi="IRNazanin" w:eastAsia="IRNazanin"/>
          <w:color w:val="111111"/>
          <w:sz w:val="28"/>
          <w:sz w:val="28"/>
          <w:szCs w:val="28"/>
          <w:rtl w:val="true"/>
          <w:lang w:bidi="fa-IR"/>
        </w:rPr>
        <w:t>یمکن أن یستدلّ لهذا الحکم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حکمة النکاح الاستیلاد، و لا یحصل غالباً مع العزل، فیکون منافیاً لغرض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انحصار الحکمة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أخصّ من المدّعی؛ لعدم جریانه فی الحامل و العقیم و الیائسة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تمّ لجری مع الإذن و الشرط أیضاً، إذ لیس للمرأة تفویت غرض الشارع، بل لا یکون الاشتراط 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الذی ادّعاه فی الخلاف</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أنّه غیر حجّة سیّما مع مخالفته للشهرة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النصوص، مثل صحیحة محمّد بن مسلم عن أبی جعفر علیه السلام و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ترضی أو یشترط ذلک علیها حین یتزوّجها</w:t>
      </w:r>
      <w:r>
        <w:rPr>
          <w:rFonts w:eastAsia="IRNazanin" w:cs="IRNazanin"/>
          <w:color w:val="111111"/>
          <w:sz w:val="28"/>
          <w:szCs w:val="28"/>
          <w:rtl w:val="true"/>
          <w:lang w:bidi="fa-IR"/>
        </w:rPr>
        <w:t>»</w:t>
      </w:r>
      <w:r>
        <w:rPr>
          <w:rStyle w:val="FootnoteAnchor"/>
          <w:rtl w:val="true"/>
        </w:rPr>
        <w:footnoteReference w:id="480"/>
      </w:r>
      <w:r>
        <w:rPr>
          <w:rFonts w:ascii="IRNazanin" w:hAnsi="IRNazanin" w:eastAsia="IRNazanin"/>
          <w:color w:val="111111"/>
          <w:sz w:val="28"/>
          <w:sz w:val="28"/>
          <w:szCs w:val="28"/>
          <w:rtl w:val="true"/>
          <w:lang w:bidi="fa-IR"/>
        </w:rPr>
        <w:t>و کذا صحیحة أخری له تقدّمت</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بقرینة نصوص أخری تدلّ علی الکراهة لا الحرمة</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النبویّین العامّیین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رسول اللّه صلی الله علیه و آله و سلم أن یعزل عن الحرّة إلاّ</w:t>
      </w:r>
      <w:bookmarkStart w:id="201" w:name="pg11752_146144"/>
    </w:p>
    <w:p>
      <w:pPr>
        <w:pStyle w:val="BookText"/>
        <w:rPr/>
      </w:pPr>
      <w:bookmarkEnd w:id="201"/>
      <w:r>
        <w:rPr>
          <w:rFonts w:ascii="IRNazanin" w:hAnsi="IRNazanin" w:eastAsia="IRNazanin"/>
          <w:color w:val="111111"/>
          <w:sz w:val="28"/>
          <w:sz w:val="28"/>
          <w:szCs w:val="28"/>
          <w:rtl w:val="true"/>
          <w:lang w:bidi="fa-IR"/>
        </w:rPr>
        <w:t>بإذنها</w:t>
      </w:r>
      <w:r>
        <w:rPr>
          <w:rFonts w:eastAsia="IRNazanin" w:cs="IRNazanin"/>
          <w:color w:val="111111"/>
          <w:sz w:val="28"/>
          <w:szCs w:val="28"/>
          <w:rtl w:val="true"/>
          <w:lang w:bidi="fa-IR"/>
        </w:rPr>
        <w:t>»</w:t>
      </w:r>
      <w:r>
        <w:rPr>
          <w:rStyle w:val="FootnoteAnchor"/>
          <w:rtl w:val="true"/>
        </w:rPr>
        <w:footnoteReference w:id="481"/>
      </w:r>
      <w:r>
        <w:rPr>
          <w:rFonts w:ascii="IRNazanin" w:hAnsi="IRNazanin" w:eastAsia="IRNazanin"/>
          <w:color w:val="111111"/>
          <w:sz w:val="28"/>
          <w:sz w:val="28"/>
          <w:szCs w:val="28"/>
          <w:rtl w:val="true"/>
          <w:lang w:bidi="fa-IR"/>
        </w:rPr>
        <w:t xml:space="preserve">و أیضاً قال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الوأد الخفی</w:t>
      </w:r>
      <w:r>
        <w:rPr>
          <w:rFonts w:eastAsia="IRNazanin" w:cs="IRNazanin"/>
          <w:color w:val="111111"/>
          <w:sz w:val="28"/>
          <w:szCs w:val="28"/>
          <w:rtl w:val="true"/>
          <w:lang w:bidi="fa-IR"/>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تثبت حجّیتها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روایة الجعفی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بالعزل فی ستّة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التی تیقّنت أنّها لا تلد، و المسنّة، و المرأة السلیطة، و البذیئة، و المرأة التی لا ترضع ولدها، و الأَمَة</w:t>
      </w:r>
      <w:r>
        <w:rPr>
          <w:rFonts w:eastAsia="IRNazanin" w:cs="IRNazanin"/>
          <w:color w:val="111111"/>
          <w:sz w:val="28"/>
          <w:szCs w:val="28"/>
          <w:rtl w:val="true"/>
          <w:lang w:bidi="fa-IR"/>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المفهوم إمّا عددی و إمّا وصفی، و شیء منهما لیس بحجّة کما أشار إلیه الفاضل النراقی</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فیه فواتاً للحقّ الذی للزوجة، و هو الالتذاذ، بل ربما کان فیه إیذاءً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الالتذاذ للزوجة لا یجب علی الزوج مراعاته، و أنّ الالتذاذ لها بإنزالها، لا بالإنزال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تسقط جمیع هذه الوجوه بالمعارضة مع ما تقدّم من الأدلّة الراجحة بالصراحة</w:t>
      </w:r>
      <w:r>
        <w:rPr>
          <w:rFonts w:eastAsia="IRNazanin" w:cs="IRNazanin"/>
          <w:color w:val="111111"/>
          <w:sz w:val="28"/>
          <w:szCs w:val="28"/>
          <w:rtl w:val="true"/>
          <w:lang w:bidi="fa-IR"/>
        </w:rPr>
        <w:t>.</w:t>
      </w:r>
    </w:p>
    <w:p>
      <w:pPr>
        <w:pStyle w:val="Heading5"/>
        <w:numPr>
          <w:ilvl w:val="4"/>
          <w:numId w:val="1"/>
        </w:numPr>
        <w:rPr/>
      </w:pPr>
      <w:bookmarkStart w:id="202" w:name="__RefHeading___Toc9423926_73709187"/>
      <w:bookmarkStart w:id="203" w:name="_Toc77"/>
      <w:bookmarkEnd w:id="202"/>
      <w:r>
        <w:rPr>
          <w:rtl w:val="true"/>
        </w:rPr>
        <w:t>تحدید النسل عند فقهاء أهل السنّة</w:t>
      </w:r>
      <w:bookmarkEnd w:id="203"/>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اتّفق جماهیر العلماء علی أنّه لا یجوز استعمال شیء من الوسائل التی من شأنها القضاء علی الغسل قضاءً مبرماً، بحیث لا یتمکّن الزوج أو الزوجة من الإنجاب و تؤدّی إلی العقم الدائم، سواء فی ذلک الرجل و المرأة، و سواء کان ذلک برضاهما أو بدونه، نصّ علی ذلک جماعة من الفقهاء</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و أمّا المنع من الحمل مؤقّتاً، فحیث إنّ حکمه الفقهی عندهم معتمد علی النتیجة التی تحصل فی خلال البحث عن مسألة العزل، فلا بدّ أن نشیر إلی تلک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الأئمّة الأربعة إلی أنّ السیّد یعزل عن أَمَته بلا إذنها، و أمّا حکم العزل عن الزوجة الحرّة فذهبوا إلی جواز عزل الرجل مائه عن زوجته مع الکراهة التنزیهیّة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اتّفق الأئمّة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و أحمد و أبو حنیفة علی أنّ ذلک مشروط برضا الزوجة، و اختلف أصحاب الشافعی فمنهم مَن وافق الجمهور فی هذا الشرط، و منهم من خالفه فأجازه بدون ذلک</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النووی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العزل هو مکروه عندنا فی کلّ حال و کلّ امرأة سواء رضیت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زوجته الحرّة فإن أُذِنت فیه لم یحرم و إلاّ فوجهان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أصحّهما لا یحرم</w:t>
      </w:r>
      <w:r>
        <w:rPr>
          <w:rFonts w:eastAsia="IRNazanin" w:cs="IRNazanin"/>
          <w:color w:val="111111"/>
          <w:sz w:val="28"/>
          <w:szCs w:val="28"/>
          <w:rtl w:val="true"/>
          <w:lang w:bidi="fa-IR"/>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علمت حکم العزل فلتعلم أنّه یقاس علیه کلّ ما یشبهه من الوسائل الحدیثة التی یتّقی بها الزوجان أو أحدهما الحمل؛ لأنّ هذه الوسائل تشترک مع العزل فی منع الحمل مؤقّتاً، و ذلک بمنع وصول ماء الرجل إلی رحم المرأة مع اختلاف الطرق و الوسائل التی تمنع من الحمل، کما أشار إلیه بعض مَن بحث عن حکم تحدید النسل فی فقه أهل السنّة</w:t>
      </w:r>
      <w:r>
        <w:rPr>
          <w:rStyle w:val="FootnoteAnchor"/>
          <w:rtl w:val="true"/>
        </w:rPr>
        <w:footnoteReference w:id="488"/>
      </w:r>
      <w:bookmarkStart w:id="204" w:name="pg11752_146146"/>
    </w:p>
    <w:p>
      <w:pPr>
        <w:pStyle w:val="Heading4"/>
        <w:numPr>
          <w:ilvl w:val="3"/>
          <w:numId w:val="1"/>
        </w:numPr>
        <w:rPr/>
      </w:pPr>
      <w:bookmarkStart w:id="205" w:name="__RefHeading___Toc9423928_73709187"/>
      <w:bookmarkStart w:id="206" w:name="_Toc78"/>
      <w:bookmarkEnd w:id="204"/>
      <w:bookmarkEnd w:id="205"/>
      <w:r>
        <w:rPr>
          <w:rtl w:val="true"/>
        </w:rPr>
        <w:t>المبحث الثانی</w:t>
      </w:r>
      <w:r>
        <w:rPr>
          <w:rtl w:val="true"/>
        </w:rPr>
        <w:t xml:space="preserve">: </w:t>
      </w:r>
      <w:r>
        <w:rPr>
          <w:rtl w:val="true"/>
        </w:rPr>
        <w:t>فی إجهاض الحَمل</w:t>
      </w:r>
      <w:bookmarkEnd w:id="206"/>
    </w:p>
    <w:p>
      <w:pPr>
        <w:pStyle w:val="Heading5"/>
        <w:numPr>
          <w:ilvl w:val="4"/>
          <w:numId w:val="1"/>
        </w:numPr>
        <w:rPr/>
      </w:pPr>
      <w:bookmarkStart w:id="207" w:name="__RefHeading___Toc9423930_73709187"/>
      <w:bookmarkStart w:id="208" w:name="_Toc79"/>
      <w:bookmarkEnd w:id="207"/>
      <w:r>
        <w:rPr>
          <w:rtl w:val="true"/>
        </w:rPr>
        <w:t xml:space="preserve">أ </w:t>
      </w:r>
      <w:r>
        <w:rPr>
          <w:rtl w:val="true"/>
        </w:rPr>
        <w:t xml:space="preserve">- </w:t>
      </w:r>
      <w:r>
        <w:rPr>
          <w:rtl w:val="true"/>
        </w:rPr>
        <w:t>الإجهاض لغةً و اصطلاحاً</w:t>
      </w:r>
      <w:r>
        <w:rPr>
          <w:rtl w:val="true"/>
        </w:rPr>
        <w:t>:</w:t>
      </w:r>
      <w:bookmarkEnd w:id="2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الجِهاض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من أجهضت الناقة و المرأة ولدها إجهاضاً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أسقطته ناقص الخلق</w:t>
      </w:r>
      <w:r>
        <w:rPr>
          <w:rFonts w:eastAsia="IRNazanin" w:cs="IRNazanin"/>
          <w:color w:val="111111"/>
          <w:sz w:val="28"/>
          <w:szCs w:val="28"/>
          <w:rtl w:val="true"/>
          <w:lang w:bidi="fa-IR"/>
        </w:rPr>
        <w:t>»</w:t>
      </w:r>
      <w:r>
        <w:rPr>
          <w:rStyle w:val="FootnoteAnchor"/>
          <w:rtl w:val="true"/>
        </w:rPr>
        <w:footnoteReference w:id="4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یستعمل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بدلاً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إجهاض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المعنی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السقط هو بالحرکات الثلاث، و الضمّ أکثر، الولد الذی یسقط من بطن امّه قبل تمام الحمل، فمنه تامّ و هو ما بلغ أربعة أشهر، و منه غیر تامّ و هو ما لم یبلغ الأربعة</w:t>
      </w:r>
      <w:r>
        <w:rPr>
          <w:rFonts w:eastAsia="IRNazanin" w:cs="IRNazanin"/>
          <w:color w:val="111111"/>
          <w:sz w:val="28"/>
          <w:szCs w:val="28"/>
          <w:rtl w:val="true"/>
          <w:lang w:bidi="fa-IR"/>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الجنین فی اللغة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ما دام فی الرحم، و عند الأطباء ثمرة الحمل فی الرحم إلی أن ینتهی الأسبوع الثامن یُسمّی جنیناً و بعده یدعی بالحمل</w:t>
      </w:r>
      <w:r>
        <w:rPr>
          <w:rFonts w:eastAsia="IRNazanin" w:cs="IRNazanin"/>
          <w:color w:val="111111"/>
          <w:sz w:val="28"/>
          <w:szCs w:val="28"/>
          <w:rtl w:val="true"/>
          <w:lang w:bidi="fa-IR"/>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ورد فی القرآن لفظ الجنین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أَعْلَمُ بِکُمْ إِذْ أَنْشَأَکُمْ مِنَ الْأَرْضِ وَ إِذْ أَنْتُمْ أَجِنَّةٌ فِی بُطُونِ أُمَّهاتِکُمْ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القرطبی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أَنْتُمْ أَجِنَّةٌ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جمع جنین و هو الولد ما دام فی البطن، سمّی جنیناً لاجتنانه و استتاره</w:t>
      </w:r>
      <w:r>
        <w:rPr>
          <w:rFonts w:eastAsia="Amiri" w:cs="Amiri" w:ascii="Amiri" w:hAnsi="Amiri"/>
          <w:color w:val="111111"/>
          <w:sz w:val="28"/>
          <w:szCs w:val="28"/>
          <w:rtl w:val="true"/>
          <w:lang w:bidi="ar-SA"/>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عرّف المفید رحمه الله الجنین بأنّه هو الصورة قبل أن تلجه الروح</w:t>
      </w:r>
      <w:r>
        <w:rPr>
          <w:rStyle w:val="FootnoteAnchor"/>
          <w:rtl w:val="true"/>
        </w:rPr>
        <w:footnoteReference w:id="493"/>
      </w:r>
      <w:bookmarkStart w:id="209" w:name="pg11752_146147"/>
    </w:p>
    <w:p>
      <w:pPr>
        <w:pStyle w:val="BookText"/>
        <w:rPr/>
      </w:pPr>
      <w:bookmarkEnd w:id="209"/>
      <w:r>
        <w:rPr>
          <w:rFonts w:ascii="IRNazanin" w:hAnsi="IRNazanin" w:eastAsia="IRNazanin"/>
          <w:color w:val="111111"/>
          <w:sz w:val="28"/>
          <w:sz w:val="28"/>
          <w:szCs w:val="28"/>
          <w:rtl w:val="true"/>
          <w:lang w:bidi="fa-IR"/>
        </w:rPr>
        <w:t xml:space="preserve">و لکن فیما سوی لفظ الإجهاض و إسقاط الجنین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تتبّعنا فی کلمات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نجد لهم اصطلاحاً خاصاً فی ذلک، و المقصود من إسقاط الجنین فی الاصطلاح الطبی هو الإخراج العمدی للحمل، أو خروج الحمل بنفسه قبل الموعد الطبیعی لأجل فعل عملته الاُمّ أو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کلّ تقدیر، فالذی ینبغی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المقصود من الإجهاض و إسقاط الجنین فی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یستفاد من الروایات </w:t>
      </w:r>
      <w:r>
        <w:rPr>
          <w:rStyle w:val="FootnoteAnchor"/>
          <w:rtl w:val="true"/>
        </w:rPr>
        <w:footnoteReference w:id="4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إخراج الجنین بعد تکوّنه فی الرحم بفعل من الأفعال، سواء کان علقة أو مضغة، أو کان له عظم و بنی علیه اللحم أو غیر ذلک</w:t>
      </w:r>
      <w:r>
        <w:rPr>
          <w:rFonts w:eastAsia="IRNazanin" w:cs="IRNazanin"/>
          <w:color w:val="111111"/>
          <w:sz w:val="28"/>
          <w:szCs w:val="28"/>
          <w:rtl w:val="true"/>
          <w:lang w:bidi="fa-IR"/>
        </w:rPr>
        <w:t>.</w:t>
      </w:r>
    </w:p>
    <w:p>
      <w:pPr>
        <w:pStyle w:val="Heading5"/>
        <w:numPr>
          <w:ilvl w:val="4"/>
          <w:numId w:val="1"/>
        </w:numPr>
        <w:rPr/>
      </w:pPr>
      <w:bookmarkStart w:id="210" w:name="__RefHeading___Toc9423932_73709187"/>
      <w:bookmarkStart w:id="211" w:name="_Toc80"/>
      <w:bookmarkEnd w:id="210"/>
      <w:r>
        <w:rPr>
          <w:rtl w:val="true"/>
        </w:rPr>
        <w:t xml:space="preserve">ب </w:t>
      </w:r>
      <w:r>
        <w:rPr>
          <w:rtl w:val="true"/>
        </w:rPr>
        <w:t xml:space="preserve">- </w:t>
      </w:r>
      <w:r>
        <w:rPr>
          <w:rtl w:val="true"/>
        </w:rPr>
        <w:t>حکم الإجهاض فقهیّاً</w:t>
      </w:r>
      <w:bookmarkEnd w:id="211"/>
    </w:p>
    <w:p>
      <w:pPr>
        <w:pStyle w:val="Heading6"/>
        <w:numPr>
          <w:ilvl w:val="5"/>
          <w:numId w:val="1"/>
        </w:numPr>
        <w:rPr/>
      </w:pPr>
      <w:bookmarkStart w:id="212" w:name="__RefHeading___Toc9423934_73709187"/>
      <w:bookmarkStart w:id="213" w:name="_Toc81"/>
      <w:bookmarkEnd w:id="212"/>
      <w:r>
        <w:rPr>
          <w:rtl w:val="true"/>
        </w:rPr>
        <w:t>اشارة</w:t>
      </w:r>
      <w:bookmarkEnd w:id="213"/>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ما عثرنا فی کلمات الفقهاء قد تعرّض بعضهم لبیان حکم الإجهاض، منهم الصدوق رحمه الله حیث ذکر روایة الإمام موسی بن جعفر علیه السلام التی تدلّ علی حرمة جواز سقی الدواء للمرأة بعد استقرار النطفة فی الرحم</w:t>
      </w:r>
      <w:r>
        <w:rPr>
          <w:rStyle w:val="FootnoteAnchor"/>
          <w:rtl w:val="true"/>
        </w:rPr>
        <w:footnoteReference w:id="495"/>
      </w:r>
      <w:r>
        <w:rPr>
          <w:rFonts w:ascii="IRNazanin" w:hAnsi="IRNazanin" w:eastAsia="IRNazanin"/>
          <w:color w:val="111111"/>
          <w:sz w:val="28"/>
          <w:sz w:val="28"/>
          <w:szCs w:val="28"/>
          <w:rtl w:val="true"/>
          <w:lang w:bidi="fa-IR"/>
        </w:rPr>
        <w:t>، و هو فی حکم رأیه علیه الرحمة حیث قال فی الفقیه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قصدت إلی إیراد ما أُفتی به و أحکم بصحّته و أعتقد فیه أنّه حجّة فیما بینی و بین ربّی</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و قد صرّح العلاّمة المجلسی بحرمة الإجهاض فی الروضة</w:t>
      </w:r>
      <w:r>
        <w:rPr>
          <w:rStyle w:val="FootnoteAnchor"/>
          <w:rtl w:val="true"/>
        </w:rPr>
        <w:footnoteReference w:id="497"/>
      </w:r>
      <w:r>
        <w:rPr>
          <w:rFonts w:ascii="IRNazanin" w:hAnsi="IRNazanin" w:eastAsia="IRNazanin"/>
          <w:color w:val="111111"/>
          <w:sz w:val="28"/>
          <w:sz w:val="28"/>
          <w:szCs w:val="28"/>
          <w:rtl w:val="true"/>
          <w:lang w:bidi="fa-IR"/>
        </w:rPr>
        <w:t>و کذا فی لوامعه</w:t>
      </w:r>
      <w:r>
        <w:rPr>
          <w:rStyle w:val="FootnoteAnchor"/>
          <w:rtl w:val="true"/>
        </w:rPr>
        <w:footnoteReference w:id="498"/>
      </w:r>
      <w:r>
        <w:rPr>
          <w:rFonts w:ascii="IRNazanin" w:hAnsi="IRNazanin" w:eastAsia="IRNazanin"/>
          <w:color w:val="111111"/>
          <w:sz w:val="28"/>
          <w:sz w:val="28"/>
          <w:szCs w:val="28"/>
          <w:rtl w:val="true"/>
          <w:lang w:bidi="fa-IR"/>
        </w:rPr>
        <w:t>، و یستفاد أیضاً ممّا عنونه صاحب الوسائل مقیّداً باحتمال الحمل</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و صرّح به أیضاً فی مرآة العقول</w:t>
      </w:r>
      <w:r>
        <w:rPr>
          <w:rStyle w:val="FootnoteAnchor"/>
          <w:rtl w:val="true"/>
        </w:rPr>
        <w:footnoteReference w:id="500"/>
      </w:r>
      <w:r>
        <w:rPr>
          <w:rFonts w:ascii="IRNazanin" w:hAnsi="IRNazanin" w:eastAsia="IRNazanin"/>
          <w:color w:val="111111"/>
          <w:sz w:val="28"/>
          <w:sz w:val="28"/>
          <w:szCs w:val="28"/>
          <w:rtl w:val="true"/>
          <w:lang w:bidi="fa-IR"/>
        </w:rPr>
        <w:t>و قال به أیضاً المحقّق الفقیه الشیخ الفاضل اللنکرانی</w:t>
      </w:r>
      <w:r>
        <w:rPr>
          <w:rStyle w:val="FootnoteAnchor"/>
          <w:rtl w:val="true"/>
        </w:rPr>
        <w:footnoteReference w:id="501"/>
      </w:r>
      <w:r>
        <w:rPr>
          <w:rFonts w:ascii="IRNazanin" w:hAnsi="IRNazanin" w:eastAsia="IRNazanin"/>
          <w:color w:val="111111"/>
          <w:sz w:val="28"/>
          <w:sz w:val="28"/>
          <w:szCs w:val="28"/>
          <w:rtl w:val="true"/>
          <w:lang w:bidi="fa-IR"/>
        </w:rPr>
        <w:t>و الفقیه ناصر المکارم</w:t>
      </w:r>
      <w:r>
        <w:rPr>
          <w:rStyle w:val="FootnoteAnchor"/>
          <w:rtl w:val="true"/>
        </w:rPr>
        <w:footnoteReference w:id="502"/>
      </w:r>
      <w:r>
        <w:rPr>
          <w:rFonts w:ascii="IRNazanin" w:hAnsi="IRNazanin" w:eastAsia="IRNazanin"/>
          <w:color w:val="111111"/>
          <w:sz w:val="28"/>
          <w:sz w:val="28"/>
          <w:szCs w:val="28"/>
          <w:rtl w:val="true"/>
          <w:lang w:bidi="fa-IR"/>
        </w:rPr>
        <w:t>و العلاّمة محمّد تقی الجعفری</w:t>
      </w:r>
      <w:r>
        <w:rPr>
          <w:rStyle w:val="FootnoteAnchor"/>
          <w:rtl w:val="true"/>
        </w:rPr>
        <w:footnoteReference w:id="503"/>
      </w:r>
      <w:r>
        <w:rPr>
          <w:rFonts w:ascii="IRNazanin" w:hAnsi="IRNazanin" w:eastAsia="IRNazanin"/>
          <w:color w:val="111111"/>
          <w:sz w:val="28"/>
          <w:sz w:val="28"/>
          <w:szCs w:val="28"/>
          <w:rtl w:val="true"/>
          <w:lang w:bidi="fa-IR"/>
        </w:rPr>
        <w:t>، و کذا الشیخ الفقیه محمّد المؤمن القمّی</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 یلزم أن یبحث فی الإجهاض من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حکمه من حیث حرمة ارتکابه فی حدّ نفسه، و هنا أیضاً جهتان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الإجهاض فی حدّ نفسه و مع قطع النظر عن اللواحق، و قد عقدنا هذا المبحث للتحقیق عن الإجهاض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فیه مع اللواحق، کأن یحصل تزاحم بین حیاة الاُمّ و الجنین و بالعکس، و عقدنا المبحث الثانی من هذا الفصل للتحقیق فی ذلک</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إنّ الإجهاض قتل مطلقاً، أو فی صورة ولوج الروح فی الجنین، و حکم دیة الجنین من حیث المقدار، و ما شابه ذلک، و نبحث فیه من هذه الجهة فی الباب الخامس عشر من هذا الکتاب</w:t>
      </w:r>
      <w:r>
        <w:rPr>
          <w:rFonts w:eastAsia="IRNazanin" w:cs="IRNazanin"/>
          <w:color w:val="111111"/>
          <w:sz w:val="28"/>
          <w:szCs w:val="28"/>
          <w:rtl w:val="true"/>
          <w:lang w:bidi="fa-IR"/>
        </w:rPr>
        <w:t>.</w:t>
      </w:r>
      <w:bookmarkStart w:id="214" w:name="pg11752_146149"/>
    </w:p>
    <w:p>
      <w:pPr>
        <w:pStyle w:val="Heading6"/>
        <w:numPr>
          <w:ilvl w:val="5"/>
          <w:numId w:val="1"/>
        </w:numPr>
        <w:rPr/>
      </w:pPr>
      <w:bookmarkStart w:id="215" w:name="__RefHeading___Toc9423936_73709187"/>
      <w:bookmarkStart w:id="216" w:name="_Toc82"/>
      <w:bookmarkEnd w:id="214"/>
      <w:bookmarkEnd w:id="215"/>
      <w:r>
        <w:rPr>
          <w:rtl w:val="true"/>
        </w:rPr>
        <w:t>حرمة الإجهاض</w:t>
      </w:r>
      <w:bookmarkEnd w:id="216"/>
    </w:p>
    <w:p>
      <w:pPr>
        <w:pStyle w:val="BookText"/>
        <w:rPr/>
      </w:pPr>
      <w:r>
        <w:rPr>
          <w:rFonts w:ascii="IRNazanin" w:hAnsi="IRNazanin" w:eastAsia="IRNazanin"/>
          <w:color w:val="111111"/>
          <w:sz w:val="28"/>
          <w:sz w:val="28"/>
          <w:szCs w:val="28"/>
          <w:rtl w:val="true"/>
          <w:lang w:bidi="fa-IR"/>
        </w:rPr>
        <w:t>لا شکّ فی أنّ الإجهاض و إسقاط الجنین فی حدّ نفسه حرام، و لا یجوز للحامل و غیرها إسقاط ما فی رحمها، و یدلّ علی ذلک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الأدلّة العامة التی تدلّ علی حرمة قتل النفس المحترمة؛ لأنّ إسقاط الجنین إذا ولجت فیه الروح یطلق علیه القتل عرفاً و شرعاً، فیصحّ أن یقال لمن أسقط الجنین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قاتل، فتشمله الإطلاقات التی تدلّ علی حرمة القتل من الکتاب 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الإنصاف أنّ هذا الدلیل لا یجری فی جمیع موارد الإجهاض، مثل إخراج المنی عن رحم المرأة بعد استقراره فیه فی الأیّام الأولی من المجامعة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العمدة، الروایات الخاصّة التی کانت بحدّ الاستفاضة بل التواتر المعنوی، 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صحیحة أبی عبیدة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امرأةٍ شربت دواءً و هی حامل، و لم یعلم بذلک زوجها، فألقت ولدها،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له عظم و قد نبت علیه اللحم علیها دیة تُسلّمها إلی أبیه، و إن کان حین طرحته علقة أو مضغة فإنّ علیها أربعین دیناراً أو غرة</w:t>
      </w:r>
      <w:r>
        <w:rPr>
          <w:rStyle w:val="FootnoteAnchor"/>
          <w:rtl w:val="true"/>
        </w:rPr>
        <w:footnoteReference w:id="505"/>
      </w:r>
      <w:r>
        <w:rPr>
          <w:rFonts w:ascii="IRNazanin" w:hAnsi="IRNazanin" w:eastAsia="IRNazanin"/>
          <w:color w:val="111111"/>
          <w:sz w:val="28"/>
          <w:sz w:val="28"/>
          <w:szCs w:val="28"/>
          <w:rtl w:val="true"/>
          <w:lang w:bidi="fa-IR"/>
        </w:rPr>
        <w:t>تؤدّیها إلی أبیه،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لا ترث ولدها من دیته مع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لأنَّها قتلته فلا ترثه</w:t>
      </w:r>
      <w:r>
        <w:rPr>
          <w:rFonts w:eastAsia="IRNazanin" w:cs="IRNazanin"/>
          <w:color w:val="111111"/>
          <w:sz w:val="28"/>
          <w:szCs w:val="28"/>
          <w:rtl w:val="true"/>
          <w:lang w:bidi="fa-IR"/>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الدلالة واضحة</w:t>
      </w:r>
      <w:r>
        <w:rPr>
          <w:rStyle w:val="FootnoteAnchor"/>
          <w:rtl w:val="true"/>
        </w:rPr>
        <w:footnoteReference w:id="507"/>
      </w:r>
      <w:r>
        <w:rPr>
          <w:rFonts w:ascii="IRNazanin" w:hAnsi="IRNazanin" w:eastAsia="IRNazanin"/>
          <w:color w:val="111111"/>
          <w:sz w:val="28"/>
          <w:sz w:val="28"/>
          <w:szCs w:val="28"/>
          <w:rtl w:val="true"/>
          <w:lang w:bidi="fa-IR"/>
        </w:rPr>
        <w:t>حیث حکم الإمام علیه السلام بأنّ الإجهاض قتل، و بمنع القاتل</w:t>
      </w:r>
    </w:p>
    <w:p>
      <w:pPr>
        <w:pStyle w:val="BookText"/>
        <w:rPr/>
      </w:pPr>
      <w:r>
        <w:rPr>
          <w:rFonts w:ascii="IRNazanin" w:hAnsi="IRNazanin" w:eastAsia="IRNazanin"/>
          <w:color w:val="111111"/>
          <w:sz w:val="28"/>
          <w:sz w:val="28"/>
          <w:szCs w:val="28"/>
          <w:rtl w:val="true"/>
          <w:lang w:bidi="fa-IR"/>
        </w:rPr>
        <w:t>من الدیة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صحیحة رفاعة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أشتری الجاریة فربّما احتبس طمثُها من فساد دم أو ریحٍ فی الرحم، فتسقی الدواء لذلک، فتطمث من یومها، أ فیجوز لی ذلک، و أنا لا أدری ذلک من حبلٍ هو أو من غیره؟</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تفعل ذلک،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إنّما ارتفع طمثُها منها شهراً، و لو کان ذلک من حبل إنّما کان نطفةً کنطفة الرجل الذی یعزل؟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النطفة إذا وقعت فی الرحم تصیر إلی علقة ثمّ إلی مضغة ثمّ إلی ما شاء اللّه، و إنّ النطفة إذا وقعت فی غیر الرحم لم یخلق منها شیء، فلا تسقها دواء إذا ارتفع طمثها شهراً و جاز وقتها الذی کانت تطمث فیه</w:t>
      </w:r>
      <w:r>
        <w:rPr>
          <w:rFonts w:eastAsia="IRNazanin" w:cs="IRNazanin"/>
          <w:color w:val="111111"/>
          <w:sz w:val="28"/>
          <w:szCs w:val="28"/>
          <w:rtl w:val="true"/>
          <w:lang w:bidi="fa-IR"/>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نهی الإمام علیه السلام عن سقی الدواء للطمث، و إخراج النطفة من الرحم، و لو کان فی أوائل أیّام المجامعة و فی صورة المنی أو المضغة، فهو دلیل علی حرمة الإجهاض مطلقاً، أی من بدء استقرار المنی فی الرحم إلی أن تلج الروح فیه و یخلق علی صورة إنسان، و هو المطلوب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موثقة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تخاف الحبل فتشرب الدواء فتلقی ما فی بطنها،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نطفة،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ما یخلق نطفة</w:t>
      </w:r>
      <w:r>
        <w:rPr>
          <w:rFonts w:eastAsia="IRNazanin" w:cs="IRNazanin"/>
          <w:color w:val="111111"/>
          <w:sz w:val="28"/>
          <w:szCs w:val="28"/>
          <w:rtl w:val="true"/>
          <w:lang w:bidi="fa-IR"/>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دلالتها کسابقتها ظاهرة فی عدم جواز الإجهاض و إن رضی به الزوجان</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النصوص التی حکم فیها بوجوب الدیة علی مَن أسقط الجنین، مثل خبر حسین بن مهران، عن أبی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امرأةٍ دخل علیها لُصّ</w:t>
      </w:r>
    </w:p>
    <w:p>
      <w:pPr>
        <w:pStyle w:val="BookText"/>
        <w:rPr/>
      </w:pPr>
      <w:r>
        <w:rPr>
          <w:rFonts w:ascii="IRNazanin" w:hAnsi="IRNazanin" w:eastAsia="IRNazanin"/>
          <w:color w:val="111111"/>
          <w:sz w:val="28"/>
          <w:sz w:val="28"/>
          <w:szCs w:val="28"/>
          <w:rtl w:val="true"/>
          <w:lang w:bidi="fa-IR"/>
        </w:rPr>
        <w:t>و هی حُبلی، فوقع علیها فقتل ما فی بطنها، فوثبت المرأة علی اللصّ فقتلته،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المرأة التی قتلت فلیس علیها شیء، ودیة سخلتها علی عصبة المقتول السارق</w:t>
      </w:r>
      <w:r>
        <w:rPr>
          <w:rFonts w:eastAsia="IRNazanin" w:cs="IRNazanin"/>
          <w:color w:val="111111"/>
          <w:sz w:val="28"/>
          <w:szCs w:val="28"/>
          <w:rtl w:val="true"/>
          <w:lang w:bidi="fa-IR"/>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مثله صحیحة أبی حمزة، عن أبی جعفر علیه السلام</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خبر محمد بن فضیل، عن الرضا علیه السلام</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أبی سیّار، عن أبی عبد اللّه علیه السلام</w:t>
      </w:r>
      <w:r>
        <w:rPr>
          <w:rStyle w:val="FootnoteAnchor"/>
          <w:rtl w:val="true"/>
        </w:rPr>
        <w:footnoteReference w:id="5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الإمام علیه السلام فیها بوجوب الدیة وضعاً علی من قتل الجنین،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الحکم الوضعی ینتزع من الحکم التکلیفی، فلا کلام فی أنّ هذه النصوص دلیل علی حرمة الإجهاض تکلیفاً، و إن لم نقل به أیضاً، فیعلم منها الحرمة أیضاً؛ لأنّه أطلق القتل علی الإجهاض فی کلام السائل، و الإمام علیه السلام لم یردّه بأن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قتلاً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بأنّ القتل</w:t>
      </w:r>
      <w:r>
        <w:rPr>
          <w:rStyle w:val="FootnoteAnchor"/>
          <w:rtl w:val="true"/>
        </w:rPr>
        <w:footnoteReference w:id="512"/>
      </w:r>
      <w:r>
        <w:rPr>
          <w:rFonts w:ascii="IRNazanin" w:hAnsi="IRNazanin" w:eastAsia="IRNazanin"/>
          <w:color w:val="111111"/>
          <w:sz w:val="28"/>
          <w:sz w:val="28"/>
          <w:szCs w:val="28"/>
          <w:rtl w:val="true"/>
          <w:lang w:bidi="fa-IR"/>
        </w:rPr>
        <w:t xml:space="preserve">الذی یصیر موجباً للدیة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الفرض أنّه صدر عمداً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عقلاً و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بتعبیر آخر ترک الاستفصال فی کلام الإمام علیه السلام دلیل علی حرمة الإجهاض</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یؤیّد بل یدلّ علی هذا الحکم أیضاً الروایات التی تدلّ علی وجوب تأخیر الحدّ</w:t>
      </w:r>
      <w:r>
        <w:rPr>
          <w:rStyle w:val="FootnoteAnchor"/>
          <w:rtl w:val="true"/>
        </w:rPr>
        <w:footnoteReference w:id="513"/>
      </w:r>
      <w:r>
        <w:rPr>
          <w:rFonts w:ascii="IRNazanin" w:hAnsi="IRNazanin" w:eastAsia="IRNazanin"/>
          <w:color w:val="111111"/>
          <w:sz w:val="28"/>
          <w:sz w:val="28"/>
          <w:szCs w:val="28"/>
          <w:rtl w:val="true"/>
          <w:lang w:bidi="fa-IR"/>
        </w:rPr>
        <w:t>أو القصاص</w:t>
      </w:r>
      <w:r>
        <w:rPr>
          <w:rStyle w:val="FootnoteAnchor"/>
          <w:rtl w:val="true"/>
        </w:rPr>
        <w:footnoteReference w:id="514"/>
      </w:r>
      <w:r>
        <w:rPr>
          <w:rFonts w:ascii="IRNazanin" w:hAnsi="IRNazanin" w:eastAsia="IRNazanin"/>
          <w:color w:val="111111"/>
          <w:sz w:val="28"/>
          <w:sz w:val="28"/>
          <w:szCs w:val="28"/>
          <w:rtl w:val="true"/>
          <w:lang w:bidi="fa-IR"/>
        </w:rPr>
        <w:t>عن الحامل بسبب الحمل، التی سنذکرها قریباً فی البحث عن حکم تأخیر الحدّ أو القصاص عن الحامل حتی تضع و ترضع الولد</w:t>
      </w:r>
      <w:r>
        <w:rPr>
          <w:rFonts w:eastAsia="IRNazanin" w:cs="IRNazanin"/>
          <w:color w:val="111111"/>
          <w:sz w:val="28"/>
          <w:szCs w:val="28"/>
          <w:rtl w:val="true"/>
          <w:lang w:bidi="fa-IR"/>
        </w:rPr>
        <w:t>.</w:t>
      </w:r>
      <w:bookmarkStart w:id="217" w:name="pg11752_146152"/>
    </w:p>
    <w:p>
      <w:pPr>
        <w:pStyle w:val="BookText"/>
        <w:rPr/>
      </w:pPr>
      <w:bookmarkEnd w:id="217"/>
      <w:r>
        <w:rPr>
          <w:rFonts w:ascii="IRNazanin" w:hAnsi="IRNazanin" w:eastAsia="IRNazanin"/>
          <w:color w:val="111111"/>
          <w:sz w:val="28"/>
          <w:sz w:val="28"/>
          <w:szCs w:val="28"/>
          <w:rtl w:val="true"/>
          <w:lang w:bidi="fa-IR"/>
        </w:rPr>
        <w:t>فتحصّل ممّا ذکرنا أنّ الإجهاض و إسقاط الجنین حرام فی حدّ نفسه فی جمیع مراتب السقط، ولجت فیه الروح أم لم تلج، بل و لو کان فی أوائل أیّام</w:t>
      </w:r>
      <w:r>
        <w:rPr>
          <w:rStyle w:val="FootnoteAnchor"/>
          <w:rtl w:val="true"/>
        </w:rPr>
        <w:footnoteReference w:id="515"/>
      </w:r>
      <w:r>
        <w:rPr>
          <w:rFonts w:ascii="IRNazanin" w:hAnsi="IRNazanin" w:eastAsia="IRNazanin"/>
          <w:color w:val="111111"/>
          <w:sz w:val="28"/>
          <w:sz w:val="28"/>
          <w:szCs w:val="28"/>
          <w:rtl w:val="true"/>
          <w:lang w:bidi="fa-IR"/>
        </w:rPr>
        <w:t>المجامعة، و کان المنی بصورته الأوّلیة أو العلقة و المضغة، و یستفاد هذا المعنی من کلام الصدوق رحمه الله فی الفقیه</w:t>
      </w:r>
      <w:r>
        <w:rPr>
          <w:rStyle w:val="FootnoteAnchor"/>
          <w:rtl w:val="true"/>
        </w:rPr>
        <w:footnoteReference w:id="516"/>
      </w:r>
      <w:r>
        <w:rPr>
          <w:rFonts w:ascii="IRNazanin" w:hAnsi="IRNazanin" w:eastAsia="IRNazanin"/>
          <w:color w:val="111111"/>
          <w:sz w:val="28"/>
          <w:sz w:val="28"/>
          <w:szCs w:val="28"/>
          <w:rtl w:val="true"/>
          <w:lang w:bidi="fa-IR"/>
        </w:rPr>
        <w:t>و المجلسی رحمه الله فی روضة المتقین</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18" w:name="__RefHeading___Toc9423938_73709187"/>
      <w:bookmarkStart w:id="219" w:name="_Toc83"/>
      <w:bookmarkEnd w:id="218"/>
      <w:r>
        <w:rPr>
          <w:rtl w:val="true"/>
        </w:rPr>
        <w:t>حکم الإجهاض عند فقهاء أهل السنّة</w:t>
      </w:r>
      <w:bookmarkEnd w:id="219"/>
    </w:p>
    <w:p>
      <w:pPr>
        <w:pStyle w:val="BookText"/>
        <w:rPr/>
      </w:pPr>
      <w:r>
        <w:rPr>
          <w:rFonts w:ascii="IRNazanin" w:hAnsi="IRNazanin" w:eastAsia="IRNazanin"/>
          <w:color w:val="111111"/>
          <w:sz w:val="28"/>
          <w:sz w:val="28"/>
          <w:szCs w:val="28"/>
          <w:rtl w:val="true"/>
          <w:lang w:bidi="fa-IR"/>
        </w:rPr>
        <w:t>یستفاد من إطلاق کلمات فقهاء أهل السنّة تحریم الإجهاض بعد نفخ الروح فی الجنین، و یشمل ما لو کان فی بقائه خطر علی حیاة الاُم و ما لو لم یکن کذلک</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محمد علیش المالکی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یجوز إخراج المنی المتکوّن فی الرحم و لو قبل الأربعین یوماً، و إذا نفخت فیه الروح حرم إجماعاً</w:t>
      </w:r>
      <w:r>
        <w:rPr>
          <w:rFonts w:eastAsia="IRNazanin" w:cs="IRNazanin"/>
          <w:color w:val="111111"/>
          <w:sz w:val="28"/>
          <w:szCs w:val="28"/>
          <w:rtl w:val="true"/>
          <w:lang w:bidi="fa-IR"/>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عابدین من فقهاء الحنفیة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الجنین حیّاً و یخشی علی حیاة الاُمّ من بقائه، فإنّه لا یجوز تقطیعه؛ لأنّ موت الاُمّ به موهوم، فلا یجوز قتل آدمی لأمرٍ موهوم</w:t>
      </w:r>
      <w:r>
        <w:rPr>
          <w:rFonts w:eastAsia="IRNazanin" w:cs="IRNazanin"/>
          <w:color w:val="111111"/>
          <w:sz w:val="28"/>
          <w:szCs w:val="28"/>
          <w:rtl w:val="true"/>
          <w:lang w:bidi="fa-IR"/>
        </w:rPr>
        <w:t>»</w:t>
      </w:r>
      <w:r>
        <w:rPr>
          <w:rStyle w:val="FootnoteAnchor"/>
          <w:rtl w:val="true"/>
        </w:rPr>
        <w:footnoteReference w:id="5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نصّ صاحب النیابة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التعرّض للجنین إذا استبان بعض خلقه، فإذا تمیّز عن العلقة و الدم أصبح نفساً، و لا شکّ بأنّ حرمة الدم مصونة بالإجماع، و بنصّ القرآن الکریم</w:t>
      </w:r>
      <w:r>
        <w:rPr>
          <w:rStyle w:val="FootnoteAnchor"/>
          <w:rtl w:val="true"/>
        </w:rPr>
        <w:footnoteReference w:id="521"/>
      </w:r>
      <w:r>
        <w:rPr>
          <w:rFonts w:ascii="IRNazanin" w:hAnsi="IRNazanin" w:eastAsia="IRNazanin"/>
          <w:color w:val="111111"/>
          <w:sz w:val="28"/>
          <w:sz w:val="28"/>
          <w:szCs w:val="28"/>
          <w:rtl w:val="true"/>
          <w:lang w:bidi="fa-IR"/>
        </w:rPr>
        <w:t>، و قد نقل الإجماع علی حرمة الإجهاض</w:t>
      </w:r>
    </w:p>
    <w:p>
      <w:pPr>
        <w:pStyle w:val="BookText"/>
        <w:rPr/>
      </w:pPr>
      <w:r>
        <w:rPr>
          <w:rFonts w:ascii="IRNazanin" w:hAnsi="IRNazanin" w:eastAsia="IRNazanin"/>
          <w:color w:val="111111"/>
          <w:sz w:val="28"/>
          <w:sz w:val="28"/>
          <w:szCs w:val="28"/>
          <w:rtl w:val="true"/>
          <w:lang w:bidi="fa-IR"/>
        </w:rPr>
        <w:t>بعد نفخ الروح أیضاً فی الفقه الإسلامی و أدلّته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اتّفق العلماء علی تحریم الإجهاض دون 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إزهاق نفس و قتل إنسان</w:t>
      </w:r>
      <w:r>
        <w:rPr>
          <w:rFonts w:eastAsia="IRNazanin" w:cs="IRNazanin"/>
          <w:color w:val="111111"/>
          <w:sz w:val="28"/>
          <w:szCs w:val="28"/>
          <w:rtl w:val="true"/>
          <w:lang w:bidi="fa-IR"/>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الإجهاض قبل نفخ الروح ففیه أقوال متعدّدة حتّی فی المذهب الواحد، فمنهم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یقول بالإباحة مطلقاً، و هو ما ذکره بعض الحنفیة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النهر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یباح الإسقاط بعد الحمل؟ نعم، یباح ما لم یتخلّق منه شیء، و لن یکون ذلک بعد مائة و عشرین یوماً</w:t>
      </w:r>
      <w:r>
        <w:rPr>
          <w:rFonts w:eastAsia="IRNazanin" w:cs="IRNazanin"/>
          <w:color w:val="111111"/>
          <w:sz w:val="28"/>
          <w:szCs w:val="28"/>
          <w:rtl w:val="true"/>
          <w:lang w:bidi="fa-IR"/>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أیضاً قول بعض من المالکیة، و هکذا عند الحنابلة فی أوّل مراحل الحمل إذ أجازوا للمرأة شرب الدواء المباح لإلقاء نطفة لا علقة</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الإنصاف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شرب الدواء لإسقاط نطفة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الوجیز و قدَّمه فی الفروع، و قال ابن الجوزی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کلام ابن عقیل فی الفنون أنّه یجوز إسقاطه قبل أن ینفخ فیه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الأحوط أنّ المرأة لا تستعمل دواء یمنع المنی فی مجاری الحبل</w:t>
      </w:r>
      <w:r>
        <w:rPr>
          <w:rFonts w:eastAsia="IRNazanin" w:cs="IRNazanin"/>
          <w:color w:val="111111"/>
          <w:sz w:val="28"/>
          <w:szCs w:val="28"/>
          <w:rtl w:val="true"/>
          <w:lang w:bidi="fa-IR"/>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بالإباحة لعذر فقط، و هو حقیقة مذهب الحنفیة، فلا یجوز لغیر الضرورة، قال ابن وهبان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إباحة الإسقاط محمولة علی حالة الضرورة</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بالکراهة مطلقاً، و به قال بعض الحنفیة، فقد نقل ابن عابدین أنّه یکره الإلقاء قبل مضی زمنٍ تنفخ فیه الروح</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 من قال بالتحریم، و هو المعتمد عند المالکیّة، کما نقل ابن رشد أنّ مالکاً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طرحته المرأة بجنایة من مضغة أو علقة ممّا یعلم أنّه ولد ففیه الغرة،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استحسن مالک الکفارة مع الغرة</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القول بالتحریم هو الأوجه عند الشافعیة أیضاً؛ لأنّ النطفة بعد الاستقرار آئلة إلی التخلّق مهیّأة لنفخ الروح</w:t>
      </w:r>
      <w:r>
        <w:rPr>
          <w:rStyle w:val="FootnoteAnchor"/>
          <w:rtl w:val="true"/>
        </w:rPr>
        <w:footnoteReference w:id="529"/>
      </w:r>
      <w:r>
        <w:rPr>
          <w:rFonts w:ascii="IRNazanin" w:hAnsi="IRNazanin" w:eastAsia="IRNazanin"/>
          <w:color w:val="111111"/>
          <w:sz w:val="28"/>
          <w:sz w:val="28"/>
          <w:szCs w:val="28"/>
          <w:rtl w:val="true"/>
          <w:lang w:bidi="fa-IR"/>
        </w:rPr>
        <w:t>، و هو مذهب الحنابلة مطلقاً، کما ذکره ابن الجوزی، و هو ظاهر کلام ابن عقیل، و ما یشعر به کلام ابن قدامة و غیره بعد مرحلة النطفة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التحریم عندهم أنّ الإجهاض مطلقاً جنایة علی موجود حاصل، کما أشار إلیه فی الفقه الإسلامی و أدلّته</w:t>
      </w:r>
      <w:r>
        <w:rPr>
          <w:rStyle w:val="FootnoteAnchor"/>
          <w:rtl w:val="true"/>
        </w:rPr>
        <w:footnoteReference w:id="530"/>
      </w:r>
      <w:r>
        <w:rPr>
          <w:rFonts w:ascii="IRNazanin" w:hAnsi="IRNazanin" w:eastAsia="IRNazanin"/>
          <w:color w:val="111111"/>
          <w:sz w:val="28"/>
          <w:sz w:val="28"/>
          <w:szCs w:val="28"/>
          <w:rtl w:val="true"/>
          <w:lang w:bidi="fa-IR"/>
        </w:rPr>
        <w:t xml:space="preserve">، و نقل فی أحکام المرأة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الإجهاض و إفساد النطفة جنایة، فإن کانت مضغة و علقة کانت الجنایة أفحش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وجه الکراهة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الماء بعد ما وقع فی الرحم مآله الحیاة، فیکون له حکم الحیاة کما فی بیضة صید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أضاف بأنّهم إنّما أباحوا لها إفساد الحمل باستنزال الدم لأنّه لیس بآدمی فیباح</w:t>
      </w:r>
      <w:r>
        <w:rPr>
          <w:rFonts w:eastAsia="IRNazanin" w:cs="IRNazanin"/>
          <w:color w:val="111111"/>
          <w:sz w:val="28"/>
          <w:szCs w:val="28"/>
          <w:rtl w:val="true"/>
          <w:lang w:bidi="fa-IR"/>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ضعفه ظاهر؛ لأنّه إن کانت للنطفة التی وقعت فی الرحم حکم الحیاة فلم یجوز إفسادها؟</w:t>
      </w:r>
      <w:bookmarkStart w:id="220" w:name="pg11752_146155"/>
    </w:p>
    <w:p>
      <w:pPr>
        <w:pStyle w:val="Heading4"/>
        <w:numPr>
          <w:ilvl w:val="3"/>
          <w:numId w:val="1"/>
        </w:numPr>
        <w:rPr/>
      </w:pPr>
      <w:bookmarkStart w:id="221" w:name="__RefHeading___Toc9423940_73709187"/>
      <w:bookmarkStart w:id="222" w:name="_Toc84"/>
      <w:bookmarkEnd w:id="220"/>
      <w:bookmarkEnd w:id="221"/>
      <w:r>
        <w:rPr>
          <w:rtl w:val="true"/>
        </w:rPr>
        <w:t>المبحث الثالث</w:t>
      </w:r>
      <w:r>
        <w:rPr>
          <w:rtl w:val="true"/>
        </w:rPr>
        <w:t xml:space="preserve">: </w:t>
      </w:r>
      <w:r>
        <w:rPr>
          <w:rtl w:val="true"/>
        </w:rPr>
        <w:t>فی تزاحم الحقّین</w:t>
      </w:r>
      <w:bookmarkEnd w:id="222"/>
    </w:p>
    <w:p>
      <w:pPr>
        <w:pStyle w:val="Heading5"/>
        <w:numPr>
          <w:ilvl w:val="4"/>
          <w:numId w:val="1"/>
        </w:numPr>
        <w:rPr/>
      </w:pPr>
      <w:bookmarkStart w:id="223" w:name="__RefHeading___Toc9423942_73709187"/>
      <w:bookmarkStart w:id="224" w:name="_Toc85"/>
      <w:bookmarkEnd w:id="223"/>
      <w:r>
        <w:rPr>
          <w:rtl w:val="true"/>
        </w:rPr>
        <w:t>اشارة</w:t>
      </w:r>
      <w:bookmarkEnd w:id="224"/>
    </w:p>
    <w:p>
      <w:pPr>
        <w:pStyle w:val="BookText"/>
        <w:rPr/>
      </w:pPr>
      <w:r>
        <w:rPr>
          <w:rFonts w:ascii="IRNazanin" w:hAnsi="IRNazanin" w:eastAsia="IRNazanin"/>
          <w:color w:val="111111"/>
          <w:sz w:val="28"/>
          <w:sz w:val="28"/>
          <w:szCs w:val="28"/>
          <w:rtl w:val="true"/>
          <w:lang w:bidi="fa-IR"/>
        </w:rPr>
        <w:t>ربما یتّفق أن تزاحم حیاةُ الحمل حیاةَ أُمّه، و خِیفَ علی الحامل أو طفلها التلف، بأن علم أنّ کلیهما لا یبقیان حیّاً، بل یموت أحدهما لا محالة، إلاّ أنّه لو أُخرج الولد خیف علیه من الموت، و لو لم یخرج الولد خیف علی أمّه فی هذه الحالة، فهل تقدّم الاُمّ، أم الحمل، أو لا یمکن ترجیح أحدهما علی الآخر؟</w:t>
      </w:r>
    </w:p>
    <w:p>
      <w:pPr>
        <w:pStyle w:val="BookText"/>
        <w:rPr/>
      </w:pPr>
      <w:r>
        <w:rPr>
          <w:rFonts w:ascii="IRNazanin" w:hAnsi="IRNazanin" w:eastAsia="IRNazanin"/>
          <w:color w:val="111111"/>
          <w:sz w:val="28"/>
          <w:sz w:val="28"/>
          <w:szCs w:val="28"/>
          <w:rtl w:val="true"/>
          <w:lang w:bidi="fa-IR"/>
        </w:rPr>
        <w:t>قال المحقّق الیزدی فی العروة، و نعم 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خیف مع حیاتهما علی کلّ منهما انتظر حتّی یقضی</w:t>
      </w:r>
      <w:r>
        <w:rPr>
          <w:rFonts w:eastAsia="IRNazanin" w:cs="IRNazanin"/>
          <w:color w:val="111111"/>
          <w:sz w:val="28"/>
          <w:szCs w:val="28"/>
          <w:rtl w:val="true"/>
          <w:lang w:bidi="fa-IR"/>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اختارهُ السیّد الخوئی</w:t>
      </w:r>
      <w:r>
        <w:rPr>
          <w:rStyle w:val="FootnoteAnchor"/>
          <w:rtl w:val="true"/>
        </w:rPr>
        <w:footnoteReference w:id="533"/>
      </w:r>
      <w:r>
        <w:rPr>
          <w:rFonts w:ascii="IRNazanin" w:hAnsi="IRNazanin" w:eastAsia="IRNazanin"/>
          <w:color w:val="111111"/>
          <w:sz w:val="28"/>
          <w:sz w:val="28"/>
          <w:szCs w:val="28"/>
          <w:rtl w:val="true"/>
          <w:lang w:bidi="fa-IR"/>
        </w:rPr>
        <w:t>، و السیّد الحکیم</w:t>
      </w:r>
      <w:r>
        <w:rPr>
          <w:rStyle w:val="FootnoteAnchor"/>
          <w:rtl w:val="true"/>
        </w:rPr>
        <w:footnoteReference w:id="534"/>
      </w:r>
      <w:r>
        <w:rPr>
          <w:rFonts w:ascii="IRNazanin" w:hAnsi="IRNazanin" w:eastAsia="IRNazanin"/>
          <w:color w:val="111111"/>
          <w:sz w:val="28"/>
          <w:sz w:val="28"/>
          <w:szCs w:val="28"/>
          <w:rtl w:val="true"/>
          <w:lang w:bidi="fa-IR"/>
        </w:rPr>
        <w:t>، و السید السبزواری</w:t>
      </w:r>
      <w:r>
        <w:rPr>
          <w:rStyle w:val="FootnoteAnchor"/>
          <w:rtl w:val="true"/>
        </w:rPr>
        <w:footnoteReference w:id="535"/>
      </w:r>
      <w:r>
        <w:rPr>
          <w:rFonts w:ascii="IRNazanin" w:hAnsi="IRNazanin" w:eastAsia="IRNazanin"/>
          <w:color w:val="111111"/>
          <w:sz w:val="28"/>
          <w:sz w:val="28"/>
          <w:szCs w:val="28"/>
          <w:rtl w:val="true"/>
          <w:lang w:bidi="fa-IR"/>
        </w:rPr>
        <w:t>، و الإمام الخمینی</w:t>
      </w:r>
      <w:r>
        <w:rPr>
          <w:rStyle w:val="FootnoteAnchor"/>
          <w:rtl w:val="true"/>
        </w:rPr>
        <w:footnoteReference w:id="536"/>
      </w:r>
      <w:r>
        <w:rPr>
          <w:rFonts w:ascii="IRNazanin" w:hAnsi="IRNazanin" w:eastAsia="IRNazanin"/>
          <w:color w:val="111111"/>
          <w:sz w:val="28"/>
          <w:sz w:val="28"/>
          <w:szCs w:val="28"/>
          <w:rtl w:val="true"/>
          <w:lang w:bidi="fa-IR"/>
        </w:rPr>
        <w:t>رحمهم الله، و وافق علیه من علّق علی العروة</w:t>
      </w:r>
      <w:r>
        <w:rPr>
          <w:rStyle w:val="FootnoteAnchor"/>
          <w:rtl w:val="true"/>
        </w:rPr>
        <w:footnoteReference w:id="537"/>
      </w:r>
      <w:r>
        <w:rPr>
          <w:rFonts w:ascii="IRNazanin" w:hAnsi="IRNazanin" w:eastAsia="IRNazanin"/>
          <w:color w:val="111111"/>
          <w:sz w:val="28"/>
          <w:sz w:val="28"/>
          <w:szCs w:val="28"/>
          <w:rtl w:val="true"/>
          <w:lang w:bidi="fa-IR"/>
        </w:rPr>
        <w:t>و غیرهم</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هذا لا یجوز لثالثٍ أن یقتل الولد من أجل سلامة الحامل، أو بالعکس؛ لأنه لا یمکن ترجیح أحد النفسین المحترمتین علی الأخری، فلا یجوز لثالثٍ أن یحافظ علی أحدهما بإتلاف الآخر، و لأنّ المقدّمة إذا کانت محرّمةً لم یمکن تقدیم الوجوب فی ذی المقدمة علی الحرمة فی المقدمة، أی حفظ النفس الواجب فی أحدهما یتوقّف علی المقدّمة المحرّمة و هی إتلاف الآخر، و هذا لیس بجائزٍ إلاّ فیما إذا</w:t>
      </w:r>
    </w:p>
    <w:p>
      <w:pPr>
        <w:pStyle w:val="BookText"/>
        <w:rPr/>
      </w:pPr>
      <w:r>
        <w:rPr>
          <w:rFonts w:ascii="IRNazanin" w:hAnsi="IRNazanin" w:eastAsia="IRNazanin"/>
          <w:color w:val="111111"/>
          <w:sz w:val="28"/>
          <w:sz w:val="28"/>
          <w:szCs w:val="28"/>
          <w:rtl w:val="true"/>
          <w:lang w:bidi="fa-IR"/>
        </w:rPr>
        <w:t>کان الوجوب فی ذی المقدّمة من الأهمیّة بمرتبةٍ یزیل الحرمة عن المقدّمة الحرام، کما هو کذلک فی توقّف إنقاذ النفس المحترمة علی التصرّف فی أرض الغیر من دون إذنه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أمثال المقام حیث لم تثبت الأهمیّة فی ذی المقدّمة؛ لتساوی الحکمین أو عدم کون الوجوب أهمّ، کما إذا توقف حفظ المال المحترم علی إتلاف مال محترم آخر، فلا مرخّص فی ارتکاب المقدّمة المحرّمة لأجل امتثال الأمر بذی المقدّمة، بل لا بدّ من انتظار قضاء اللّه سبحانه، و أنّ الاُمّ تموت حتّی یُحافظ علی الولد بإخراجه من بطنها أو أنّ الولد یموت حتّی یحافظ علی الاُمّ بإخراجه کما تقدّم، هذا کلّه بالإضافة إلی الثالث، و أمّا وظیفة الاُمّ فی نفسها و أنّه هل یجوز لها أن تقتل ولدها حفاظاً علی حیاتها أو لا یجوز لها ذلک؟</w:t>
      </w:r>
    </w:p>
    <w:p>
      <w:pPr>
        <w:pStyle w:val="BookText"/>
        <w:rPr/>
      </w:pPr>
      <w:r>
        <w:rPr>
          <w:rFonts w:ascii="IRNazanin" w:hAnsi="IRNazanin" w:eastAsia="IRNazanin"/>
          <w:color w:val="111111"/>
          <w:sz w:val="28"/>
          <w:sz w:val="28"/>
          <w:szCs w:val="28"/>
          <w:rtl w:val="true"/>
          <w:lang w:bidi="fa-IR"/>
        </w:rPr>
        <w:t>الظاهر أنّه لا مانع للأمّ من الحفاظ علی حیاتها بأن تقتل ولدها، و السرّ فی ذلک ما ذکرناه فی محلّه من أنّ الضرر إذا توجّه إلی أحد شخصین لا یجب علی أحدهما تحمّل الضرر حتّی لا یتضرّر الآخر؛ لأنّ التحمّل عسر و حرج فلا یکون مأموراً به، و فی المقام لا یجب علی الاُمّ أن تتحمّل الضرر بأن تصبر حتّی تموت حفاظاً علی حیاة ولدها؛ لأنّه عُسر فلا یجب ذلک علی الاُمّ، و لعلّه من فروع قاعدة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دفع المفسدة أولی من جلب المصلحة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بأس فی أن تحافظ الاُمّ علی حیاتها و لو بقتل ولدها</w:t>
      </w:r>
      <w:r>
        <w:rPr>
          <w:rStyle w:val="FootnoteAnchor"/>
          <w:rtl w:val="true"/>
        </w:rPr>
        <w:footnoteReference w:id="539"/>
      </w:r>
      <w:r>
        <w:rPr>
          <w:rFonts w:ascii="IRNazanin" w:hAnsi="IRNazanin" w:eastAsia="IRNazanin"/>
          <w:color w:val="111111"/>
          <w:sz w:val="28"/>
          <w:sz w:val="28"/>
          <w:szCs w:val="28"/>
          <w:rtl w:val="true"/>
          <w:lang w:bidi="fa-IR"/>
        </w:rPr>
        <w:t>، مثل أن تشرب الدواء حتّی تسقط الولد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أنّه لا مانع من أن یُعلّم الطبیب الحامل طریق الإسقاط؛ لأنّ إسقاط الاُم لولدها حفاظاً علی حیاتها جائز، و الإعانة علی الأمر الجائز جائزة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استند القتل إلی الطبیب فلا یجوز، و الأولی رعایة الاحتیاط إذا تردّد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کان تزاحم حیاة الحمل و حیاة أمّه بعد ولوج الروح فی الحمل کما هو فرض کلام المحقّق الیزدی قدس سره، و أمّا إن اتّفق التزاحم قبل ولوج الروح بحیث تخاف الأمّ حیاتها من استمرار الحمل و کان خوفها مستنداً إلی قول طبیب أخصّائی موثوق به فالظاهر أنّه یجوز للأمّ إسقاط حملها، کما أفتی به بعض الفقهاء، قال الشیخ الفقیه الفاضل اللنکرانی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إسقاط الحمل قبل ولوج الروح إذا کان بقاء الحمل موجباً لتلف الأمّ أو الضرر العظیم علیها أو وقعت فی العسر و الحرج الشدید</w:t>
      </w:r>
      <w:r>
        <w:rPr>
          <w:rFonts w:eastAsia="IRNazanin" w:cs="IRNazanin"/>
          <w:color w:val="111111"/>
          <w:sz w:val="28"/>
          <w:szCs w:val="28"/>
          <w:rtl w:val="true"/>
          <w:lang w:bidi="fa-IR"/>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الشیخ الفقیه المکارم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توقّفت حیاة الأمّ علی إسقاط الجنین الذی لم تلجه الروح بعد، و لم یبلغ حدّ الإنسان الکامل بحیث لا یصدق علیه أنّه إنسان أو نفس محترمة، فلا إشکال فی جواز الإسقاط؛ حفاظاً علی حیاة الاُمّ التی هی أهمّ فی نظر الشارع</w:t>
      </w:r>
      <w:r>
        <w:rPr>
          <w:rFonts w:eastAsia="IRNazanin" w:cs="IRNazanin"/>
          <w:color w:val="111111"/>
          <w:sz w:val="28"/>
          <w:szCs w:val="28"/>
          <w:rtl w:val="true"/>
          <w:lang w:bidi="fa-IR"/>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قال السیّد الخوئی</w:t>
      </w:r>
      <w:r>
        <w:rPr>
          <w:rStyle w:val="FootnoteAnchor"/>
          <w:rtl w:val="true"/>
        </w:rPr>
        <w:footnoteReference w:id="542"/>
      </w:r>
      <w:r>
        <w:rPr>
          <w:rFonts w:ascii="IRNazanin" w:hAnsi="IRNazanin" w:eastAsia="IRNazanin"/>
          <w:color w:val="111111"/>
          <w:sz w:val="28"/>
          <w:sz w:val="28"/>
          <w:szCs w:val="28"/>
          <w:rtl w:val="true"/>
          <w:lang w:bidi="fa-IR"/>
        </w:rPr>
        <w:t>و الشیخ الفقیه التبریزی</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السیّد السیستانی</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الوجه فی ذلک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انصراف أدلّة حرمة قتل النفس المحترمة عنه، حیث لا یصدق علی الحمل قبل ولوج الروح أنّه إنسان و نفس، بل هو علقة أو مضغة أو ما شابه ذلک، کما جاء فی الآیات و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حکومة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حرمة الإجهاض</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کما تقدّم فی البحث عن حکم تحدید النسل أنّ المقصود من</w:t>
      </w:r>
      <w:bookmarkStart w:id="225" w:name="pg11752_146158"/>
    </w:p>
    <w:p>
      <w:pPr>
        <w:pStyle w:val="BookText"/>
        <w:rPr/>
      </w:pPr>
      <w:bookmarkEnd w:id="225"/>
      <w:r>
        <w:rPr>
          <w:rFonts w:ascii="IRNazanin" w:hAnsi="IRNazanin" w:eastAsia="IRNazanin"/>
          <w:color w:val="111111"/>
          <w:sz w:val="28"/>
          <w:sz w:val="28"/>
          <w:szCs w:val="28"/>
          <w:rtl w:val="true"/>
          <w:lang w:bidi="fa-IR"/>
        </w:rPr>
        <w:t xml:space="preserve">الضرر فی الحدیث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یکون مدرکاً لقاعدة لا 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الضرر الشخصی لا النوعی؛ لأنّ کون الحدیث فی مقام الامتنان یقتضی أن یکون الرفع بلحاظ حال کلّ شخص بحسب نفسه، و إلاّ رفع الحکم عن شخص بلحاظ شخص آخر أی امتنان فیه؟</w:t>
      </w:r>
    </w:p>
    <w:p>
      <w:pPr>
        <w:pStyle w:val="BookText"/>
        <w:rPr/>
      </w:pPr>
      <w:r>
        <w:rPr>
          <w:rFonts w:ascii="IRNazanin" w:hAnsi="IRNazanin" w:eastAsia="IRNazanin"/>
          <w:color w:val="111111"/>
          <w:sz w:val="28"/>
          <w:sz w:val="28"/>
          <w:szCs w:val="28"/>
          <w:rtl w:val="true"/>
          <w:lang w:bidi="fa-IR"/>
        </w:rPr>
        <w:t>و کذلک الأمر فی قاعدة لا حرج، فالحکم مرفوع فیها بلحاظ الحرج الشخصی دون النوعی، و مساق هاتین القاعدتین من هذه الجهة واحد کما أشار به بعض المحقّقین</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المقام استمرار الحمل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تقتضیه حرمة الإجهاض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ینشأ منه الضرر علی شخص المرأة التی تزاحِم حیاتها حیاة الحمل، فینفیه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لها إسقاط حملها دفعاً للضرر عن نفسها، و لا یجب علیها دفع الضرر عن الحمل و قتل نفسها باستمرار الحمل؛ لأنّ الفرض أنّ الجنین لا یصدق علیه النفس و الإنسان، بل لا تقدر علی حفظ الحمل؛ لأنّ معنی القدرة علی أمر أن یکون الشخص قادراً علی کلا طرفی الفعل، و فی المقام لیس کذلک؛ لأنّه إن بقی الحمل تموت أمّه فلا 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 تقدر علی حفظ الحمل، فتدبّر</w:t>
      </w:r>
      <w:r>
        <w:rPr>
          <w:rFonts w:eastAsia="IRNazanin" w:cs="IRNazanin"/>
          <w:color w:val="111111"/>
          <w:sz w:val="28"/>
          <w:szCs w:val="28"/>
          <w:rtl w:val="true"/>
          <w:lang w:bidi="fa-IR"/>
        </w:rPr>
        <w:t>.</w:t>
      </w:r>
    </w:p>
    <w:p>
      <w:pPr>
        <w:pStyle w:val="Heading5"/>
        <w:numPr>
          <w:ilvl w:val="4"/>
          <w:numId w:val="1"/>
        </w:numPr>
        <w:rPr/>
      </w:pPr>
      <w:bookmarkStart w:id="226" w:name="__RefHeading___Toc9423944_73709187"/>
      <w:bookmarkStart w:id="227" w:name="_Toc86"/>
      <w:bookmarkEnd w:id="226"/>
      <w:r>
        <w:rPr>
          <w:rtl w:val="true"/>
        </w:rPr>
        <w:t>رأی أهل السنّة فی تزاحم حقّین</w:t>
      </w:r>
      <w:bookmarkEnd w:id="227"/>
    </w:p>
    <w:p>
      <w:pPr>
        <w:pStyle w:val="BookText"/>
        <w:rPr/>
      </w:pPr>
      <w:r>
        <w:rPr>
          <w:rFonts w:ascii="IRNazanin" w:hAnsi="IRNazanin" w:eastAsia="IRNazanin"/>
          <w:color w:val="111111"/>
          <w:sz w:val="28"/>
          <w:sz w:val="28"/>
          <w:szCs w:val="28"/>
          <w:rtl w:val="true"/>
          <w:lang w:bidi="fa-IR"/>
        </w:rPr>
        <w:t>لم یبحث فی هذه المسألة بحسب تتبّعنا إلاّ القلیل منهم، مثل ابن عابدین فی ردّ المحتار، و یستفاد من کلامه عدم تقدیم حیاة الاُمّ علی الحمل، و کذا العکس أی عدم تقدیم حیاة الحمل علی الاُمّ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حامل ماتت و ولدُها حیّ یضطرب شقّ بطنها من الأیسر و یخرج</w:t>
      </w:r>
    </w:p>
    <w:p>
      <w:pPr>
        <w:pStyle w:val="BookText"/>
        <w:rPr/>
      </w:pPr>
      <w:r>
        <w:rPr>
          <w:rFonts w:ascii="Amiri" w:hAnsi="Amiri" w:eastAsia="Amiri" w:cs="Amiri"/>
          <w:color w:val="111111"/>
          <w:sz w:val="28"/>
          <w:sz w:val="28"/>
          <w:szCs w:val="28"/>
          <w:rtl w:val="true"/>
          <w:lang w:bidi="ar-SA"/>
        </w:rPr>
        <w:t xml:space="preserve">ولدها، و لو بالعکس و خیف علی الاُمّ قطع و اخرج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میّتاً و إلاّ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 و لو کان حیّاً لا یجوز تقطیعه؛ لأنّ موت الاُمّ به موهوم، فلا یجوز قتل آدمی حیٍّ لأمرٍ موهوم</w:t>
      </w:r>
      <w:r>
        <w:rPr>
          <w:rStyle w:val="FootnoteAnchor"/>
          <w:rtl w:val="true"/>
        </w:rPr>
        <w:footnoteReference w:id="545"/>
      </w:r>
      <w:r>
        <w:rPr>
          <w:rFonts w:ascii="IRNazanin" w:hAnsi="IRNazanin" w:eastAsia="IRNazanin"/>
          <w:color w:val="111111"/>
          <w:sz w:val="28"/>
          <w:sz w:val="28"/>
          <w:szCs w:val="28"/>
          <w:rtl w:val="true"/>
          <w:lang w:bidi="fa-IR"/>
        </w:rPr>
        <w:t>و بمثل هذا قال فی الفتاوی الخانیة</w:t>
      </w:r>
      <w:r>
        <w:rPr>
          <w:rStyle w:val="FootnoteAnchor"/>
          <w:rtl w:val="true"/>
        </w:rPr>
        <w:footnoteReference w:id="546"/>
      </w:r>
      <w:r>
        <w:rPr>
          <w:rFonts w:ascii="IRNazanin" w:hAnsi="IRNazanin" w:eastAsia="IRNazanin"/>
          <w:color w:val="111111"/>
          <w:sz w:val="28"/>
          <w:sz w:val="28"/>
          <w:szCs w:val="28"/>
          <w:rtl w:val="true"/>
          <w:lang w:bidi="fa-IR"/>
        </w:rPr>
        <w:t>و الهندیة</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قد صرّح الشیخ محمود شلتوت بجواز الإجهاض فیما إذا کان فی بقاء الجنین خطر علی حیاة الاُمّ،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ثبت من طریق موثوق به أنّ بقاءه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تحقّق حیاته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یؤدّی لا محالة إلی موت الاُمّ، فإنّ الشریعة بقواعدها العامة تأمر بارتکاب أخفّ الضررین، فإن کان فی بقائه موت الاُمّ و کان لا منقذ لها سوی إسقاطه، کان إسقاطه فی تلک الحالة متعیّناً، و لا یُضحّی بها فی سبیل إنقاذه؛ لأنّها أصله، و قد استقرّت حیاتُها و لها حظٌّ مستقلّ فی الحیاة</w:t>
      </w:r>
      <w:r>
        <w:rPr>
          <w:rFonts w:eastAsia="IRNazanin" w:cs="IRNazanin"/>
          <w:color w:val="111111"/>
          <w:sz w:val="28"/>
          <w:szCs w:val="28"/>
          <w:rtl w:val="true"/>
          <w:lang w:bidi="fa-IR"/>
        </w:rPr>
        <w:t>»</w:t>
      </w:r>
      <w:r>
        <w:rPr>
          <w:rStyle w:val="FootnoteAnchor"/>
          <w:rtl w:val="true"/>
        </w:rPr>
        <w:footnoteReference w:id="548"/>
      </w:r>
      <w:bookmarkStart w:id="228" w:name="pg11752_146160"/>
    </w:p>
    <w:p>
      <w:pPr>
        <w:pStyle w:val="Heading4"/>
        <w:numPr>
          <w:ilvl w:val="3"/>
          <w:numId w:val="1"/>
        </w:numPr>
        <w:rPr/>
      </w:pPr>
      <w:bookmarkStart w:id="229" w:name="__RefHeading___Toc9423946_73709187"/>
      <w:bookmarkStart w:id="230" w:name="_Toc87"/>
      <w:bookmarkEnd w:id="228"/>
      <w:bookmarkEnd w:id="229"/>
      <w:r>
        <w:rPr>
          <w:rtl w:val="true"/>
        </w:rPr>
        <w:t>المبحث الرابع</w:t>
      </w:r>
      <w:r>
        <w:rPr>
          <w:rtl w:val="true"/>
        </w:rPr>
        <w:t xml:space="preserve">: </w:t>
      </w:r>
      <w:r>
        <w:rPr>
          <w:rtl w:val="true"/>
        </w:rPr>
        <w:t>فی حیاة الحمل حین موت امّه</w:t>
      </w:r>
      <w:bookmarkEnd w:id="230"/>
    </w:p>
    <w:p>
      <w:pPr>
        <w:pStyle w:val="Heading5"/>
        <w:numPr>
          <w:ilvl w:val="4"/>
          <w:numId w:val="1"/>
        </w:numPr>
        <w:rPr/>
      </w:pPr>
      <w:bookmarkStart w:id="231" w:name="__RefHeading___Toc9423948_73709187"/>
      <w:bookmarkStart w:id="232" w:name="_Toc88"/>
      <w:bookmarkEnd w:id="231"/>
      <w:r>
        <w:rPr>
          <w:rtl w:val="true"/>
        </w:rPr>
        <w:t>اشارة</w:t>
      </w:r>
      <w:bookmarkEnd w:id="232"/>
    </w:p>
    <w:p>
      <w:pPr>
        <w:pStyle w:val="BookText"/>
        <w:rPr/>
      </w:pPr>
      <w:r>
        <w:rPr>
          <w:rFonts w:ascii="IRNazanin" w:hAnsi="IRNazanin" w:eastAsia="IRNazanin"/>
          <w:color w:val="111111"/>
          <w:sz w:val="28"/>
          <w:sz w:val="28"/>
          <w:szCs w:val="28"/>
          <w:rtl w:val="true"/>
          <w:lang w:bidi="fa-IR"/>
        </w:rPr>
        <w:t>إذا ماتت الحامل و کان الولد یتحرّک فی بطنها بحیث یعلم حیاة الولد، فظاهر کلمات الأصحاب تدلّ علی وجوب إخراج الحمل من بطن 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المفید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ماتت امرأة و فی جوفها ولد حیّ یتحرّک شقّ بطنها ممّا یلی جنبها الأیسر، و أخرج الولد منه ثمّ خیط الموضع و غسّلت و کُفّنت و حنّطت بعد ذلک و دفنت</w:t>
      </w:r>
      <w:r>
        <w:rPr>
          <w:rFonts w:eastAsia="IRNazanin" w:cs="IRNazanin"/>
          <w:color w:val="111111"/>
          <w:sz w:val="28"/>
          <w:szCs w:val="28"/>
          <w:rtl w:val="true"/>
          <w:lang w:bidi="fa-IR"/>
        </w:rPr>
        <w:t>»</w:t>
      </w:r>
      <w:r>
        <w:rPr>
          <w:rStyle w:val="FootnoteAnchor"/>
          <w:rtl w:val="true"/>
        </w:rPr>
        <w:footnoteReference w:id="549"/>
      </w:r>
      <w:r>
        <w:rPr>
          <w:rFonts w:ascii="IRNazanin" w:hAnsi="IRNazanin" w:eastAsia="IRNazanin"/>
          <w:color w:val="111111"/>
          <w:sz w:val="28"/>
          <w:sz w:val="28"/>
          <w:szCs w:val="28"/>
          <w:rtl w:val="true"/>
          <w:lang w:bidi="fa-IR"/>
        </w:rPr>
        <w:t xml:space="preserve">، و زاد فی الخلاف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أعرف فیه خلافاً</w:t>
      </w:r>
      <w:r>
        <w:rPr>
          <w:rFonts w:eastAsia="IRNazanin" w:cs="IRNazanin"/>
          <w:color w:val="111111"/>
          <w:sz w:val="28"/>
          <w:szCs w:val="28"/>
          <w:rtl w:val="true"/>
          <w:lang w:bidi="fa-IR"/>
        </w:rPr>
        <w:t>»</w:t>
      </w:r>
      <w:r>
        <w:rPr>
          <w:rStyle w:val="FootnoteAnchor"/>
          <w:rtl w:val="true"/>
        </w:rPr>
        <w:footnoteReference w:id="5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الشرائع</w:t>
      </w:r>
      <w:r>
        <w:rPr>
          <w:rStyle w:val="FootnoteAnchor"/>
          <w:rtl w:val="true"/>
        </w:rPr>
        <w:footnoteReference w:id="551"/>
      </w:r>
      <w:r>
        <w:rPr>
          <w:rFonts w:ascii="IRNazanin" w:hAnsi="IRNazanin" w:eastAsia="IRNazanin"/>
          <w:color w:val="111111"/>
          <w:sz w:val="28"/>
          <w:sz w:val="28"/>
          <w:szCs w:val="28"/>
          <w:rtl w:val="true"/>
          <w:lang w:bidi="fa-IR"/>
        </w:rPr>
        <w:t>و النهایة و نکتها</w:t>
      </w:r>
      <w:r>
        <w:rPr>
          <w:rStyle w:val="FootnoteAnchor"/>
          <w:rtl w:val="true"/>
        </w:rPr>
        <w:footnoteReference w:id="552"/>
      </w:r>
      <w:r>
        <w:rPr>
          <w:rFonts w:ascii="IRNazanin" w:hAnsi="IRNazanin" w:eastAsia="IRNazanin"/>
          <w:color w:val="111111"/>
          <w:sz w:val="28"/>
          <w:sz w:val="28"/>
          <w:szCs w:val="28"/>
          <w:rtl w:val="true"/>
          <w:lang w:bidi="fa-IR"/>
        </w:rPr>
        <w:t>و مدارک الأحکام</w:t>
      </w:r>
      <w:r>
        <w:rPr>
          <w:rStyle w:val="FootnoteAnchor"/>
          <w:rtl w:val="true"/>
        </w:rPr>
        <w:footnoteReference w:id="553"/>
      </w:r>
      <w:r>
        <w:rPr>
          <w:rFonts w:ascii="IRNazanin" w:hAnsi="IRNazanin" w:eastAsia="IRNazanin"/>
          <w:color w:val="111111"/>
          <w:sz w:val="28"/>
          <w:sz w:val="28"/>
          <w:szCs w:val="28"/>
          <w:rtl w:val="true"/>
          <w:lang w:bidi="fa-IR"/>
        </w:rPr>
        <w:t>و جواهر الکلام</w:t>
      </w:r>
      <w:r>
        <w:rPr>
          <w:rStyle w:val="FootnoteAnchor"/>
          <w:rtl w:val="true"/>
        </w:rPr>
        <w:footnoteReference w:id="5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قال به المحقّق الثانی</w:t>
      </w:r>
      <w:r>
        <w:rPr>
          <w:rStyle w:val="FootnoteAnchor"/>
          <w:rtl w:val="true"/>
        </w:rPr>
        <w:footnoteReference w:id="555"/>
      </w:r>
      <w:r>
        <w:rPr>
          <w:rFonts w:ascii="IRNazanin" w:hAnsi="IRNazanin" w:eastAsia="IRNazanin"/>
          <w:color w:val="111111"/>
          <w:sz w:val="28"/>
          <w:sz w:val="28"/>
          <w:szCs w:val="28"/>
          <w:rtl w:val="true"/>
          <w:lang w:bidi="fa-IR"/>
        </w:rPr>
        <w:t>و السیّد فی العروة</w:t>
      </w:r>
      <w:r>
        <w:rPr>
          <w:rStyle w:val="FootnoteAnchor"/>
          <w:rtl w:val="true"/>
        </w:rPr>
        <w:footnoteReference w:id="5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وافق علیه</w:t>
      </w:r>
      <w:r>
        <w:rPr>
          <w:rStyle w:val="FootnoteAnchor"/>
          <w:rtl w:val="true"/>
        </w:rPr>
        <w:footnoteReference w:id="557"/>
      </w:r>
      <w:r>
        <w:rPr>
          <w:rFonts w:ascii="IRNazanin" w:hAnsi="IRNazanin" w:eastAsia="IRNazanin"/>
          <w:color w:val="111111"/>
          <w:sz w:val="28"/>
          <w:sz w:val="28"/>
          <w:szCs w:val="28"/>
          <w:rtl w:val="true"/>
          <w:lang w:bidi="fa-IR"/>
        </w:rPr>
        <w:t>من علّق علیها و غیرهم</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ماتت الاُمّ دونه، قال علماؤنا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یشقّ بطنها من الجانب الأیسر و اخرج الولد و خیط الموضع، و به قال الشافعی؛ لأنّه إتلاف جزءٍ من المیّت لإبقاء حیٍّ فجاز</w:t>
      </w:r>
      <w:r>
        <w:rPr>
          <w:rFonts w:eastAsia="IRNazanin" w:cs="IRNazanin"/>
          <w:color w:val="111111"/>
          <w:sz w:val="28"/>
          <w:szCs w:val="28"/>
          <w:rtl w:val="true"/>
          <w:lang w:bidi="fa-IR"/>
        </w:rPr>
        <w:t>»</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 xml:space="preserve">و یدلّ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هذا مقتضی الأدلّة التی تدلّ علی وجوب حفظ النفس المحترمة؛ لأنّ الفرض أنّ الولد حیٌّ، فالتوصّل إلی بقاء حیاة الولد یقتضی ذلک؛ لأنّ حرمة حیاة الحیّ أعظم من حرمة المیتة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النصوص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صحیحة ابن أبی عمیر، عن بعض أصحابه، عن أبی عبد اللّه علیه السلام، فی المرأة تموت و یتحرّک الولد فی بطنها أ یشقّ بطنها و یخرج الولد؟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 یخاط بطنها</w:t>
      </w:r>
      <w:r>
        <w:rPr>
          <w:rFonts w:eastAsia="IRNazanin" w:cs="IRNazanin"/>
          <w:color w:val="111111"/>
          <w:sz w:val="28"/>
          <w:szCs w:val="28"/>
          <w:rtl w:val="true"/>
          <w:lang w:bidi="fa-IR"/>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صحیحة علیّ بن یقطین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العبد الصالح علیه السلام عن المرأة تموت و ولدها فی بطنها؟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بطنها و یخرج ولدُها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موثقة علی بن یقطین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موسی علیه السلام عن المرأة تموت و ولدها فی بطنها یتحرّک؟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یشقّ عن الولد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أخر</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دلالتها ظاهرة و إطلاقها یقتضی عدم الفرق فی الشقّ بین أن یکون من الأیمن أو الأیسر، فما فی بعض کتب المتقدّمین و غیرهم من تعیین الأیسر، کالمقنعة و النهایة</w:t>
      </w:r>
      <w:r>
        <w:rPr>
          <w:rStyle w:val="FootnoteAnchor"/>
          <w:rtl w:val="true"/>
        </w:rPr>
        <w:footnoteReference w:id="562"/>
      </w:r>
      <w:r>
        <w:rPr>
          <w:rFonts w:ascii="IRNazanin" w:hAnsi="IRNazanin" w:eastAsia="IRNazanin"/>
          <w:color w:val="111111"/>
          <w:sz w:val="28"/>
          <w:sz w:val="28"/>
          <w:szCs w:val="28"/>
          <w:rtl w:val="true"/>
          <w:lang w:bidi="fa-IR"/>
        </w:rPr>
        <w:t>، و السرائر</w:t>
      </w:r>
      <w:r>
        <w:rPr>
          <w:rStyle w:val="FootnoteAnchor"/>
          <w:rtl w:val="true"/>
        </w:rPr>
        <w:footnoteReference w:id="563"/>
      </w:r>
      <w:r>
        <w:rPr>
          <w:rFonts w:ascii="IRNazanin" w:hAnsi="IRNazanin" w:eastAsia="IRNazanin"/>
          <w:color w:val="111111"/>
          <w:sz w:val="28"/>
          <w:sz w:val="28"/>
          <w:szCs w:val="28"/>
          <w:rtl w:val="true"/>
          <w:lang w:bidi="fa-IR"/>
        </w:rPr>
        <w:t>، و المنتهی</w:t>
      </w:r>
      <w:r>
        <w:rPr>
          <w:rStyle w:val="FootnoteAnchor"/>
          <w:rtl w:val="true"/>
        </w:rPr>
        <w:footnoteReference w:id="564"/>
      </w:r>
      <w:r>
        <w:rPr>
          <w:rFonts w:ascii="IRNazanin" w:hAnsi="IRNazanin" w:eastAsia="IRNazanin"/>
          <w:color w:val="111111"/>
          <w:sz w:val="28"/>
          <w:sz w:val="28"/>
          <w:szCs w:val="28"/>
          <w:rtl w:val="true"/>
          <w:lang w:bidi="fa-IR"/>
        </w:rPr>
        <w:t>، نهایة الإحکام و الشرائع، لعلّه للرضوی الذی ورد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ماتت المرأة و هی حاملة و ولدها یتحرّک فی بطنها شقّ بطنها من الجانب الأیسر و اخرج الولد</w:t>
      </w:r>
      <w:r>
        <w:rPr>
          <w:rFonts w:eastAsia="IRNazanin" w:cs="IRNazanin"/>
          <w:color w:val="111111"/>
          <w:sz w:val="28"/>
          <w:szCs w:val="28"/>
          <w:rtl w:val="true"/>
          <w:lang w:bidi="fa-IR"/>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بهذه العبارة عبّر الصدوق رحمه الله فی الفقیه</w:t>
      </w:r>
      <w:r>
        <w:rPr>
          <w:rStyle w:val="FootnoteAnchor"/>
          <w:rtl w:val="true"/>
        </w:rPr>
        <w:footnoteReference w:id="566"/>
      </w:r>
      <w:bookmarkStart w:id="233" w:name="pg11752_146162"/>
    </w:p>
    <w:p>
      <w:pPr>
        <w:pStyle w:val="BookText"/>
        <w:rPr/>
      </w:pPr>
      <w:bookmarkEnd w:id="233"/>
      <w:r>
        <w:rPr>
          <w:rFonts w:ascii="IRNazanin" w:hAnsi="IRNazanin" w:eastAsia="IRNazanin"/>
          <w:color w:val="111111"/>
          <w:sz w:val="28"/>
          <w:sz w:val="28"/>
          <w:szCs w:val="28"/>
          <w:rtl w:val="true"/>
          <w:lang w:bidi="fa-IR"/>
        </w:rPr>
        <w:t>و لکن الظاهر أنّ تعیین الجانب الأیسر یختصّ بصورة احتمال تدخّله فی حیاته، و إلاّ فلا فرق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فبمقتضی هذه الروایة إذا ماتت الحامل و کان فی بطنها ولد حیٌّ یعلم ذلک من القرائن یجب أن یشقّ بطنها من الجانب الأیسر و یخرج الولد و یخاط، فإنّ فی ذلک صیانة عن هتک حرمتها و المثلة بها و تسهیلاً لتغسیلها</w:t>
      </w:r>
      <w:r>
        <w:rPr>
          <w:rFonts w:eastAsia="IRNazanin" w:cs="IRNazanin"/>
          <w:color w:val="111111"/>
          <w:sz w:val="28"/>
          <w:szCs w:val="28"/>
          <w:rtl w:val="true"/>
          <w:lang w:bidi="fa-IR"/>
        </w:rPr>
        <w:t>.</w:t>
      </w:r>
    </w:p>
    <w:p>
      <w:pPr>
        <w:pStyle w:val="Heading5"/>
        <w:numPr>
          <w:ilvl w:val="4"/>
          <w:numId w:val="1"/>
        </w:numPr>
        <w:rPr/>
      </w:pPr>
      <w:bookmarkStart w:id="234" w:name="__RefHeading___Toc9423950_73709187"/>
      <w:bookmarkStart w:id="235" w:name="_Toc89"/>
      <w:bookmarkEnd w:id="234"/>
      <w:r>
        <w:rPr>
          <w:rtl w:val="true"/>
        </w:rPr>
        <w:t>آراء فقهاء أهل السنّة فی المسألة</w:t>
      </w:r>
      <w:bookmarkEnd w:id="235"/>
    </w:p>
    <w:p>
      <w:pPr>
        <w:pStyle w:val="BookText"/>
        <w:rPr/>
      </w:pPr>
      <w:r>
        <w:rPr>
          <w:rFonts w:ascii="IRNazanin" w:hAnsi="IRNazanin" w:eastAsia="IRNazanin"/>
          <w:color w:val="111111"/>
          <w:sz w:val="28"/>
          <w:sz w:val="28"/>
          <w:szCs w:val="28"/>
          <w:rtl w:val="true"/>
          <w:lang w:bidi="fa-IR"/>
        </w:rPr>
        <w:t>قد صرّح الحنفیّة و الشافعیّة و بعض المالکیّة بأنّه إن ماتت امرأة و فی جوفها جنین حیٌّ یعلم ذلک من قول ثقات الأطباء شقّ الأیسر أو مطلقاً و یخرج الولد؛ لأنّه استبقاء حیٍّ بإتلاف جزء من المیّت</w:t>
      </w:r>
      <w:r>
        <w:rPr>
          <w:rStyle w:val="FootnoteAnchor"/>
          <w:rtl w:val="true"/>
        </w:rPr>
        <w:footnoteReference w:id="5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الحنابلة و المشهور من المالکیّة فهم قائلون بعدم جواز شقّ بطنها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الخُرقی من فقهاء الحنابلة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المرأة إذا ماتت و فی بطنها ولد یتحرّک فلا تشقّ بطنها و یسطو علیه القوابل فیخرجنّهُ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أوضحه ابن قدامة فی شرحه بأنّ معنی یسطو أن یدخُلنّ القوابل أیدیهُنّ فی فرجها فیخرجنّ الولد من مخرجه، و المذهب أنّه لا یشقّ بطن المیتة لإخراج ولدها مسلمةً کانت أو ذمّیةً، و تخرجه القوابل إن علمت حیاته بحرکة، و إن لم یوجد نساء لم یسط الرجال علیه و تترک امّه حتّی بتیقّن موته ثمّ تدفن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مذهب مالک و إسحاق قریب من هذا</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یحتمل أن یشقّ بطن الاُمّ إن غلب علی الظنّ أنّ الجنین یحیا و هو مذهب الشافعی؛ لأنّه إتلاف جزء من المیّت لإبقاء حیّ، و علّله بأنّ هذا الولد لا یعیش</w:t>
      </w:r>
    </w:p>
    <w:p>
      <w:pPr>
        <w:pStyle w:val="BookText"/>
        <w:rPr/>
      </w:pPr>
      <w:r>
        <w:rPr>
          <w:rFonts w:ascii="IRNazanin" w:hAnsi="IRNazanin" w:eastAsia="IRNazanin"/>
          <w:color w:val="111111"/>
          <w:sz w:val="28"/>
          <w:sz w:val="28"/>
          <w:szCs w:val="28"/>
          <w:rtl w:val="true"/>
          <w:lang w:bidi="fa-IR"/>
        </w:rPr>
        <w:t>عادة، و لا یتحقق أنّه یحیا، فلا یجوز هتک حرمةٍ متیقّنة لأمر موهوم، و قد قال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 عظم المیّت ککسر عظم الحیّ</w:t>
      </w:r>
      <w:r>
        <w:rPr>
          <w:rFonts w:eastAsia="IRNazanin" w:cs="IRNazanin"/>
          <w:color w:val="111111"/>
          <w:sz w:val="28"/>
          <w:szCs w:val="28"/>
          <w:rtl w:val="true"/>
          <w:lang w:bidi="fa-IR"/>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العادة بخلافه، فکثیراً ما رأینا الولد یعیش بعد موت امّه خصوصاً فی زماننا هذا، الذی یمکن تغذیة الولد بغیر لبن امّه، و استبقاء الحیّ أهمّ من هتک المیّت، و الروایة تحمل علی غیر هذه الصورة</w:t>
      </w:r>
      <w:r>
        <w:rPr>
          <w:rFonts w:eastAsia="IRNazanin" w:cs="IRNazanin"/>
          <w:color w:val="111111"/>
          <w:sz w:val="28"/>
          <w:szCs w:val="28"/>
          <w:rtl w:val="true"/>
          <w:lang w:bidi="fa-IR"/>
        </w:rPr>
        <w:t>.</w:t>
      </w:r>
      <w:bookmarkStart w:id="236" w:name="pg11752_146164"/>
    </w:p>
    <w:p>
      <w:pPr>
        <w:pStyle w:val="Heading4"/>
        <w:numPr>
          <w:ilvl w:val="3"/>
          <w:numId w:val="1"/>
        </w:numPr>
        <w:rPr/>
      </w:pPr>
      <w:bookmarkStart w:id="237" w:name="__RefHeading___Toc9423952_73709187"/>
      <w:bookmarkStart w:id="238" w:name="_Toc90"/>
      <w:bookmarkEnd w:id="236"/>
      <w:bookmarkEnd w:id="237"/>
      <w:r>
        <w:rPr>
          <w:rtl w:val="true"/>
        </w:rPr>
        <w:t>المبحث الرابع</w:t>
      </w:r>
      <w:r>
        <w:rPr>
          <w:rtl w:val="true"/>
        </w:rPr>
        <w:t xml:space="preserve">: </w:t>
      </w:r>
      <w:r>
        <w:rPr>
          <w:rtl w:val="true"/>
        </w:rPr>
        <w:t>حکم موت الحمل و حیاة الاُمّ‌</w:t>
      </w:r>
      <w:bookmarkEnd w:id="238"/>
    </w:p>
    <w:p>
      <w:pPr>
        <w:pStyle w:val="Heading5"/>
        <w:numPr>
          <w:ilvl w:val="4"/>
          <w:numId w:val="1"/>
        </w:numPr>
        <w:rPr/>
      </w:pPr>
      <w:bookmarkStart w:id="239" w:name="__RefHeading___Toc9423954_73709187"/>
      <w:bookmarkStart w:id="240" w:name="_Toc91"/>
      <w:bookmarkEnd w:id="239"/>
      <w:r>
        <w:rPr>
          <w:rtl w:val="true"/>
        </w:rPr>
        <w:t>اشارة</w:t>
      </w:r>
      <w:bookmarkEnd w:id="240"/>
    </w:p>
    <w:p>
      <w:pPr>
        <w:pStyle w:val="BookText"/>
        <w:rPr/>
      </w:pPr>
      <w:r>
        <w:rPr>
          <w:rFonts w:ascii="IRNazanin" w:hAnsi="IRNazanin" w:eastAsia="IRNazanin"/>
          <w:color w:val="111111"/>
          <w:sz w:val="28"/>
          <w:sz w:val="28"/>
          <w:szCs w:val="28"/>
          <w:rtl w:val="true"/>
          <w:lang w:bidi="fa-IR"/>
        </w:rPr>
        <w:t>إذا علم أنّ الحمل قد مات فی بطن امّه دون الاُمّ، فلا خلاف فی وجوب إخراج الولد من بطن امّه بل ادّعی الإجماع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المفید رحمه الله فی المقنعة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مات الولد فی جوفها و هی حیّة أدخلت القابلة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من یقوم مقامها فی تولّی أمر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یدها فی فرجها فأخرجت الولد منه، فإن لم یمکنها إخراجه صحیحاً قطعتهُ و أخرجتهُ قطعاً، و غُسّل و کفّن و حنّط ثمّ دفن</w:t>
      </w:r>
      <w:r>
        <w:rPr>
          <w:rFonts w:eastAsia="IRNazanin" w:cs="IRNazanin"/>
          <w:color w:val="111111"/>
          <w:sz w:val="28"/>
          <w:szCs w:val="28"/>
          <w:rtl w:val="true"/>
          <w:lang w:bidi="fa-IR"/>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بمثل ذلک قال الشیخ فی النهایة</w:t>
      </w:r>
      <w:r>
        <w:rPr>
          <w:rStyle w:val="FootnoteAnchor"/>
          <w:rtl w:val="true"/>
        </w:rPr>
        <w:footnoteReference w:id="570"/>
      </w:r>
      <w:r>
        <w:rPr>
          <w:rFonts w:ascii="IRNazanin" w:hAnsi="IRNazanin" w:eastAsia="IRNazanin"/>
          <w:color w:val="111111"/>
          <w:sz w:val="28"/>
          <w:sz w:val="28"/>
          <w:szCs w:val="28"/>
          <w:rtl w:val="true"/>
          <w:lang w:bidi="fa-IR"/>
        </w:rPr>
        <w:t>و الخلاف، و ادّعی الإجماع علیه</w:t>
      </w:r>
      <w:r>
        <w:rPr>
          <w:rStyle w:val="FootnoteAnchor"/>
          <w:rtl w:val="true"/>
        </w:rPr>
        <w:footnoteReference w:id="5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 ذلک فی المبسوط‌</w:t>
      </w:r>
      <w:r>
        <w:rPr>
          <w:rStyle w:val="FootnoteAnchor"/>
          <w:rtl w:val="true"/>
        </w:rPr>
        <w:footnoteReference w:id="572"/>
      </w:r>
      <w:r>
        <w:rPr>
          <w:rFonts w:ascii="IRNazanin" w:hAnsi="IRNazanin" w:eastAsia="IRNazanin"/>
          <w:color w:val="111111"/>
          <w:sz w:val="28"/>
          <w:sz w:val="28"/>
          <w:szCs w:val="28"/>
          <w:rtl w:val="true"/>
          <w:lang w:bidi="fa-IR"/>
        </w:rPr>
        <w:t>و نهایة الإحکام</w:t>
      </w:r>
      <w:r>
        <w:rPr>
          <w:rStyle w:val="FootnoteAnchor"/>
          <w:rtl w:val="true"/>
        </w:rPr>
        <w:footnoteReference w:id="573"/>
      </w:r>
      <w:r>
        <w:rPr>
          <w:rFonts w:ascii="IRNazanin" w:hAnsi="IRNazanin" w:eastAsia="IRNazanin"/>
          <w:color w:val="111111"/>
          <w:sz w:val="28"/>
          <w:sz w:val="28"/>
          <w:szCs w:val="28"/>
          <w:rtl w:val="true"/>
          <w:lang w:bidi="fa-IR"/>
        </w:rPr>
        <w:t>و التذکرة</w:t>
      </w:r>
      <w:r>
        <w:rPr>
          <w:rStyle w:val="FootnoteAnchor"/>
          <w:rtl w:val="true"/>
        </w:rPr>
        <w:footnoteReference w:id="574"/>
      </w:r>
      <w:r>
        <w:rPr>
          <w:rFonts w:ascii="IRNazanin" w:hAnsi="IRNazanin" w:eastAsia="IRNazanin"/>
          <w:color w:val="111111"/>
          <w:sz w:val="28"/>
          <w:sz w:val="28"/>
          <w:szCs w:val="28"/>
          <w:rtl w:val="true"/>
          <w:lang w:bidi="fa-IR"/>
        </w:rPr>
        <w:t>و جامع المقاصد</w:t>
      </w:r>
      <w:r>
        <w:rPr>
          <w:rStyle w:val="FootnoteAnchor"/>
          <w:rtl w:val="true"/>
        </w:rPr>
        <w:footnoteReference w:id="575"/>
      </w:r>
      <w:r>
        <w:rPr>
          <w:rFonts w:ascii="IRNazanin" w:hAnsi="IRNazanin" w:eastAsia="IRNazanin"/>
          <w:color w:val="111111"/>
          <w:sz w:val="28"/>
          <w:sz w:val="28"/>
          <w:szCs w:val="28"/>
          <w:rtl w:val="true"/>
          <w:lang w:bidi="fa-IR"/>
        </w:rPr>
        <w:t>و المسالک</w:t>
      </w:r>
      <w:r>
        <w:rPr>
          <w:rStyle w:val="FootnoteAnchor"/>
          <w:rtl w:val="true"/>
        </w:rPr>
        <w:footnoteReference w:id="576"/>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مدارک الأحکام</w:t>
      </w:r>
      <w:r>
        <w:rPr>
          <w:rStyle w:val="FootnoteAnchor"/>
          <w:rtl w:val="true"/>
        </w:rPr>
        <w:footnoteReference w:id="577"/>
      </w:r>
      <w:r>
        <w:rPr>
          <w:rFonts w:ascii="IRNazanin" w:hAnsi="IRNazanin" w:eastAsia="IRNazanin"/>
          <w:color w:val="111111"/>
          <w:sz w:val="28"/>
          <w:sz w:val="28"/>
          <w:szCs w:val="28"/>
          <w:rtl w:val="true"/>
          <w:lang w:bidi="fa-IR"/>
        </w:rPr>
        <w:t>و الریاض</w:t>
      </w:r>
      <w:r>
        <w:rPr>
          <w:rStyle w:val="FootnoteAnchor"/>
          <w:rtl w:val="true"/>
        </w:rPr>
        <w:footnoteReference w:id="578"/>
      </w:r>
      <w:r>
        <w:rPr>
          <w:rFonts w:ascii="IRNazanin" w:hAnsi="IRNazanin" w:eastAsia="IRNazanin"/>
          <w:color w:val="111111"/>
          <w:sz w:val="28"/>
          <w:sz w:val="28"/>
          <w:szCs w:val="28"/>
          <w:rtl w:val="true"/>
          <w:lang w:bidi="fa-IR"/>
        </w:rPr>
        <w:t>و جواهر الکلام</w:t>
      </w:r>
      <w:r>
        <w:rPr>
          <w:rStyle w:val="FootnoteAnchor"/>
          <w:rtl w:val="true"/>
        </w:rPr>
        <w:footnoteReference w:id="579"/>
      </w:r>
      <w:r>
        <w:rPr>
          <w:rFonts w:ascii="IRNazanin" w:hAnsi="IRNazanin" w:eastAsia="IRNazanin"/>
          <w:color w:val="111111"/>
          <w:sz w:val="28"/>
          <w:sz w:val="28"/>
          <w:szCs w:val="28"/>
          <w:rtl w:val="true"/>
          <w:lang w:bidi="fa-IR"/>
        </w:rPr>
        <w:t>و العروة الوثقی</w:t>
      </w:r>
      <w:r>
        <w:rPr>
          <w:rStyle w:val="FootnoteAnchor"/>
          <w:rtl w:val="true"/>
        </w:rPr>
        <w:footnoteReference w:id="580"/>
      </w:r>
      <w:r>
        <w:rPr>
          <w:rFonts w:ascii="IRNazanin" w:hAnsi="IRNazanin" w:eastAsia="IRNazanin"/>
          <w:color w:val="111111"/>
          <w:sz w:val="28"/>
          <w:sz w:val="28"/>
          <w:szCs w:val="28"/>
          <w:rtl w:val="true"/>
          <w:lang w:bidi="fa-IR"/>
        </w:rPr>
        <w:t>، و وافق</w:t>
      </w:r>
    </w:p>
    <w:p>
      <w:pPr>
        <w:pStyle w:val="BookText"/>
        <w:rPr/>
      </w:pPr>
      <w:r>
        <w:rPr>
          <w:rFonts w:ascii="IRNazanin" w:hAnsi="IRNazanin" w:eastAsia="IRNazanin"/>
          <w:color w:val="111111"/>
          <w:sz w:val="28"/>
          <w:sz w:val="28"/>
          <w:szCs w:val="28"/>
          <w:rtl w:val="true"/>
          <w:lang w:bidi="fa-IR"/>
        </w:rPr>
        <w:t>علیه من علّق علی تحریر الوسیلة</w:t>
      </w:r>
      <w:r>
        <w:rPr>
          <w:rStyle w:val="FootnoteAnchor"/>
          <w:rtl w:val="true"/>
        </w:rPr>
        <w:footnoteReference w:id="581"/>
      </w:r>
      <w:r>
        <w:rPr>
          <w:rFonts w:ascii="IRNazanin" w:hAnsi="IRNazanin" w:eastAsia="IRNazanin"/>
          <w:color w:val="111111"/>
          <w:sz w:val="28"/>
          <w:sz w:val="28"/>
          <w:szCs w:val="28"/>
          <w:rtl w:val="true"/>
          <w:lang w:bidi="fa-IR"/>
        </w:rPr>
        <w:t>و غیرها</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تدلّ علیه الأدلّة العامة العقلیة و الشرعیة، التی دلّت علی وجوب حفظ النفس المحترمة؛ لأنّ حیاة المرأة واجبة الحفظ، فلا مناص من إخراج الولد من بطنها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روایة وهب بن وهب،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أمیر المؤمنین علیه السلام فی المرأة یموت فی بطنها الولد فیتخوّف علیها،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بأن یدخل الرجل یده فیقطعه و یخرجهُ</w:t>
      </w:r>
      <w:r>
        <w:rPr>
          <w:rFonts w:eastAsia="IRNazanin" w:cs="IRNazanin"/>
          <w:color w:val="111111"/>
          <w:sz w:val="28"/>
          <w:szCs w:val="28"/>
          <w:rtl w:val="true"/>
          <w:lang w:bidi="fa-IR"/>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هکذا ما جاء فی فقه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مات الولد فی جوفها و لم یخرج أدخل إنسان یده فی فرجها و قطع الولد بیده و أخرجه</w:t>
      </w:r>
      <w:r>
        <w:rPr>
          <w:rFonts w:eastAsia="IRNazanin" w:cs="IRNazanin"/>
          <w:color w:val="111111"/>
          <w:sz w:val="28"/>
          <w:szCs w:val="28"/>
          <w:rtl w:val="true"/>
          <w:lang w:bidi="fa-IR"/>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ضعف سند الأولی منجبر بعمل الأصحاب و بموافقته للأصول، فإنّ دفع الضرر واجب عقلاً و نقلاً، و لو لم یخرج فالغالب الهلاک؛ و لهذا لم یتوقّف أحد فی العمل بهما</w:t>
      </w:r>
      <w:r>
        <w:rPr>
          <w:rStyle w:val="FootnoteAnchor"/>
          <w:rtl w:val="true"/>
        </w:rPr>
        <w:footnoteReference w:id="5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ادّعی الإجماع علیه صریحاً</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کما قال فی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إذا تعذّر إخراجه بدون القطع و إلاّ حرم، و یجب مراعاة الأرفق فالأرفق فی إخراجه کالعلاج و نحوه، و یشترط العلم بموت الولد، فلو شکّ وجب الصبر، و یتولّی ذلک النساء أو الزوج ثمّ محارم الرجال ثمّ الأجانب، و یباح هُنا ما یباح للطبیب</w:t>
      </w:r>
      <w:r>
        <w:rPr>
          <w:rFonts w:eastAsia="IRNazanin" w:cs="IRNazanin"/>
          <w:color w:val="111111"/>
          <w:sz w:val="28"/>
          <w:szCs w:val="28"/>
          <w:rtl w:val="true"/>
          <w:lang w:bidi="fa-IR"/>
        </w:rPr>
        <w:t>»</w:t>
      </w:r>
      <w:r>
        <w:rPr>
          <w:rStyle w:val="FootnoteAnchor"/>
          <w:rtl w:val="true"/>
        </w:rPr>
        <w:footnoteReference w:id="587"/>
      </w:r>
      <w:bookmarkStart w:id="241" w:name="pg11752_146166"/>
    </w:p>
    <w:p>
      <w:pPr>
        <w:pStyle w:val="BookText"/>
        <w:rPr/>
      </w:pPr>
      <w:bookmarkEnd w:id="241"/>
      <w:r>
        <w:rPr>
          <w:rFonts w:ascii="IRNazanin" w:hAnsi="IRNazanin" w:eastAsia="IRNazanin"/>
          <w:color w:val="111111"/>
          <w:sz w:val="28"/>
          <w:sz w:val="28"/>
          <w:szCs w:val="28"/>
          <w:rtl w:val="true"/>
          <w:lang w:bidi="fa-IR"/>
        </w:rPr>
        <w:t>و بتعبیر آخر، ما ذکر فی الروایات هو المتعارف فی زمان صدورها، فلا منافاة أن یخرج فی زماننا هذا بالأسالیب الطبّیة الحدیثة، بل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أمکن إخراجه بطریق لم یکن فیه وهناً علی الولد و علی أُمّه و کان أرفق بحالها یجب ذلک؛ لأنّ المقصود إخراج الولد المیّت من رحم الحامل و دفع الضرر عنها بالطریق الأسهل فالأسهل، و یجب أیضاً مراعاة مسائل أُخری من قبیل تولّی النساء لذلک و غیرها</w:t>
      </w:r>
      <w:r>
        <w:rPr>
          <w:rFonts w:eastAsia="IRNazanin" w:cs="IRNazanin"/>
          <w:color w:val="111111"/>
          <w:sz w:val="28"/>
          <w:szCs w:val="28"/>
          <w:rtl w:val="true"/>
          <w:lang w:bidi="fa-IR"/>
        </w:rPr>
        <w:t>.</w:t>
      </w:r>
    </w:p>
    <w:p>
      <w:pPr>
        <w:pStyle w:val="Heading5"/>
        <w:numPr>
          <w:ilvl w:val="4"/>
          <w:numId w:val="1"/>
        </w:numPr>
        <w:rPr/>
      </w:pPr>
      <w:bookmarkStart w:id="242" w:name="__RefHeading___Toc9423956_73709187"/>
      <w:bookmarkStart w:id="243" w:name="_Toc92"/>
      <w:bookmarkEnd w:id="242"/>
      <w:r>
        <w:rPr>
          <w:rtl w:val="true"/>
        </w:rPr>
        <w:t>رأی فقهاء أهل السنّة فی هذه المسألة</w:t>
      </w:r>
      <w:bookmarkEnd w:id="243"/>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 الحنفیّة فی هذه المسألة بمثل ما قال به فقهاؤنا، أی وجوب إخراج الحمل لو خیف علی الاُمّ و لو بتقطیعه، و لم نجد للمالکیة و الشافعیّة و الحنابلة فی هذه المسألة رأیاً، قال ابن عابدین من فقهاء الحنفیّة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حامل ماتت و ولدُها حیّ یضطرب شقّ بطنها من الأیسر و یخرج ولدها، و لو بالعکس بأن مات الولد فی بطنها و هی حیّة و خیف علی الاُمّ قطع و أخرج لو میّتاً، قطع أی بأن تدخل القابلة یدها فی الفرج و تقطعه بآلةٍ فی یدها بعد تحقّق موته</w:t>
      </w:r>
      <w:r>
        <w:rPr>
          <w:rFonts w:eastAsia="IRNazanin" w:cs="IRNazanin"/>
          <w:color w:val="111111"/>
          <w:sz w:val="28"/>
          <w:szCs w:val="28"/>
          <w:rtl w:val="true"/>
          <w:lang w:bidi="fa-IR"/>
        </w:rPr>
        <w:t>»</w:t>
      </w:r>
      <w:r>
        <w:rPr>
          <w:rStyle w:val="FootnoteAnchor"/>
          <w:rtl w:val="true"/>
        </w:rPr>
        <w:footnoteReference w:id="588"/>
      </w:r>
      <w:bookmarkStart w:id="244" w:name="pg11752_146167"/>
    </w:p>
    <w:p>
      <w:pPr>
        <w:pStyle w:val="Heading3"/>
        <w:numPr>
          <w:ilvl w:val="2"/>
          <w:numId w:val="1"/>
        </w:numPr>
        <w:rPr/>
      </w:pPr>
      <w:bookmarkStart w:id="245" w:name="__RefHeading___Toc9423958_73709187"/>
      <w:bookmarkStart w:id="246" w:name="_Toc93"/>
      <w:bookmarkEnd w:id="244"/>
      <w:bookmarkEnd w:id="245"/>
      <w:r>
        <w:rPr>
          <w:rtl w:val="true"/>
        </w:rPr>
        <w:t>الفصل السادس فی حقوق الحمل</w:t>
      </w:r>
      <w:bookmarkEnd w:id="246"/>
    </w:p>
    <w:p>
      <w:pPr>
        <w:pStyle w:val="Heading4"/>
        <w:numPr>
          <w:ilvl w:val="3"/>
          <w:numId w:val="1"/>
        </w:numPr>
        <w:rPr/>
      </w:pPr>
      <w:bookmarkStart w:id="247" w:name="__RefHeading___Toc9423960_73709187"/>
      <w:bookmarkStart w:id="248" w:name="_Toc94"/>
      <w:bookmarkEnd w:id="247"/>
      <w:r>
        <w:rPr>
          <w:rtl w:val="true"/>
        </w:rPr>
        <w:t>اشارة</w:t>
      </w:r>
      <w:bookmarkEnd w:id="248"/>
    </w:p>
    <w:p>
      <w:pPr>
        <w:pStyle w:val="BookText"/>
        <w:rPr/>
      </w:pPr>
      <w:r>
        <w:rPr>
          <w:rFonts w:ascii="IRNazanin" w:hAnsi="IRNazanin" w:eastAsia="IRNazanin"/>
          <w:color w:val="111111"/>
          <w:sz w:val="28"/>
          <w:sz w:val="28"/>
          <w:szCs w:val="28"/>
          <w:rtl w:val="true"/>
          <w:lang w:bidi="fa-IR"/>
        </w:rPr>
        <w:t>و من الأدلّة التی تدلّ علی کمال الإسلام أوّلاً، و اهتمامه بأمر الأولاد ثانیاً أنّه وردت فیه أحکام للحمل قبل ولادته، مثل الوصیّة للحمل، و میراث الحمل، و تأخیر الحدّ عن الحامل للحمل و غیر ذلک، الذی ذکر فی أبوابٍ مختلفة من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 منذ أربعة عشر قرناً و فی الوقت الذی عانی فیه الإنسان من الظلم و الحیف و بخس حقوقه بل عومل معاملة الأنعام، و کان القویّ یضیّع حقّ الضعیف، و کان ذلک عند أکثر المجتمعات و الدول و القبائل، حیث لا معنی للحقوق لا للولد و لا لغیره، راح الإسلام ینادی بأعلی صوتٍ برعایة حقوق البشر عموماً و بحقوق الولد خصوصاً حتّی و إن کان حملاً فی بطن امّه، و لم یره إنسان آخر و لم یعلم حاله إلاّ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الفصل عقدناه للبحث عن تلک الحقوق، و هو یشتمل علی مباحث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الوصیّة للحمل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الحمل</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الحدّ عن الحامل بسبب الحمل</w:t>
      </w:r>
      <w:r>
        <w:rPr>
          <w:rFonts w:eastAsia="IRNazanin" w:cs="IRNazanin"/>
          <w:color w:val="111111"/>
          <w:sz w:val="28"/>
          <w:szCs w:val="28"/>
          <w:rtl w:val="true"/>
          <w:lang w:bidi="fa-IR"/>
        </w:rPr>
        <w:t>.</w:t>
      </w:r>
      <w:bookmarkStart w:id="249" w:name="pg11752_146168"/>
    </w:p>
    <w:p>
      <w:pPr>
        <w:pStyle w:val="Heading4"/>
        <w:numPr>
          <w:ilvl w:val="3"/>
          <w:numId w:val="1"/>
        </w:numPr>
        <w:rPr/>
      </w:pPr>
      <w:bookmarkStart w:id="250" w:name="__RefHeading___Toc9423962_73709187"/>
      <w:bookmarkStart w:id="251" w:name="_Toc95"/>
      <w:bookmarkEnd w:id="249"/>
      <w:bookmarkEnd w:id="250"/>
      <w:r>
        <w:rPr>
          <w:rtl w:val="true"/>
        </w:rPr>
        <w:t>المبحث الأوّل</w:t>
      </w:r>
      <w:r>
        <w:rPr>
          <w:rtl w:val="true"/>
        </w:rPr>
        <w:t xml:space="preserve">: </w:t>
      </w:r>
      <w:r>
        <w:rPr>
          <w:rtl w:val="true"/>
        </w:rPr>
        <w:t>الوصیّة للحمل</w:t>
      </w:r>
      <w:bookmarkEnd w:id="251"/>
    </w:p>
    <w:p>
      <w:pPr>
        <w:pStyle w:val="Heading5"/>
        <w:numPr>
          <w:ilvl w:val="4"/>
          <w:numId w:val="1"/>
        </w:numPr>
        <w:rPr/>
      </w:pPr>
      <w:bookmarkStart w:id="252" w:name="__RefHeading___Toc9423964_73709187"/>
      <w:bookmarkStart w:id="253" w:name="_Toc96"/>
      <w:bookmarkEnd w:id="252"/>
      <w:r>
        <w:rPr>
          <w:rtl w:val="true"/>
        </w:rPr>
        <w:t>اشارة</w:t>
      </w:r>
      <w:bookmarkEnd w:id="253"/>
    </w:p>
    <w:p>
      <w:pPr>
        <w:pStyle w:val="BookText"/>
        <w:rPr/>
      </w:pPr>
      <w:r>
        <w:rPr>
          <w:rFonts w:ascii="IRNazanin" w:hAnsi="IRNazanin" w:eastAsia="IRNazanin"/>
          <w:color w:val="111111"/>
          <w:sz w:val="28"/>
          <w:sz w:val="28"/>
          <w:szCs w:val="28"/>
          <w:rtl w:val="true"/>
          <w:lang w:bidi="fa-IR"/>
        </w:rPr>
        <w:t>هل تصح الوصیّة للحمل أم لا؟ 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الوصیّة للحمل الموجود و الحمل الذی سیوجد، و هذا مذهب المالکیّة</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المشهور عند الإمامیّة و أکثر العامة کالحنفیّة</w:t>
      </w:r>
      <w:r>
        <w:rPr>
          <w:rStyle w:val="FootnoteAnchor"/>
          <w:rtl w:val="true"/>
        </w:rPr>
        <w:footnoteReference w:id="590"/>
      </w:r>
      <w:r>
        <w:rPr>
          <w:rFonts w:ascii="Amiri" w:hAnsi="Amiri" w:eastAsia="Amiri" w:cs="Amiri"/>
          <w:color w:val="111111"/>
          <w:sz w:val="28"/>
          <w:sz w:val="28"/>
          <w:szCs w:val="28"/>
          <w:rtl w:val="true"/>
          <w:lang w:bidi="ar-SA"/>
        </w:rPr>
        <w:t>و الحنابلة</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و الشافعیّة</w:t>
      </w:r>
      <w:r>
        <w:rPr>
          <w:rStyle w:val="FootnoteAnchor"/>
          <w:rtl w:val="true"/>
        </w:rPr>
        <w:footnoteReference w:id="592"/>
      </w:r>
      <w:r>
        <w:rPr>
          <w:rFonts w:ascii="IRNazanin" w:hAnsi="IRNazanin" w:eastAsia="IRNazanin"/>
          <w:color w:val="111111"/>
          <w:sz w:val="28"/>
          <w:sz w:val="28"/>
          <w:szCs w:val="28"/>
          <w:rtl w:val="true"/>
          <w:lang w:bidi="fa-IR"/>
        </w:rPr>
        <w:t>بأنّه تجوز الوصیّة للحمل الموجود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فی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تجوز الوصیّة للحمل و الوصیّة به إذا کان مخلوقاً حال الوصیّة و خرج حیّاً، و متی خرج میّتاً لم تصحّ الوصیّة</w:t>
      </w:r>
      <w:r>
        <w:rPr>
          <w:rFonts w:eastAsia="IRNazanin" w:cs="IRNazanin"/>
          <w:color w:val="111111"/>
          <w:sz w:val="28"/>
          <w:szCs w:val="28"/>
          <w:rtl w:val="true"/>
          <w:lang w:bidi="fa-IR"/>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قول ابن إدریس</w:t>
      </w:r>
      <w:r>
        <w:rPr>
          <w:rStyle w:val="FootnoteAnchor"/>
          <w:rtl w:val="true"/>
        </w:rPr>
        <w:footnoteReference w:id="594"/>
      </w:r>
      <w:r>
        <w:rPr>
          <w:rFonts w:ascii="IRNazanin" w:hAnsi="IRNazanin" w:eastAsia="IRNazanin"/>
          <w:color w:val="111111"/>
          <w:sz w:val="28"/>
          <w:sz w:val="28"/>
          <w:szCs w:val="28"/>
          <w:rtl w:val="true"/>
          <w:lang w:bidi="fa-IR"/>
        </w:rPr>
        <w:t>و یحیی بن سعید الحلّی</w:t>
      </w:r>
      <w:r>
        <w:rPr>
          <w:rStyle w:val="FootnoteAnchor"/>
          <w:rtl w:val="true"/>
        </w:rPr>
        <w:footnoteReference w:id="595"/>
      </w:r>
      <w:r>
        <w:rPr>
          <w:rFonts w:ascii="Amiri" w:hAnsi="Amiri" w:eastAsia="Amiri" w:cs="Amiri"/>
          <w:color w:val="111111"/>
          <w:sz w:val="28"/>
          <w:sz w:val="28"/>
          <w:szCs w:val="28"/>
          <w:rtl w:val="true"/>
          <w:lang w:bidi="ar-SA"/>
        </w:rPr>
        <w:t>و المحقّق</w:t>
      </w:r>
      <w:r>
        <w:rPr>
          <w:rStyle w:val="FootnoteAnchor"/>
          <w:rtl w:val="true"/>
        </w:rPr>
        <w:footnoteReference w:id="596"/>
      </w:r>
      <w:r>
        <w:rPr>
          <w:rFonts w:ascii="Amiri" w:hAnsi="Amiri" w:eastAsia="Amiri" w:cs="Amiri"/>
          <w:color w:val="111111"/>
          <w:sz w:val="28"/>
          <w:sz w:val="28"/>
          <w:szCs w:val="28"/>
          <w:rtl w:val="true"/>
          <w:lang w:bidi="ar-SA"/>
        </w:rPr>
        <w:t>و العلاّمة</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و الشهیدین</w:t>
      </w:r>
      <w:r>
        <w:rPr>
          <w:rStyle w:val="FootnoteAnchor"/>
          <w:rtl w:val="true"/>
        </w:rPr>
        <w:footnoteReference w:id="598"/>
      </w:r>
      <w:r>
        <w:rPr>
          <w:rFonts w:ascii="IRNazanin" w:hAnsi="IRNazanin" w:eastAsia="IRNazanin"/>
          <w:color w:val="111111"/>
          <w:sz w:val="28"/>
          <w:sz w:val="28"/>
          <w:szCs w:val="28"/>
          <w:rtl w:val="true"/>
          <w:lang w:bidi="fa-IR"/>
        </w:rPr>
        <w:t>و غیرهم</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 ذلک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کُتِبَ عَلَیْکُمْ إِذا حَضَرَ أَحَدَکُمُ الْمَوْتُ إِنْ تَرَکَ خَیْراً الْوَصِیَّةُ لِلْوالِدَیْنِ وَ الْأَقْرَبِینَ بِالْمَعْرُوفِ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فالآیة تدلّ علی جواز الوصیّة للأقربین و منهم الحمل، سواء کان الحمل له أو لغیره من الأقربین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 وَصِیَّةٍ تُوصُونَ بِها أَوْ دَیْنٍ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وَصِیَّةٍ یُوصی بِها أَوْ دَیْنٍ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کُلّ هذه الفقرات علی إطلاقها تدلّ علی جواز الوصیّة للأقربین و غیرهم، سواء کان الموصی له حملاً أو غیر 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تعرّضت الآیة الاُولی لعنوان الوالدین و الأقربین، فتدلّ علی جواز الوصیّة للأقربین فقط و منهم الحمل، و لا تشمل الوصیّة لحمل الأجنبی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الآیة و إن قیّدت بهذا العنوان، و لکن بإزائها آیات سورة النساء، و لا یمکن تقییدها بآیة البقرة لأنّ کُلّها مثبتة، و مورد التقیید فی الصورة التی إحداها مثبتة و الأخری نافیة، و هنا لیس کذلک</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أنّ الآیة و إن قیّدت بعنوان الوالدین و الأقربین و لکن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القید قید غالبیّ لا مفهوم له</w:t>
      </w:r>
      <w:r>
        <w:rPr>
          <w:rStyle w:val="FootnoteAnchor"/>
          <w:rtl w:val="true"/>
        </w:rPr>
        <w:footnoteReference w:id="600"/>
      </w:r>
      <w:r>
        <w:rPr>
          <w:rFonts w:ascii="IRNazanin" w:hAnsi="IRNazanin" w:eastAsia="IRNazanin"/>
          <w:color w:val="111111"/>
          <w:sz w:val="28"/>
          <w:sz w:val="28"/>
          <w:szCs w:val="28"/>
          <w:rtl w:val="true"/>
          <w:lang w:bidi="fa-IR"/>
        </w:rPr>
        <w:t>، فیمکن أن یستفاد من نفس هذه الآیة أیضاً جواز الوصیّة لحمل الأجنبی</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صحیحة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الرجل أوصی بماله فی سبیل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أعطه لمن أوصی له به و إن کان یهودیّاً أو نصرانیّاً، إنّ اللّه عزّ و 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بَدَّلَهُ بَعْدَ ما سَمِعَهُ فَإِنَّما إِثْمُهُ عَلَی الَّذِینَ یُبَدِّلُونَهُ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صحیحة أبی ولاّد،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المیّت، یوصی للوارث بشیء؟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له</w:t>
      </w:r>
      <w:r>
        <w:rPr>
          <w:rFonts w:eastAsia="IRNazanin" w:cs="IRNazanin"/>
          <w:color w:val="111111"/>
          <w:sz w:val="28"/>
          <w:szCs w:val="28"/>
          <w:rtl w:val="true"/>
          <w:lang w:bidi="fa-IR"/>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صحیحة برید العجلی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رجلٍ خرج حاجّاً و معه جمل له و نفقة و زاد، فمات فی الطریق؟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صرورة ثمّ مات فی الحرم فقد أجزأ عنه حجّة الإسلام، و إن کان مات و هو صرورة قبل أن یحرم جعل جمله و زاده و نفقته و ما معه فی حجّة الإسلام، فإن فضل من ذلک شیء فهو للورثة إن لم یکن علیه دین،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 إن کانت الحجّةُ تطوّعاً ثُمّ مات فی الطریق قبل أن یحرم لمن یکون جمله و نفقته و ما معه؟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جمیع ما معه و ما ترک للورثة، إلاّ أن یکون علیه دین فیقضی عنه، أو یکون أوصی بوصیة فینفذ ذلک لمن أوصی له و یجعل ذلک من ثلثه</w:t>
      </w:r>
      <w:r>
        <w:rPr>
          <w:rStyle w:val="FootnoteAnchor"/>
          <w:rtl w:val="true"/>
        </w:rPr>
        <w:footnoteReference w:id="6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معناها غیرها</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فیستفاد من إطلاق هذه الروایات و غیرها جواز الوصیّة لأیّ شخص کان،</w:t>
      </w:r>
      <w:bookmarkStart w:id="254" w:name="pg11752_146171"/>
    </w:p>
    <w:p>
      <w:pPr>
        <w:pStyle w:val="BookText"/>
        <w:rPr/>
      </w:pPr>
      <w:bookmarkEnd w:id="254"/>
      <w:r>
        <w:rPr>
          <w:rFonts w:ascii="IRNazanin" w:hAnsi="IRNazanin" w:eastAsia="IRNazanin"/>
          <w:color w:val="111111"/>
          <w:sz w:val="28"/>
          <w:sz w:val="28"/>
          <w:szCs w:val="28"/>
          <w:rtl w:val="true"/>
          <w:lang w:bidi="fa-IR"/>
        </w:rPr>
        <w:t>سواء کان الموصی له وارثاً أو أجنبیّاً، حملاً فی بطن امّه أو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خلاصة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عموم ما دلّ علی جواز الوصیّة یدلّ علی جوازها للحمل أیضاً، و لم نعثر علی نصٍّ خاصٍّ دالّ علی الصحة فی خصوص الحمل، و علی أصل الحکم، و لا اختلاف فیه بین فقهائنا، بل ظاهر التذکرة عدم الخلاف فیه بین العلماء کافّة</w:t>
      </w:r>
      <w:r>
        <w:rPr>
          <w:rStyle w:val="FootnoteAnchor"/>
          <w:rtl w:val="true"/>
        </w:rPr>
        <w:footnoteReference w:id="606"/>
      </w:r>
      <w:r>
        <w:rPr>
          <w:rFonts w:ascii="IRNazanin" w:hAnsi="IRNazanin" w:eastAsia="IRNazanin"/>
          <w:color w:val="111111"/>
          <w:sz w:val="28"/>
          <w:sz w:val="28"/>
          <w:szCs w:val="28"/>
          <w:rtl w:val="true"/>
          <w:lang w:bidi="fa-IR"/>
        </w:rPr>
        <w:t>، و ادّعی فی التحریر الإجماع علیه</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5" w:name="__RefHeading___Toc9423966_73709187"/>
      <w:bookmarkStart w:id="256" w:name="_Toc97"/>
      <w:bookmarkEnd w:id="255"/>
      <w:r>
        <w:rPr>
          <w:rtl w:val="true"/>
        </w:rPr>
        <w:t>شرائط صحة الوصیّة للحمل</w:t>
      </w:r>
      <w:bookmarkEnd w:id="256"/>
    </w:p>
    <w:p>
      <w:pPr>
        <w:pStyle w:val="Heading6"/>
        <w:numPr>
          <w:ilvl w:val="5"/>
          <w:numId w:val="1"/>
        </w:numPr>
        <w:rPr/>
      </w:pPr>
      <w:bookmarkStart w:id="257" w:name="__RefHeading___Toc9423968_73709187"/>
      <w:bookmarkStart w:id="258" w:name="_Toc98"/>
      <w:bookmarkEnd w:id="257"/>
      <w:r>
        <w:rPr>
          <w:rtl w:val="true"/>
        </w:rPr>
        <w:t>اشارة</w:t>
      </w:r>
      <w:bookmarkEnd w:id="258"/>
    </w:p>
    <w:p>
      <w:pPr>
        <w:pStyle w:val="BookText"/>
        <w:rPr/>
      </w:pPr>
      <w:r>
        <w:rPr>
          <w:rFonts w:ascii="IRNazanin" w:hAnsi="IRNazanin" w:eastAsia="IRNazanin"/>
          <w:color w:val="111111"/>
          <w:sz w:val="28"/>
          <w:sz w:val="28"/>
          <w:szCs w:val="28"/>
          <w:rtl w:val="true"/>
          <w:lang w:bidi="fa-IR"/>
        </w:rPr>
        <w:t>یشترط فی صحة الوصیّة للحمل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وجوده عند الوصیّة و لو قبل ولوج الروح فیه و حیاته، و هذا مما لا خلاف فیه فی الوصیّة مطلقاً، بل علیه الإجماع کما فی نهج الحقّ‌</w:t>
      </w:r>
      <w:r>
        <w:rPr>
          <w:rStyle w:val="FootnoteAnchor"/>
          <w:rtl w:val="true"/>
        </w:rPr>
        <w:footnoteReference w:id="608"/>
      </w:r>
      <w:r>
        <w:rPr>
          <w:rFonts w:ascii="IRNazanin" w:hAnsi="IRNazanin" w:eastAsia="IRNazanin"/>
          <w:color w:val="111111"/>
          <w:sz w:val="28"/>
          <w:sz w:val="28"/>
          <w:szCs w:val="28"/>
          <w:rtl w:val="true"/>
          <w:lang w:bidi="fa-IR"/>
        </w:rPr>
        <w:t>و التذکرة</w:t>
      </w:r>
      <w:r>
        <w:rPr>
          <w:rStyle w:val="FootnoteAnchor"/>
          <w:rtl w:val="true"/>
        </w:rPr>
        <w:footnoteReference w:id="609"/>
      </w:r>
      <w:r>
        <w:rPr>
          <w:rFonts w:ascii="IRNazanin" w:hAnsi="IRNazanin" w:eastAsia="IRNazanin"/>
          <w:color w:val="111111"/>
          <w:sz w:val="28"/>
          <w:sz w:val="28"/>
          <w:szCs w:val="28"/>
          <w:rtl w:val="true"/>
          <w:lang w:bidi="fa-IR"/>
        </w:rPr>
        <w:t>؛ لأن الأدلّة الدالّة علی الصحة من الکتاب و السنّة منصرفة إلی الوصیّة للموجود حین الوصیّة، بلا شبهةٍ فی ذلک، مع أنّ الوصیة تملیک عینٍ أو منفعةٍ، و المعدوم لیس له أهلیة التملّک و لا قابلیّة له</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بوجوده حال الوصیّة، و یتحقّق بوضعه لأقلّ من ستّة أشهر من حین الوصیّة، فیعلم بذلک کونه موجوداً حال الوصیة أو بأقصی مدّة الحمل فما دون إذا لم یکن هناک زوج و لا مولی، و لا یصحّ مع وجود أحدهما؛ لعدم العلم بوجوده عندها، و أصالة عدمه لإمکان تجدّده بعدها</w:t>
      </w:r>
      <w:r>
        <w:rPr>
          <w:rStyle w:val="FootnoteAnchor"/>
          <w:rtl w:val="true"/>
        </w:rPr>
        <w:footnoteReference w:id="610"/>
      </w:r>
      <w:bookmarkStart w:id="259" w:name="pg11752_146172"/>
    </w:p>
    <w:p>
      <w:pPr>
        <w:pStyle w:val="BookText"/>
        <w:rPr/>
      </w:pPr>
      <w:bookmarkEnd w:id="259"/>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انفصاله حیّاً</w:t>
      </w:r>
      <w:r>
        <w:rPr>
          <w:rStyle w:val="FootnoteAnchor"/>
          <w:rtl w:val="true"/>
        </w:rPr>
        <w:footnoteReference w:id="611"/>
      </w:r>
      <w:r>
        <w:rPr>
          <w:rFonts w:ascii="IRNazanin" w:hAnsi="IRNazanin" w:eastAsia="IRNazanin"/>
          <w:color w:val="111111"/>
          <w:sz w:val="28"/>
          <w:sz w:val="28"/>
          <w:szCs w:val="28"/>
          <w:rtl w:val="true"/>
          <w:lang w:bidi="fa-IR"/>
        </w:rPr>
        <w:t>بمعنی أنّه إذا انفصل حیّاً ینکشف صحّة الوصیّة، فلو وضعته میّتاً انکشف بطلان الوصیّة و عدم استقرارها، و إن کان قد حلّته الحیاة فی بطن امّه، و لازم ما ذکر أنّه إذا مات الموصی انتقل الموصی به إلی الحمل و إن لم تحلّه الحیاة و کان النماء المتخلّل یتبع العین فی ذلک، و ظاهرهم عدم اعتبار القبول لتعذّره حیث لم یعلم ولایة الأب و الجدّ بالنسبة إلیه کما قیل بسقوط اعتبار القبول فی الوصیّة للجهات العامّة</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60" w:name="__RefHeading___Toc9423970_73709187"/>
      <w:bookmarkStart w:id="261" w:name="_Toc99"/>
      <w:bookmarkEnd w:id="260"/>
      <w:r>
        <w:rPr>
          <w:rtl w:val="true"/>
        </w:rPr>
        <w:t>فرعٌ‌</w:t>
      </w:r>
      <w:bookmarkEnd w:id="261"/>
    </w:p>
    <w:p>
      <w:pPr>
        <w:pStyle w:val="BookText"/>
        <w:rPr/>
      </w:pPr>
      <w:r>
        <w:rPr>
          <w:rFonts w:ascii="IRNazanin" w:hAnsi="IRNazanin" w:eastAsia="IRNazanin"/>
          <w:color w:val="111111"/>
          <w:sz w:val="28"/>
          <w:sz w:val="28"/>
          <w:szCs w:val="28"/>
          <w:rtl w:val="true"/>
          <w:lang w:bidi="fa-IR"/>
        </w:rPr>
        <w:t xml:space="preserve">إن اتّحد فهی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إن اتّحد الحمل فالموصی به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تعدّد قسّم الموصی به علی العدد و إن اختلفوا بالذکوریّة و الأنوثیّة، و لا فرق بین أن تلدهما معاً فی المدة المشترطة للعلم بوجودهما حال الوصیّة أو علی التعاقب، بأن تلد الأوّل فی أقلّ من ستة أشهر من حین الوصیّة، و الثانی فی أقلّ منها من حین الولادة کما صرّح به فی التذکرة،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زاد ما بین الثانی و الوصیّة علی ستة أشهر، و کانت المرأة فراشاً؛ لأنّهما حمل واحد إجماعاً</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2" w:name="__RefHeading___Toc9423972_73709187"/>
      <w:bookmarkStart w:id="263" w:name="_Toc100"/>
      <w:bookmarkEnd w:id="262"/>
      <w:r>
        <w:rPr>
          <w:rtl w:val="true"/>
        </w:rPr>
        <w:t>آراء فقهاء أهل السنّة فی المسألة</w:t>
      </w:r>
      <w:bookmarkEnd w:id="263"/>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الحنفیة</w:t>
      </w:r>
      <w:r>
        <w:rPr>
          <w:rStyle w:val="FootnoteAnchor"/>
          <w:rtl w:val="true"/>
        </w:rPr>
        <w:footnoteReference w:id="614"/>
      </w:r>
      <w:r>
        <w:rPr>
          <w:rFonts w:ascii="Amiri" w:hAnsi="Amiri" w:eastAsia="Amiri" w:cs="Amiri"/>
          <w:color w:val="111111"/>
          <w:sz w:val="28"/>
          <w:sz w:val="28"/>
          <w:szCs w:val="28"/>
          <w:rtl w:val="true"/>
          <w:lang w:bidi="ar-SA"/>
        </w:rPr>
        <w:t>و الحنابلة</w:t>
      </w:r>
      <w:r>
        <w:rPr>
          <w:rStyle w:val="FootnoteAnchor"/>
          <w:rtl w:val="true"/>
        </w:rPr>
        <w:footnoteReference w:id="615"/>
      </w:r>
      <w:r>
        <w:rPr>
          <w:rFonts w:ascii="Amiri" w:hAnsi="Amiri" w:eastAsia="Amiri" w:cs="Amiri"/>
          <w:color w:val="111111"/>
          <w:sz w:val="28"/>
          <w:sz w:val="28"/>
          <w:szCs w:val="28"/>
          <w:rtl w:val="true"/>
          <w:lang w:bidi="ar-SA"/>
        </w:rPr>
        <w:t>و الشافعیّة</w:t>
      </w:r>
      <w:r>
        <w:rPr>
          <w:rStyle w:val="FootnoteAnchor"/>
          <w:rtl w:val="true"/>
        </w:rPr>
        <w:footnoteReference w:id="616"/>
      </w:r>
      <w:r>
        <w:rPr>
          <w:rFonts w:ascii="IRNazanin" w:hAnsi="IRNazanin" w:eastAsia="IRNazanin"/>
          <w:color w:val="111111"/>
          <w:sz w:val="28"/>
          <w:sz w:val="28"/>
          <w:szCs w:val="28"/>
          <w:rtl w:val="true"/>
          <w:lang w:bidi="fa-IR"/>
        </w:rPr>
        <w:t>یعتقدون بأنّ الجنین إن کان موجوداً حیّاً عند الإیصاء یصح الوصیة له و إلاّ فلا، و إنّما یعرف بأن ولد قبل ستّة أشهر حیّاً،</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المالکیة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أن یملک لما أوصی له به و لو فی ثانی حالٍ، کمن سیکون من حملٍ موجودٍ أو سیوجد فیستحقّه إن استهلَّ صارخاً، و یقوم مقام الاستهلال کثرة رضعه و نحوه ممّا یدلّ علی تحقّق حیاته</w:t>
      </w:r>
      <w:r>
        <w:rPr>
          <w:rStyle w:val="FootnoteAnchor"/>
          <w:rtl w:val="true"/>
        </w:rPr>
        <w:footnoteReference w:id="617"/>
      </w:r>
      <w:bookmarkStart w:id="264" w:name="pg11752_146174"/>
    </w:p>
    <w:p>
      <w:pPr>
        <w:pStyle w:val="Heading4"/>
        <w:numPr>
          <w:ilvl w:val="3"/>
          <w:numId w:val="1"/>
        </w:numPr>
        <w:rPr/>
      </w:pPr>
      <w:bookmarkStart w:id="265" w:name="__RefHeading___Toc9423974_73709187"/>
      <w:bookmarkStart w:id="266" w:name="_Toc101"/>
      <w:bookmarkEnd w:id="264"/>
      <w:bookmarkEnd w:id="265"/>
      <w:r>
        <w:rPr>
          <w:rtl w:val="true"/>
        </w:rPr>
        <w:t>المبحث الثانی</w:t>
      </w:r>
      <w:r>
        <w:rPr>
          <w:rtl w:val="true"/>
        </w:rPr>
        <w:t xml:space="preserve">: </w:t>
      </w:r>
      <w:r>
        <w:rPr>
          <w:rtl w:val="true"/>
        </w:rPr>
        <w:t>میراث الحمل</w:t>
      </w:r>
      <w:bookmarkEnd w:id="266"/>
    </w:p>
    <w:p>
      <w:pPr>
        <w:pStyle w:val="Heading5"/>
        <w:numPr>
          <w:ilvl w:val="4"/>
          <w:numId w:val="1"/>
        </w:numPr>
        <w:rPr/>
      </w:pPr>
      <w:bookmarkStart w:id="267" w:name="__RefHeading___Toc9423976_73709187"/>
      <w:bookmarkStart w:id="268" w:name="_Toc102"/>
      <w:bookmarkEnd w:id="267"/>
      <w:r>
        <w:rPr>
          <w:rtl w:val="true"/>
        </w:rPr>
        <w:t>اشارة</w:t>
      </w:r>
      <w:bookmarkEnd w:id="268"/>
    </w:p>
    <w:p>
      <w:pPr>
        <w:pStyle w:val="BookText"/>
        <w:rPr/>
      </w:pPr>
      <w:r>
        <w:rPr>
          <w:rFonts w:ascii="IRNazanin" w:hAnsi="IRNazanin" w:eastAsia="IRNazanin"/>
          <w:color w:val="111111"/>
          <w:sz w:val="28"/>
          <w:sz w:val="28"/>
          <w:szCs w:val="28"/>
          <w:rtl w:val="true"/>
          <w:lang w:bidi="fa-IR"/>
        </w:rPr>
        <w:t>لا خلاف فی أنّ الحمل یرث کما یرث غیره، قال الشیخ فی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مات و خلّف امرأةً حبلی فإنّ الحمل یرث بلا خلافٍ، فإن خرج و استهلّ فإنّه یرث بلا خلافٍ، و إن خرج و فیه حیاة مستقرّة و لم یستهلّ فإنّه یرث أیضاً</w:t>
      </w:r>
      <w:r>
        <w:rPr>
          <w:rFonts w:eastAsia="IRNazanin" w:cs="IRNazanin"/>
          <w:color w:val="111111"/>
          <w:sz w:val="28"/>
          <w:szCs w:val="28"/>
          <w:rtl w:val="true"/>
          <w:lang w:bidi="fa-IR"/>
        </w:rPr>
        <w:t>»</w:t>
      </w:r>
      <w:r>
        <w:rPr>
          <w:rStyle w:val="FootnoteAnchor"/>
          <w:rtl w:val="true"/>
        </w:rPr>
        <w:footnoteReference w:id="6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الخلاف</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الحمل یرث بشرط انفصاله حیّاً، و لو سقط میّتاً لم یکن له نصیب، و لو مات بعد وجوده حیّاً کان نصیبه لوارثه</w:t>
      </w:r>
      <w:r>
        <w:rPr>
          <w:rFonts w:eastAsia="IRNazanin" w:cs="IRNazanin"/>
          <w:color w:val="111111"/>
          <w:sz w:val="28"/>
          <w:szCs w:val="28"/>
          <w:rtl w:val="true"/>
          <w:lang w:bidi="fa-IR"/>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 ذلک قال ابن زهرة</w:t>
      </w:r>
      <w:r>
        <w:rPr>
          <w:rStyle w:val="FootnoteAnchor"/>
          <w:rtl w:val="true"/>
        </w:rPr>
        <w:footnoteReference w:id="621"/>
      </w:r>
      <w:r>
        <w:rPr>
          <w:rFonts w:ascii="IRNazanin" w:hAnsi="IRNazanin" w:eastAsia="IRNazanin"/>
          <w:color w:val="111111"/>
          <w:sz w:val="28"/>
          <w:sz w:val="28"/>
          <w:szCs w:val="28"/>
          <w:rtl w:val="true"/>
          <w:lang w:bidi="fa-IR"/>
        </w:rPr>
        <w:t>و ابن إدریس</w:t>
      </w:r>
      <w:r>
        <w:rPr>
          <w:rStyle w:val="FootnoteAnchor"/>
          <w:rtl w:val="true"/>
        </w:rPr>
        <w:footnoteReference w:id="622"/>
      </w:r>
      <w:r>
        <w:rPr>
          <w:rFonts w:ascii="IRNazanin" w:hAnsi="IRNazanin" w:eastAsia="IRNazanin"/>
          <w:color w:val="111111"/>
          <w:sz w:val="28"/>
          <w:sz w:val="28"/>
          <w:szCs w:val="28"/>
          <w:rtl w:val="true"/>
          <w:lang w:bidi="fa-IR"/>
        </w:rPr>
        <w:t>و یحیی بن سعید الحلّی</w:t>
      </w:r>
      <w:r>
        <w:rPr>
          <w:rStyle w:val="FootnoteAnchor"/>
          <w:rtl w:val="true"/>
        </w:rPr>
        <w:footnoteReference w:id="623"/>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العلاّمة</w:t>
      </w:r>
      <w:r>
        <w:rPr>
          <w:rStyle w:val="FootnoteAnchor"/>
          <w:rtl w:val="true"/>
        </w:rPr>
        <w:footnoteReference w:id="624"/>
      </w:r>
      <w:r>
        <w:rPr>
          <w:rFonts w:ascii="IRNazanin" w:hAnsi="IRNazanin" w:eastAsia="IRNazanin"/>
          <w:color w:val="111111"/>
          <w:sz w:val="28"/>
          <w:sz w:val="28"/>
          <w:szCs w:val="28"/>
          <w:rtl w:val="true"/>
          <w:lang w:bidi="fa-IR"/>
        </w:rPr>
        <w:t>و الشهیدان</w:t>
      </w:r>
      <w:r>
        <w:rPr>
          <w:rStyle w:val="FootnoteAnchor"/>
          <w:rtl w:val="true"/>
        </w:rPr>
        <w:footnoteReference w:id="625"/>
      </w:r>
      <w:r>
        <w:rPr>
          <w:rFonts w:ascii="IRNazanin" w:hAnsi="IRNazanin" w:eastAsia="IRNazanin"/>
          <w:color w:val="111111"/>
          <w:sz w:val="28"/>
          <w:sz w:val="28"/>
          <w:szCs w:val="28"/>
          <w:rtl w:val="true"/>
          <w:lang w:bidi="fa-IR"/>
        </w:rPr>
        <w:t>و المحقّق الأردبیلی</w:t>
      </w:r>
      <w:r>
        <w:rPr>
          <w:rStyle w:val="FootnoteAnchor"/>
          <w:rtl w:val="true"/>
        </w:rPr>
        <w:footnoteReference w:id="626"/>
      </w:r>
      <w:r>
        <w:rPr>
          <w:rFonts w:ascii="IRNazanin" w:hAnsi="IRNazanin" w:eastAsia="IRNazanin"/>
          <w:color w:val="111111"/>
          <w:sz w:val="28"/>
          <w:sz w:val="28"/>
          <w:szCs w:val="28"/>
          <w:rtl w:val="true"/>
          <w:lang w:bidi="fa-IR"/>
        </w:rPr>
        <w:t>و الفاضل الهندی</w:t>
      </w:r>
      <w:r>
        <w:rPr>
          <w:rStyle w:val="FootnoteAnchor"/>
          <w:rtl w:val="true"/>
        </w:rPr>
        <w:footnoteReference w:id="627"/>
      </w:r>
      <w:r>
        <w:rPr>
          <w:rFonts w:ascii="IRNazanin" w:hAnsi="IRNazanin" w:eastAsia="IRNazanin"/>
          <w:color w:val="111111"/>
          <w:sz w:val="28"/>
          <w:sz w:val="28"/>
          <w:szCs w:val="28"/>
          <w:rtl w:val="true"/>
          <w:lang w:bidi="fa-IR"/>
        </w:rPr>
        <w:t>و الفیض الکاشانی</w:t>
      </w:r>
      <w:r>
        <w:rPr>
          <w:rStyle w:val="FootnoteAnchor"/>
          <w:rtl w:val="true"/>
        </w:rPr>
        <w:footnoteReference w:id="628"/>
      </w:r>
      <w:r>
        <w:rPr>
          <w:rFonts w:ascii="IRNazanin" w:hAnsi="IRNazanin" w:eastAsia="IRNazanin"/>
          <w:color w:val="111111"/>
          <w:sz w:val="28"/>
          <w:sz w:val="28"/>
          <w:szCs w:val="28"/>
          <w:rtl w:val="true"/>
          <w:lang w:bidi="fa-IR"/>
        </w:rPr>
        <w:t>و غیرهم</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و یمکن الاستدلال علی ذلک بالکتاب و السنة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الکتاب فقوله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یُوصِیکُمُ اللّهُ فِی أَوْلادِکُمْ لِلذَّکَرِ مِثْلُ حَظِّ الْأُنْثَیَیْنِ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لِأَبَوَیْهِ لِکُلِّ واحِدٍ مِنْهُمَا السُّدُسُ مِمّا تَرَکَ إِنْ کانَ لَهُ وَلَدٌ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فإطلاق الآیة یشمل المولود و غیر المولود؛ لأنّ الولد فی بطن امّه أیضاً یطلق علیه الولد عرفاً و شرعاً، و یکون بحکم المولود، إلاّ أنّ الآیة قد قیّدت بالنصوص التی تدلّ علی أنّه یشترط فی إرث الحمل أن یتولّد 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فنصوص مستفیضة إن لم تکن متواترة 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صحیحة عمر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مات و ترک امرأته و هی حامل، فوضعت بعد موته غلاماً، ثمّ مات الغلام بعد ما وقع إلی الأرض، فشهدت المرأة التی قبّلتها أنّه استهلّ و صاح حین وقع إلی الأرض ثمّ مات؟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الإمام أن یجیز شهادتها فی ربع میراث الغلام</w:t>
      </w:r>
      <w:r>
        <w:rPr>
          <w:rFonts w:eastAsia="IRNazanin" w:cs="IRNazanin"/>
          <w:color w:val="111111"/>
          <w:sz w:val="28"/>
          <w:szCs w:val="28"/>
          <w:rtl w:val="true"/>
          <w:lang w:bidi="fa-IR"/>
        </w:rPr>
        <w:t>»</w:t>
      </w:r>
      <w:r>
        <w:rPr>
          <w:rStyle w:val="FootnoteAnchor"/>
          <w:rtl w:val="true"/>
        </w:rPr>
        <w:footnoteReference w:id="6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الدلالة صریحة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صحیحة الفضیل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الحکم بن عتیبة أبا جعفر علیه السلام عن الصبیّ یسقط من امّه غیر مستهلّ أ یورث؟ فأعرض عنه، فأعاد علیه،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تحرّک تحرّکاً بیّناً ورث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ربما کان أخرس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الصدوق بإسناده عن حریز مثله</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تحرّک المولود تحرّکاً بیّناً فإنَّه یرث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ربما کان أخرس</w:t>
      </w:r>
      <w:r>
        <w:rPr>
          <w:rFonts w:eastAsia="IRNazanin" w:cs="IRNazanin"/>
          <w:color w:val="111111"/>
          <w:sz w:val="28"/>
          <w:szCs w:val="28"/>
          <w:rtl w:val="true"/>
          <w:lang w:bidi="fa-IR"/>
        </w:rPr>
        <w:t>»</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و فی معناها صحیحة ربعی بن عبد اللّه، عن أبی عبد اللّه علیه السلام</w:t>
      </w:r>
      <w:r>
        <w:rPr>
          <w:rStyle w:val="FootnoteAnchor"/>
          <w:rtl w:val="true"/>
        </w:rPr>
        <w:footnoteReference w:id="6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حسنته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السقط إذا سقط من بطن امّه فتحرّک تحرّکاً 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یرث و یورث فإنّه ربما یکون أخرس</w:t>
      </w:r>
      <w:r>
        <w:rPr>
          <w:rFonts w:eastAsia="IRNazanin" w:cs="IRNazanin"/>
          <w:color w:val="111111"/>
          <w:sz w:val="28"/>
          <w:szCs w:val="28"/>
          <w:rtl w:val="true"/>
          <w:lang w:bidi="fa-IR"/>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الأخبار و غیرها صریحة فی إرث الحمل إذا انفصل حیّاً، و تحرّک حرکة الأحیاء مطلقاً، أی بقی و عاش بعد انفصاله حیّاً أو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الأخبار و إن تدلّ علی انفصاله حیّاً مطلقاً، و لکن فی مقابلها روایات أخر تدلّ علی انحصار إرثه بما إذا استهلّ و صاح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صحیحة عبد اللّه بن سنان، عن أبی عبد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یُصلّی علی المنفوس و هو المولود الذی لم یستهلّ و لم یصحّ و لم یورث من الدّیة و لا من غیرها، فإذا استهلّ فصلِّ علیه و ورِّثهُ</w:t>
      </w:r>
      <w:r>
        <w:rPr>
          <w:rFonts w:eastAsia="IRNazanin" w:cs="IRNazanin"/>
          <w:color w:val="111111"/>
          <w:sz w:val="28"/>
          <w:szCs w:val="28"/>
          <w:rtl w:val="true"/>
          <w:lang w:bidi="fa-IR"/>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هکذا موثّقته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یرث شیئاً حتی یصیح و یسمع صوته</w:t>
      </w:r>
      <w:r>
        <w:rPr>
          <w:rFonts w:eastAsia="IRNazanin" w:cs="IRNazanin"/>
          <w:color w:val="111111"/>
          <w:sz w:val="28"/>
          <w:szCs w:val="28"/>
          <w:rtl w:val="true"/>
          <w:lang w:bidi="fa-IR"/>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نحوها مرسلة ابن عون قال 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المنفوس لا یرث من الدیة شیئاً حتّی یستهلّ و یسمع صوته</w:t>
      </w:r>
      <w:r>
        <w:rPr>
          <w:rFonts w:eastAsia="IRNazanin" w:cs="IRNazanin"/>
          <w:color w:val="111111"/>
          <w:sz w:val="28"/>
          <w:szCs w:val="28"/>
          <w:rtl w:val="true"/>
          <w:lang w:bidi="fa-IR"/>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الریاض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أطبق الأصحاب علی ترکها و العمل بالأخبار السابقة المصرّحة بالاکتفاء بالحرکة، معلّلةً بأنّه ربما کان أخرس، و لعلّه لقوّة احتمال ورود هذه الأخبار مورد الغالب</w:t>
      </w:r>
      <w:r>
        <w:rPr>
          <w:rStyle w:val="FootnoteAnchor"/>
          <w:rtl w:val="true"/>
        </w:rPr>
        <w:footnoteReference w:id="638"/>
      </w:r>
      <w:bookmarkStart w:id="269" w:name="pg11752_146177"/>
    </w:p>
    <w:p>
      <w:pPr>
        <w:pStyle w:val="BookText"/>
        <w:rPr/>
      </w:pPr>
      <w:bookmarkEnd w:id="269"/>
      <w:r>
        <w:rPr>
          <w:rFonts w:ascii="IRNazanin" w:hAnsi="IRNazanin" w:eastAsia="IRNazanin"/>
          <w:color w:val="111111"/>
          <w:sz w:val="28"/>
          <w:sz w:val="28"/>
          <w:szCs w:val="28"/>
          <w:rtl w:val="true"/>
          <w:lang w:bidi="fa-IR"/>
        </w:rPr>
        <w:t>و الأولی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قطع النظر عن ضعف السند و الإرسال یمکن الجمع بینهما و بین ما سبق بلزوم الحیاة سواء کانت من جهة الحرکة البیّنة أو الصیاح و الاستهلال</w:t>
      </w:r>
      <w:r>
        <w:rPr>
          <w:rFonts w:eastAsia="IRNazanin" w:cs="IRNazanin"/>
          <w:color w:val="111111"/>
          <w:sz w:val="28"/>
          <w:szCs w:val="28"/>
          <w:rtl w:val="true"/>
          <w:lang w:bidi="fa-IR"/>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 فی الریاض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الأجود حملها علی التقیة کما فعله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شیخ الطائفة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بعض العامة یراعون فی توریثه الاستهلال</w:t>
      </w:r>
      <w:r>
        <w:rPr>
          <w:rStyle w:val="FootnoteAnchor"/>
          <w:rtl w:val="true"/>
        </w:rPr>
        <w:footnoteReference w:id="6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یشیر إلیه الأمر بالصلاة علیه بعد استهلاله فی صحیحة عبد اللّه بن سنان المتقدّمة، و یستفاد من بعض الأخبار الصحیحة کونه مذهب العامة، و أمّا الجمع بینهما بتخصیص الأخیرة بالإرث من الدّیة و الأولة بالإرث من غیرها کما فی المفاتیح</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فضعیف غایته؛ لعدم الشاهد علیه</w:t>
      </w:r>
      <w:r>
        <w:rPr>
          <w:rFonts w:eastAsia="IRNazanin" w:cs="IRNazanin"/>
          <w:color w:val="111111"/>
          <w:sz w:val="28"/>
          <w:szCs w:val="28"/>
          <w:rtl w:val="true"/>
          <w:lang w:bidi="fa-IR"/>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تفصیل الشریعة فی مقام بیان عدم التعارض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الظاهر أنّه لا خصوصیّة للاستهلال و الصیحة بل الملاک هو أثر الحیاة سواء کان هو التحرّک البیّن أم الاستهلال و قد أشار علیه السلام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ربما کان أخرس</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0" w:name="__RefHeading___Toc9423978_73709187"/>
      <w:bookmarkStart w:id="271" w:name="_Toc103"/>
      <w:bookmarkEnd w:id="270"/>
      <w:r>
        <w:rPr>
          <w:rtl w:val="true"/>
        </w:rPr>
        <w:t>شرائط إرث الحمل</w:t>
      </w:r>
      <w:bookmarkEnd w:id="271"/>
    </w:p>
    <w:p>
      <w:pPr>
        <w:pStyle w:val="BookText"/>
        <w:rPr/>
      </w:pPr>
      <w:r>
        <w:rPr>
          <w:rFonts w:ascii="IRNazanin" w:hAnsi="IRNazanin" w:eastAsia="IRNazanin"/>
          <w:color w:val="111111"/>
          <w:sz w:val="28"/>
          <w:sz w:val="28"/>
          <w:szCs w:val="28"/>
          <w:rtl w:val="true"/>
          <w:lang w:bidi="fa-IR"/>
        </w:rPr>
        <w:t>ظهر ممّا استفدنا من الروایات أنّ إرث الحمل</w:t>
      </w:r>
      <w:r>
        <w:rPr>
          <w:rStyle w:val="FootnoteAnchor"/>
          <w:rtl w:val="true"/>
        </w:rPr>
        <w:footnoteReference w:id="644"/>
      </w:r>
      <w:r>
        <w:rPr>
          <w:rFonts w:ascii="IRNazanin" w:hAnsi="IRNazanin" w:eastAsia="IRNazanin"/>
          <w:color w:val="111111"/>
          <w:sz w:val="28"/>
          <w:sz w:val="28"/>
          <w:szCs w:val="28"/>
          <w:rtl w:val="true"/>
          <w:lang w:bidi="fa-IR"/>
        </w:rPr>
        <w:t>مشروط بأمرین</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یحکم بوجوده عند موت المورِّث، إمّا قطعاً بأن ولدته لدون ستة</w:t>
      </w:r>
      <w:bookmarkStart w:id="272" w:name="pg11752_146178"/>
    </w:p>
    <w:p>
      <w:pPr>
        <w:pStyle w:val="BookText"/>
        <w:rPr/>
      </w:pPr>
      <w:bookmarkEnd w:id="272"/>
      <w:r>
        <w:rPr>
          <w:rFonts w:ascii="IRNazanin" w:hAnsi="IRNazanin" w:eastAsia="IRNazanin"/>
          <w:color w:val="111111"/>
          <w:sz w:val="28"/>
          <w:sz w:val="28"/>
          <w:szCs w:val="28"/>
          <w:rtl w:val="true"/>
          <w:lang w:bidi="fa-IR"/>
        </w:rPr>
        <w:t>أشهر من حین الموت حیّاً کاملاً، أو شرعاً بأن ولدته لأقصی مدّة الحمل فما دون و لم تُوطأ الحامل فی تلک المدّة وطأً یصلح لاستناد الولد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یفصل حیّاً، فلو انفصل میّتاً فلا تأثیر فی إرثه سواء کان یتحرّک فی البطن أم لا، و سواء انفصل میّتاً أم بجنایة جانٍ و إن کانت الجنایة توجب الدّیة، و هکذا تشترط حیاته عند تمام الانفصال، فلو خرج بعضه حیّاً و مات قبل الانفصال فهو کما خرج میّتاً، و لکن لو مات عقیب انفصاله حیّاً فنصیبه لورثته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تعلم الحیاة بصراخه و هو الاستهلال کما نُصّ علیه فی الروایات، و بالبکاء و العطاس و امتصاص الثدی، و نحوها من الحرکات الدالّة علی أنّها حرکة حیٍّ دون التقلّص فی العصب و الاختلاج، الذی یقع مثله فی غیر الأحیاء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تشترط حیاته عند موت المورِّث، بل لو کان نطفةً فی زمانه ورث بشرط أن یولد حیّاً، و هکذا لا یشترط استقرار حیاته و لا استهلاله؛ لجواز کونه أخرس بل مطلق الحیاة یکفی کما قرّرناهُ</w:t>
      </w:r>
      <w:r>
        <w:rPr>
          <w:rFonts w:eastAsia="IRNazanin" w:cs="IRNazanin"/>
          <w:color w:val="111111"/>
          <w:sz w:val="28"/>
          <w:szCs w:val="28"/>
          <w:rtl w:val="true"/>
          <w:lang w:bidi="fa-IR"/>
        </w:rPr>
        <w:t>.</w:t>
      </w:r>
    </w:p>
    <w:p>
      <w:pPr>
        <w:pStyle w:val="Heading5"/>
        <w:numPr>
          <w:ilvl w:val="4"/>
          <w:numId w:val="1"/>
        </w:numPr>
        <w:rPr/>
      </w:pPr>
      <w:bookmarkStart w:id="273" w:name="__RefHeading___Toc9423980_73709187"/>
      <w:bookmarkStart w:id="274" w:name="_Toc104"/>
      <w:bookmarkEnd w:id="273"/>
      <w:r>
        <w:rPr>
          <w:rtl w:val="true"/>
        </w:rPr>
        <w:t>رأی الجمهور من أهل السنّة فی المسألة</w:t>
      </w:r>
      <w:bookmarkEnd w:id="274"/>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یستفاد من کلمات فقهاء المذاهب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الحنفیّة و الحنابلة و الشافعیة و المالکیّة، أنّه لا خلاف بینهم، بل أجمعوا بأنّ الحمل یکون من جملة الورثة إذا علم بأنّه کان موجوداً فی البطن عند موت المورِّث و انفصل حیّاً، و یعلم وجوده فی البطن إذا جاءت به لأقلّ مدّة الحمل و هی ستّة أشهر من موت المورِّث، و کان النکاح قائماً بین الزوجین؛ لأنّ أدنی مدّة الحمل ستّة أشهر</w:t>
      </w:r>
      <w:r>
        <w:rPr>
          <w:rStyle w:val="FootnoteAnchor"/>
          <w:rtl w:val="true"/>
        </w:rPr>
        <w:footnoteReference w:id="645"/>
      </w:r>
      <w:bookmarkStart w:id="275" w:name="pg11752_146179"/>
    </w:p>
    <w:p>
      <w:pPr>
        <w:pStyle w:val="Heading4"/>
        <w:numPr>
          <w:ilvl w:val="3"/>
          <w:numId w:val="1"/>
        </w:numPr>
        <w:rPr/>
      </w:pPr>
      <w:bookmarkStart w:id="276" w:name="__RefHeading___Toc9423982_73709187"/>
      <w:bookmarkStart w:id="277" w:name="_Toc105"/>
      <w:bookmarkEnd w:id="275"/>
      <w:bookmarkEnd w:id="276"/>
      <w:r>
        <w:rPr>
          <w:rtl w:val="true"/>
        </w:rPr>
        <w:t>المبحث الثالث</w:t>
      </w:r>
      <w:r>
        <w:rPr>
          <w:rtl w:val="true"/>
        </w:rPr>
        <w:t xml:space="preserve">: </w:t>
      </w:r>
      <w:r>
        <w:rPr>
          <w:rtl w:val="true"/>
        </w:rPr>
        <w:t>تأخیر الحدّ عن الحامل بسبب حملها</w:t>
      </w:r>
      <w:bookmarkEnd w:id="277"/>
    </w:p>
    <w:p>
      <w:pPr>
        <w:pStyle w:val="Heading5"/>
        <w:numPr>
          <w:ilvl w:val="4"/>
          <w:numId w:val="1"/>
        </w:numPr>
        <w:rPr/>
      </w:pPr>
      <w:bookmarkStart w:id="278" w:name="__RefHeading___Toc9423984_73709187"/>
      <w:bookmarkStart w:id="279" w:name="_Toc106"/>
      <w:bookmarkEnd w:id="278"/>
      <w:r>
        <w:rPr>
          <w:rtl w:val="true"/>
        </w:rPr>
        <w:t>اشارة</w:t>
      </w:r>
      <w:bookmarkEnd w:id="279"/>
    </w:p>
    <w:p>
      <w:pPr>
        <w:pStyle w:val="BookText"/>
        <w:rPr/>
      </w:pPr>
      <w:r>
        <w:rPr>
          <w:rFonts w:ascii="IRNazanin" w:hAnsi="IRNazanin" w:eastAsia="IRNazanin"/>
          <w:color w:val="111111"/>
          <w:sz w:val="28"/>
          <w:sz w:val="28"/>
          <w:szCs w:val="28"/>
          <w:rtl w:val="true"/>
          <w:lang w:bidi="fa-IR"/>
        </w:rPr>
        <w:t>و فیه مطالب</w:t>
      </w:r>
      <w:r>
        <w:rPr>
          <w:rFonts w:eastAsia="IRNazanin" w:cs="IRNazanin"/>
          <w:color w:val="111111"/>
          <w:sz w:val="28"/>
          <w:szCs w:val="28"/>
          <w:rtl w:val="true"/>
          <w:lang w:bidi="fa-IR"/>
        </w:rPr>
        <w:t>:</w:t>
      </w:r>
    </w:p>
    <w:p>
      <w:pPr>
        <w:pStyle w:val="Heading5"/>
        <w:numPr>
          <w:ilvl w:val="4"/>
          <w:numId w:val="1"/>
        </w:numPr>
        <w:rPr/>
      </w:pPr>
      <w:bookmarkStart w:id="280" w:name="__RefHeading___Toc9423986_73709187"/>
      <w:bookmarkStart w:id="281" w:name="_Toc107"/>
      <w:bookmarkEnd w:id="280"/>
      <w:r>
        <w:rPr>
          <w:rtl w:val="true"/>
        </w:rPr>
        <w:t>المطلب الأوّل</w:t>
      </w:r>
      <w:r>
        <w:rPr>
          <w:rtl w:val="true"/>
        </w:rPr>
        <w:t xml:space="preserve">: </w:t>
      </w:r>
      <w:r>
        <w:rPr>
          <w:rtl w:val="true"/>
        </w:rPr>
        <w:t>عدم إقامة الحدّ علی الحامل</w:t>
      </w:r>
      <w:bookmarkEnd w:id="281"/>
    </w:p>
    <w:p>
      <w:pPr>
        <w:pStyle w:val="Heading6"/>
        <w:numPr>
          <w:ilvl w:val="5"/>
          <w:numId w:val="1"/>
        </w:numPr>
        <w:rPr/>
      </w:pPr>
      <w:bookmarkStart w:id="282" w:name="__RefHeading___Toc9423988_73709187"/>
      <w:bookmarkStart w:id="283" w:name="_Toc108"/>
      <w:bookmarkEnd w:id="282"/>
      <w:r>
        <w:rPr>
          <w:rtl w:val="true"/>
        </w:rPr>
        <w:t>اشارة</w:t>
      </w:r>
      <w:bookmarkEnd w:id="283"/>
    </w:p>
    <w:p>
      <w:pPr>
        <w:pStyle w:val="BookText"/>
        <w:rPr/>
      </w:pPr>
      <w:r>
        <w:rPr>
          <w:rFonts w:ascii="IRNazanin" w:hAnsi="IRNazanin" w:eastAsia="IRNazanin"/>
          <w:color w:val="111111"/>
          <w:sz w:val="28"/>
          <w:sz w:val="28"/>
          <w:szCs w:val="28"/>
          <w:rtl w:val="true"/>
          <w:lang w:bidi="fa-IR"/>
        </w:rPr>
        <w:t>لا یقام علی الحامل حدٌّ و لو کان من زنا حتّی تضع ولدها و تخرج من نفاسها، و ترضع ولدها إن لم یکن له مرضعة، هذا ممّا لا خلاف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المفید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زنت المرأة و هی حامل حبست حتّی تضع حملها و تخرج من مرض نفاسها ثمّ یقام علیها الحدّ بعد ذلک</w:t>
      </w:r>
      <w:r>
        <w:rPr>
          <w:rFonts w:eastAsia="IRNazanin" w:cs="IRNazanin"/>
          <w:color w:val="111111"/>
          <w:sz w:val="28"/>
          <w:szCs w:val="28"/>
          <w:rtl w:val="true"/>
          <w:lang w:bidi="fa-IR"/>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الشیخ فی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ممّن لا یقام علیه الحدّ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الحامل، فلا یقام علیها حدّ قذفٍ و لا حدّ زنا و لا حدّ سرقة؛ لأنّه لا سبیل علی ما فی بطنها، فإذا وضعت فلا یقام علیها و هی نفساء حتّی تخرج من النفاس</w:t>
      </w:r>
      <w:r>
        <w:rPr>
          <w:rFonts w:eastAsia="IRNazanin" w:cs="IRNazanin"/>
          <w:color w:val="111111"/>
          <w:sz w:val="28"/>
          <w:szCs w:val="28"/>
          <w:rtl w:val="true"/>
          <w:lang w:bidi="fa-IR"/>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یقام علی الحامل حتّی تضع و تخرج من نفاسها و ترضع الولد إن لم یتّفق له مرضع، و لو وجد له کافل جاز إقامة الحدّ</w:t>
      </w:r>
      <w:r>
        <w:rPr>
          <w:rFonts w:eastAsia="IRNazanin" w:cs="IRNazanin"/>
          <w:color w:val="111111"/>
          <w:sz w:val="28"/>
          <w:szCs w:val="28"/>
          <w:rtl w:val="true"/>
          <w:lang w:bidi="fa-IR"/>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بمثل ذلک قال فی المقنع</w:t>
      </w:r>
      <w:r>
        <w:rPr>
          <w:rStyle w:val="FootnoteAnchor"/>
          <w:rtl w:val="true"/>
        </w:rPr>
        <w:footnoteReference w:id="649"/>
      </w:r>
      <w:r>
        <w:rPr>
          <w:rFonts w:ascii="IRNazanin" w:hAnsi="IRNazanin" w:eastAsia="IRNazanin"/>
          <w:color w:val="111111"/>
          <w:sz w:val="28"/>
          <w:sz w:val="28"/>
          <w:szCs w:val="28"/>
          <w:rtl w:val="true"/>
          <w:lang w:bidi="fa-IR"/>
        </w:rPr>
        <w:t>، و هکذا فی المراسم</w:t>
      </w:r>
      <w:r>
        <w:rPr>
          <w:rStyle w:val="FootnoteAnchor"/>
          <w:rtl w:val="true"/>
        </w:rPr>
        <w:footnoteReference w:id="650"/>
      </w:r>
      <w:r>
        <w:rPr>
          <w:rFonts w:ascii="IRNazanin" w:hAnsi="IRNazanin" w:eastAsia="IRNazanin"/>
          <w:color w:val="111111"/>
          <w:sz w:val="28"/>
          <w:sz w:val="28"/>
          <w:szCs w:val="28"/>
          <w:rtl w:val="true"/>
          <w:lang w:bidi="fa-IR"/>
        </w:rPr>
        <w:t>و الجامع للشرائع</w:t>
      </w:r>
      <w:r>
        <w:rPr>
          <w:rStyle w:val="FootnoteAnchor"/>
          <w:rtl w:val="true"/>
        </w:rPr>
        <w:footnoteReference w:id="651"/>
      </w:r>
      <w:r>
        <w:rPr>
          <w:rFonts w:ascii="IRNazanin" w:hAnsi="IRNazanin" w:eastAsia="IRNazanin"/>
          <w:color w:val="111111"/>
          <w:sz w:val="28"/>
          <w:sz w:val="28"/>
          <w:szCs w:val="28"/>
          <w:rtl w:val="true"/>
          <w:lang w:bidi="fa-IR"/>
        </w:rPr>
        <w:t>و کشف</w:t>
      </w:r>
    </w:p>
    <w:p>
      <w:pPr>
        <w:pStyle w:val="BookText"/>
        <w:rPr/>
      </w:pPr>
      <w:r>
        <w:rPr>
          <w:rFonts w:ascii="IRNazanin" w:hAnsi="IRNazanin" w:eastAsia="IRNazanin"/>
          <w:color w:val="111111"/>
          <w:sz w:val="28"/>
          <w:sz w:val="28"/>
          <w:szCs w:val="28"/>
          <w:rtl w:val="true"/>
          <w:lang w:bidi="fa-IR"/>
        </w:rPr>
        <w:t>الرموز</w:t>
      </w:r>
      <w:r>
        <w:rPr>
          <w:rStyle w:val="FootnoteAnchor"/>
          <w:rtl w:val="true"/>
        </w:rPr>
        <w:footnoteReference w:id="652"/>
      </w:r>
      <w:r>
        <w:rPr>
          <w:rFonts w:ascii="IRNazanin" w:hAnsi="IRNazanin" w:eastAsia="IRNazanin"/>
          <w:color w:val="111111"/>
          <w:sz w:val="28"/>
          <w:sz w:val="28"/>
          <w:szCs w:val="28"/>
          <w:rtl w:val="true"/>
          <w:lang w:bidi="fa-IR"/>
        </w:rPr>
        <w:t>و المهذّب البارع</w:t>
      </w:r>
      <w:r>
        <w:rPr>
          <w:rStyle w:val="FootnoteAnchor"/>
          <w:rtl w:val="true"/>
        </w:rPr>
        <w:footnoteReference w:id="653"/>
      </w:r>
      <w:r>
        <w:rPr>
          <w:rFonts w:ascii="IRNazanin" w:hAnsi="IRNazanin" w:eastAsia="IRNazanin"/>
          <w:color w:val="111111"/>
          <w:sz w:val="28"/>
          <w:sz w:val="28"/>
          <w:szCs w:val="28"/>
          <w:rtl w:val="true"/>
          <w:lang w:bidi="fa-IR"/>
        </w:rPr>
        <w:t>و القواعد</w:t>
      </w:r>
      <w:r>
        <w:rPr>
          <w:rStyle w:val="FootnoteAnchor"/>
          <w:rtl w:val="true"/>
        </w:rPr>
        <w:footnoteReference w:id="654"/>
      </w:r>
      <w:r>
        <w:rPr>
          <w:rFonts w:ascii="IRNazanin" w:hAnsi="IRNazanin" w:eastAsia="IRNazanin"/>
          <w:color w:val="111111"/>
          <w:sz w:val="28"/>
          <w:sz w:val="28"/>
          <w:szCs w:val="28"/>
          <w:rtl w:val="true"/>
          <w:lang w:bidi="fa-IR"/>
        </w:rPr>
        <w:t>و المسالک</w:t>
      </w:r>
      <w:r>
        <w:rPr>
          <w:rStyle w:val="FootnoteAnchor"/>
          <w:rtl w:val="true"/>
        </w:rPr>
        <w:footnoteReference w:id="655"/>
      </w:r>
      <w:r>
        <w:rPr>
          <w:rFonts w:ascii="Amiri" w:hAnsi="Amiri" w:eastAsia="Amiri" w:cs="Amiri"/>
          <w:color w:val="111111"/>
          <w:sz w:val="28"/>
          <w:sz w:val="28"/>
          <w:szCs w:val="28"/>
          <w:rtl w:val="true"/>
          <w:lang w:bidi="ar-SA"/>
        </w:rPr>
        <w:t>و الروضة</w:t>
      </w:r>
      <w:r>
        <w:rPr>
          <w:rStyle w:val="FootnoteAnchor"/>
          <w:rtl w:val="true"/>
        </w:rPr>
        <w:footnoteReference w:id="656"/>
      </w:r>
      <w:r>
        <w:rPr>
          <w:rFonts w:ascii="Amiri" w:hAnsi="Amiri" w:eastAsia="Amiri" w:cs="Amiri"/>
          <w:color w:val="111111"/>
          <w:sz w:val="28"/>
          <w:sz w:val="28"/>
          <w:szCs w:val="28"/>
          <w:rtl w:val="true"/>
          <w:lang w:bidi="ar-SA"/>
        </w:rPr>
        <w:t>و مجمع الفائدة و البرهان</w:t>
      </w:r>
      <w:r>
        <w:rPr>
          <w:rStyle w:val="FootnoteAnchor"/>
          <w:rtl w:val="true"/>
        </w:rPr>
        <w:footnoteReference w:id="657"/>
      </w:r>
      <w:r>
        <w:rPr>
          <w:rFonts w:ascii="IRNazanin" w:hAnsi="IRNazanin" w:eastAsia="IRNazanin"/>
          <w:color w:val="111111"/>
          <w:sz w:val="28"/>
          <w:sz w:val="28"/>
          <w:szCs w:val="28"/>
          <w:rtl w:val="true"/>
          <w:lang w:bidi="fa-IR"/>
        </w:rPr>
        <w:t>و کشف اللثام</w:t>
      </w:r>
      <w:r>
        <w:rPr>
          <w:rStyle w:val="FootnoteAnchor"/>
          <w:rtl w:val="true"/>
        </w:rPr>
        <w:footnoteReference w:id="658"/>
      </w:r>
      <w:r>
        <w:rPr>
          <w:rFonts w:ascii="IRNazanin" w:hAnsi="IRNazanin" w:eastAsia="IRNazanin"/>
          <w:color w:val="111111"/>
          <w:sz w:val="28"/>
          <w:sz w:val="28"/>
          <w:szCs w:val="28"/>
          <w:rtl w:val="true"/>
          <w:lang w:bidi="fa-IR"/>
        </w:rPr>
        <w:t>و غیرها</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الاستدلال له بالکتاب 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تَزِرُ وازِرَةٌ وِزْرَ أُخْری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الاستدلال بهذه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جری علی الاُمّ الجانیة حدٌّ أو رجم یتضرّر الحمل به قطعاً، بل یمکن أن یقتل حال کونه لم یأت بفعل حتّی یتحمّل عقوبة امّه، و هذا ظلم للحمل، و الآیة تنفی هذه المسئولیة، کما استشهد بها فی مرسلة المفید رحمه الله فی الإرشاد عن أمیر المؤمنین علیه السلام، أنّه قال لعمر، و قد أُتی بحامل قد زنت فأمر برجمها، فقال له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 لک سبیل علیها، أیّ سبیل لک علی ما فی بطنها، و اللّه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تَزِرُ وازِرَةٌ وِزْرَ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عشت لمعضلةٍ لا یکون لها أبو الحسن،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أصنع یا أبا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احتط علیها حتّی تلد، فإذا ولدت و وجدت لولدها من یکفلُه فأقم الحدّ علیها</w:t>
      </w:r>
      <w:r>
        <w:rPr>
          <w:rFonts w:eastAsia="IRNazanin" w:cs="IRNazanin"/>
          <w:color w:val="111111"/>
          <w:sz w:val="28"/>
          <w:szCs w:val="28"/>
          <w:rtl w:val="true"/>
          <w:lang w:bidi="fa-IR"/>
        </w:rPr>
        <w:t>»</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و فی تفصیل الشریعة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موردها و إن کان هو الرجم إلاّ أنّه یستفاد منها خصوصاً بملاحظة الاستشهاد بالآیة أنّه لا یجوز إقامة حدّ الجلد أیضاً إذا کان مضرّاً بالولد</w:t>
      </w:r>
      <w:r>
        <w:rPr>
          <w:rFonts w:eastAsia="IRNazanin" w:cs="IRNazanin"/>
          <w:color w:val="111111"/>
          <w:sz w:val="28"/>
          <w:szCs w:val="28"/>
          <w:rtl w:val="true"/>
          <w:lang w:bidi="fa-IR"/>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مستفیضة 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صحیحة محمد بن قیس،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أمیر المؤمنین علیه السلام فی ولیدةٍ کانت نصرانیّة فأسلمت و ولدت لسیّدها، ثمّ إنّ سیّدها مات و أوصی بها عتاقة السریّة علی عهد عمر، فنکحت نصرانیّاً دیرانیاً و تنصّرت، فولدت منه ولدین و حبلت بالثالث، فقضی فیها أن یعرض علیها الإسلام، فعرض علیها الإسلام فأبت،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ولدت من ولد نصرانیّاً فهم عبید لأخیهم الذی ولدت لسیّدها الأول، و أنا أحبسها حتّی تضع ولدها، فإذا ولدت قتلتُها</w:t>
      </w:r>
      <w:r>
        <w:rPr>
          <w:rFonts w:eastAsia="IRNazanin" w:cs="IRNazanin"/>
          <w:color w:val="111111"/>
          <w:sz w:val="28"/>
          <w:szCs w:val="28"/>
          <w:rtl w:val="true"/>
          <w:lang w:bidi="fa-IR"/>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دلالتها صریحة فی ما کنّا بصدد إثباته؛ لأنّه و إن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مقصورة علی حکم أمیر المؤمنین علیه السلام فی قتل المرتدّة کما قال الشیخ رحمه الله فی التهذیب؛ لأنّه لا یمتنع أن یکون هو علیه السلام رأی قتلها صلاحاً لارتدادها و تزویجها، و لعلَّها کانت تزوّجت بمسلم ثمّ ارتدّت و تزوّجت فاستحقّت القتل لذلک، و لامتناعها من الرجوع إلی الإسلام</w:t>
      </w:r>
      <w:r>
        <w:rPr>
          <w:rStyle w:val="FootnoteAnchor"/>
          <w:rtl w:val="true"/>
        </w:rPr>
        <w:footnoteReference w:id="6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حبسها و عدم إجراء الحدّ علیها لا یختصّ بذاته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نستفید منها أنّ المرأة إذا حبلت یؤخّر الحدّ علیها حتّی تضع ولدها و هو المطلوب</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موثّقة عمّار الساباطی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محصنةٍ زنت و هی</w:t>
      </w:r>
      <w:bookmarkStart w:id="284" w:name="pg11752_146182"/>
    </w:p>
    <w:p>
      <w:pPr>
        <w:pStyle w:val="BookText"/>
        <w:rPr/>
      </w:pPr>
      <w:bookmarkEnd w:id="284"/>
      <w:r>
        <w:rPr>
          <w:rFonts w:ascii="IRNazanin" w:hAnsi="IRNazanin" w:eastAsia="IRNazanin"/>
          <w:color w:val="111111"/>
          <w:sz w:val="28"/>
          <w:sz w:val="28"/>
          <w:szCs w:val="28"/>
          <w:rtl w:val="true"/>
          <w:lang w:bidi="fa-IR"/>
        </w:rPr>
        <w:t>حبلی؟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تقرّ حتّی تضع ما فی بطنها و ترضع ولدها ثُمّ ترجم</w:t>
      </w:r>
      <w:r>
        <w:rPr>
          <w:rFonts w:eastAsia="IRNazanin" w:cs="IRNazanin"/>
          <w:color w:val="111111"/>
          <w:sz w:val="28"/>
          <w:szCs w:val="28"/>
          <w:rtl w:val="true"/>
          <w:lang w:bidi="fa-IR"/>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الصدوق مثله بإسناده عن عمّار</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فالظاهر من هذه النصوص أنّه یجب تأخیر الحدّ عن الحامل حتّی تضع و ترضع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یمکن أیضاً أن یستدلّ بقاعدة لا ضرر، و بالنصوص التی تدلّ علی نفی الحکم الضرری، نحو موثّقة 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لسمرة بن جندب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رجل مضارّ و لا ضرر و لا ضرار</w:t>
      </w:r>
      <w:r>
        <w:rPr>
          <w:rFonts w:eastAsia="IRNazanin" w:cs="IRNazanin"/>
          <w:color w:val="111111"/>
          <w:sz w:val="28"/>
          <w:szCs w:val="28"/>
          <w:rtl w:val="true"/>
          <w:lang w:bidi="fa-IR"/>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فإجراء الحدّ علی الحامل ضرر علی الحمل، و الرّوایة ترفعه</w:t>
      </w:r>
      <w:r>
        <w:rPr>
          <w:rFonts w:eastAsia="IRNazanin" w:cs="IRNazanin"/>
          <w:color w:val="111111"/>
          <w:sz w:val="28"/>
          <w:szCs w:val="28"/>
          <w:rtl w:val="true"/>
          <w:lang w:bidi="fa-IR"/>
        </w:rPr>
        <w:t>.</w:t>
      </w:r>
    </w:p>
    <w:p>
      <w:pPr>
        <w:pStyle w:val="Heading6"/>
        <w:numPr>
          <w:ilvl w:val="5"/>
          <w:numId w:val="1"/>
        </w:numPr>
        <w:rPr/>
      </w:pPr>
      <w:bookmarkStart w:id="285" w:name="__RefHeading___Toc9423990_73709187"/>
      <w:bookmarkStart w:id="286" w:name="_Toc109"/>
      <w:bookmarkEnd w:id="285"/>
      <w:r>
        <w:rPr>
          <w:rtl w:val="true"/>
        </w:rPr>
        <w:t>إیراد و دفعه</w:t>
      </w:r>
      <w:bookmarkEnd w:id="286"/>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الإرضاع فی الروایات التی استندنا إلیها لا بدّ من حمله علی الإرضاع مدّة اللِّباء، فإنّ الطفل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یعیش بدونه، و الدلیل علیه صحیحة أبی مریم،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أتت امرأة أمیر المؤمنین علیه السلام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فجرت، فأعرض بوجهه عنها، فتحوّلت حتّی استقبلت وجهه،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فجرتُ، فأعرض بوجهه عنها ثمّ استقبلته،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فجرتُ فأعرض عنها ثمّ استقبلته،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فجرتُ، فأمر بها فحبست، و کانت حاملاً فتربّص بها حتّی وضعت، ثمّ أمر بها بعد ذلک فحفر لها حفیرة فی الرحبة، و خاط علیها ثوباً جدیداً، و أدخلها الحفیرة إلی الحقو و موضع الثدیین، و أغلق باب الرحبة و رماها بحجرٍ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هذه الصحیحة واضحة الدلالة علی أنّ الرجم لا یؤخّر إلی إتمام الرضاع</w:t>
      </w:r>
    </w:p>
    <w:p>
      <w:pPr>
        <w:pStyle w:val="BookText"/>
        <w:rPr/>
      </w:pPr>
      <w:r>
        <w:rPr>
          <w:rFonts w:ascii="IRNazanin" w:hAnsi="IRNazanin" w:eastAsia="IRNazanin"/>
          <w:color w:val="111111"/>
          <w:sz w:val="28"/>
          <w:sz w:val="28"/>
          <w:szCs w:val="28"/>
          <w:rtl w:val="true"/>
          <w:lang w:bidi="fa-IR"/>
        </w:rPr>
        <w:t>حولین کاملین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شبهة اشتراک أبی مریم بین الأنصاری الذی هو ثقة و بین بکر ابن حبیب الکوفی الذی لم تثبت وثاقته مندفعة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المعروف بین أصحاب الروایات هو أبو مریم الأنصاری الذی له کتاب دون غیره، فینصرف اللفظ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الراوی عنه فی هذه الروایة هو یونس بن یعقوب، و هو من رواة أبی مریم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یمکن أن یدفع بأنّ ما ذکر من لابدّیة حمل الإرضاع علی الإرضاع فی مدّة اللّباء مشکل، حیث إنّ ما ذکر من أنّ الطفل لا یعیش بدون اللّباء مورد إنکارٍ، فکیف ینصرف اللفظ إلیه بلا قرینة؟ و أمّا ما ذکر فی رفع شبهة الاشتراک و تصحیح السند فلا یفید إلاّ الظنّ، و الظّن ما لم یصل إلی حدّ الوثوق و الاطمئنان کیف یصحّ الاعتماد علیه فی رفع الشبهة؟</w:t>
      </w:r>
    </w:p>
    <w:p>
      <w:pPr>
        <w:pStyle w:val="BookText"/>
        <w:rPr/>
      </w:pPr>
      <w:r>
        <w:rPr>
          <w:rFonts w:ascii="IRNazanin" w:hAnsi="IRNazanin" w:eastAsia="IRNazanin"/>
          <w:color w:val="111111"/>
          <w:sz w:val="28"/>
          <w:sz w:val="28"/>
          <w:szCs w:val="28"/>
          <w:rtl w:val="true"/>
          <w:lang w:bidi="fa-IR"/>
        </w:rPr>
        <w:t xml:space="preserve">علی هذا لا یمکن الحکم بوجوب إجراء الحدّ علی الحامل بعد الوضع قبل إرضاع ولدها بمقتضی هذا الخبر مع لزوم حفظ النفس، و الفرض أنّ الولد بدون الرضاع و الکفالة فی معرض التلف، بل یجب التأخیر حتّی ترضعه حولین کاملین، إلاّ أن یوجد کافل و مرضعة للولد کما هو مفاد النصوص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ذکرناها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مفاد النبویّ فی قصّة الغامدیّة التی جاءت النبیّ صلی الله علیه و آله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حبلی من الزنا، قال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ثیّب أنت؟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لا نرجمک حتی تضعی ما فی بطنک،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فکَفِلَها رجل من الأنصار حتّی وضعت، فأتی النّبیَّ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وضعت الغامدیة،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نرجمها و ندع ولدها صغیر السنّ لیس له من یُرضعه، فقام رجل من الأنصار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رضاعه یا رسول اللّه، فرجمها</w:t>
      </w:r>
      <w:r>
        <w:rPr>
          <w:rFonts w:eastAsia="IRNazanin" w:cs="IRNazanin"/>
          <w:color w:val="111111"/>
          <w:sz w:val="28"/>
          <w:szCs w:val="28"/>
          <w:rtl w:val="true"/>
          <w:lang w:bidi="fa-IR"/>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یستفاد من خبر میثم المشتمل علی قضیّة الامرأة المحصنة التی أقرّت</w:t>
      </w:r>
      <w:bookmarkStart w:id="287" w:name="pg11752_146184"/>
    </w:p>
    <w:p>
      <w:pPr>
        <w:pStyle w:val="BookText"/>
        <w:rPr/>
      </w:pPr>
      <w:bookmarkEnd w:id="287"/>
      <w:r>
        <w:rPr>
          <w:rFonts w:ascii="IRNazanin" w:hAnsi="IRNazanin" w:eastAsia="IRNazanin"/>
          <w:color w:val="111111"/>
          <w:sz w:val="28"/>
          <w:sz w:val="28"/>
          <w:szCs w:val="28"/>
          <w:rtl w:val="true"/>
          <w:lang w:bidi="fa-IR"/>
        </w:rPr>
        <w:t>بالزنا عند أمیر المؤمنین علیه السلام و هی حُبلی،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فاستقبلها عمرو بن حریث المخزومی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یا أمة اللّه و قد رأیتک تختلفین إلی علیٍّ علیه السلام تسألینه أن یطهّرک؟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أتیت أمیر المؤمنین علیه السلام فسألته أن یطهّرنی،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اکفلی ولدک حتّی یعقل أن یأکُل و یشرب و لا یتردّی من سطح، و لا یتهوّر فی بئرٍ، و قد خفت أن یأتی علیّ الموت و لم یطهّرنی، فقال لها عمرو بن حریث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ارجعی إلیه فأنا أکفله، فرجعت فأخبرت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المستفاد من هذا الخبر لزوم الکفالة علی الطفل إذا لزم إجراء الحدّ علی 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لا یجوز الحدّ علی الحامل قبل أن تضع و ترضع الولد إلاّ أن یوجد کافل و مرضعة لولده، کما أفتی به فی القواعد</w:t>
      </w:r>
      <w:r>
        <w:rPr>
          <w:rStyle w:val="FootnoteAnchor"/>
          <w:rtl w:val="true"/>
        </w:rPr>
        <w:footnoteReference w:id="669"/>
      </w:r>
      <w:r>
        <w:rPr>
          <w:rFonts w:ascii="IRNazanin" w:hAnsi="IRNazanin" w:eastAsia="IRNazanin"/>
          <w:color w:val="111111"/>
          <w:sz w:val="28"/>
          <w:sz w:val="28"/>
          <w:szCs w:val="28"/>
          <w:rtl w:val="true"/>
          <w:lang w:bidi="fa-IR"/>
        </w:rPr>
        <w:t>و الشرائع</w:t>
      </w:r>
      <w:r>
        <w:rPr>
          <w:rStyle w:val="FootnoteAnchor"/>
          <w:rtl w:val="true"/>
        </w:rPr>
        <w:footnoteReference w:id="670"/>
      </w:r>
      <w:r>
        <w:rPr>
          <w:rFonts w:ascii="IRNazanin" w:hAnsi="IRNazanin" w:eastAsia="IRNazanin"/>
          <w:color w:val="111111"/>
          <w:sz w:val="28"/>
          <w:sz w:val="28"/>
          <w:szCs w:val="28"/>
          <w:rtl w:val="true"/>
          <w:lang w:bidi="fa-IR"/>
        </w:rPr>
        <w:t>و السرائر</w:t>
      </w:r>
      <w:r>
        <w:rPr>
          <w:rStyle w:val="FootnoteAnchor"/>
          <w:rtl w:val="true"/>
        </w:rPr>
        <w:footnoteReference w:id="671"/>
      </w:r>
      <w:r>
        <w:rPr>
          <w:rFonts w:ascii="Amiri" w:hAnsi="Amiri" w:eastAsia="Amiri" w:cs="Amiri"/>
          <w:color w:val="111111"/>
          <w:sz w:val="28"/>
          <w:sz w:val="28"/>
          <w:szCs w:val="28"/>
          <w:rtl w:val="true"/>
          <w:lang w:bidi="ar-SA"/>
        </w:rPr>
        <w:t>و الروضة</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و کشف اللثام</w:t>
      </w:r>
      <w:r>
        <w:rPr>
          <w:rStyle w:val="FootnoteAnchor"/>
          <w:rtl w:val="true"/>
        </w:rPr>
        <w:footnoteReference w:id="673"/>
      </w:r>
      <w:r>
        <w:rPr>
          <w:rFonts w:ascii="IRNazanin" w:hAnsi="IRNazanin" w:eastAsia="IRNazanin"/>
          <w:color w:val="111111"/>
          <w:sz w:val="28"/>
          <w:sz w:val="28"/>
          <w:szCs w:val="28"/>
          <w:rtl w:val="true"/>
          <w:lang w:bidi="fa-IR"/>
        </w:rPr>
        <w:t>و غیرها</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88" w:name="__RefHeading___Toc9423992_73709187"/>
      <w:bookmarkStart w:id="289" w:name="_Toc110"/>
      <w:bookmarkEnd w:id="288"/>
      <w:r>
        <w:rPr>
          <w:rtl w:val="true"/>
        </w:rPr>
        <w:t>رأی المذاهب الأربعة فی تأخیر الحدّ عن الحامل</w:t>
      </w:r>
      <w:bookmarkEnd w:id="289"/>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ذهب فقهاء أهل السنّة الشافعیّة</w:t>
      </w:r>
      <w:r>
        <w:rPr>
          <w:rStyle w:val="FootnoteAnchor"/>
          <w:rtl w:val="true"/>
        </w:rPr>
        <w:footnoteReference w:id="675"/>
      </w:r>
      <w:r>
        <w:rPr>
          <w:rFonts w:ascii="Amiri" w:hAnsi="Amiri" w:eastAsia="Amiri" w:cs="Amiri"/>
          <w:color w:val="111111"/>
          <w:sz w:val="28"/>
          <w:sz w:val="28"/>
          <w:szCs w:val="28"/>
          <w:rtl w:val="true"/>
          <w:lang w:bidi="ar-SA"/>
        </w:rPr>
        <w:t>و الحنابلة</w:t>
      </w:r>
      <w:r>
        <w:rPr>
          <w:rStyle w:val="FootnoteAnchor"/>
          <w:rtl w:val="true"/>
        </w:rPr>
        <w:footnoteReference w:id="676"/>
      </w:r>
      <w:r>
        <w:rPr>
          <w:rFonts w:ascii="Amiri" w:hAnsi="Amiri" w:eastAsia="Amiri" w:cs="Amiri"/>
          <w:color w:val="111111"/>
          <w:sz w:val="28"/>
          <w:sz w:val="28"/>
          <w:szCs w:val="28"/>
          <w:rtl w:val="true"/>
          <w:lang w:bidi="ar-SA"/>
        </w:rPr>
        <w:t>و المالکیّة</w:t>
      </w:r>
      <w:r>
        <w:rPr>
          <w:rStyle w:val="FootnoteAnchor"/>
          <w:rtl w:val="true"/>
        </w:rPr>
        <w:footnoteReference w:id="677"/>
      </w:r>
      <w:r>
        <w:rPr>
          <w:rFonts w:ascii="Amiri" w:hAnsi="Amiri" w:eastAsia="Amiri" w:cs="Amiri"/>
          <w:color w:val="111111"/>
          <w:sz w:val="28"/>
          <w:sz w:val="28"/>
          <w:szCs w:val="28"/>
          <w:rtl w:val="true"/>
          <w:lang w:bidi="ar-SA"/>
        </w:rPr>
        <w:t>و الحنفیّة</w:t>
      </w:r>
      <w:r>
        <w:rPr>
          <w:rStyle w:val="FootnoteAnchor"/>
          <w:rtl w:val="true"/>
        </w:rPr>
        <w:footnoteReference w:id="678"/>
      </w:r>
      <w:bookmarkStart w:id="290" w:name="pg11752_146185"/>
    </w:p>
    <w:p>
      <w:pPr>
        <w:pStyle w:val="BookText"/>
        <w:rPr/>
      </w:pPr>
      <w:bookmarkEnd w:id="290"/>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کفقهائنا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أنّه لا یقام الحدّ علی الحامل حتّی تضع و ترضع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السرخسی فی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کانت حبلی حبست حتّی تلد؛ لحدیث الغامدیّة، فإنّها لمّا أقرّت أنّ بها حبلاً من الزنا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اذهبی حتّی تضعی حملک، و لحدیث معاذ حین همّ برجم المغنیة، إن یکن لک علیها سبیل فلا سبیل لک علی ما فی بطنها و هو المعنی؛ لأنّ ما فی بطنها نفس محترمة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رجمت کان فیه إتلاف الولد، و لو ترکت هربت، و لیس للإمام أن یضیع الحدّ بعد ما ثبت عنده ببیّنة، فیحبسها حتّی تلد، ثمّ إن کان حدّها الرجم رجمها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حدّها الجلد تؤخّر إلی أن تتعافی من نفاسها</w:t>
      </w:r>
      <w:r>
        <w:rPr>
          <w:rFonts w:eastAsia="IRNazanin" w:cs="IRNazanin"/>
          <w:color w:val="111111"/>
          <w:sz w:val="28"/>
          <w:szCs w:val="28"/>
          <w:rtl w:val="true"/>
          <w:lang w:bidi="fa-IR"/>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1" w:name="__RefHeading___Toc9423994_73709187"/>
      <w:bookmarkStart w:id="292" w:name="_Toc111"/>
      <w:bookmarkEnd w:id="291"/>
      <w:r>
        <w:rPr>
          <w:rtl w:val="true"/>
        </w:rPr>
        <w:t>المطلب الثانی</w:t>
      </w:r>
      <w:r>
        <w:rPr>
          <w:rtl w:val="true"/>
        </w:rPr>
        <w:t xml:space="preserve">: </w:t>
      </w:r>
      <w:r>
        <w:rPr>
          <w:rtl w:val="true"/>
        </w:rPr>
        <w:t>عدم إجراء القصاص علی الحامل</w:t>
      </w:r>
      <w:bookmarkEnd w:id="292"/>
    </w:p>
    <w:p>
      <w:pPr>
        <w:pStyle w:val="Heading6"/>
        <w:numPr>
          <w:ilvl w:val="5"/>
          <w:numId w:val="1"/>
        </w:numPr>
        <w:rPr/>
      </w:pPr>
      <w:bookmarkStart w:id="293" w:name="__RefHeading___Toc9423996_73709187"/>
      <w:bookmarkStart w:id="294" w:name="_Toc112"/>
      <w:bookmarkEnd w:id="293"/>
      <w:r>
        <w:rPr>
          <w:rtl w:val="true"/>
        </w:rPr>
        <w:t>اشارة</w:t>
      </w:r>
      <w:bookmarkEnd w:id="294"/>
    </w:p>
    <w:p>
      <w:pPr>
        <w:pStyle w:val="BookText"/>
        <w:rPr/>
      </w:pPr>
      <w:r>
        <w:rPr>
          <w:rFonts w:ascii="IRNazanin" w:hAnsi="IRNazanin" w:eastAsia="IRNazanin"/>
          <w:color w:val="111111"/>
          <w:sz w:val="28"/>
          <w:sz w:val="28"/>
          <w:szCs w:val="28"/>
          <w:rtl w:val="true"/>
          <w:lang w:bidi="fa-IR"/>
        </w:rPr>
        <w:t>المرأة الحامل لا یقام علیها القصاص فی النفس و لا فی الطرف حتّی تضع و ترضع الولد؛ لما فی إقامته من هلاک الجنین أو الخوف علیه، و الجنین بریء من الإثم و لا یعاقب بجریمة غیره، سواء کان الولد من حلالٍ أو حرام، و سواء حدث بعد وجوب العقوبة أو قبلها، هذا ممّا لا خلاف فیه، و ادّعی فی کشف اللثام</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الاتفاق علیه، و حکاه أیضاً فی الجواهر</w:t>
      </w:r>
      <w:r>
        <w:rPr>
          <w:rStyle w:val="FootnoteAnchor"/>
          <w:rtl w:val="true"/>
        </w:rPr>
        <w:footnoteReference w:id="681"/>
      </w:r>
      <w:r>
        <w:rPr>
          <w:rFonts w:ascii="IRNazanin" w:hAnsi="IRNazanin" w:eastAsia="IRNazanin"/>
          <w:color w:val="111111"/>
          <w:sz w:val="28"/>
          <w:sz w:val="28"/>
          <w:szCs w:val="28"/>
          <w:rtl w:val="true"/>
          <w:lang w:bidi="fa-IR"/>
        </w:rPr>
        <w:t>و مبانی تکملة المنهاج</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العلاّمة فی القواعد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الحبلی یؤخّر استیفاء القصاص منها إلی أن تضع و لو تجدّد حملها بعد الجنایة، و لا یجوز قتلُها بعد الوضع إلاّ أن یشرب الولد اللّباء؛ لأنّ الولد لا یعیش بدونه، ثمّ إن وجد مرضع قتلت و إلاّ انتظرت مدّة الرضاع</w:t>
      </w:r>
      <w:r>
        <w:rPr>
          <w:rFonts w:eastAsia="IRNazanin" w:cs="IRNazanin"/>
          <w:color w:val="111111"/>
          <w:sz w:val="28"/>
          <w:szCs w:val="28"/>
          <w:rtl w:val="true"/>
          <w:lang w:bidi="fa-IR"/>
        </w:rPr>
        <w:t>»</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و نحو هذا قال المحقّق فی الشرائع</w:t>
      </w:r>
      <w:r>
        <w:rPr>
          <w:rStyle w:val="FootnoteAnchor"/>
          <w:rtl w:val="true"/>
        </w:rPr>
        <w:footnoteReference w:id="6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کشف الرموز</w:t>
      </w:r>
      <w:r>
        <w:rPr>
          <w:rStyle w:val="FootnoteAnchor"/>
          <w:rtl w:val="true"/>
        </w:rPr>
        <w:footnoteReference w:id="685"/>
      </w:r>
      <w:r>
        <w:rPr>
          <w:rFonts w:ascii="IRNazanin" w:hAnsi="IRNazanin" w:eastAsia="IRNazanin"/>
          <w:color w:val="111111"/>
          <w:sz w:val="28"/>
          <w:sz w:val="28"/>
          <w:szCs w:val="28"/>
          <w:rtl w:val="true"/>
          <w:lang w:bidi="fa-IR"/>
        </w:rPr>
        <w:t>و إیضاح الفوائد</w:t>
      </w:r>
      <w:r>
        <w:rPr>
          <w:rStyle w:val="FootnoteAnchor"/>
          <w:rtl w:val="true"/>
        </w:rPr>
        <w:footnoteReference w:id="686"/>
      </w:r>
      <w:r>
        <w:rPr>
          <w:rFonts w:ascii="IRNazanin" w:hAnsi="IRNazanin" w:eastAsia="IRNazanin"/>
          <w:color w:val="111111"/>
          <w:sz w:val="28"/>
          <w:sz w:val="28"/>
          <w:szCs w:val="28"/>
          <w:rtl w:val="true"/>
          <w:lang w:bidi="fa-IR"/>
        </w:rPr>
        <w:t>و المهذّب البارع</w:t>
      </w:r>
      <w:r>
        <w:rPr>
          <w:rStyle w:val="FootnoteAnchor"/>
          <w:rtl w:val="true"/>
        </w:rPr>
        <w:footnoteReference w:id="687"/>
      </w:r>
      <w:r>
        <w:rPr>
          <w:rFonts w:ascii="Amiri" w:hAnsi="Amiri" w:eastAsia="Amiri" w:cs="Amiri"/>
          <w:color w:val="111111"/>
          <w:sz w:val="28"/>
          <w:sz w:val="28"/>
          <w:szCs w:val="28"/>
          <w:rtl w:val="true"/>
          <w:lang w:bidi="ar-SA"/>
        </w:rPr>
        <w:t>و الروضة</w:t>
      </w:r>
      <w:r>
        <w:rPr>
          <w:rStyle w:val="FootnoteAnchor"/>
          <w:rtl w:val="true"/>
        </w:rPr>
        <w:footnoteReference w:id="688"/>
      </w:r>
      <w:r>
        <w:rPr>
          <w:rFonts w:ascii="IRNazanin" w:hAnsi="IRNazanin" w:eastAsia="IRNazanin"/>
          <w:color w:val="111111"/>
          <w:sz w:val="28"/>
          <w:sz w:val="28"/>
          <w:szCs w:val="28"/>
          <w:rtl w:val="true"/>
          <w:lang w:bidi="fa-IR"/>
        </w:rPr>
        <w:t>و المسالک</w:t>
      </w:r>
      <w:r>
        <w:rPr>
          <w:rStyle w:val="FootnoteAnchor"/>
          <w:rtl w:val="true"/>
        </w:rPr>
        <w:footnoteReference w:id="689"/>
      </w:r>
      <w:r>
        <w:rPr>
          <w:rFonts w:ascii="Amiri" w:hAnsi="Amiri" w:eastAsia="Amiri" w:cs="Amiri"/>
          <w:color w:val="111111"/>
          <w:sz w:val="28"/>
          <w:sz w:val="28"/>
          <w:szCs w:val="28"/>
          <w:rtl w:val="true"/>
          <w:lang w:bidi="ar-SA"/>
        </w:rPr>
        <w:t>و مجمع الفائدة و البرهان</w:t>
      </w:r>
      <w:r>
        <w:rPr>
          <w:rStyle w:val="FootnoteAnchor"/>
          <w:rtl w:val="true"/>
        </w:rPr>
        <w:footnoteReference w:id="690"/>
      </w:r>
      <w:r>
        <w:rPr>
          <w:rFonts w:ascii="IRNazanin" w:hAnsi="IRNazanin" w:eastAsia="IRNazanin"/>
          <w:color w:val="111111"/>
          <w:sz w:val="28"/>
          <w:sz w:val="28"/>
          <w:szCs w:val="28"/>
          <w:rtl w:val="true"/>
          <w:lang w:bidi="fa-IR"/>
        </w:rPr>
        <w:t>و کشف اللثام</w:t>
      </w:r>
      <w:r>
        <w:rPr>
          <w:rStyle w:val="FootnoteAnchor"/>
          <w:rtl w:val="true"/>
        </w:rPr>
        <w:footnoteReference w:id="691"/>
      </w:r>
      <w:r>
        <w:rPr>
          <w:rFonts w:ascii="IRNazanin" w:hAnsi="IRNazanin" w:eastAsia="IRNazanin"/>
          <w:color w:val="111111"/>
          <w:sz w:val="28"/>
          <w:sz w:val="28"/>
          <w:szCs w:val="28"/>
          <w:rtl w:val="true"/>
          <w:lang w:bidi="fa-IR"/>
        </w:rPr>
        <w:t>و تحریر الوسیلة</w:t>
      </w:r>
      <w:r>
        <w:rPr>
          <w:rStyle w:val="FootnoteAnchor"/>
          <w:rtl w:val="true"/>
        </w:rPr>
        <w:footnoteReference w:id="692"/>
      </w:r>
      <w:r>
        <w:rPr>
          <w:rFonts w:ascii="IRNazanin" w:hAnsi="IRNazanin" w:eastAsia="IRNazanin"/>
          <w:color w:val="111111"/>
          <w:sz w:val="28"/>
          <w:sz w:val="28"/>
          <w:szCs w:val="28"/>
          <w:rtl w:val="true"/>
          <w:lang w:bidi="fa-IR"/>
        </w:rPr>
        <w:t>و مهذّب الأحکام</w:t>
      </w:r>
      <w:r>
        <w:rPr>
          <w:rStyle w:val="FootnoteAnchor"/>
          <w:rtl w:val="true"/>
        </w:rPr>
        <w:footnoteReference w:id="693"/>
      </w:r>
      <w:r>
        <w:rPr>
          <w:rFonts w:ascii="IRNazanin" w:hAnsi="IRNazanin" w:eastAsia="IRNazanin"/>
          <w:color w:val="111111"/>
          <w:sz w:val="28"/>
          <w:sz w:val="28"/>
          <w:szCs w:val="28"/>
          <w:rtl w:val="true"/>
          <w:lang w:bidi="fa-IR"/>
        </w:rPr>
        <w:t>و تفصیل الشریعة</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یدلّ علیه ما تقدّم</w:t>
      </w:r>
      <w:r>
        <w:rPr>
          <w:rStyle w:val="FootnoteAnchor"/>
          <w:rtl w:val="true"/>
        </w:rPr>
        <w:footnoteReference w:id="695"/>
      </w:r>
      <w:r>
        <w:rPr>
          <w:rFonts w:ascii="IRNazanin" w:hAnsi="IRNazanin" w:eastAsia="IRNazanin"/>
          <w:color w:val="111111"/>
          <w:sz w:val="28"/>
          <w:sz w:val="28"/>
          <w:szCs w:val="28"/>
          <w:rtl w:val="true"/>
          <w:lang w:bidi="fa-IR"/>
        </w:rPr>
        <w:t>من الکتاب</w:t>
      </w:r>
      <w:r>
        <w:rPr>
          <w:rStyle w:val="FootnoteAnchor"/>
          <w:rtl w:val="true"/>
        </w:rPr>
        <w:footnoteReference w:id="696"/>
      </w:r>
      <w:r>
        <w:rPr>
          <w:rFonts w:ascii="Amiri" w:hAnsi="Amiri" w:eastAsia="Amiri" w:cs="Amiri"/>
          <w:color w:val="111111"/>
          <w:sz w:val="28"/>
          <w:sz w:val="28"/>
          <w:szCs w:val="28"/>
          <w:rtl w:val="true"/>
          <w:lang w:bidi="ar-SA"/>
        </w:rPr>
        <w:t>و السنّة</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الشیخ فی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وجب القصاص علی حامل أو علی حائل، فلم یقتصّ منها حتّی حملت، فإنّه لا یستقاد منها و هی حامل؛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الْأُنْثی بِالْأُنْثی</w:t>
      </w:r>
      <w:r>
        <w:rPr>
          <w:rFonts w:eastAsia="IRNazanin" w:cs="IRNazanin"/>
          <w:color w:val="111111"/>
          <w:sz w:val="28"/>
          <w:szCs w:val="28"/>
          <w:rtl w:val="true"/>
          <w:lang w:bidi="fa-IR"/>
        </w:rPr>
        <w:t>)</w:t>
      </w:r>
      <w:r>
        <w:rPr>
          <w:rStyle w:val="FootnoteAnchor"/>
          <w:rtl w:val="true"/>
        </w:rPr>
        <w:footnoteReference w:id="698"/>
      </w:r>
      <w:r>
        <w:rPr>
          <w:rFonts w:ascii="Amiri" w:hAnsi="Amiri" w:eastAsia="Amiri" w:cs="Amiri"/>
          <w:color w:val="111111"/>
          <w:sz w:val="28"/>
          <w:sz w:val="28"/>
          <w:szCs w:val="28"/>
          <w:rtl w:val="true"/>
          <w:lang w:bidi="ar-SA"/>
        </w:rPr>
        <w:t>و لم یقل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الأنثی، و حملها بالأنثی،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یُسْرِفْ فِی الْقَتْلِ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فَاعْتَدُوا عَلَیْهِ بِمِثْلِ مَا اعْتَدی عَلَیْکُمْ</w:t>
      </w:r>
      <w:r>
        <w:rPr>
          <w:rFonts w:eastAsia="Amiri" w:cs="Amiri" w:ascii="Amiri" w:hAnsi="Amiri"/>
          <w:color w:val="111111"/>
          <w:sz w:val="28"/>
          <w:szCs w:val="28"/>
          <w:rtl w:val="true"/>
          <w:lang w:bidi="ar-SA"/>
        </w:rPr>
        <w:t>)</w:t>
      </w:r>
      <w:r>
        <w:rPr>
          <w:rStyle w:val="FootnoteAnchor"/>
          <w:rtl w:val="true"/>
        </w:rPr>
        <w:footnoteReference w:id="699"/>
      </w:r>
      <w:r>
        <w:rPr>
          <w:rFonts w:ascii="IRNazanin" w:hAnsi="IRNazanin" w:eastAsia="IRNazanin"/>
          <w:color w:val="111111"/>
          <w:sz w:val="28"/>
          <w:sz w:val="28"/>
          <w:szCs w:val="28"/>
          <w:rtl w:val="true"/>
          <w:lang w:bidi="fa-IR"/>
        </w:rPr>
        <w:t>، و هذا یزید علی المثل</w:t>
      </w:r>
      <w:r>
        <w:rPr>
          <w:rFonts w:eastAsia="IRNazanin" w:cs="IRNazanin"/>
          <w:color w:val="111111"/>
          <w:sz w:val="28"/>
          <w:szCs w:val="28"/>
          <w:rtl w:val="true"/>
          <w:lang w:bidi="fa-IR"/>
        </w:rPr>
        <w:t>»</w:t>
      </w:r>
      <w:r>
        <w:rPr>
          <w:rStyle w:val="FootnoteAnchor"/>
          <w:rtl w:val="true"/>
        </w:rPr>
        <w:footnoteReference w:id="700"/>
      </w:r>
      <w:bookmarkStart w:id="295" w:name="pg11752_146187"/>
    </w:p>
    <w:p>
      <w:pPr>
        <w:pStyle w:val="BookText"/>
        <w:rPr/>
      </w:pPr>
      <w:bookmarkEnd w:id="295"/>
      <w:r>
        <w:rPr>
          <w:rFonts w:ascii="IRNazanin" w:hAnsi="IRNazanin" w:eastAsia="IRNazanin"/>
          <w:color w:val="111111"/>
          <w:sz w:val="28"/>
          <w:sz w:val="28"/>
          <w:szCs w:val="28"/>
          <w:rtl w:val="true"/>
          <w:lang w:bidi="fa-IR"/>
        </w:rPr>
        <w:t>و یدلّ علی عدم جواز قصاص الحامل أیضاً الأدلّةُ التی ذکرناها فی حرمة الإجهاض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الاستدلال علیه أیضاً بحکم العقل بقبح الظلم علی الحمل، یعنی إن اقتصّ من الحمل فإنّه یوجب تلف غیر المستحقّ، و هو یأباه العقل؛ لأنّه ظلم، فلا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لا یجوز القصاص من المرأة الحبلی حتّی تضع و ترضع الولد؛ لأنّه إذا وجب الانتظار احتیاطاً للحمل فبعد الوضع و تیقّن وجوده أولی</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فرق فی هذا بین أن یکون القصاص فی النفس أو فی الطرف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وجدت مرضعة للولد و کافل له فلا یجب الانتظار، کما بیّناه فی المطلب الأوّل</w:t>
      </w:r>
      <w:r>
        <w:rPr>
          <w:rFonts w:eastAsia="IRNazanin" w:cs="IRNazanin"/>
          <w:color w:val="111111"/>
          <w:sz w:val="28"/>
          <w:szCs w:val="28"/>
          <w:rtl w:val="true"/>
          <w:lang w:bidi="fa-IR"/>
        </w:rPr>
        <w:t>.</w:t>
      </w:r>
    </w:p>
    <w:p>
      <w:pPr>
        <w:pStyle w:val="Heading6"/>
        <w:numPr>
          <w:ilvl w:val="5"/>
          <w:numId w:val="1"/>
        </w:numPr>
        <w:rPr/>
      </w:pPr>
      <w:bookmarkStart w:id="296" w:name="__RefHeading___Toc9423998_73709187"/>
      <w:bookmarkStart w:id="297" w:name="_Toc113"/>
      <w:bookmarkEnd w:id="296"/>
      <w:r>
        <w:rPr>
          <w:rtl w:val="true"/>
        </w:rPr>
        <w:t>توافق المذاهب الأربعة فی المسألة</w:t>
      </w:r>
      <w:bookmarkEnd w:id="297"/>
    </w:p>
    <w:p>
      <w:pPr>
        <w:pStyle w:val="BookText"/>
        <w:rPr/>
      </w:pPr>
      <w:r>
        <w:rPr>
          <w:rFonts w:ascii="Amiri" w:hAnsi="Amiri" w:eastAsia="Amiri" w:cs="Amiri"/>
          <w:color w:val="111111"/>
          <w:sz w:val="28"/>
          <w:sz w:val="28"/>
          <w:szCs w:val="28"/>
          <w:rtl w:val="true"/>
          <w:lang w:bidi="ar-SA"/>
        </w:rPr>
        <w:t>وافق الفقهاءُ من المذاهب الأربعة</w:t>
      </w:r>
      <w:r>
        <w:rPr>
          <w:rStyle w:val="FootnoteAnchor"/>
          <w:rtl w:val="true"/>
        </w:rPr>
        <w:footnoteReference w:id="702"/>
      </w:r>
      <w:r>
        <w:rPr>
          <w:rFonts w:ascii="IRNazanin" w:hAnsi="IRNazanin" w:eastAsia="IRNazanin"/>
          <w:color w:val="111111"/>
          <w:sz w:val="28"/>
          <w:sz w:val="28"/>
          <w:szCs w:val="28"/>
          <w:rtl w:val="true"/>
          <w:lang w:bidi="fa-IR"/>
        </w:rPr>
        <w:t>رأی الشیعة فی وجوب تأخیر القصاص عن المرأة الحبلی حتّی تضع و ترضع الولد، قال محمد علیش المالکی فی حاشیة الدسوقی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تؤخّر الحامل الجانیة علی طرفٍ أو نفسٍ عمداً للوضع و وجود مرضع بعده، حذر أن یؤخذ نفسان فی نفس، و إن کان القصاص بجرح مخیف علیها أو علی ولدها، فإن کان غیر مخیف فلا تؤخّر</w:t>
      </w:r>
      <w:r>
        <w:rPr>
          <w:rFonts w:eastAsia="IRNazanin" w:cs="IRNazanin"/>
          <w:color w:val="111111"/>
          <w:sz w:val="28"/>
          <w:szCs w:val="28"/>
          <w:rtl w:val="true"/>
          <w:lang w:bidi="fa-IR"/>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الفقه علی المذاهب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اتّفق الأئمّة علی أنّ المرأة الحامل إذا وجب علیها القصاص فی النفس أو الأطراف إذا طلب المجنیّ علیه حبسها، فإنّها تحبس حتّی تضع حملها و یؤخّر عنها القصاص فی النفس و الأطراف حتّی تضع</w:t>
      </w:r>
      <w:bookmarkStart w:id="298" w:name="pg11752_146188"/>
    </w:p>
    <w:p>
      <w:pPr>
        <w:pStyle w:val="BookText"/>
        <w:rPr/>
      </w:pPr>
      <w:bookmarkEnd w:id="298"/>
      <w:r>
        <w:rPr>
          <w:rFonts w:ascii="IRNazanin" w:hAnsi="IRNazanin" w:eastAsia="IRNazanin"/>
          <w:color w:val="111111"/>
          <w:sz w:val="28"/>
          <w:sz w:val="28"/>
          <w:szCs w:val="28"/>
          <w:rtl w:val="true"/>
          <w:lang w:bidi="fa-IR"/>
        </w:rPr>
        <w:t>و ترضع ولیدها</w:t>
      </w:r>
      <w:r>
        <w:rPr>
          <w:rFonts w:eastAsia="IRNazanin" w:cs="IRNazanin"/>
          <w:color w:val="111111"/>
          <w:sz w:val="28"/>
          <w:szCs w:val="28"/>
          <w:rtl w:val="true"/>
          <w:lang w:bidi="fa-IR"/>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99" w:name="__RefHeading___Toc9424000_73709187"/>
      <w:bookmarkStart w:id="300" w:name="_Toc114"/>
      <w:bookmarkEnd w:id="299"/>
      <w:r>
        <w:rPr>
          <w:rtl w:val="true"/>
        </w:rPr>
        <w:t>تنبیه</w:t>
      </w:r>
      <w:bookmarkEnd w:id="300"/>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یلزم أن نشیر إلی المسائل التی لها علاقة بحقوق الحمل کالوقف و الهبة له أیضاً لکنّا أخّرنا البحث فیهما إلی الباب الذی عقدناه لتصرّفات الصبیّ، فی ذیل البحث عن وقف الصبیّ وهبته، فانتظر</w:t>
      </w:r>
      <w:r>
        <w:rPr>
          <w:rFonts w:eastAsia="IRNazanin" w:cs="IRNazanin"/>
          <w:color w:val="111111"/>
          <w:sz w:val="28"/>
          <w:szCs w:val="28"/>
          <w:rtl w:val="true"/>
          <w:lang w:bidi="fa-IR"/>
        </w:rPr>
        <w:t>.</w:t>
      </w:r>
      <w:bookmarkStart w:id="301" w:name="pg11752_146189"/>
    </w:p>
    <w:p>
      <w:pPr>
        <w:pStyle w:val="Heading3"/>
        <w:numPr>
          <w:ilvl w:val="2"/>
          <w:numId w:val="1"/>
        </w:numPr>
        <w:rPr/>
      </w:pPr>
      <w:bookmarkStart w:id="302" w:name="__RefHeading___Toc9424002_73709187"/>
      <w:bookmarkStart w:id="303" w:name="_Toc115"/>
      <w:bookmarkEnd w:id="301"/>
      <w:bookmarkEnd w:id="302"/>
      <w:r>
        <w:rPr>
          <w:rtl w:val="true"/>
        </w:rPr>
        <w:t>الفصل السابع فی سنن الولادة</w:t>
      </w:r>
      <w:bookmarkEnd w:id="303"/>
    </w:p>
    <w:p>
      <w:pPr>
        <w:pStyle w:val="Heading4"/>
        <w:numPr>
          <w:ilvl w:val="3"/>
          <w:numId w:val="1"/>
        </w:numPr>
        <w:rPr/>
      </w:pPr>
      <w:bookmarkStart w:id="304" w:name="__RefHeading___Toc9424004_73709187"/>
      <w:bookmarkStart w:id="305" w:name="_Toc116"/>
      <w:bookmarkEnd w:id="304"/>
      <w:r>
        <w:rPr>
          <w:rtl w:val="true"/>
        </w:rPr>
        <w:t>المبحث الأول</w:t>
      </w:r>
      <w:r>
        <w:rPr>
          <w:rtl w:val="true"/>
        </w:rPr>
        <w:t xml:space="preserve">: </w:t>
      </w:r>
      <w:r>
        <w:rPr>
          <w:rtl w:val="true"/>
        </w:rPr>
        <w:t>استحباب غسل المولود</w:t>
      </w:r>
      <w:bookmarkEnd w:id="305"/>
    </w:p>
    <w:p>
      <w:pPr>
        <w:pStyle w:val="Heading5"/>
        <w:numPr>
          <w:ilvl w:val="4"/>
          <w:numId w:val="1"/>
        </w:numPr>
        <w:rPr/>
      </w:pPr>
      <w:bookmarkStart w:id="306" w:name="__RefHeading___Toc9424006_73709187"/>
      <w:bookmarkStart w:id="307" w:name="_Toc117"/>
      <w:bookmarkEnd w:id="306"/>
      <w:r>
        <w:rPr>
          <w:rtl w:val="true"/>
        </w:rPr>
        <w:t>اشارة</w:t>
      </w:r>
      <w:bookmarkEnd w:id="307"/>
    </w:p>
    <w:p>
      <w:pPr>
        <w:pStyle w:val="BookText"/>
        <w:rPr/>
      </w:pPr>
      <w:r>
        <w:rPr>
          <w:rStyle w:val="FootnoteAnchor"/>
          <w:rtl w:val="true"/>
        </w:rPr>
        <w:footnoteReference w:id="7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بعض الفقهاء کابن حمزة</w:t>
      </w:r>
      <w:r>
        <w:rPr>
          <w:rStyle w:val="FootnoteAnchor"/>
          <w:rtl w:val="true"/>
        </w:rPr>
        <w:footnoteReference w:id="706"/>
      </w:r>
      <w:r>
        <w:rPr>
          <w:rFonts w:ascii="IRNazanin" w:hAnsi="IRNazanin" w:eastAsia="IRNazanin"/>
          <w:color w:val="111111"/>
          <w:sz w:val="28"/>
          <w:sz w:val="28"/>
          <w:szCs w:val="28"/>
          <w:rtl w:val="true"/>
          <w:lang w:bidi="fa-IR"/>
        </w:rPr>
        <w:t>، إلی وجوب غسل المولود، و هو الظاهر من کلام الصدوق أیضاً</w:t>
      </w:r>
      <w:r>
        <w:rPr>
          <w:rStyle w:val="FootnoteAnchor"/>
          <w:rtl w:val="true"/>
        </w:rPr>
        <w:footnoteReference w:id="707"/>
      </w:r>
      <w:r>
        <w:rPr>
          <w:rFonts w:ascii="IRNazanin" w:hAnsi="IRNazanin" w:eastAsia="IRNazanin"/>
          <w:color w:val="111111"/>
          <w:sz w:val="28"/>
          <w:sz w:val="28"/>
          <w:szCs w:val="28"/>
          <w:rtl w:val="true"/>
          <w:lang w:bidi="fa-IR"/>
        </w:rPr>
        <w:t>، و لکنّ المشهور بینهم کما عن الشیخ</w:t>
      </w:r>
      <w:r>
        <w:rPr>
          <w:rStyle w:val="FootnoteAnchor"/>
          <w:rtl w:val="true"/>
        </w:rPr>
        <w:footnoteReference w:id="708"/>
      </w:r>
      <w:r>
        <w:rPr>
          <w:rFonts w:ascii="IRNazanin" w:hAnsi="IRNazanin" w:eastAsia="IRNazanin"/>
          <w:color w:val="111111"/>
          <w:sz w:val="28"/>
          <w:sz w:val="28"/>
          <w:szCs w:val="28"/>
          <w:rtl w:val="true"/>
          <w:lang w:bidi="fa-IR"/>
        </w:rPr>
        <w:t>و ابن إدریس</w:t>
      </w:r>
      <w:r>
        <w:rPr>
          <w:rStyle w:val="FootnoteAnchor"/>
          <w:rtl w:val="true"/>
        </w:rPr>
        <w:footnoteReference w:id="709"/>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المحقّق</w:t>
      </w:r>
      <w:r>
        <w:rPr>
          <w:rStyle w:val="FootnoteAnchor"/>
          <w:rtl w:val="true"/>
        </w:rPr>
        <w:footnoteReference w:id="710"/>
      </w:r>
      <w:r>
        <w:rPr>
          <w:rFonts w:ascii="Amiri" w:hAnsi="Amiri" w:eastAsia="Amiri" w:cs="Amiri"/>
          <w:color w:val="111111"/>
          <w:sz w:val="28"/>
          <w:sz w:val="28"/>
          <w:szCs w:val="28"/>
          <w:rtl w:val="true"/>
          <w:lang w:bidi="ar-SA"/>
        </w:rPr>
        <w:t>و العلاّمة</w:t>
      </w:r>
      <w:r>
        <w:rPr>
          <w:rStyle w:val="FootnoteAnchor"/>
          <w:rtl w:val="true"/>
        </w:rPr>
        <w:footnoteReference w:id="711"/>
      </w:r>
      <w:r>
        <w:rPr>
          <w:rFonts w:ascii="IRNazanin" w:hAnsi="IRNazanin" w:eastAsia="IRNazanin"/>
          <w:color w:val="111111"/>
          <w:sz w:val="28"/>
          <w:sz w:val="28"/>
          <w:szCs w:val="28"/>
          <w:rtl w:val="true"/>
          <w:lang w:bidi="fa-IR"/>
        </w:rPr>
        <w:t>و الشهید</w:t>
      </w:r>
      <w:r>
        <w:rPr>
          <w:rStyle w:val="FootnoteAnchor"/>
          <w:rtl w:val="true"/>
        </w:rPr>
        <w:footnoteReference w:id="712"/>
      </w:r>
      <w:r>
        <w:rPr>
          <w:rFonts w:ascii="IRNazanin" w:hAnsi="IRNazanin" w:eastAsia="IRNazanin"/>
          <w:color w:val="111111"/>
          <w:sz w:val="28"/>
          <w:sz w:val="28"/>
          <w:szCs w:val="28"/>
          <w:rtl w:val="true"/>
          <w:lang w:bidi="fa-IR"/>
        </w:rPr>
        <w:t>و صاحب الجواهر</w:t>
      </w:r>
      <w:r>
        <w:rPr>
          <w:rStyle w:val="FootnoteAnchor"/>
          <w:rtl w:val="true"/>
        </w:rPr>
        <w:footnoteReference w:id="713"/>
      </w:r>
      <w:r>
        <w:rPr>
          <w:rFonts w:ascii="IRNazanin" w:hAnsi="IRNazanin" w:eastAsia="IRNazanin"/>
          <w:color w:val="111111"/>
          <w:sz w:val="28"/>
          <w:sz w:val="28"/>
          <w:szCs w:val="28"/>
          <w:rtl w:val="true"/>
          <w:lang w:bidi="fa-IR"/>
        </w:rPr>
        <w:t>و الشیخ الأنصاری</w:t>
      </w:r>
      <w:r>
        <w:rPr>
          <w:rStyle w:val="FootnoteAnchor"/>
          <w:rtl w:val="true"/>
        </w:rPr>
        <w:footnoteReference w:id="714"/>
      </w:r>
      <w:bookmarkStart w:id="308" w:name="pg11752_146190"/>
    </w:p>
    <w:p>
      <w:pPr>
        <w:pStyle w:val="BookText"/>
        <w:rPr/>
      </w:pPr>
      <w:bookmarkEnd w:id="308"/>
      <w:r>
        <w:rPr>
          <w:rFonts w:ascii="IRNazanin" w:hAnsi="IRNazanin" w:eastAsia="IRNazanin"/>
          <w:color w:val="111111"/>
          <w:sz w:val="28"/>
          <w:sz w:val="28"/>
          <w:szCs w:val="28"/>
          <w:rtl w:val="true"/>
          <w:lang w:bidi="fa-IR"/>
        </w:rPr>
        <w:t>و غیرهم</w:t>
      </w:r>
      <w:r>
        <w:rPr>
          <w:rStyle w:val="FootnoteAnchor"/>
          <w:rtl w:val="true"/>
        </w:rPr>
        <w:footnoteReference w:id="715"/>
      </w:r>
      <w:r>
        <w:rPr>
          <w:rFonts w:ascii="IRNazanin" w:hAnsi="IRNazanin" w:eastAsia="IRNazanin"/>
          <w:color w:val="111111"/>
          <w:sz w:val="28"/>
          <w:sz w:val="28"/>
          <w:szCs w:val="28"/>
          <w:rtl w:val="true"/>
          <w:lang w:bidi="fa-IR"/>
        </w:rPr>
        <w:t>استحبابه و هو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تدلّ علیه موثّقة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غسل الجمعة؟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غسل المولود واجب</w:t>
      </w:r>
      <w:r>
        <w:rPr>
          <w:rFonts w:eastAsia="IRNazanin" w:cs="IRNazanin"/>
          <w:color w:val="111111"/>
          <w:sz w:val="28"/>
          <w:szCs w:val="28"/>
          <w:rtl w:val="true"/>
          <w:lang w:bidi="fa-IR"/>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لفظ الوجوب و إن کان عند الأصولیّین حقیقة فیما لا یجوز ترکه، إلاّ أنّه فی الأخبار لیس کذلک، بل یستعمل فی الأعمّ من الوجوب و تأکّد الاستحباب، و معناه اللغوی أی مطلق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ببیان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الوجوب من الألفاظ المشترکة التی لا تحمل علی معنی من هذه المعانی إلاّ مع القرینة، و حیث إنّ هذه الجملة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غسل المولود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الموثّقة ذکر فی جملة من الأغسال التی لا خلاف فی استحبابها، فالاستحباب هو الأظهر، و یحمل الوجوب فی غیر الاغسال الستّة الواجبة علی تأکّد الاستحباب کما حمله الشیخ</w:t>
      </w:r>
      <w:r>
        <w:rPr>
          <w:rStyle w:val="FootnoteAnchor"/>
          <w:rtl w:val="true"/>
        </w:rPr>
        <w:footnoteReference w:id="717"/>
      </w:r>
      <w:r>
        <w:rPr>
          <w:rFonts w:ascii="IRNazanin" w:hAnsi="IRNazanin" w:eastAsia="IRNazanin"/>
          <w:color w:val="111111"/>
          <w:sz w:val="28"/>
          <w:sz w:val="28"/>
          <w:szCs w:val="28"/>
          <w:rtl w:val="true"/>
          <w:lang w:bidi="fa-IR"/>
        </w:rPr>
        <w:t>و غیره</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فرض الشکّ، فالأصل عدم اشتغال الذمّة بالواجب، فلا یصار إلیه إلاّ بدلیلٍ و لم یثبت</w:t>
      </w:r>
      <w:r>
        <w:rPr>
          <w:rStyle w:val="FootnoteAnchor"/>
          <w:rtl w:val="true"/>
        </w:rPr>
        <w:footnoteReference w:id="719"/>
      </w:r>
      <w:r>
        <w:rPr>
          <w:rFonts w:ascii="IRNazanin" w:hAnsi="IRNazanin" w:eastAsia="IRNazanin"/>
          <w:color w:val="111111"/>
          <w:sz w:val="28"/>
          <w:sz w:val="28"/>
          <w:szCs w:val="28"/>
          <w:rtl w:val="true"/>
          <w:lang w:bidi="fa-IR"/>
        </w:rPr>
        <w:t>، فظهر ممّا قلنا ما فی الاستدلال بالموثّقة بوجوب الغسل، کما عن الصدوق</w:t>
      </w:r>
      <w:r>
        <w:rPr>
          <w:rStyle w:val="FootnoteAnchor"/>
          <w:rtl w:val="true"/>
        </w:rPr>
        <w:footnoteReference w:id="720"/>
      </w:r>
      <w:r>
        <w:rPr>
          <w:rFonts w:ascii="Amiri" w:hAnsi="Amiri" w:eastAsia="Amiri" w:cs="Amiri"/>
          <w:color w:val="111111"/>
          <w:sz w:val="28"/>
          <w:sz w:val="28"/>
          <w:szCs w:val="28"/>
          <w:rtl w:val="true"/>
          <w:lang w:bidi="ar-SA"/>
        </w:rPr>
        <w:t>و ابن حمزة</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9" w:name="__RefHeading___Toc9424008_73709187"/>
      <w:bookmarkStart w:id="310" w:name="_Toc118"/>
      <w:bookmarkEnd w:id="309"/>
      <w:r>
        <w:rPr>
          <w:rtl w:val="true"/>
        </w:rPr>
        <w:t>وقت غسل المولود</w:t>
      </w:r>
      <w:bookmarkEnd w:id="310"/>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وقت هذا الغسل ما دام یتحقّق معه صدق غسل المولود، أو من حین</w:t>
      </w:r>
      <w:bookmarkStart w:id="311" w:name="pg11752_146191"/>
    </w:p>
    <w:p>
      <w:pPr>
        <w:pStyle w:val="BookText"/>
        <w:rPr/>
      </w:pPr>
      <w:bookmarkEnd w:id="311"/>
      <w:r>
        <w:rPr>
          <w:rFonts w:ascii="Amiri" w:hAnsi="Amiri" w:eastAsia="Amiri" w:cs="Amiri"/>
          <w:color w:val="111111"/>
          <w:sz w:val="28"/>
          <w:sz w:val="28"/>
          <w:szCs w:val="28"/>
          <w:rtl w:val="true"/>
          <w:lang w:bidi="ar-SA"/>
        </w:rPr>
        <w:t>الولادة؟ وجهان، بل قولان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وقته حین الولادة؛ لأنّ المتبادر من النصّ و کلام الأصحاب و المتعارف علیه بین الناس ذلک، هذا قول صاحب الریاض</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وقته من حین الولادة حیناً عرفیّاً، فالتأخیر إلی یومین أو ثلاثة لا یضرّ، و به قال السیّد فی العروة</w:t>
      </w:r>
      <w:r>
        <w:rPr>
          <w:rStyle w:val="FootnoteAnchor"/>
          <w:rtl w:val="true"/>
        </w:rPr>
        <w:footnoteReference w:id="723"/>
      </w:r>
      <w:r>
        <w:rPr>
          <w:rFonts w:ascii="IRNazanin" w:hAnsi="IRNazanin" w:eastAsia="IRNazanin"/>
          <w:color w:val="111111"/>
          <w:sz w:val="28"/>
          <w:sz w:val="28"/>
          <w:szCs w:val="28"/>
          <w:rtl w:val="true"/>
          <w:lang w:bidi="fa-IR"/>
        </w:rPr>
        <w:t>و هو الحقّ؛ لإطلاق دلیله، أی الموثّقة المتقدّمة، و إن کان الأحوط عدم التأخیر من حین الولادة؛ لإمکان انصراف الإطلاق إلی ما هو المعهود المتعارف</w:t>
      </w:r>
      <w:r>
        <w:rPr>
          <w:rStyle w:val="FootnoteAnchor"/>
          <w:rtl w:val="true"/>
        </w:rPr>
        <w:footnoteReference w:id="724"/>
      </w:r>
      <w:r>
        <w:rPr>
          <w:rFonts w:ascii="IRNazanin" w:hAnsi="IRNazanin" w:eastAsia="IRNazanin"/>
          <w:color w:val="111111"/>
          <w:sz w:val="28"/>
          <w:sz w:val="28"/>
          <w:szCs w:val="28"/>
          <w:rtl w:val="true"/>
          <w:lang w:bidi="fa-IR"/>
        </w:rPr>
        <w:t>، و الأولی علی تقدیر التأخیر عن الحین العرفی الإتیان به برجاء المطلوبیّة</w:t>
      </w:r>
      <w:r>
        <w:rPr>
          <w:rFonts w:eastAsia="IRNazanin" w:cs="IRNazanin"/>
          <w:color w:val="111111"/>
          <w:sz w:val="28"/>
          <w:szCs w:val="28"/>
          <w:rtl w:val="true"/>
          <w:lang w:bidi="fa-IR"/>
        </w:rPr>
        <w:t>.</w:t>
      </w:r>
    </w:p>
    <w:p>
      <w:pPr>
        <w:pStyle w:val="Heading5"/>
        <w:numPr>
          <w:ilvl w:val="4"/>
          <w:numId w:val="1"/>
        </w:numPr>
        <w:rPr/>
      </w:pPr>
      <w:bookmarkStart w:id="312" w:name="__RefHeading___Toc9424010_73709187"/>
      <w:bookmarkStart w:id="313" w:name="_Toc119"/>
      <w:bookmarkEnd w:id="312"/>
      <w:r>
        <w:rPr>
          <w:rtl w:val="true"/>
        </w:rPr>
        <w:t>اعتبار النیّة و الترتیب فی غسل المولود</w:t>
      </w:r>
      <w:bookmarkEnd w:id="313"/>
    </w:p>
    <w:p>
      <w:pPr>
        <w:pStyle w:val="BookText"/>
        <w:rPr/>
      </w:pPr>
      <w:r>
        <w:rPr>
          <w:rFonts w:ascii="IRNazanin" w:hAnsi="IRNazanin" w:eastAsia="IRNazanin"/>
          <w:color w:val="111111"/>
          <w:sz w:val="28"/>
          <w:sz w:val="28"/>
          <w:szCs w:val="28"/>
          <w:rtl w:val="true"/>
          <w:lang w:bidi="fa-IR"/>
        </w:rPr>
        <w:t>إطلاق الغسل یقتضی اعتبار النیّة و الترتیب و غیرهما من أحکامه فیه؛ لتعارف الترتیب فی الغسل و أنّه کیفیّة له، فمتی أطلق انصرف إلیه، و من هنا لم یحتج إلی إقامة الدلیل علیه فی کلّ غسلٍ، مع إمکان دعوی توقّف یقین الامتثال علیه، فما عن بعضهم</w:t>
      </w:r>
      <w:r>
        <w:rPr>
          <w:rStyle w:val="FootnoteAnchor"/>
          <w:rtl w:val="true"/>
        </w:rPr>
        <w:footnoteReference w:id="725"/>
      </w:r>
      <w:r>
        <w:rPr>
          <w:rFonts w:ascii="IRNazanin" w:hAnsi="IRNazanin" w:eastAsia="IRNazanin"/>
          <w:color w:val="111111"/>
          <w:sz w:val="28"/>
          <w:sz w:val="28"/>
          <w:szCs w:val="28"/>
          <w:rtl w:val="true"/>
          <w:lang w:bidi="fa-IR"/>
        </w:rPr>
        <w:t>من احتمال أنّه تنظیف محض له عن النجاسات العارضة له أو مطلقاً ضعیف، کما قال فی الجواهر</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فی کتب أهل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بحسب تتبّعنا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نجد لهم رأیاً فی غسل المولود</w:t>
      </w:r>
      <w:r>
        <w:rPr>
          <w:rFonts w:eastAsia="IRNazanin" w:cs="IRNazanin"/>
          <w:color w:val="111111"/>
          <w:sz w:val="28"/>
          <w:szCs w:val="28"/>
          <w:rtl w:val="true"/>
          <w:lang w:bidi="fa-IR"/>
        </w:rPr>
        <w:t>.</w:t>
      </w:r>
      <w:bookmarkStart w:id="314" w:name="pg11752_146192"/>
    </w:p>
    <w:p>
      <w:pPr>
        <w:pStyle w:val="Heading4"/>
        <w:numPr>
          <w:ilvl w:val="3"/>
          <w:numId w:val="1"/>
        </w:numPr>
        <w:rPr/>
      </w:pPr>
      <w:bookmarkStart w:id="315" w:name="__RefHeading___Toc9424012_73709187"/>
      <w:bookmarkStart w:id="316" w:name="_Toc120"/>
      <w:bookmarkEnd w:id="314"/>
      <w:bookmarkEnd w:id="315"/>
      <w:r>
        <w:rPr>
          <w:rtl w:val="true"/>
        </w:rPr>
        <w:t>المبحث الثانی</w:t>
      </w:r>
      <w:r>
        <w:rPr>
          <w:rtl w:val="true"/>
        </w:rPr>
        <w:t xml:space="preserve">: </w:t>
      </w:r>
      <w:r>
        <w:rPr>
          <w:rtl w:val="true"/>
        </w:rPr>
        <w:t>استحباب الأذان و الإقامة</w:t>
      </w:r>
      <w:bookmarkEnd w:id="316"/>
    </w:p>
    <w:p>
      <w:pPr>
        <w:pStyle w:val="Heading5"/>
        <w:numPr>
          <w:ilvl w:val="4"/>
          <w:numId w:val="1"/>
        </w:numPr>
        <w:rPr/>
      </w:pPr>
      <w:bookmarkStart w:id="317" w:name="__RefHeading___Toc9424014_73709187"/>
      <w:bookmarkStart w:id="318" w:name="_Toc121"/>
      <w:bookmarkEnd w:id="317"/>
      <w:r>
        <w:rPr>
          <w:rtl w:val="true"/>
        </w:rPr>
        <w:t>اشارة</w:t>
      </w:r>
      <w:bookmarkEnd w:id="318"/>
    </w:p>
    <w:p>
      <w:pPr>
        <w:pStyle w:val="BookText"/>
        <w:rPr/>
      </w:pPr>
      <w:r>
        <w:rPr>
          <w:rFonts w:ascii="IRNazanin" w:hAnsi="IRNazanin" w:eastAsia="IRNazanin"/>
          <w:color w:val="111111"/>
          <w:sz w:val="28"/>
          <w:sz w:val="28"/>
          <w:szCs w:val="28"/>
          <w:rtl w:val="true"/>
          <w:lang w:bidi="fa-IR"/>
        </w:rPr>
        <w:t>یستحبّ الأذان فی الاُذن الیمنی للمولود و الإقامة فی اذنه الیسری</w:t>
      </w:r>
      <w:r>
        <w:rPr>
          <w:rStyle w:val="FootnoteAnchor"/>
          <w:rtl w:val="true"/>
        </w:rPr>
        <w:footnoteReference w:id="727"/>
      </w:r>
      <w:r>
        <w:rPr>
          <w:rFonts w:ascii="IRNazanin" w:hAnsi="IRNazanin" w:eastAsia="IRNazanin"/>
          <w:color w:val="111111"/>
          <w:sz w:val="28"/>
          <w:sz w:val="28"/>
          <w:szCs w:val="28"/>
          <w:rtl w:val="true"/>
          <w:lang w:bidi="fa-IR"/>
        </w:rPr>
        <w:t>، یوم ولادته أو قبل أن تسقط سرّته</w:t>
      </w:r>
      <w:r>
        <w:rPr>
          <w:rStyle w:val="FootnoteAnchor"/>
          <w:rtl w:val="true"/>
        </w:rPr>
        <w:footnoteReference w:id="728"/>
      </w:r>
      <w:r>
        <w:rPr>
          <w:rFonts w:ascii="IRNazanin" w:hAnsi="IRNazanin" w:eastAsia="IRNazanin"/>
          <w:color w:val="111111"/>
          <w:sz w:val="28"/>
          <w:sz w:val="28"/>
          <w:szCs w:val="28"/>
          <w:rtl w:val="true"/>
          <w:lang w:bidi="fa-IR"/>
        </w:rPr>
        <w:t>، هذا مما لا خلاف فیه بین فقهائنا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یدلّ علیه نُصوص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النبیّ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ولد له مولود فلیؤذّن فی أذنه الیمنی بأذان الصلاة و لیقم فی الیسری، فإنّها عصمة من الشیطان الرجیم</w:t>
      </w:r>
      <w:r>
        <w:rPr>
          <w:rFonts w:eastAsia="IRNazanin" w:cs="IRNazanin"/>
          <w:color w:val="111111"/>
          <w:sz w:val="28"/>
          <w:szCs w:val="28"/>
          <w:rtl w:val="true"/>
          <w:lang w:bidi="fa-IR"/>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أبی یحیی الرازی، 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ولد لکم المولود أیّ شیء تصنعون 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أدری ما نصنع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أذّن فی أذنه الیمنی و أقم فی الیُسری، تفعل به ذلک قبل أن تقطع سرّته، فإنّه لا یفزع أبداً و لا تصیبُه أمّ الصبیان</w:t>
      </w:r>
      <w:r>
        <w:rPr>
          <w:rFonts w:eastAsia="IRNazanin" w:cs="IRNazanin"/>
          <w:color w:val="111111"/>
          <w:sz w:val="28"/>
          <w:szCs w:val="28"/>
          <w:rtl w:val="true"/>
          <w:lang w:bidi="fa-IR"/>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الوافی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 الصبیان علّة تعتریهم</w:t>
      </w:r>
      <w:r>
        <w:rPr>
          <w:rFonts w:eastAsia="IRNazanin" w:cs="IRNazanin"/>
          <w:color w:val="111111"/>
          <w:sz w:val="28"/>
          <w:szCs w:val="28"/>
          <w:rtl w:val="true"/>
          <w:lang w:bidi="fa-IR"/>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الحسین علیهما السلام، عن أسماء بنت عمیس، عن فاطمة علیها السلام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حملت بالحسن علیه السلام و ولدته جاء النبیّ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أسماء هلمّی ابنی، فدفعته إلیه فی خرقة صفراء، فرمی بها النبیّ صلی الله علیه و آله و أذّن فی اذُنه الیمنی</w:t>
      </w:r>
      <w:bookmarkStart w:id="319" w:name="pg11752_146193"/>
    </w:p>
    <w:p>
      <w:pPr>
        <w:pStyle w:val="BookText"/>
        <w:rPr/>
      </w:pPr>
      <w:bookmarkEnd w:id="319"/>
      <w:r>
        <w:rPr>
          <w:rFonts w:ascii="IRNazanin" w:hAnsi="IRNazanin" w:eastAsia="IRNazanin"/>
          <w:color w:val="111111"/>
          <w:sz w:val="28"/>
          <w:sz w:val="28"/>
          <w:szCs w:val="28"/>
          <w:rtl w:val="true"/>
          <w:lang w:bidi="fa-IR"/>
        </w:rPr>
        <w:t xml:space="preserve">و أقام فی أذنه الیسری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قالت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بعد حول ولد الحسین علیه السلام جاءنی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أسماء هلمّی بابنی، فدفعته إلیه فی خرقة بیضاء، فأذّن فی اذنه الیمنی و أقام فی الیسری</w:t>
      </w:r>
      <w:r>
        <w:rPr>
          <w:rFonts w:eastAsia="IRNazanin" w:cs="IRNazanin"/>
          <w:color w:val="111111"/>
          <w:sz w:val="28"/>
          <w:szCs w:val="28"/>
          <w:rtl w:val="true"/>
          <w:lang w:bidi="fa-IR"/>
        </w:rPr>
        <w:t>...»</w:t>
      </w:r>
      <w:r>
        <w:rPr>
          <w:rStyle w:val="FootnoteAnchor"/>
          <w:rtl w:val="true"/>
        </w:rPr>
        <w:footnoteReference w:id="732"/>
      </w:r>
      <w:r>
        <w:rPr>
          <w:rFonts w:ascii="IRNazanin" w:hAnsi="IRNazanin" w:eastAsia="IRNazanin"/>
          <w:color w:val="111111"/>
          <w:sz w:val="28"/>
          <w:sz w:val="28"/>
          <w:szCs w:val="28"/>
          <w:rtl w:val="true"/>
          <w:lang w:bidi="fa-IR"/>
        </w:rPr>
        <w:t>و غیر ذلک من الروایات</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0" w:name="__RefHeading___Toc9424016_73709187"/>
      <w:bookmarkStart w:id="321" w:name="_Toc122"/>
      <w:bookmarkEnd w:id="320"/>
      <w:r>
        <w:rPr>
          <w:rtl w:val="true"/>
        </w:rPr>
        <w:t>استحباب الأذان عند أهل السنّة</w:t>
      </w:r>
      <w:bookmarkEnd w:id="321"/>
    </w:p>
    <w:p>
      <w:pPr>
        <w:pStyle w:val="BookText"/>
        <w:rPr/>
      </w:pPr>
      <w:r>
        <w:rPr>
          <w:rFonts w:ascii="IRNazanin" w:hAnsi="IRNazanin" w:eastAsia="IRNazanin"/>
          <w:color w:val="111111"/>
          <w:sz w:val="28"/>
          <w:sz w:val="28"/>
          <w:szCs w:val="28"/>
          <w:rtl w:val="true"/>
          <w:lang w:bidi="fa-IR"/>
        </w:rPr>
        <w:t>وافق فقهاءُ أهل السنّة الشیعةَ باستحباب الأذان للمولود؛ لما روی أبو رافع من أنّ النبیّ صلی الله علیه و آله أذّن فی أُذن الحسن حین ولدته فاطمة</w:t>
      </w:r>
      <w:r>
        <w:rPr>
          <w:rStyle w:val="FootnoteAnchor"/>
          <w:rtl w:val="true"/>
        </w:rPr>
        <w:footnoteReference w:id="7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اختلفوا فی استحباب الإقامة، فقال بعضهم باستحبابها</w:t>
      </w:r>
      <w:r>
        <w:rPr>
          <w:rStyle w:val="FootnoteAnchor"/>
          <w:rtl w:val="true"/>
        </w:rPr>
        <w:footnoteReference w:id="735"/>
      </w:r>
      <w:r>
        <w:rPr>
          <w:rFonts w:ascii="IRNazanin" w:hAnsi="IRNazanin" w:eastAsia="IRNazanin"/>
          <w:color w:val="111111"/>
          <w:sz w:val="28"/>
          <w:sz w:val="28"/>
          <w:szCs w:val="28"/>
          <w:rtl w:val="true"/>
          <w:lang w:bidi="fa-IR"/>
        </w:rPr>
        <w:t>؛ لما روی ابن عباس أنّ النبیّ صلی الله علیه و آله أذّن فی أذن الحسن بن علیّ یوم ولد و أقام فی اذنه الیسری</w:t>
      </w:r>
      <w:r>
        <w:rPr>
          <w:rStyle w:val="FootnoteAnchor"/>
          <w:rtl w:val="true"/>
        </w:rPr>
        <w:footnoteReference w:id="7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 هذا ما رواه غیره</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بعض آخر</w:t>
      </w:r>
      <w:r>
        <w:rPr>
          <w:rStyle w:val="FootnoteAnchor"/>
          <w:rtl w:val="true"/>
        </w:rPr>
        <w:footnoteReference w:id="738"/>
      </w:r>
      <w:r>
        <w:rPr>
          <w:rFonts w:ascii="IRNazanin" w:hAnsi="IRNazanin" w:eastAsia="IRNazanin"/>
          <w:color w:val="111111"/>
          <w:sz w:val="28"/>
          <w:sz w:val="28"/>
          <w:szCs w:val="28"/>
          <w:rtl w:val="true"/>
          <w:lang w:bidi="fa-IR"/>
        </w:rPr>
        <w:t>بعدم استحبابه؛ لأنّ هذین الحدیثین ضعیفان عندهم، فیقتصر علی الأذان الثابت فی حدیث أبی رافع</w:t>
      </w:r>
      <w:r>
        <w:rPr>
          <w:rFonts w:eastAsia="IRNazanin" w:cs="IRNazanin"/>
          <w:color w:val="111111"/>
          <w:sz w:val="28"/>
          <w:szCs w:val="28"/>
          <w:rtl w:val="true"/>
          <w:lang w:bidi="fa-IR"/>
        </w:rPr>
        <w:t>.</w:t>
      </w:r>
      <w:bookmarkStart w:id="322" w:name="pg11752_146194"/>
    </w:p>
    <w:p>
      <w:pPr>
        <w:pStyle w:val="Heading4"/>
        <w:numPr>
          <w:ilvl w:val="3"/>
          <w:numId w:val="1"/>
        </w:numPr>
        <w:rPr/>
      </w:pPr>
      <w:bookmarkStart w:id="323" w:name="__RefHeading___Toc9424018_73709187"/>
      <w:bookmarkStart w:id="324" w:name="_Toc123"/>
      <w:bookmarkEnd w:id="322"/>
      <w:bookmarkEnd w:id="323"/>
      <w:r>
        <w:rPr>
          <w:rtl w:val="true"/>
        </w:rPr>
        <w:t>المبحث الثالث</w:t>
      </w:r>
      <w:r>
        <w:rPr>
          <w:rtl w:val="true"/>
        </w:rPr>
        <w:t xml:space="preserve">: </w:t>
      </w:r>
      <w:r>
        <w:rPr>
          <w:rtl w:val="true"/>
        </w:rPr>
        <w:t>استحباب تحنیک المولود</w:t>
      </w:r>
      <w:bookmarkEnd w:id="324"/>
    </w:p>
    <w:p>
      <w:pPr>
        <w:pStyle w:val="Heading5"/>
        <w:numPr>
          <w:ilvl w:val="4"/>
          <w:numId w:val="1"/>
        </w:numPr>
        <w:rPr/>
      </w:pPr>
      <w:bookmarkStart w:id="325" w:name="__RefHeading___Toc9424020_73709187"/>
      <w:bookmarkStart w:id="326" w:name="_Toc124"/>
      <w:bookmarkEnd w:id="325"/>
      <w:r>
        <w:rPr>
          <w:rtl w:val="true"/>
        </w:rPr>
        <w:t>اشارة</w:t>
      </w:r>
      <w:bookmarkEnd w:id="326"/>
    </w:p>
    <w:p>
      <w:pPr>
        <w:pStyle w:val="BookText"/>
        <w:rPr/>
      </w:pPr>
      <w:r>
        <w:rPr>
          <w:rFonts w:ascii="IRNazanin" w:hAnsi="IRNazanin" w:eastAsia="IRNazanin"/>
          <w:color w:val="111111"/>
          <w:sz w:val="28"/>
          <w:sz w:val="28"/>
          <w:szCs w:val="28"/>
          <w:rtl w:val="true"/>
          <w:lang w:bidi="fa-IR"/>
        </w:rPr>
        <w:t>یستحبّ تحنیک المولود بماء الفرات و تربة الإمام الحسین علیه السلام، فإن لم یوجد فبماء السماء، فإن تعذّر فبماء عذب، و إن لم یوجد إلاّ ماء ملحٍ جعل فیه شیء من التمر أو العسل</w:t>
      </w:r>
      <w:r>
        <w:rPr>
          <w:rStyle w:val="FootnoteAnchor"/>
          <w:rtl w:val="true"/>
        </w:rPr>
        <w:footnoteReference w:id="739"/>
      </w:r>
      <w:r>
        <w:rPr>
          <w:rFonts w:ascii="IRNazanin" w:hAnsi="IRNazanin" w:eastAsia="IRNazanin"/>
          <w:color w:val="111111"/>
          <w:sz w:val="28"/>
          <w:sz w:val="28"/>
          <w:szCs w:val="28"/>
          <w:rtl w:val="true"/>
          <w:lang w:bidi="fa-IR"/>
        </w:rPr>
        <w:t>، بمعنی إدخال ذلک إلی حنکه و هو أعلی داخل الفم</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یدلّ علی ذلک نصوص، 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عن الباقر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یحنّک المولود بماء الفرات و یقام فی اذنه</w:t>
      </w:r>
      <w:r>
        <w:rPr>
          <w:rFonts w:eastAsia="IRNazanin" w:cs="IRNazanin"/>
          <w:color w:val="111111"/>
          <w:sz w:val="28"/>
          <w:szCs w:val="28"/>
          <w:rtl w:val="true"/>
          <w:lang w:bidi="fa-IR"/>
        </w:rPr>
        <w:t>»</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اخری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حنِّکُوا أولادکم بماء الفرات و بتربة الحسین علیه السلام، فإن لم یکن فبماء السماء</w:t>
      </w:r>
      <w:r>
        <w:rPr>
          <w:rFonts w:eastAsia="IRNazanin" w:cs="IRNazanin"/>
          <w:color w:val="111111"/>
          <w:sz w:val="28"/>
          <w:szCs w:val="28"/>
          <w:rtl w:val="true"/>
          <w:lang w:bidi="fa-IR"/>
        </w:rPr>
        <w:t>»</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روی أبو بصیر،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حنِّکوا أولادکم بالتمر، هکذا فعل النبیّ صلی الله علیه و آله بالحسن و الحسین علیهما السلام</w:t>
      </w:r>
      <w:r>
        <w:rPr>
          <w:rFonts w:eastAsia="IRNazanin" w:cs="IRNazanin"/>
          <w:color w:val="111111"/>
          <w:sz w:val="28"/>
          <w:szCs w:val="28"/>
          <w:rtl w:val="true"/>
          <w:lang w:bidi="fa-IR"/>
        </w:rPr>
        <w:t>»</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فی فقه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حنّکه بماء الفرات إن قدرت علیه أو بالعسل ساعة یولد</w:t>
      </w:r>
      <w:r>
        <w:rPr>
          <w:rFonts w:eastAsia="IRNazanin" w:cs="IRNazanin"/>
          <w:color w:val="111111"/>
          <w:sz w:val="28"/>
          <w:szCs w:val="28"/>
          <w:rtl w:val="true"/>
          <w:lang w:bidi="fa-IR"/>
        </w:rPr>
        <w:t>»</w:t>
      </w:r>
      <w:r>
        <w:rPr>
          <w:rStyle w:val="FootnoteAnchor"/>
          <w:rtl w:val="true"/>
        </w:rPr>
        <w:footnoteReference w:id="7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الروایات، فراجع</w:t>
      </w:r>
      <w:r>
        <w:rPr>
          <w:rStyle w:val="FootnoteAnchor"/>
          <w:rtl w:val="true"/>
        </w:rPr>
        <w:footnoteReference w:id="745"/>
      </w:r>
      <w:bookmarkStart w:id="327" w:name="pg11752_146195"/>
    </w:p>
    <w:p>
      <w:pPr>
        <w:pStyle w:val="BookText"/>
        <w:rPr/>
      </w:pPr>
      <w:bookmarkEnd w:id="327"/>
      <w:r>
        <w:rPr>
          <w:rFonts w:ascii="IRNazanin" w:hAnsi="IRNazanin" w:eastAsia="IRNazanin"/>
          <w:color w:val="111111"/>
          <w:sz w:val="28"/>
          <w:sz w:val="28"/>
          <w:szCs w:val="28"/>
          <w:rtl w:val="true"/>
          <w:lang w:bidi="fa-IR"/>
        </w:rPr>
        <w:t>قال صاحب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لا بأس بخلط شیء من العسل و التمر بماء الفرات أو السماء و تحنیکه به، فإنّ فیه جمعاً بین الجمیع</w:t>
      </w:r>
      <w:r>
        <w:rPr>
          <w:rFonts w:eastAsia="IRNazanin" w:cs="IRNazanin"/>
          <w:color w:val="111111"/>
          <w:sz w:val="28"/>
          <w:szCs w:val="28"/>
          <w:rtl w:val="true"/>
          <w:lang w:bidi="fa-IR"/>
        </w:rPr>
        <w:t>»</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8" w:name="__RefHeading___Toc9424022_73709187"/>
      <w:bookmarkStart w:id="329" w:name="_Toc125"/>
      <w:bookmarkEnd w:id="328"/>
      <w:r>
        <w:rPr>
          <w:rtl w:val="true"/>
        </w:rPr>
        <w:t>التحنیک عند أهل السنة</w:t>
      </w:r>
      <w:bookmarkEnd w:id="329"/>
    </w:p>
    <w:p>
      <w:pPr>
        <w:pStyle w:val="BookText"/>
        <w:rPr/>
      </w:pPr>
      <w:r>
        <w:rPr>
          <w:rFonts w:ascii="IRNazanin" w:hAnsi="IRNazanin" w:eastAsia="IRNazanin"/>
          <w:color w:val="111111"/>
          <w:sz w:val="28"/>
          <w:sz w:val="28"/>
          <w:szCs w:val="28"/>
          <w:rtl w:val="true"/>
          <w:lang w:bidi="fa-IR"/>
        </w:rPr>
        <w:t>اتفق الفقهاء من المذاهب الأربعة علی استحباب تحنیک المولود عند ولادته بتمرةٍ، ذکراً کان أو انثی، بأن تمضغ و یدلّک بها حنکه حتّی یصل بعضه إلی جوفه، فإن تعذّر و لم یکن تمر فیحنّکه بحلو</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أضاف بعضهم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کون المحنّک من الصالحین و ممّن یتبرّک به رجلاً کان أو امرأةً؛ لیحصل للمولود برکةً مخالطة ریقه لجوفه، فإن لم یکن حاضراً عند المولود حمل إلیه</w:t>
      </w:r>
      <w:r>
        <w:rPr>
          <w:rStyle w:val="FootnoteAnchor"/>
          <w:rtl w:val="true"/>
        </w:rPr>
        <w:footnoteReference w:id="748"/>
      </w:r>
      <w:bookmarkStart w:id="330" w:name="pg11752_146196"/>
    </w:p>
    <w:p>
      <w:pPr>
        <w:pStyle w:val="Heading4"/>
        <w:numPr>
          <w:ilvl w:val="3"/>
          <w:numId w:val="1"/>
        </w:numPr>
        <w:rPr/>
      </w:pPr>
      <w:bookmarkStart w:id="331" w:name="__RefHeading___Toc9424024_73709187"/>
      <w:bookmarkStart w:id="332" w:name="_Toc126"/>
      <w:bookmarkEnd w:id="330"/>
      <w:bookmarkEnd w:id="331"/>
      <w:r>
        <w:rPr>
          <w:rtl w:val="true"/>
        </w:rPr>
        <w:t>المبحث الرابع</w:t>
      </w:r>
      <w:r>
        <w:rPr>
          <w:rtl w:val="true"/>
        </w:rPr>
        <w:t xml:space="preserve">: </w:t>
      </w:r>
      <w:r>
        <w:rPr>
          <w:rtl w:val="true"/>
        </w:rPr>
        <w:t>فی اسم المولود و الکنی و الألقاب له</w:t>
      </w:r>
      <w:bookmarkEnd w:id="332"/>
    </w:p>
    <w:p>
      <w:pPr>
        <w:pStyle w:val="Heading5"/>
        <w:numPr>
          <w:ilvl w:val="4"/>
          <w:numId w:val="1"/>
        </w:numPr>
        <w:rPr/>
      </w:pPr>
      <w:bookmarkStart w:id="333" w:name="__RefHeading___Toc9424026_73709187"/>
      <w:bookmarkStart w:id="334" w:name="_Toc127"/>
      <w:bookmarkEnd w:id="333"/>
      <w:r>
        <w:rPr>
          <w:rtl w:val="true"/>
        </w:rPr>
        <w:t>اشارة</w:t>
      </w:r>
      <w:bookmarkEnd w:id="334"/>
    </w:p>
    <w:p>
      <w:pPr>
        <w:pStyle w:val="BookText"/>
        <w:rPr/>
      </w:pPr>
      <w:r>
        <w:rPr>
          <w:rFonts w:ascii="IRNazanin" w:hAnsi="IRNazanin" w:eastAsia="IRNazanin"/>
          <w:color w:val="111111"/>
          <w:sz w:val="28"/>
          <w:sz w:val="28"/>
          <w:szCs w:val="28"/>
          <w:rtl w:val="true"/>
          <w:lang w:bidi="fa-IR"/>
        </w:rPr>
        <w:t>و فیه مطالب</w:t>
      </w:r>
      <w:r>
        <w:rPr>
          <w:rFonts w:eastAsia="IRNazanin" w:cs="IRNazanin"/>
          <w:color w:val="111111"/>
          <w:sz w:val="28"/>
          <w:szCs w:val="28"/>
          <w:rtl w:val="true"/>
          <w:lang w:bidi="fa-IR"/>
        </w:rPr>
        <w:t>:</w:t>
      </w:r>
    </w:p>
    <w:p>
      <w:pPr>
        <w:pStyle w:val="Heading5"/>
        <w:numPr>
          <w:ilvl w:val="4"/>
          <w:numId w:val="1"/>
        </w:numPr>
        <w:rPr/>
      </w:pPr>
      <w:bookmarkStart w:id="335" w:name="__RefHeading___Toc9424028_73709187"/>
      <w:bookmarkStart w:id="336" w:name="_Toc128"/>
      <w:bookmarkEnd w:id="335"/>
      <w:r>
        <w:rPr>
          <w:rtl w:val="true"/>
        </w:rPr>
        <w:t>المطلب الأوّل</w:t>
      </w:r>
      <w:r>
        <w:rPr>
          <w:rtl w:val="true"/>
        </w:rPr>
        <w:t xml:space="preserve">: </w:t>
      </w:r>
      <w:r>
        <w:rPr>
          <w:rtl w:val="true"/>
        </w:rPr>
        <w:t>یستحبّ اختیار الأسماء الحسنة للمولود</w:t>
      </w:r>
      <w:bookmarkEnd w:id="336"/>
    </w:p>
    <w:p>
      <w:pPr>
        <w:pStyle w:val="Heading6"/>
        <w:numPr>
          <w:ilvl w:val="5"/>
          <w:numId w:val="1"/>
        </w:numPr>
        <w:rPr/>
      </w:pPr>
      <w:bookmarkStart w:id="337" w:name="__RefHeading___Toc9424030_73709187"/>
      <w:bookmarkStart w:id="338" w:name="_Toc129"/>
      <w:bookmarkEnd w:id="337"/>
      <w:r>
        <w:rPr>
          <w:rtl w:val="true"/>
        </w:rPr>
        <w:t>اشارة</w:t>
      </w:r>
      <w:bookmarkEnd w:id="338"/>
    </w:p>
    <w:p>
      <w:pPr>
        <w:pStyle w:val="BookText"/>
        <w:rPr/>
      </w:pPr>
      <w:r>
        <w:rPr>
          <w:rFonts w:ascii="IRNazanin" w:hAnsi="IRNazanin" w:eastAsia="IRNazanin"/>
          <w:color w:val="111111"/>
          <w:sz w:val="28"/>
          <w:sz w:val="28"/>
          <w:szCs w:val="28"/>
          <w:rtl w:val="true"/>
          <w:lang w:bidi="fa-IR"/>
        </w:rPr>
        <w:t>و من حقّ الولد علی والده أن یُحسن اسمه</w:t>
      </w:r>
      <w:r>
        <w:rPr>
          <w:rStyle w:val="FootnoteAnchor"/>
          <w:rtl w:val="true"/>
        </w:rPr>
        <w:footnoteReference w:id="749"/>
      </w:r>
      <w:r>
        <w:rPr>
          <w:rFonts w:ascii="IRNazanin" w:hAnsi="IRNazanin" w:eastAsia="IRNazanin"/>
          <w:color w:val="111111"/>
          <w:sz w:val="28"/>
          <w:sz w:val="28"/>
          <w:szCs w:val="28"/>
          <w:rtl w:val="true"/>
          <w:lang w:bidi="fa-IR"/>
        </w:rPr>
        <w:t>، فقد جاء فی وصیة النبیّ صلی الله علیه و آله لعلیّ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حقّ الولد علی والده أن یحسن اسمه و أدبه و یضعه موضعاً صالحاً</w:t>
      </w:r>
      <w:r>
        <w:rPr>
          <w:rFonts w:eastAsia="IRNazanin" w:cs="IRNazanin"/>
          <w:color w:val="111111"/>
          <w:sz w:val="28"/>
          <w:szCs w:val="28"/>
          <w:rtl w:val="true"/>
          <w:lang w:bidi="fa-IR"/>
        </w:rPr>
        <w:t>»</w:t>
      </w:r>
      <w:r>
        <w:rPr>
          <w:rStyle w:val="FootnoteAnchor"/>
          <w:rtl w:val="true"/>
        </w:rPr>
        <w:footnoteReference w:id="750"/>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درست، عن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إلی النبیّ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حقّ ابنی هذا؟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تحسن اسمه و أدبه، وضعه موضعاً حسناً</w:t>
      </w:r>
      <w:r>
        <w:rPr>
          <w:rFonts w:eastAsia="IRNazanin" w:cs="IRNazanin"/>
          <w:color w:val="111111"/>
          <w:sz w:val="28"/>
          <w:szCs w:val="28"/>
          <w:rtl w:val="true"/>
          <w:lang w:bidi="fa-IR"/>
        </w:rPr>
        <w:t>»</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حدیث آخر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استحسنوا أسماءکم فإنّکم تدعون بها یوم القیامة، قم یا فلان بن فلان إلی نورک، و قم یا فلان بن فلان لا نور لک</w:t>
      </w:r>
      <w:r>
        <w:rPr>
          <w:rFonts w:eastAsia="IRNazanin" w:cs="IRNazanin"/>
          <w:color w:val="111111"/>
          <w:sz w:val="28"/>
          <w:szCs w:val="28"/>
          <w:rtl w:val="true"/>
          <w:lang w:bidi="fa-IR"/>
        </w:rPr>
        <w:t>»</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موسی بن بکر، عن أبی الحسن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ما یبرّ الرجل ولدهُ أن یسمّیه باسمٍ حسن، فلیحسن أحدُکم اسم ولده</w:t>
      </w:r>
      <w:r>
        <w:rPr>
          <w:rFonts w:eastAsia="IRNazanin" w:cs="IRNazanin"/>
          <w:color w:val="111111"/>
          <w:sz w:val="28"/>
          <w:szCs w:val="28"/>
          <w:rtl w:val="true"/>
          <w:lang w:bidi="fa-IR"/>
        </w:rPr>
        <w:t>»</w:t>
      </w:r>
      <w:r>
        <w:rPr>
          <w:rStyle w:val="FootnoteAnchor"/>
          <w:rtl w:val="true"/>
        </w:rPr>
        <w:footnoteReference w:id="7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من الروایات</w:t>
      </w:r>
      <w:r>
        <w:rPr>
          <w:rStyle w:val="FootnoteAnchor"/>
          <w:rtl w:val="true"/>
        </w:rPr>
        <w:footnoteReference w:id="754"/>
      </w:r>
      <w:bookmarkStart w:id="339" w:name="pg11752_146197"/>
    </w:p>
    <w:p>
      <w:pPr>
        <w:pStyle w:val="Heading6"/>
        <w:numPr>
          <w:ilvl w:val="5"/>
          <w:numId w:val="1"/>
        </w:numPr>
        <w:rPr/>
      </w:pPr>
      <w:bookmarkStart w:id="340" w:name="__RefHeading___Toc9424032_73709187"/>
      <w:bookmarkStart w:id="341" w:name="_Toc130"/>
      <w:bookmarkEnd w:id="339"/>
      <w:bookmarkEnd w:id="340"/>
      <w:r>
        <w:rPr>
          <w:rtl w:val="true"/>
        </w:rPr>
        <w:t>أفضلیّة أسماء الأنبیاء</w:t>
      </w:r>
      <w:bookmarkEnd w:id="341"/>
    </w:p>
    <w:p>
      <w:pPr>
        <w:pStyle w:val="BookText"/>
        <w:rPr/>
      </w:pPr>
      <w:r>
        <w:rPr>
          <w:rFonts w:ascii="IRNazanin" w:hAnsi="IRNazanin" w:eastAsia="IRNazanin"/>
          <w:color w:val="111111"/>
          <w:sz w:val="28"/>
          <w:sz w:val="28"/>
          <w:szCs w:val="28"/>
          <w:rtl w:val="true"/>
          <w:lang w:bidi="fa-IR"/>
        </w:rPr>
        <w:t>لا شکَّ فی أنّ جمیع الأسماء المتضمّنة للعبودیّة و أسماء الأنبیاء و الأئمة علیهم السلام مستحسنة، إنّما الکلام فی أفضلیّتها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الأسماء ما اشتمل علی عبودیّة اللّه تعالی، و تلیها أسماء الأنبیاء و الأئمة علیهم السلام</w:t>
      </w:r>
      <w:r>
        <w:rPr>
          <w:rStyle w:val="FootnoteAnchor"/>
          <w:rtl w:val="true"/>
        </w:rPr>
        <w:footnoteReference w:id="7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الأفضل أسماء الأنبیاء و الأئمّة علیهم السلام، و أفضلهما محمّد و علیّ و الحسن و الحسین، و للبنات فاطمة و أسماء بنات النبیّ علیهنّ السلام</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الموجود فی الروایات أفضلیة أسماء الأنبیاء علیهم السلام، و أصدقها ما تضمّن العبودیّة للّه تعالی، قال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أصدق الأسماء ما سُمّی بالعبودیّة، و أفضلُها أسماء الأنبیاء</w:t>
      </w:r>
      <w:r>
        <w:rPr>
          <w:rFonts w:eastAsia="IRNazanin" w:cs="IRNazanin"/>
          <w:color w:val="111111"/>
          <w:sz w:val="28"/>
          <w:szCs w:val="28"/>
          <w:rtl w:val="true"/>
          <w:lang w:bidi="fa-IR"/>
        </w:rPr>
        <w:t>»</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أنّ کون الاسم أصدق من غیره لا یقتضی کونه أفضل منه</w:t>
      </w:r>
      <w:r>
        <w:rPr>
          <w:rStyle w:val="FootnoteAnchor"/>
          <w:rtl w:val="true"/>
        </w:rPr>
        <w:footnoteReference w:id="758"/>
      </w:r>
      <w:r>
        <w:rPr>
          <w:rFonts w:ascii="IRNazanin" w:hAnsi="IRNazanin" w:eastAsia="IRNazanin"/>
          <w:color w:val="111111"/>
          <w:sz w:val="28"/>
          <w:sz w:val="28"/>
          <w:szCs w:val="28"/>
          <w:rtl w:val="true"/>
          <w:lang w:bidi="fa-IR"/>
        </w:rPr>
        <w:t>، خصوصاً مع التصریح بکون الأفضل أسماء الأنبیاء علیهم السلام فی نفس الخبر، و هذا دلیل علی أنّ الأصدقیّة غیر الأفضلیّة</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سلیمان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یدخل الفقر بیتاً</w:t>
      </w:r>
    </w:p>
    <w:p>
      <w:pPr>
        <w:pStyle w:val="BookText"/>
        <w:rPr/>
      </w:pPr>
      <w:r>
        <w:rPr>
          <w:rFonts w:ascii="IRNazanin" w:hAnsi="IRNazanin" w:eastAsia="IRNazanin"/>
          <w:color w:val="111111"/>
          <w:sz w:val="28"/>
          <w:sz w:val="28"/>
          <w:szCs w:val="28"/>
          <w:rtl w:val="true"/>
          <w:lang w:bidi="fa-IR"/>
        </w:rPr>
        <w:t>فیه اسم محمّد أو أحمد أو علیّ أو الحسن أو الحسین أو جعفر أو طالب أو عبد اللّه أو فاطمة من النساء</w:t>
      </w:r>
      <w:r>
        <w:rPr>
          <w:rFonts w:eastAsia="IRNazanin" w:cs="IRNazanin"/>
          <w:color w:val="111111"/>
          <w:sz w:val="28"/>
          <w:szCs w:val="28"/>
          <w:rtl w:val="true"/>
          <w:lang w:bidi="fa-IR"/>
        </w:rPr>
        <w:t>»</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البیت الذی فیه محمّد یصبح أهله بخیرٍ و یمسون بخیرٍ</w:t>
      </w:r>
      <w:r>
        <w:rPr>
          <w:rFonts w:eastAsia="IRNazanin" w:cs="IRNazanin"/>
          <w:color w:val="111111"/>
          <w:sz w:val="28"/>
          <w:szCs w:val="28"/>
          <w:rtl w:val="true"/>
          <w:lang w:bidi="fa-IR"/>
        </w:rPr>
        <w:t>»</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علیّ بن الحسین، عن أبیه علیهما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ولد لی مائة لأحببتُ أن لا اسمّی أحداً منهم إلاّ علیّاً</w:t>
      </w:r>
      <w:r>
        <w:rPr>
          <w:rFonts w:eastAsia="IRNazanin" w:cs="IRNazanin"/>
          <w:color w:val="111111"/>
          <w:sz w:val="28"/>
          <w:szCs w:val="28"/>
          <w:rtl w:val="true"/>
          <w:lang w:bidi="fa-IR"/>
        </w:rPr>
        <w:t>»</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فیستفاد من هذه الأخبار</w:t>
      </w:r>
      <w:r>
        <w:rPr>
          <w:rStyle w:val="FootnoteAnchor"/>
          <w:rtl w:val="true"/>
        </w:rPr>
        <w:footnoteReference w:id="762"/>
      </w:r>
      <w:r>
        <w:rPr>
          <w:rFonts w:ascii="IRNazanin" w:hAnsi="IRNazanin" w:eastAsia="IRNazanin"/>
          <w:color w:val="111111"/>
          <w:sz w:val="28"/>
          <w:sz w:val="28"/>
          <w:szCs w:val="28"/>
          <w:rtl w:val="true"/>
          <w:lang w:bidi="fa-IR"/>
        </w:rPr>
        <w:t>أنّ أفضل الأسماء محمّد و أهل بیته، فعلی هذا ما جاء فی بعض الروایات کروایة جابر، 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علی منبره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خیر الأسماء عبد اللّه و عبد الرحمن و حارثة و همام</w:t>
      </w:r>
      <w:r>
        <w:rPr>
          <w:rFonts w:eastAsia="IRNazanin" w:cs="IRNazanin"/>
          <w:color w:val="111111"/>
          <w:sz w:val="28"/>
          <w:szCs w:val="28"/>
          <w:rtl w:val="true"/>
          <w:lang w:bidi="fa-IR"/>
        </w:rPr>
        <w:t>»</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الأسماء عبد اللّه و عبد الرحمن، الأسماء المعبدة</w:t>
      </w:r>
      <w:r>
        <w:rPr>
          <w:rFonts w:eastAsia="IRNazanin" w:cs="IRNazanin"/>
          <w:color w:val="111111"/>
          <w:sz w:val="28"/>
          <w:szCs w:val="28"/>
          <w:rtl w:val="true"/>
          <w:lang w:bidi="fa-IR"/>
        </w:rPr>
        <w:t>»</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فهی إمّا محمولة علی أصدقیّتها للعبودیّة أو تساویها لأسماء الأنبیاء و الأئمّة علیهم السلام، کما فی روایة جعفر بن محمّد القلانسی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أخی محمد إلی أبی محمّد علیه السلام، و امرأته حامل مقرب، أن یدعو اللّه أن یخلّصها و یرزقه ذکراً و یسمّیه</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یدعو اللّه بالصلاح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رزقک اللّه ذکراً سویّاً، و نعم الاسم محمّداً و 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فولدت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فسمّی واحداً محمّداً و الآخر صاحب</w:t>
      </w:r>
      <w:bookmarkStart w:id="342" w:name="pg11752_146199"/>
    </w:p>
    <w:p>
      <w:pPr>
        <w:pStyle w:val="BookText"/>
        <w:rPr/>
      </w:pPr>
      <w:bookmarkEnd w:id="342"/>
      <w:r>
        <w:rPr>
          <w:rFonts w:ascii="IRNazanin" w:hAnsi="IRNazanin" w:eastAsia="IRNazanin"/>
          <w:color w:val="111111"/>
          <w:sz w:val="28"/>
          <w:sz w:val="28"/>
          <w:szCs w:val="28"/>
          <w:rtl w:val="true"/>
          <w:lang w:bidi="fa-IR"/>
        </w:rPr>
        <w:t>الزوائد عبد الرحمن</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43" w:name="__RefHeading___Toc9424034_73709187"/>
      <w:bookmarkStart w:id="344" w:name="_Toc131"/>
      <w:bookmarkEnd w:id="343"/>
      <w:r>
        <w:rPr>
          <w:rtl w:val="true"/>
        </w:rPr>
        <w:t>أفضل الأسماء عند أهل السنّة</w:t>
      </w:r>
      <w:bookmarkEnd w:id="344"/>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و یسنّ لمن ولد له ولد أن یحسن اسم المولود، و أفضل الأسماء عبد اللّه و عبد الرحمن و نحوهما، ممّا أضیف إلی أسماء اللّه الحسنی، و مثلها أسماء الأنبیاء أو الملائکة</w:t>
      </w:r>
      <w:r>
        <w:rPr>
          <w:rStyle w:val="FootnoteAnchor"/>
          <w:rtl w:val="true"/>
        </w:rPr>
        <w:footnoteReference w:id="766"/>
      </w:r>
      <w:r>
        <w:rPr>
          <w:rFonts w:ascii="IRNazanin" w:hAnsi="IRNazanin" w:eastAsia="IRNazanin"/>
          <w:color w:val="111111"/>
          <w:sz w:val="28"/>
          <w:sz w:val="28"/>
          <w:szCs w:val="28"/>
          <w:rtl w:val="true"/>
          <w:lang w:bidi="fa-IR"/>
        </w:rPr>
        <w:t>، بل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یُسمّی بأحسن الأسماء</w:t>
      </w:r>
      <w:r>
        <w:rPr>
          <w:rStyle w:val="FootnoteAnchor"/>
          <w:rtl w:val="true"/>
        </w:rPr>
        <w:footnoteReference w:id="767"/>
      </w:r>
      <w:r>
        <w:rPr>
          <w:rFonts w:ascii="IRNazanin" w:hAnsi="IRNazanin" w:eastAsia="IRNazanin"/>
          <w:color w:val="111111"/>
          <w:sz w:val="28"/>
          <w:sz w:val="28"/>
          <w:szCs w:val="28"/>
          <w:rtl w:val="true"/>
          <w:lang w:bidi="fa-IR"/>
        </w:rPr>
        <w:t>؛ لأنّه روی عن النبیّ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إنّکم تدعون یوم القیامة بأسمائکم و أسماء آبائکم فأحسنوا أسماءکم</w:t>
      </w:r>
      <w:r>
        <w:rPr>
          <w:rFonts w:eastAsia="IRNazanin" w:cs="IRNazanin"/>
          <w:color w:val="111111"/>
          <w:sz w:val="28"/>
          <w:szCs w:val="28"/>
          <w:rtl w:val="true"/>
          <w:lang w:bidi="fa-IR"/>
        </w:rPr>
        <w:t>»</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 الأسماء إلی اللّه عبد اللّه و عبد الرحمن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زاد أبو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أصدقها حارث و همام و أقبحها حرب و مرّة</w:t>
      </w:r>
      <w:r>
        <w:rPr>
          <w:rFonts w:eastAsia="Amiri" w:cs="Amiri" w:ascii="Amiri" w:hAnsi="Amiri"/>
          <w:color w:val="111111"/>
          <w:sz w:val="28"/>
          <w:szCs w:val="28"/>
          <w:rtl w:val="true"/>
          <w:lang w:bidi="ar-SA"/>
        </w:rPr>
        <w:t>»</w:t>
      </w:r>
      <w:r>
        <w:rPr>
          <w:rStyle w:val="FootnoteAnchor"/>
          <w:rtl w:val="true"/>
        </w:rPr>
        <w:footnoteReference w:id="769"/>
      </w:r>
      <w:r>
        <w:rPr>
          <w:rFonts w:ascii="IRNazanin" w:hAnsi="IRNazanin" w:eastAsia="IRNazanin"/>
          <w:color w:val="111111"/>
          <w:sz w:val="28"/>
          <w:sz w:val="28"/>
          <w:szCs w:val="28"/>
          <w:rtl w:val="true"/>
          <w:lang w:bidi="fa-IR"/>
        </w:rPr>
        <w:t>، و غیر ذلک</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أهل المدینة یقولون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أهل بیت فیهم اسم محمّد إلاّ رزقوا رزق خیرٍ</w:t>
      </w:r>
      <w:r>
        <w:rPr>
          <w:rFonts w:eastAsia="IRNazanin" w:cs="IRNazanin"/>
          <w:color w:val="111111"/>
          <w:sz w:val="28"/>
          <w:szCs w:val="28"/>
          <w:rtl w:val="true"/>
          <w:lang w:bidi="fa-IR"/>
        </w:rPr>
        <w:t>»</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45" w:name="__RefHeading___Toc9424036_73709187"/>
      <w:bookmarkStart w:id="346" w:name="_Toc132"/>
      <w:bookmarkEnd w:id="345"/>
      <w:r>
        <w:rPr>
          <w:rtl w:val="true"/>
        </w:rPr>
        <w:t>الأسماء القبیحة</w:t>
      </w:r>
      <w:bookmarkEnd w:id="346"/>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یستفاد من الروایات بأنّه یکره أن یُسمَّی الولد بأسماءٍ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حکیم،</w:t>
      </w:r>
    </w:p>
    <w:p>
      <w:pPr>
        <w:pStyle w:val="BookText"/>
        <w:rPr/>
      </w:pPr>
      <w:r>
        <w:rPr>
          <w:rFonts w:ascii="IRNazanin" w:hAnsi="IRNazanin" w:eastAsia="IRNazanin"/>
          <w:color w:val="111111"/>
          <w:sz w:val="28"/>
          <w:sz w:val="28"/>
          <w:szCs w:val="28"/>
          <w:rtl w:val="true"/>
          <w:lang w:bidi="fa-IR"/>
        </w:rPr>
        <w:t>خالد، مالک، حارث، ضرار، ظالم، ضریس، حمیراء</w:t>
      </w:r>
      <w:r>
        <w:rPr>
          <w:rStyle w:val="FootnoteAnchor"/>
          <w:rtl w:val="true"/>
        </w:rPr>
        <w:footnoteReference w:id="772"/>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فورد فی صحیحة حمّاد بن عثمان،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دعا بصحیفة حین حضره الموت، یرید أن ینهی عن أسماءٍ یتسمّی بها، فقبض و لم یسمّها،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و حکیم و خالد و مالک، و ذکر أنّها ستة أو سبعة ممّا لا یجوز أن یتسمّی بها</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جابر،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 فی حدیث علی منبره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الأسماء ضرار و مرّة و حرب و ظالم</w:t>
      </w:r>
      <w:r>
        <w:rPr>
          <w:rFonts w:eastAsia="IRNazanin" w:cs="IRNazanin"/>
          <w:color w:val="111111"/>
          <w:sz w:val="28"/>
          <w:szCs w:val="28"/>
          <w:rtl w:val="true"/>
          <w:lang w:bidi="fa-IR"/>
        </w:rPr>
        <w:t>»</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ورد أیضاً عن طریق أهل السنّة أنّ النبیّ صلی الله علیه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تسمِّینَّ غلامک یساراً و لا رباحاً و لا نجیحاً و لا أفلح</w:t>
      </w:r>
      <w:r>
        <w:rPr>
          <w:rFonts w:eastAsia="Amiri" w:cs="Amiri" w:ascii="Amiri" w:hAnsi="Amiri"/>
          <w:color w:val="111111"/>
          <w:sz w:val="28"/>
          <w:szCs w:val="28"/>
          <w:rtl w:val="true"/>
          <w:lang w:bidi="ar-SA"/>
        </w:rPr>
        <w:t>»</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خبر آخر، عنه صلی الله علیه و آله أیضاً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 الأسماء إلی اللّه تعالی عبد اللّه و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أقبحُها حرب و مرّة</w:t>
      </w:r>
      <w:r>
        <w:rPr>
          <w:rFonts w:eastAsia="IRNazanin" w:cs="IRNazanin"/>
          <w:color w:val="111111"/>
          <w:sz w:val="28"/>
          <w:szCs w:val="28"/>
          <w:rtl w:val="true"/>
          <w:lang w:bidi="fa-IR"/>
        </w:rPr>
        <w:t>»</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التسمیة بما لا یلیق إلاّ باللّه عزّ و جلّ کقدّوس و ملک الموت و البرّ و خالق و الرحمن؛ لأنّ معنی ذلک لا یلیق بغیره تعالی، و کذا عبد الکعبة أو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لإیهام التشریک</w:t>
      </w:r>
      <w:r>
        <w:rPr>
          <w:rStyle w:val="FootnoteAnchor"/>
          <w:rtl w:val="true"/>
        </w:rPr>
        <w:footnoteReference w:id="777"/>
      </w:r>
      <w:bookmarkStart w:id="347" w:name="pg11752_146201"/>
    </w:p>
    <w:p>
      <w:pPr>
        <w:pStyle w:val="Heading6"/>
        <w:numPr>
          <w:ilvl w:val="5"/>
          <w:numId w:val="1"/>
        </w:numPr>
        <w:rPr/>
      </w:pPr>
      <w:bookmarkStart w:id="348" w:name="__RefHeading___Toc9424038_73709187"/>
      <w:bookmarkStart w:id="349" w:name="_Toc133"/>
      <w:bookmarkEnd w:id="347"/>
      <w:bookmarkEnd w:id="348"/>
      <w:r>
        <w:rPr>
          <w:rtl w:val="true"/>
        </w:rPr>
        <w:t>استحباب تغییر الأسماء القبیحة</w:t>
      </w:r>
      <w:bookmarkEnd w:id="349"/>
    </w:p>
    <w:p>
      <w:pPr>
        <w:pStyle w:val="BookText"/>
        <w:rPr/>
      </w:pPr>
      <w:r>
        <w:rPr>
          <w:rFonts w:ascii="IRNazanin" w:hAnsi="IRNazanin" w:eastAsia="IRNazanin"/>
          <w:color w:val="111111"/>
          <w:sz w:val="28"/>
          <w:sz w:val="28"/>
          <w:szCs w:val="28"/>
          <w:rtl w:val="true"/>
          <w:lang w:bidi="fa-IR"/>
        </w:rPr>
        <w:t>یستفاد من بعض النصوص أنّه یستحب تغییر الأسماء القبیحة التی توجب تطیّراً تکرهه النفوس، فروی حسین بن علوان، عن جعفر، عن آبائه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رسول اللّه صلی الله علیه و آله، کان یغیّر الاسماء القبیحة فی الرجال و البلدان</w:t>
      </w:r>
      <w:r>
        <w:rPr>
          <w:rFonts w:eastAsia="IRNazanin" w:cs="IRNazanin"/>
          <w:color w:val="111111"/>
          <w:sz w:val="28"/>
          <w:szCs w:val="28"/>
          <w:rtl w:val="true"/>
          <w:lang w:bidi="fa-IR"/>
        </w:rPr>
        <w:t>»</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الأسماء المغیّرة، عبد الرحمن بن عوف کان اسمه عبد العزّی، و سلمان الفارسی کان اسمه روزبه</w:t>
      </w:r>
      <w:r>
        <w:rPr>
          <w:rStyle w:val="FootnoteAnchor"/>
          <w:rtl w:val="true"/>
        </w:rPr>
        <w:footnoteReference w:id="779"/>
      </w:r>
      <w:r>
        <w:rPr>
          <w:rFonts w:ascii="IRNazanin" w:hAnsi="IRNazanin" w:eastAsia="IRNazanin"/>
          <w:color w:val="111111"/>
          <w:sz w:val="28"/>
          <w:sz w:val="28"/>
          <w:szCs w:val="28"/>
          <w:rtl w:val="true"/>
          <w:lang w:bidi="fa-IR"/>
        </w:rPr>
        <w:t>، و زینب بنت جحش کان اسمها برّة</w:t>
      </w:r>
      <w:r>
        <w:rPr>
          <w:rStyle w:val="FootnoteAnchor"/>
          <w:rtl w:val="true"/>
        </w:rPr>
        <w:footnoteReference w:id="780"/>
      </w:r>
      <w:r>
        <w:rPr>
          <w:rFonts w:ascii="IRNazanin" w:hAnsi="IRNazanin" w:eastAsia="IRNazanin"/>
          <w:color w:val="111111"/>
          <w:sz w:val="28"/>
          <w:sz w:val="28"/>
          <w:szCs w:val="28"/>
          <w:rtl w:val="true"/>
          <w:lang w:bidi="fa-IR"/>
        </w:rPr>
        <w:t>، و منها عاصیة بنت عمر، فسمّاها النبیّ صلی الله علیه و آله جمیلة</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جاء فی خبر طویل، فی دخول نصرانی من ملک الروم علی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اسمک؟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عبد الشمس،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اسمک، فإنّی اسمّیک عبد الوهّاب</w:t>
      </w:r>
      <w:r>
        <w:rPr>
          <w:rFonts w:eastAsia="IRNazanin" w:cs="IRNazanin"/>
          <w:color w:val="111111"/>
          <w:sz w:val="28"/>
          <w:szCs w:val="28"/>
          <w:rtl w:val="true"/>
          <w:lang w:bidi="fa-IR"/>
        </w:rPr>
        <w:t>»</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یعقوب سرّاج،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 فغیّر اسم بنتک التی سمّیتها أمس، فإنّه اسم یبغضُه اللّه، و کانت ولدت لی ابنة فسمّیتُها بالحمیراء، 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 إلی أمره ترشد، فغیّرت اسمها</w:t>
      </w:r>
      <w:r>
        <w:rPr>
          <w:rFonts w:eastAsia="IRNazanin" w:cs="IRNazanin"/>
          <w:color w:val="111111"/>
          <w:sz w:val="28"/>
          <w:szCs w:val="28"/>
          <w:rtl w:val="true"/>
          <w:lang w:bidi="fa-IR"/>
        </w:rPr>
        <w:t>»</w:t>
      </w:r>
      <w:r>
        <w:rPr>
          <w:rStyle w:val="FootnoteAnchor"/>
          <w:rtl w:val="true"/>
        </w:rPr>
        <w:footnoteReference w:id="783"/>
      </w:r>
      <w:r>
        <w:rPr>
          <w:rFonts w:ascii="IRNazanin" w:hAnsi="IRNazanin" w:eastAsia="IRNazanin"/>
          <w:color w:val="111111"/>
          <w:sz w:val="28"/>
          <w:sz w:val="28"/>
          <w:szCs w:val="28"/>
          <w:rtl w:val="true"/>
          <w:lang w:bidi="fa-IR"/>
        </w:rPr>
        <w:t>إلی غیر ذلک من الروایات</w:t>
      </w:r>
      <w:r>
        <w:rPr>
          <w:rStyle w:val="FootnoteAnchor"/>
          <w:rtl w:val="true"/>
        </w:rPr>
        <w:footnoteReference w:id="784"/>
      </w:r>
      <w:bookmarkStart w:id="350" w:name="pg11752_146202"/>
    </w:p>
    <w:p>
      <w:pPr>
        <w:pStyle w:val="Heading5"/>
        <w:numPr>
          <w:ilvl w:val="4"/>
          <w:numId w:val="1"/>
        </w:numPr>
        <w:rPr/>
      </w:pPr>
      <w:bookmarkStart w:id="351" w:name="__RefHeading___Toc9424040_73709187"/>
      <w:bookmarkStart w:id="352" w:name="_Toc134"/>
      <w:bookmarkEnd w:id="350"/>
      <w:bookmarkEnd w:id="351"/>
      <w:r>
        <w:rPr>
          <w:rtl w:val="true"/>
        </w:rPr>
        <w:t>المطلب الثانی</w:t>
      </w:r>
      <w:r>
        <w:rPr>
          <w:rtl w:val="true"/>
        </w:rPr>
        <w:t xml:space="preserve">: </w:t>
      </w:r>
      <w:r>
        <w:rPr>
          <w:rtl w:val="true"/>
        </w:rPr>
        <w:t>وقت التّسمیة</w:t>
      </w:r>
      <w:bookmarkEnd w:id="352"/>
    </w:p>
    <w:p>
      <w:pPr>
        <w:pStyle w:val="BookText"/>
        <w:rPr/>
      </w:pPr>
      <w:r>
        <w:rPr>
          <w:rFonts w:ascii="IRNazanin" w:hAnsi="IRNazanin" w:eastAsia="IRNazanin"/>
          <w:color w:val="111111"/>
          <w:sz w:val="28"/>
          <w:sz w:val="28"/>
          <w:szCs w:val="28"/>
          <w:rtl w:val="true"/>
          <w:lang w:bidi="fa-IR"/>
        </w:rPr>
        <w:t>وردت طوائف مختلفة من الروایات فی وقت التسمیة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صرّحت باستحباب التسمیة قبل الولادة،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ورد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سمّوا أولادکم قبل أن یولدوا، فإن لم تدروا أ ذکر أم انثی فسمّوهم بالأسماء التی تکون للذکر و الاُنثی، فإنّ أسقاطکُم إذا لقوکم یوم القیامة و لم تسموهُم یقول السقط لأبیه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سمّیتنی، و قد سمّی رسول اللّه صلی الله علیه و آله محسناً قبل أن یُولد؟</w:t>
      </w:r>
      <w:r>
        <w:rPr>
          <w:rFonts w:eastAsia="IRNazanin" w:cs="IRNazanin"/>
          <w:color w:val="111111"/>
          <w:sz w:val="28"/>
          <w:szCs w:val="28"/>
          <w:rtl w:val="true"/>
          <w:lang w:bidi="fa-IR"/>
        </w:rPr>
        <w:t>!»</w:t>
      </w:r>
      <w:r>
        <w:rPr>
          <w:rStyle w:val="FootnoteAnchor"/>
          <w:rtl w:val="true"/>
        </w:rPr>
        <w:footnoteReference w:id="7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معناها غیرها</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علی استحباب التسمیة یوم الولادة، مثل الأخبار التی ذکرناها فی استحباب بعض الأسماء و أفضلیّته؛ لأنّها مطلقة، فیدخل وقتها من حین الولادة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نحو ما روی عن الکاظم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العقیقة واجبة إذا ولد للرجل ولد، فإن أحبَّ أن یسمّیه من یومه فعل</w:t>
      </w:r>
      <w:r>
        <w:rPr>
          <w:rFonts w:eastAsia="IRNazanin" w:cs="IRNazanin"/>
          <w:color w:val="111111"/>
          <w:sz w:val="28"/>
          <w:szCs w:val="28"/>
          <w:rtl w:val="true"/>
          <w:lang w:bidi="fa-IR"/>
        </w:rPr>
        <w:t>»</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استحباب التسمیة فی الیوم السابع من الولادة، نحو ما روی أبو بصیر، عن أبی عبد اللّه علیه السلام فی المولود،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یسمّی فی الیوم السابع، و یعقّ عنه و یحلق رأسه و یتصدّق بوزن شعره فضّة</w:t>
      </w:r>
      <w:r>
        <w:rPr>
          <w:rFonts w:eastAsia="IRNazanin" w:cs="IRNazanin"/>
          <w:color w:val="111111"/>
          <w:sz w:val="28"/>
          <w:szCs w:val="28"/>
          <w:rtl w:val="true"/>
          <w:lang w:bidi="fa-IR"/>
        </w:rPr>
        <w:t>»</w:t>
      </w:r>
      <w:r>
        <w:rPr>
          <w:rStyle w:val="FootnoteAnchor"/>
          <w:rtl w:val="true"/>
        </w:rPr>
        <w:footnoteReference w:id="7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من الروایات</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الجمع بینها، إمّا بالحمل علی الفضیلة و الأفضلیّة، فتجعل التسمیة یوم السابع أفضل من غیره غیر ما استثنی من اسم محمّد، فإنّه یستحب تسمیة الحمل</w:t>
      </w:r>
      <w:bookmarkStart w:id="353" w:name="pg11752_146203"/>
    </w:p>
    <w:p>
      <w:pPr>
        <w:pStyle w:val="BookText"/>
        <w:rPr/>
      </w:pPr>
      <w:bookmarkEnd w:id="353"/>
      <w:r>
        <w:rPr>
          <w:rFonts w:ascii="IRNazanin" w:hAnsi="IRNazanin" w:eastAsia="IRNazanin"/>
          <w:color w:val="111111"/>
          <w:sz w:val="28"/>
          <w:sz w:val="28"/>
          <w:szCs w:val="28"/>
          <w:rtl w:val="true"/>
          <w:lang w:bidi="fa-IR"/>
        </w:rPr>
        <w:t>ما دام حملاً بمحمّد، فإذا ولد بقی علی ذلک إلی الیوم السابع، فإن شاء غیّرهُ و إن شاء أبقاهُ، فیراد حینئذ ممّا ورد من استحباب التسمیة فی الیوم السابع الاسم المستقرّ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الشاهد علی ذلک ما ورد عن الصادق علیه السلام فی مرسل أحمد بن محمّد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یولد لنا ولد إلاّ سمّیناهُ محمّداً، فإذا مضی سبعة أیّام فإن شئنا غیّرنا و إن شئنا ترکنا</w:t>
      </w:r>
      <w:r>
        <w:rPr>
          <w:rFonts w:eastAsia="IRNazanin" w:cs="IRNazanin"/>
          <w:color w:val="111111"/>
          <w:sz w:val="28"/>
          <w:szCs w:val="28"/>
          <w:rtl w:val="true"/>
          <w:lang w:bidi="fa-IR"/>
        </w:rPr>
        <w:t>»</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إمّا بالحمل علی أنّ منتهی الرخصة فی التأخیر یوم السابع فهو غایة الأمد المستحبّ فیه التسمیة، فالمستحبّ أن لا یؤخّر عنه التسمیة، لا أن یؤخّر إلیه؛ لما ورد من استحباب تسمیة الحمل</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لفقهاء أهل السنّة فی هذه المسألة ثلاثة أقوالٍ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یُسمّی الولد یوم السابع من ولادته</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السنّة أن یُسمّی یوم الولادة</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عقّ عنه یوم السابع فتسمیته أیضاً یوم السابع، و إن لم یعقّ عنه سمّی فی أیّ یومٍ شاء</w:t>
      </w:r>
      <w:r>
        <w:rPr>
          <w:rStyle w:val="FootnoteAnchor"/>
          <w:rtl w:val="true"/>
        </w:rPr>
        <w:footnoteReference w:id="793"/>
      </w:r>
      <w:r>
        <w:rPr>
          <w:rFonts w:ascii="IRNazanin" w:hAnsi="IRNazanin" w:eastAsia="IRNazanin"/>
          <w:color w:val="111111"/>
          <w:sz w:val="28"/>
          <w:sz w:val="28"/>
          <w:szCs w:val="28"/>
          <w:rtl w:val="true"/>
          <w:lang w:bidi="fa-IR"/>
        </w:rPr>
        <w:t>، و حمل البخاری أخبار یوم الولادة علی من لم یرد العقّ، و الأخبار یوم السابع علی من أراد</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4" w:name="__RefHeading___Toc9424042_73709187"/>
      <w:bookmarkStart w:id="355" w:name="_Toc135"/>
      <w:bookmarkEnd w:id="354"/>
      <w:r>
        <w:rPr>
          <w:rtl w:val="true"/>
        </w:rPr>
        <w:t>المطلب الثالث</w:t>
      </w:r>
      <w:r>
        <w:rPr>
          <w:rtl w:val="true"/>
        </w:rPr>
        <w:t xml:space="preserve">: </w:t>
      </w:r>
      <w:r>
        <w:rPr>
          <w:rtl w:val="true"/>
        </w:rPr>
        <w:t>الکنی و الألقاب الحسنة</w:t>
      </w:r>
      <w:bookmarkEnd w:id="355"/>
    </w:p>
    <w:p>
      <w:pPr>
        <w:pStyle w:val="Heading6"/>
        <w:numPr>
          <w:ilvl w:val="5"/>
          <w:numId w:val="1"/>
        </w:numPr>
        <w:rPr/>
      </w:pPr>
      <w:bookmarkStart w:id="356" w:name="__RefHeading___Toc9424044_73709187"/>
      <w:bookmarkStart w:id="357" w:name="_Toc136"/>
      <w:bookmarkEnd w:id="356"/>
      <w:r>
        <w:rPr>
          <w:rtl w:val="true"/>
        </w:rPr>
        <w:t>اشارة</w:t>
      </w:r>
      <w:bookmarkEnd w:id="357"/>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یستحبّ مضافةً إلی الاسم أن یکنّی الولد بأحسن الکنی و الألقاب</w:t>
      </w:r>
      <w:r>
        <w:rPr>
          <w:rStyle w:val="FootnoteAnchor"/>
          <w:rtl w:val="true"/>
        </w:rPr>
        <w:footnoteReference w:id="795"/>
      </w:r>
    </w:p>
    <w:p>
      <w:pPr>
        <w:pStyle w:val="BookText"/>
        <w:rPr/>
      </w:pPr>
      <w:r>
        <w:rPr>
          <w:rFonts w:ascii="IRNazanin" w:hAnsi="IRNazanin" w:eastAsia="IRNazanin"/>
          <w:color w:val="111111"/>
          <w:sz w:val="28"/>
          <w:sz w:val="28"/>
          <w:szCs w:val="28"/>
          <w:rtl w:val="true"/>
          <w:lang w:bidi="fa-IR"/>
        </w:rPr>
        <w:t>قال فی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الکُنیة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صُدّر من الأعلام بأب أو امّ، کأبی الحسن و امّ کلثوم، و هی مستحبّة مضافة إلی الاسم؛ حذراً من لحوق النبز و هو ما یکره من اللقب</w:t>
      </w:r>
      <w:r>
        <w:rPr>
          <w:rFonts w:eastAsia="IRNazanin" w:cs="IRNazanin"/>
          <w:color w:val="111111"/>
          <w:sz w:val="28"/>
          <w:szCs w:val="28"/>
          <w:rtl w:val="true"/>
          <w:lang w:bidi="fa-IR"/>
        </w:rPr>
        <w:t>»</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یَدلّ علیه روایات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الرضا علیه السلام عن التهنئة بالولد متی؟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ولد الحسن بن علیّ هبط جبرئیل بالتهنئة علی النبیّ صلی الله علیه و آله فی الیوم السابع، و أمره أن یُسمّیه و یکنّیه</w:t>
      </w:r>
      <w:r>
        <w:rPr>
          <w:rFonts w:eastAsia="IRNazanin" w:cs="IRNazanin"/>
          <w:color w:val="111111"/>
          <w:sz w:val="28"/>
          <w:szCs w:val="28"/>
          <w:rtl w:val="true"/>
          <w:lang w:bidi="fa-IR"/>
        </w:rPr>
        <w:t>...»</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معمّر بن خثیم، عن أبی جعفر علیه السلام، أنّه قال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لنکنّی أولادنا فی صغرهم مخافة النبز أن یلحق بهم</w:t>
      </w:r>
      <w:r>
        <w:rPr>
          <w:rFonts w:eastAsia="IRNazanin" w:cs="IRNazanin"/>
          <w:color w:val="111111"/>
          <w:sz w:val="28"/>
          <w:szCs w:val="28"/>
          <w:rtl w:val="true"/>
          <w:lang w:bidi="fa-IR"/>
        </w:rPr>
        <w:t>»</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أبو جعفر علیه السلام الرکوب إلی بعض شیعته لیعوده،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ألحقنی فتبعته، فلمّا انتهی إلی باب الدار خرج علینا ابن له صغیر، فقال له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اسمک؟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 تُکنّی؟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بعلیّ، فقال له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احتضرت من الشیطان احتضاراً شدیداً، إنّ الشیطان إذا سمع منادیاً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یا علیّ ذاب کما یذوب الرصاص، حتّی إذا سمع منادیاً ینادی باسم عدوٍّ من أعدائنا اهتزّ و اختال</w:t>
      </w:r>
      <w:r>
        <w:rPr>
          <w:rFonts w:eastAsia="IRNazanin" w:cs="IRNazanin"/>
          <w:color w:val="111111"/>
          <w:sz w:val="28"/>
          <w:szCs w:val="28"/>
          <w:rtl w:val="true"/>
          <w:lang w:bidi="fa-IR"/>
        </w:rPr>
        <w:t>»</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فقه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سمّه بأحسن الأسماء، و کنّه بأحسن الکنی</w:t>
      </w:r>
      <w:r>
        <w:rPr>
          <w:rFonts w:eastAsia="IRNazanin" w:cs="IRNazanin"/>
          <w:color w:val="111111"/>
          <w:sz w:val="28"/>
          <w:szCs w:val="28"/>
          <w:rtl w:val="true"/>
          <w:lang w:bidi="fa-IR"/>
        </w:rPr>
        <w:t>»</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الکنیة مستحبّة عند أهل السنّة أیضاً، فقد أفرد البخاری باباً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w:t>
      </w:r>
      <w:bookmarkStart w:id="358" w:name="pg11752_146205"/>
    </w:p>
    <w:p>
      <w:pPr>
        <w:pStyle w:val="BookText"/>
        <w:rPr/>
      </w:pPr>
      <w:bookmarkEnd w:id="358"/>
      <w:r>
        <w:rPr>
          <w:rFonts w:ascii="IRNazanin" w:hAnsi="IRNazanin" w:eastAsia="IRNazanin"/>
          <w:color w:val="111111"/>
          <w:sz w:val="28"/>
          <w:sz w:val="28"/>
          <w:szCs w:val="28"/>
          <w:rtl w:val="true"/>
          <w:lang w:bidi="fa-IR"/>
        </w:rPr>
        <w:t>الکنیة للصبیّ و قبل أن یولد للرجل</w:t>
      </w:r>
      <w:r>
        <w:rPr>
          <w:rFonts w:eastAsia="IRNazanin" w:cs="IRNazanin"/>
          <w:color w:val="111111"/>
          <w:sz w:val="28"/>
          <w:szCs w:val="28"/>
          <w:rtl w:val="true"/>
          <w:lang w:bidi="fa-IR"/>
        </w:rPr>
        <w:t>»</w:t>
      </w:r>
      <w:r>
        <w:rPr>
          <w:rStyle w:val="FootnoteAnchor"/>
          <w:rtl w:val="true"/>
        </w:rPr>
        <w:footnoteReference w:id="801"/>
      </w:r>
      <w:r>
        <w:rPr>
          <w:rFonts w:ascii="IRNazanin" w:hAnsi="IRNazanin" w:eastAsia="IRNazanin"/>
          <w:color w:val="111111"/>
          <w:sz w:val="28"/>
          <w:sz w:val="28"/>
          <w:szCs w:val="28"/>
          <w:rtl w:val="true"/>
          <w:lang w:bidi="fa-IR"/>
        </w:rPr>
        <w:t>و ذکر فیه حدیث عن النبیّ صلی الله علیه و آله یدلّ علی استحباب الکنیة</w:t>
      </w:r>
      <w:r>
        <w:rPr>
          <w:rFonts w:eastAsia="IRNazanin" w:cs="IRNazanin"/>
          <w:color w:val="111111"/>
          <w:sz w:val="28"/>
          <w:szCs w:val="28"/>
          <w:rtl w:val="true"/>
          <w:lang w:bidi="fa-IR"/>
        </w:rPr>
        <w:t>.</w:t>
      </w:r>
    </w:p>
    <w:p>
      <w:pPr>
        <w:pStyle w:val="Heading6"/>
        <w:numPr>
          <w:ilvl w:val="5"/>
          <w:numId w:val="1"/>
        </w:numPr>
        <w:rPr/>
      </w:pPr>
      <w:bookmarkStart w:id="359" w:name="__RefHeading___Toc9424046_73709187"/>
      <w:bookmarkStart w:id="360" w:name="_Toc137"/>
      <w:bookmarkEnd w:id="359"/>
      <w:r>
        <w:rPr>
          <w:rtl w:val="true"/>
        </w:rPr>
        <w:t>التکنّی باسم الأب أو الابن</w:t>
      </w:r>
      <w:bookmarkEnd w:id="360"/>
    </w:p>
    <w:p>
      <w:pPr>
        <w:pStyle w:val="BookText"/>
        <w:rPr/>
      </w:pPr>
      <w:r>
        <w:rPr>
          <w:rFonts w:ascii="IRNazanin" w:hAnsi="IRNazanin" w:eastAsia="IRNazanin"/>
          <w:color w:val="111111"/>
          <w:sz w:val="28"/>
          <w:sz w:val="28"/>
          <w:szCs w:val="28"/>
          <w:rtl w:val="true"/>
          <w:lang w:bidi="fa-IR"/>
        </w:rPr>
        <w:t>و یجوز أن یکنّی الرجل و المرأة باسم ولدهما، فقد کان علیّ بن أبی طالب علیه السلام یکنّی بأبی الحسن، و قد روی السکونی،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السنّة و البرّ أن یکنّی الرجل باسم أبیه</w:t>
      </w:r>
      <w:r>
        <w:rPr>
          <w:rFonts w:eastAsia="IRNazanin" w:cs="IRNazanin"/>
          <w:color w:val="111111"/>
          <w:sz w:val="28"/>
          <w:szCs w:val="28"/>
          <w:rtl w:val="true"/>
          <w:lang w:bidi="fa-IR"/>
        </w:rPr>
        <w:t>»</w:t>
      </w:r>
      <w:r>
        <w:rPr>
          <w:rStyle w:val="FootnoteAnchor"/>
          <w:rtl w:val="true"/>
        </w:rPr>
        <w:footnoteReference w:id="802"/>
      </w:r>
      <w:r>
        <w:rPr>
          <w:rFonts w:ascii="IRNazanin" w:hAnsi="IRNazanin" w:eastAsia="IRNazanin"/>
          <w:color w:val="111111"/>
          <w:sz w:val="28"/>
          <w:sz w:val="28"/>
          <w:szCs w:val="28"/>
          <w:rtl w:val="true"/>
          <w:lang w:bidi="fa-IR"/>
        </w:rPr>
        <w:t>، و فی بعض النسخ کما فی الوسائل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 ابنه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الوافی فی ذیل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فلان؛ و ذلک لأنّه تکریم و تعظیم للوالد بنسبة ولده إلیه، و إشارة لذکره بین الناس، و تذکیر له فی قلوب المؤمنین، و ربما یدعو له من سمع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النسخ؛ باسم ابنه بالنون، یعنی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فلان، آتیاً باسم ابنه دون اسم نفسه؛ و ذلک لأنّ ذکر الاسم خلاف التعظیم، و لا سیّما حال حضور المسمّی</w:t>
      </w:r>
      <w:r>
        <w:rPr>
          <w:rFonts w:eastAsia="IRNazanin" w:cs="IRNazanin"/>
          <w:color w:val="111111"/>
          <w:sz w:val="28"/>
          <w:szCs w:val="28"/>
          <w:rtl w:val="true"/>
          <w:lang w:bidi="fa-IR"/>
        </w:rPr>
        <w:t>»</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بعض أهل السنّة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للرجل أکثر من ابن واحد فالسنّة أن یکنّی بأکبر أبنائه؛ لورود السنّة النبویّة الشریفة بذلک، فقد جاء فی حدیث أخبر أبو داود فی سننه، عن شریح، عن أبیه هانئ، أنّ رسول اللّه صلی الله علیه و آله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لک من الولد؟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شریح و مسلم و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أکبرهم؟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قال</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فأنت أبو شریح</w:t>
      </w:r>
      <w:r>
        <w:rPr>
          <w:rFonts w:eastAsia="IRNazanin" w:cs="IRNazanin"/>
          <w:color w:val="111111"/>
          <w:sz w:val="28"/>
          <w:szCs w:val="28"/>
          <w:rtl w:val="true"/>
          <w:lang w:bidi="fa-IR"/>
        </w:rPr>
        <w:t>»</w:t>
      </w:r>
      <w:r>
        <w:rPr>
          <w:rStyle w:val="FootnoteAnchor"/>
          <w:rtl w:val="true"/>
        </w:rPr>
        <w:footnoteReference w:id="804"/>
      </w:r>
      <w:bookmarkStart w:id="361" w:name="pg11752_146206"/>
    </w:p>
    <w:p>
      <w:pPr>
        <w:pStyle w:val="Heading6"/>
        <w:numPr>
          <w:ilvl w:val="5"/>
          <w:numId w:val="1"/>
        </w:numPr>
        <w:rPr/>
      </w:pPr>
      <w:bookmarkStart w:id="362" w:name="__RefHeading___Toc9424048_73709187"/>
      <w:bookmarkStart w:id="363" w:name="_Toc138"/>
      <w:bookmarkEnd w:id="361"/>
      <w:bookmarkEnd w:id="362"/>
      <w:r>
        <w:rPr>
          <w:rtl w:val="true"/>
        </w:rPr>
        <w:t>الکنی المنهیّ عنها</w:t>
      </w:r>
      <w:bookmarkEnd w:id="363"/>
    </w:p>
    <w:p>
      <w:pPr>
        <w:pStyle w:val="BookText"/>
        <w:rPr/>
      </w:pPr>
      <w:r>
        <w:rPr>
          <w:rFonts w:ascii="IRNazanin" w:hAnsi="IRNazanin" w:eastAsia="IRNazanin"/>
          <w:color w:val="111111"/>
          <w:sz w:val="28"/>
          <w:sz w:val="28"/>
          <w:szCs w:val="28"/>
          <w:rtl w:val="true"/>
          <w:lang w:bidi="fa-IR"/>
        </w:rPr>
        <w:t>جاء فی الأحادیث النبویّة و أحادیث الأئمة المعصومین علیهم السلام النهی عن بعض الکنی، بالخصوص التکنّی بأبی القاسم إذا کان اسمه محمّداً، فقد روی السکونی،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آله نهی عن أربع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عیسی، و عن أبی الحکم، و عن أبی مالک، و عن أبی القاسم إذا کان الاسم محمّداً</w:t>
      </w:r>
      <w:r>
        <w:rPr>
          <w:rFonts w:eastAsia="IRNazanin" w:cs="IRNazanin"/>
          <w:color w:val="111111"/>
          <w:sz w:val="28"/>
          <w:szCs w:val="28"/>
          <w:rtl w:val="true"/>
          <w:lang w:bidi="fa-IR"/>
        </w:rPr>
        <w:t>»</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هکذا روی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رجلاً کان یغشی</w:t>
      </w:r>
      <w:r>
        <w:rPr>
          <w:rStyle w:val="FootnoteAnchor"/>
          <w:rtl w:val="true"/>
        </w:rPr>
        <w:footnoteReference w:id="806"/>
      </w:r>
    </w:p>
    <w:p>
      <w:pPr>
        <w:pStyle w:val="BookText"/>
        <w:rPr/>
      </w:pPr>
      <w:r>
        <w:rPr>
          <w:rFonts w:ascii="IRNazanin" w:hAnsi="IRNazanin" w:eastAsia="IRNazanin"/>
          <w:color w:val="111111"/>
          <w:sz w:val="28"/>
          <w:sz w:val="28"/>
          <w:szCs w:val="28"/>
          <w:rtl w:val="true"/>
          <w:lang w:bidi="fa-IR"/>
        </w:rPr>
        <w:t>علیّ بن الحسین علیهما السلام و کان یکنّی أبا مرّة، فکان إذا استأذن علیه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مرّة بالباب، فقال له علیّ بن الحسین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باللّه إذا جئت إلی بابنا فلا تقولنّ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مرّة</w:t>
      </w:r>
      <w:r>
        <w:rPr>
          <w:rFonts w:eastAsia="IRNazanin" w:cs="IRNazanin"/>
          <w:color w:val="111111"/>
          <w:sz w:val="28"/>
          <w:szCs w:val="28"/>
          <w:rtl w:val="true"/>
          <w:lang w:bidi="fa-IR"/>
        </w:rPr>
        <w:t>»</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ورد عن طریق أهل السنّة أیضاً أنّ النبیّ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تسمّوا باسمی و لا تکنّوا بکنیتی</w:t>
      </w:r>
      <w:r>
        <w:rPr>
          <w:rFonts w:eastAsia="IRNazanin" w:cs="IRNazanin"/>
          <w:color w:val="111111"/>
          <w:sz w:val="28"/>
          <w:szCs w:val="28"/>
          <w:rtl w:val="true"/>
          <w:lang w:bidi="fa-IR"/>
        </w:rPr>
        <w:t>»</w:t>
      </w:r>
      <w:r>
        <w:rPr>
          <w:rStyle w:val="FootnoteAnchor"/>
          <w:rtl w:val="true"/>
        </w:rPr>
        <w:footnoteReference w:id="808"/>
      </w:r>
      <w:bookmarkStart w:id="364" w:name="pg11752_146207"/>
    </w:p>
    <w:p>
      <w:pPr>
        <w:pStyle w:val="Heading4"/>
        <w:numPr>
          <w:ilvl w:val="3"/>
          <w:numId w:val="1"/>
        </w:numPr>
        <w:rPr/>
      </w:pPr>
      <w:bookmarkStart w:id="365" w:name="__RefHeading___Toc9424050_73709187"/>
      <w:bookmarkStart w:id="366" w:name="_Toc139"/>
      <w:bookmarkEnd w:id="364"/>
      <w:bookmarkEnd w:id="365"/>
      <w:r>
        <w:rPr>
          <w:rtl w:val="true"/>
        </w:rPr>
        <w:t>المبحث الخامس</w:t>
      </w:r>
      <w:r>
        <w:rPr>
          <w:rtl w:val="true"/>
        </w:rPr>
        <w:t xml:space="preserve">: </w:t>
      </w:r>
      <w:r>
        <w:rPr>
          <w:rtl w:val="true"/>
        </w:rPr>
        <w:t>استحباب حلق رأس المولود و التصدّق بوزنه</w:t>
      </w:r>
      <w:bookmarkEnd w:id="366"/>
    </w:p>
    <w:p>
      <w:pPr>
        <w:pStyle w:val="Heading5"/>
        <w:numPr>
          <w:ilvl w:val="4"/>
          <w:numId w:val="1"/>
        </w:numPr>
        <w:rPr/>
      </w:pPr>
      <w:bookmarkStart w:id="367" w:name="__RefHeading___Toc9424052_73709187"/>
      <w:bookmarkStart w:id="368" w:name="_Toc140"/>
      <w:bookmarkEnd w:id="367"/>
      <w:r>
        <w:rPr>
          <w:rtl w:val="true"/>
        </w:rPr>
        <w:t>اشارة</w:t>
      </w:r>
      <w:bookmarkEnd w:id="368"/>
    </w:p>
    <w:p>
      <w:pPr>
        <w:pStyle w:val="BookText"/>
        <w:rPr/>
      </w:pPr>
      <w:r>
        <w:rPr>
          <w:rFonts w:ascii="IRNazanin" w:hAnsi="IRNazanin" w:eastAsia="IRNazanin"/>
          <w:color w:val="111111"/>
          <w:sz w:val="28"/>
          <w:sz w:val="28"/>
          <w:szCs w:val="28"/>
          <w:rtl w:val="true"/>
          <w:lang w:bidi="fa-IR"/>
        </w:rPr>
        <w:t>و من سنن الولادة حلق رأس المولود قبل العقیقة، و التصدّق بوزن شعره فضةً أو ذهباً</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النصوص الدالّة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عمار،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سألته عن العقیقة عن المولود کیف هی؟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أتی للمولود سبعة أیّام سمّی بالاسم الذی سمّاهُ اللّه عزّ و جلّ، ثمّ یحلق رأسه، و یتصدّق بوزن شعره ذهباً أو فضةً، و یذبح عنه کبش</w:t>
      </w:r>
      <w:r>
        <w:rPr>
          <w:rFonts w:eastAsia="IRNazanin" w:cs="IRNazanin"/>
          <w:color w:val="111111"/>
          <w:sz w:val="28"/>
          <w:szCs w:val="28"/>
          <w:rtl w:val="true"/>
          <w:lang w:bidi="fa-IR"/>
        </w:rPr>
        <w:t>»</w:t>
      </w:r>
      <w:r>
        <w:rPr>
          <w:rStyle w:val="FootnoteAnchor"/>
          <w:rtl w:val="true"/>
        </w:rPr>
        <w:footnoteReference w:id="810"/>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إسحاق بن عمّار،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ذلک نبدأ؟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تحلق رأسه، و تعقّ عنه و تصدّق بوزن شعره فضّةً، و یکون ذلک فی مکان واحد</w:t>
      </w:r>
      <w:r>
        <w:rPr>
          <w:rStyle w:val="FootnoteAnchor"/>
          <w:rtl w:val="true"/>
        </w:rPr>
        <w:footnoteReference w:id="8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الروایات</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إطلاق النصّ و الفتوی بل ظاهر بعض الأخبار و کلمات الفقهاء</w:t>
      </w:r>
      <w:r>
        <w:rPr>
          <w:rStyle w:val="FootnoteAnchor"/>
          <w:rtl w:val="true"/>
        </w:rPr>
        <w:footnoteReference w:id="813"/>
      </w:r>
      <w:r>
        <w:rPr>
          <w:rFonts w:ascii="IRNazanin" w:hAnsi="IRNazanin" w:eastAsia="IRNazanin"/>
          <w:color w:val="111111"/>
          <w:sz w:val="28"/>
          <w:sz w:val="28"/>
          <w:szCs w:val="28"/>
          <w:rtl w:val="true"/>
          <w:lang w:bidi="fa-IR"/>
        </w:rPr>
        <w:t>یدلّ علی عدم الفرق فی ذلک بین الذکر و الاُنثی، و یؤیّده أیضاً عموم ما رواه فی العلل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ما العلّة فی حلق شعر رأس المولود؟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تطهیره من شعر الرّحم</w:t>
      </w:r>
      <w:r>
        <w:rPr>
          <w:rFonts w:eastAsia="IRNazanin" w:cs="IRNazanin"/>
          <w:color w:val="111111"/>
          <w:sz w:val="28"/>
          <w:szCs w:val="28"/>
          <w:rtl w:val="true"/>
          <w:lang w:bidi="fa-IR"/>
        </w:rPr>
        <w:t>»</w:t>
      </w:r>
      <w:r>
        <w:rPr>
          <w:rStyle w:val="FootnoteAnchor"/>
          <w:rtl w:val="true"/>
        </w:rPr>
        <w:footnoteReference w:id="814"/>
      </w:r>
      <w:bookmarkStart w:id="369" w:name="pg11752_146208"/>
    </w:p>
    <w:p>
      <w:pPr>
        <w:pStyle w:val="BookText"/>
        <w:rPr/>
      </w:pPr>
      <w:bookmarkEnd w:id="369"/>
      <w:r>
        <w:rPr>
          <w:rFonts w:ascii="IRNazanin" w:hAnsi="IRNazanin" w:eastAsia="IRNazanin"/>
          <w:color w:val="111111"/>
          <w:sz w:val="28"/>
          <w:sz w:val="28"/>
          <w:szCs w:val="28"/>
          <w:rtl w:val="true"/>
          <w:lang w:bidi="fa-IR"/>
        </w:rPr>
        <w:t>و روایة علیّ بن جعفر، عن أخیه موسی 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العقیقة عن الغلام و الجاریة ما هی؟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کبش کبش، و یحلق رأسه فی السابع، و یتصدّق بوزنه ذهباً أو فضةً</w:t>
      </w:r>
      <w:r>
        <w:rPr>
          <w:rFonts w:eastAsia="IRNazanin" w:cs="IRNazanin"/>
          <w:color w:val="111111"/>
          <w:sz w:val="28"/>
          <w:szCs w:val="28"/>
          <w:rtl w:val="true"/>
          <w:lang w:bidi="fa-IR"/>
        </w:rPr>
        <w:t>»</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0" w:name="__RefHeading___Toc9424054_73709187"/>
      <w:bookmarkStart w:id="371" w:name="_Toc141"/>
      <w:bookmarkEnd w:id="370"/>
      <w:r>
        <w:rPr>
          <w:rtl w:val="true"/>
        </w:rPr>
        <w:t>نظر أهل السنّة فی المسألة</w:t>
      </w:r>
      <w:bookmarkEnd w:id="371"/>
    </w:p>
    <w:p>
      <w:pPr>
        <w:pStyle w:val="BookText"/>
        <w:rPr/>
      </w:pPr>
      <w:r>
        <w:rPr>
          <w:rFonts w:ascii="IRNazanin" w:hAnsi="IRNazanin" w:eastAsia="IRNazanin"/>
          <w:color w:val="111111"/>
          <w:sz w:val="28"/>
          <w:sz w:val="28"/>
          <w:szCs w:val="28"/>
          <w:rtl w:val="true"/>
          <w:lang w:bidi="fa-IR"/>
        </w:rPr>
        <w:t>ذهب جمهور فقهائهم إلی أنّه یستحبّ و یسنّ أن یحلق رأس المولود فی الیوم السابع من ولادته، و أن یکون الحلق بعد ذبح العقیقة، و یسنّ أیضاً بعد الحلق أن یتصدّق بوزن شعره فضةً‌</w:t>
      </w:r>
      <w:r>
        <w:rPr>
          <w:rStyle w:val="FootnoteAnchor"/>
          <w:rtl w:val="true"/>
        </w:rPr>
        <w:footnoteReference w:id="816"/>
      </w:r>
      <w:r>
        <w:rPr>
          <w:rFonts w:ascii="IRNazanin" w:hAnsi="IRNazanin" w:eastAsia="IRNazanin"/>
          <w:color w:val="111111"/>
          <w:sz w:val="28"/>
          <w:sz w:val="28"/>
          <w:szCs w:val="28"/>
          <w:rtl w:val="true"/>
          <w:lang w:bidi="fa-IR"/>
        </w:rPr>
        <w:t>، و المستند عندهم ما رواه أبو رافع عن النبیّ صلی الله علیه و آله أنّه قال لفاطمة علیها السلام لمّا ولدت الحسن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احلقی شعر رأسه فتصدّقی بوزنه من الورق، ثمّ وُلد حسین علیه السلام فصنعت مثل ذلک</w:t>
      </w:r>
      <w:r>
        <w:rPr>
          <w:rFonts w:eastAsia="IRNazanin" w:cs="IRNazanin"/>
          <w:color w:val="111111"/>
          <w:sz w:val="28"/>
          <w:szCs w:val="28"/>
          <w:rtl w:val="true"/>
          <w:lang w:bidi="fa-IR"/>
        </w:rPr>
        <w:t>»</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رواه أبو داود فی المراسیل عن جعفر بن محمّد، عن أبیه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وزنت فاطمة ابنة رسول اللّه صلی الله علیه و آله شعر الحسن و الحسین و زینب و امّ کلثوم، و تصدّقت بوزن ذلک فضّة</w:t>
      </w:r>
      <w:r>
        <w:rPr>
          <w:rFonts w:eastAsia="IRNazanin" w:cs="IRNazanin"/>
          <w:color w:val="111111"/>
          <w:sz w:val="28"/>
          <w:szCs w:val="28"/>
          <w:rtl w:val="true"/>
          <w:lang w:bidi="fa-IR"/>
        </w:rPr>
        <w:t>»</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اختلفوا فی حلق شعر المولود الاُنثی، فذهب المالکیة و الشافعیّة إلی أنّه لا فرق فی ذلک بین الذکر و الأُنثی، و أمّا الحنابلة فیرون عدم استحباب حلق شعر المولود الاُنثی، و أمّا الحنفیّة فذهبوا إلی أنّ حلق شعر المولود فی سابع الولادة مباح لا سنّة و لا واجب</w:t>
      </w:r>
      <w:r>
        <w:rPr>
          <w:rStyle w:val="FootnoteAnchor"/>
          <w:rtl w:val="true"/>
        </w:rPr>
        <w:footnoteReference w:id="819"/>
      </w:r>
      <w:bookmarkStart w:id="372" w:name="pg11752_146209"/>
    </w:p>
    <w:p>
      <w:pPr>
        <w:pStyle w:val="Heading3"/>
        <w:numPr>
          <w:ilvl w:val="2"/>
          <w:numId w:val="1"/>
        </w:numPr>
        <w:rPr/>
      </w:pPr>
      <w:bookmarkStart w:id="373" w:name="__RefHeading___Toc9424056_73709187"/>
      <w:bookmarkStart w:id="374" w:name="_Toc142"/>
      <w:bookmarkEnd w:id="372"/>
      <w:bookmarkEnd w:id="373"/>
      <w:r>
        <w:rPr>
          <w:rtl w:val="true"/>
        </w:rPr>
        <w:t>الفصل الثامن فی العقیقة</w:t>
      </w:r>
      <w:bookmarkEnd w:id="374"/>
    </w:p>
    <w:p>
      <w:pPr>
        <w:pStyle w:val="Heading4"/>
        <w:numPr>
          <w:ilvl w:val="3"/>
          <w:numId w:val="1"/>
        </w:numPr>
        <w:rPr/>
      </w:pPr>
      <w:bookmarkStart w:id="375" w:name="__RefHeading___Toc9424058_73709187"/>
      <w:bookmarkStart w:id="376" w:name="_Toc143"/>
      <w:bookmarkEnd w:id="375"/>
      <w:r>
        <w:rPr>
          <w:rtl w:val="true"/>
        </w:rPr>
        <w:t>المبحث الأوّل</w:t>
      </w:r>
      <w:r>
        <w:rPr>
          <w:rtl w:val="true"/>
        </w:rPr>
        <w:t xml:space="preserve">: </w:t>
      </w:r>
      <w:r>
        <w:rPr>
          <w:rtl w:val="true"/>
        </w:rPr>
        <w:t>حکم العقیقة</w:t>
      </w:r>
      <w:bookmarkEnd w:id="376"/>
    </w:p>
    <w:p>
      <w:pPr>
        <w:pStyle w:val="Heading5"/>
        <w:numPr>
          <w:ilvl w:val="4"/>
          <w:numId w:val="1"/>
        </w:numPr>
        <w:rPr/>
      </w:pPr>
      <w:bookmarkStart w:id="377" w:name="__RefHeading___Toc9424060_73709187"/>
      <w:bookmarkStart w:id="378" w:name="_Toc144"/>
      <w:bookmarkEnd w:id="377"/>
      <w:r>
        <w:rPr>
          <w:rtl w:val="true"/>
        </w:rPr>
        <w:t>اشارة</w:t>
      </w:r>
      <w:bookmarkEnd w:id="378"/>
    </w:p>
    <w:p>
      <w:pPr>
        <w:pStyle w:val="BookText"/>
        <w:rPr/>
      </w:pPr>
      <w:r>
        <w:rPr>
          <w:rFonts w:ascii="Amiri" w:hAnsi="Amiri" w:eastAsia="Amiri" w:cs="Amiri"/>
          <w:color w:val="111111"/>
          <w:sz w:val="28"/>
          <w:sz w:val="28"/>
          <w:szCs w:val="28"/>
          <w:rtl w:val="true"/>
          <w:lang w:bidi="ar-SA"/>
        </w:rPr>
        <w:t>أصل العقّ الشقّ،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 ثوبه کما یقال شقّهُ بمعناه،</w:t>
      </w:r>
      <w:r>
        <w:rPr>
          <w:rStyle w:val="FootnoteAnchor"/>
          <w:rtl w:val="true"/>
        </w:rPr>
        <w:footnoteReference w:id="820"/>
      </w:r>
      <w:r>
        <w:rPr>
          <w:rFonts w:ascii="IRNazanin" w:hAnsi="IRNazanin" w:eastAsia="IRNazanin"/>
          <w:color w:val="111111"/>
          <w:sz w:val="28"/>
          <w:sz w:val="28"/>
          <w:szCs w:val="28"/>
          <w:rtl w:val="true"/>
          <w:lang w:bidi="fa-IR"/>
        </w:rPr>
        <w:t>و یقال للشعر الذی یخرج علی رأس المولود فی بطن أمّه و یولد به الطفل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عقیقة؛ لأنّه یشقّ الجلد</w:t>
      </w:r>
      <w:r>
        <w:rPr>
          <w:rStyle w:val="FootnoteAnchor"/>
          <w:rtl w:val="true"/>
        </w:rPr>
        <w:footnoteReference w:id="821"/>
      </w:r>
      <w:r>
        <w:rPr>
          <w:rFonts w:ascii="IRNazanin" w:hAnsi="IRNazanin" w:eastAsia="IRNazanin"/>
          <w:color w:val="111111"/>
          <w:sz w:val="28"/>
          <w:sz w:val="28"/>
          <w:szCs w:val="28"/>
          <w:rtl w:val="true"/>
          <w:lang w:bidi="fa-IR"/>
        </w:rPr>
        <w:t>، ثمّ أسمت العرب الذبیحة عند حلق شعر المولود عقیقة علی عادتهم فی تسمیة الشیء باسم سببه أو ما یجاوره، ثمّ اشتهر ذلک حتّی صار من الأسماء العرفیّة</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فی اللغة، و أمّا فی الاصطلاح فهی عبارة عن ذبح شاة عند الولادة للإطعام</w:t>
      </w:r>
      <w:r>
        <w:rPr>
          <w:rStyle w:val="FootnoteAnchor"/>
          <w:rtl w:val="true"/>
        </w:rPr>
        <w:footnoteReference w:id="8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کونها واجبة أو سنّة أو أنّها لیست فرضاً و لا سنّة، أقوال</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سنّة مؤکّدة، و علیه المشهور من الفقهاء، کالشیخ</w:t>
      </w:r>
      <w:r>
        <w:rPr>
          <w:rStyle w:val="FootnoteAnchor"/>
          <w:rtl w:val="true"/>
        </w:rPr>
        <w:footnoteReference w:id="824"/>
      </w:r>
    </w:p>
    <w:p>
      <w:pPr>
        <w:pStyle w:val="BookText"/>
        <w:rPr/>
      </w:pPr>
      <w:r>
        <w:rPr>
          <w:rFonts w:ascii="IRNazanin" w:hAnsi="IRNazanin" w:eastAsia="IRNazanin"/>
          <w:color w:val="111111"/>
          <w:sz w:val="28"/>
          <w:sz w:val="28"/>
          <w:szCs w:val="28"/>
          <w:rtl w:val="true"/>
          <w:lang w:bidi="fa-IR"/>
        </w:rPr>
        <w:t>و ابن إدریس</w:t>
      </w:r>
      <w:r>
        <w:rPr>
          <w:rStyle w:val="FootnoteAnchor"/>
          <w:rtl w:val="true"/>
        </w:rPr>
        <w:footnoteReference w:id="825"/>
      </w:r>
      <w:r>
        <w:rPr>
          <w:rFonts w:ascii="Amiri" w:hAnsi="Amiri" w:eastAsia="Amiri" w:cs="Amiri"/>
          <w:color w:val="111111"/>
          <w:sz w:val="28"/>
          <w:sz w:val="28"/>
          <w:szCs w:val="28"/>
          <w:rtl w:val="true"/>
          <w:lang w:bidi="ar-SA"/>
        </w:rPr>
        <w:t>و المحقّق</w:t>
      </w:r>
      <w:r>
        <w:rPr>
          <w:rStyle w:val="FootnoteAnchor"/>
          <w:rtl w:val="true"/>
        </w:rPr>
        <w:footnoteReference w:id="826"/>
      </w:r>
      <w:r>
        <w:rPr>
          <w:rFonts w:ascii="IRNazanin" w:hAnsi="IRNazanin" w:eastAsia="IRNazanin"/>
          <w:color w:val="111111"/>
          <w:sz w:val="28"/>
          <w:sz w:val="28"/>
          <w:szCs w:val="28"/>
          <w:rtl w:val="true"/>
          <w:lang w:bidi="fa-IR"/>
        </w:rPr>
        <w:t>و الفاضل الآبی</w:t>
      </w:r>
      <w:r>
        <w:rPr>
          <w:rStyle w:val="FootnoteAnchor"/>
          <w:rtl w:val="true"/>
        </w:rPr>
        <w:footnoteReference w:id="827"/>
      </w:r>
      <w:r>
        <w:rPr>
          <w:rFonts w:ascii="IRNazanin" w:hAnsi="IRNazanin" w:eastAsia="IRNazanin"/>
          <w:color w:val="111111"/>
          <w:sz w:val="28"/>
          <w:sz w:val="28"/>
          <w:szCs w:val="28"/>
          <w:rtl w:val="true"/>
          <w:lang w:bidi="fa-IR"/>
        </w:rPr>
        <w:t>و الفاضل الهندی</w:t>
      </w:r>
      <w:r>
        <w:rPr>
          <w:rStyle w:val="FootnoteAnchor"/>
          <w:rtl w:val="true"/>
        </w:rPr>
        <w:footnoteReference w:id="828"/>
      </w:r>
      <w:r>
        <w:rPr>
          <w:rFonts w:ascii="IRNazanin" w:hAnsi="IRNazanin" w:eastAsia="IRNazanin"/>
          <w:color w:val="111111"/>
          <w:sz w:val="28"/>
          <w:sz w:val="28"/>
          <w:szCs w:val="28"/>
          <w:rtl w:val="true"/>
          <w:lang w:bidi="fa-IR"/>
        </w:rPr>
        <w:t>و صاحبی الحدائق</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و الجواهر</w:t>
      </w:r>
      <w:r>
        <w:rPr>
          <w:rStyle w:val="FootnoteAnchor"/>
          <w:rtl w:val="true"/>
        </w:rPr>
        <w:footnoteReference w:id="830"/>
      </w:r>
      <w:r>
        <w:rPr>
          <w:rFonts w:ascii="IRNazanin" w:hAnsi="IRNazanin" w:eastAsia="IRNazanin"/>
          <w:color w:val="111111"/>
          <w:sz w:val="28"/>
          <w:sz w:val="28"/>
          <w:szCs w:val="28"/>
          <w:rtl w:val="true"/>
          <w:lang w:bidi="fa-IR"/>
        </w:rPr>
        <w:t>و غیرهم</w:t>
      </w:r>
      <w:r>
        <w:rPr>
          <w:rStyle w:val="FootnoteAnchor"/>
          <w:rtl w:val="true"/>
        </w:rPr>
        <w:footnoteReference w:id="831"/>
      </w:r>
      <w:r>
        <w:rPr>
          <w:rFonts w:ascii="IRNazanin" w:hAnsi="IRNazanin" w:eastAsia="IRNazanin"/>
          <w:color w:val="111111"/>
          <w:sz w:val="28"/>
          <w:sz w:val="28"/>
          <w:szCs w:val="28"/>
          <w:rtl w:val="true"/>
          <w:lang w:bidi="fa-IR"/>
        </w:rPr>
        <w:t>، و قال به جمهور الفقهاء من أهل السنّة غیر الحنفیة</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الوجوب، و علیه الإسکافی</w:t>
      </w:r>
      <w:r>
        <w:rPr>
          <w:rStyle w:val="FootnoteAnchor"/>
          <w:rtl w:val="true"/>
        </w:rPr>
        <w:footnoteReference w:id="833"/>
      </w:r>
      <w:r>
        <w:rPr>
          <w:rFonts w:ascii="IRNazanin" w:hAnsi="IRNazanin" w:eastAsia="IRNazanin"/>
          <w:color w:val="111111"/>
          <w:sz w:val="28"/>
          <w:sz w:val="28"/>
          <w:szCs w:val="28"/>
          <w:rtl w:val="true"/>
          <w:lang w:bidi="fa-IR"/>
        </w:rPr>
        <w:t>و المرتضی</w:t>
      </w:r>
      <w:r>
        <w:rPr>
          <w:rStyle w:val="FootnoteAnchor"/>
          <w:rtl w:val="true"/>
        </w:rPr>
        <w:footnoteReference w:id="834"/>
      </w:r>
      <w:r>
        <w:rPr>
          <w:rFonts w:ascii="IRNazanin" w:hAnsi="IRNazanin" w:eastAsia="IRNazanin"/>
          <w:color w:val="111111"/>
          <w:sz w:val="28"/>
          <w:sz w:val="28"/>
          <w:szCs w:val="28"/>
          <w:rtl w:val="true"/>
          <w:lang w:bidi="fa-IR"/>
        </w:rPr>
        <w:t>و بعض متأخّری المتأخِّرین، کالمحدّث الکاشانی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العقیقة و وجوبها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أورد جملة من الأخبار الظاهرة فی ذلک</w:t>
      </w:r>
      <w:r>
        <w:rPr>
          <w:rStyle w:val="FootnoteAnchor"/>
          <w:rtl w:val="true"/>
        </w:rPr>
        <w:footnoteReference w:id="8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طائفة عن أهل السنّة، کالظاهریة و الحسن البصری</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الاباحة، و هی قول الحنفیّة، حیث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تباح العقیقة و لا تستحبّ؛ لأنّ تشریع الأضحیة نسخ کلّ دم کان قبلها، من العقیقة و الرجبیّة و العتیرة</w:t>
      </w:r>
      <w:r>
        <w:rPr>
          <w:rStyle w:val="FootnoteAnchor"/>
          <w:rtl w:val="true"/>
        </w:rPr>
        <w:footnoteReference w:id="837"/>
      </w:r>
      <w:r>
        <w:rPr>
          <w:rFonts w:ascii="IRNazanin" w:hAnsi="IRNazanin" w:eastAsia="IRNazanin"/>
          <w:color w:val="111111"/>
          <w:sz w:val="28"/>
          <w:sz w:val="28"/>
          <w:szCs w:val="28"/>
          <w:rtl w:val="true"/>
          <w:lang w:bidi="fa-IR"/>
        </w:rPr>
        <w:t>، فمن شاء فعل، و من شاء لم یفعل، و النسخ ثبت بقول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w:t>
      </w:r>
    </w:p>
    <w:p>
      <w:pPr>
        <w:pStyle w:val="BookText"/>
        <w:rPr/>
      </w:pPr>
      <w:r>
        <w:rPr>
          <w:rFonts w:ascii="IRNazanin" w:hAnsi="IRNazanin" w:eastAsia="IRNazanin"/>
          <w:color w:val="111111"/>
          <w:sz w:val="28"/>
          <w:sz w:val="28"/>
          <w:szCs w:val="28"/>
          <w:rtl w:val="true"/>
          <w:lang w:bidi="fa-IR"/>
        </w:rPr>
        <w:t>الأضاحی کلّ ذبح کان قبلها</w:t>
      </w:r>
      <w:r>
        <w:rPr>
          <w:rFonts w:eastAsia="IRNazanin" w:cs="IRNazanin"/>
          <w:color w:val="111111"/>
          <w:sz w:val="28"/>
          <w:szCs w:val="28"/>
          <w:rtl w:val="true"/>
          <w:lang w:bidi="fa-IR"/>
        </w:rPr>
        <w:t>»</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استدلّ لهذا القول أیضاً بروایة عمرو بن شعیب، عن أبیه، عن جدّه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سئل رسول اللّه صلی الله علیه و آله عن العقیقة؟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یحبّ اللّه العقوق</w:t>
      </w:r>
      <w:r>
        <w:rPr>
          <w:rFonts w:eastAsia="IRNazanin" w:cs="IRNazanin"/>
          <w:color w:val="111111"/>
          <w:sz w:val="28"/>
          <w:szCs w:val="28"/>
          <w:rtl w:val="true"/>
          <w:lang w:bidi="fa-IR"/>
        </w:rPr>
        <w:t>»</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الحقّ هو القول الأوّل، و یدلّ علیه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بن یزید،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امرئ مرتهن یوم القیامة بعقیقته، و العقیقة أوجب من الأضحیة</w:t>
      </w:r>
      <w:r>
        <w:rPr>
          <w:rStyle w:val="FootnoteAnchor"/>
          <w:rtl w:val="true"/>
        </w:rPr>
        <w:footnoteReference w:id="8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الأضحیة</w:t>
      </w:r>
      <w:r>
        <w:rPr>
          <w:rStyle w:val="FootnoteAnchor"/>
          <w:rtl w:val="true"/>
        </w:rPr>
        <w:footnoteReference w:id="841"/>
      </w:r>
    </w:p>
    <w:p>
      <w:pPr>
        <w:pStyle w:val="BookText"/>
        <w:rPr/>
      </w:pPr>
      <w:r>
        <w:rPr>
          <w:rFonts w:ascii="IRNazanin" w:hAnsi="IRNazanin" w:eastAsia="IRNazanin"/>
          <w:color w:val="111111"/>
          <w:sz w:val="28"/>
          <w:sz w:val="28"/>
          <w:szCs w:val="28"/>
          <w:rtl w:val="true"/>
          <w:lang w:bidi="fa-IR"/>
        </w:rPr>
        <w:t>مندوبة إجماعاً علی ما قیل، فکذلک العقیقة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أبی خدیجة، 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مولودٍ مرتهن بالعقیقة</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طریق أهل السنّة، قال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غلام رهینة بعقیقته</w:t>
      </w:r>
      <w:r>
        <w:rPr>
          <w:rFonts w:eastAsia="IRNazanin" w:cs="IRNazanin"/>
          <w:color w:val="111111"/>
          <w:sz w:val="28"/>
          <w:szCs w:val="28"/>
          <w:rtl w:val="true"/>
          <w:lang w:bidi="fa-IR"/>
        </w:rPr>
        <w:t>»</w:t>
      </w:r>
      <w:r>
        <w:rPr>
          <w:rStyle w:val="FootnoteAnchor"/>
          <w:rtl w:val="true"/>
        </w:rPr>
        <w:footnoteReference w:id="843"/>
      </w:r>
      <w:r>
        <w:rPr>
          <w:rFonts w:ascii="IRNazanin" w:hAnsi="IRNazanin" w:eastAsia="IRNazanin"/>
          <w:color w:val="111111"/>
          <w:sz w:val="28"/>
          <w:sz w:val="28"/>
          <w:szCs w:val="28"/>
          <w:rtl w:val="true"/>
          <w:lang w:bidi="fa-IR"/>
        </w:rPr>
        <w:t>، و غیر ذلک من الروایات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الوجوب و الارتهان فی النصوص یراد بهما تأکّد الندب، و الدلیل علی ذلک الأمر بها فی جملة من السنن المعلوم ندبها</w:t>
      </w:r>
      <w:r>
        <w:rPr>
          <w:rStyle w:val="FootnoteAnchor"/>
          <w:rtl w:val="true"/>
        </w:rPr>
        <w:footnoteReference w:id="844"/>
      </w:r>
      <w:r>
        <w:rPr>
          <w:rFonts w:ascii="IRNazanin" w:hAnsi="IRNazanin" w:eastAsia="IRNazanin"/>
          <w:color w:val="111111"/>
          <w:sz w:val="28"/>
          <w:sz w:val="28"/>
          <w:szCs w:val="28"/>
          <w:rtl w:val="true"/>
          <w:lang w:bidi="fa-IR"/>
        </w:rPr>
        <w:t>، بل یمکن إقامة قرائن کثیرة علی ذلک تصل إلی حدّ القطع، خصوصاً ما دلّ علی إجزاء الأضحیة</w:t>
      </w:r>
      <w:r>
        <w:rPr>
          <w:rStyle w:val="FootnoteAnchor"/>
          <w:rtl w:val="true"/>
        </w:rPr>
        <w:footnoteReference w:id="845"/>
      </w:r>
      <w:r>
        <w:rPr>
          <w:rFonts w:ascii="IRNazanin" w:hAnsi="IRNazanin" w:eastAsia="IRNazanin"/>
          <w:color w:val="111111"/>
          <w:sz w:val="28"/>
          <w:sz w:val="28"/>
          <w:szCs w:val="28"/>
          <w:rtl w:val="true"/>
          <w:lang w:bidi="fa-IR"/>
        </w:rPr>
        <w:t>عنها، و انتقاله من</w:t>
      </w:r>
      <w:bookmarkStart w:id="379" w:name="pg11752_146212"/>
    </w:p>
    <w:p>
      <w:pPr>
        <w:pStyle w:val="BookText"/>
        <w:rPr/>
      </w:pPr>
      <w:bookmarkEnd w:id="379"/>
      <w:r>
        <w:rPr>
          <w:rFonts w:ascii="IRNazanin" w:hAnsi="IRNazanin" w:eastAsia="IRNazanin"/>
          <w:color w:val="111111"/>
          <w:sz w:val="28"/>
          <w:sz w:val="28"/>
          <w:szCs w:val="28"/>
          <w:rtl w:val="true"/>
          <w:lang w:bidi="fa-IR"/>
        </w:rPr>
        <w:t>الولیّ إلی الولد إذا بلغ إن لم یعقّ الوالد عن ولده، و الأمر بها بعد موت الولد</w:t>
      </w:r>
      <w:r>
        <w:rPr>
          <w:rStyle w:val="FootnoteAnchor"/>
          <w:rtl w:val="true"/>
        </w:rPr>
        <w:footnoteReference w:id="846"/>
      </w:r>
    </w:p>
    <w:p>
      <w:pPr>
        <w:pStyle w:val="BookText"/>
        <w:rPr/>
      </w:pPr>
      <w:r>
        <w:rPr>
          <w:rFonts w:ascii="IRNazanin" w:hAnsi="IRNazanin" w:eastAsia="IRNazanin"/>
          <w:color w:val="111111"/>
          <w:sz w:val="28"/>
          <w:sz w:val="28"/>
          <w:szCs w:val="28"/>
          <w:rtl w:val="true"/>
          <w:lang w:bidi="fa-IR"/>
        </w:rPr>
        <w:t>و ظاهر</w:t>
      </w:r>
      <w:r>
        <w:rPr>
          <w:rStyle w:val="FootnoteAnchor"/>
          <w:rtl w:val="true"/>
        </w:rPr>
        <w:footnoteReference w:id="847"/>
      </w:r>
      <w:r>
        <w:rPr>
          <w:rFonts w:ascii="IRNazanin" w:hAnsi="IRNazanin" w:eastAsia="IRNazanin"/>
          <w:color w:val="111111"/>
          <w:sz w:val="28"/>
          <w:sz w:val="28"/>
          <w:szCs w:val="28"/>
          <w:rtl w:val="true"/>
          <w:lang w:bidi="fa-IR"/>
        </w:rPr>
        <w:t>قول رسول اللّه صلی الله علیه و آله عن طریق أهل السنّة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یحبّ اللّه العقوق، و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ولد له ولد فأحبَّ أن ینسک عنه فلینسک</w:t>
      </w:r>
      <w:r>
        <w:rPr>
          <w:rFonts w:eastAsia="IRNazanin" w:cs="IRNazanin"/>
          <w:color w:val="111111"/>
          <w:sz w:val="28"/>
          <w:szCs w:val="28"/>
          <w:rtl w:val="true"/>
          <w:lang w:bidi="fa-IR"/>
        </w:rPr>
        <w:t>»</w:t>
      </w:r>
      <w:r>
        <w:rPr>
          <w:rStyle w:val="FootnoteAnchor"/>
          <w:rtl w:val="true"/>
        </w:rPr>
        <w:footnoteReference w:id="8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کلمة أحبّ تقتضی الندب، إلی غیر ذلک من القرائن،</w:t>
      </w:r>
    </w:p>
    <w:p>
      <w:pPr>
        <w:pStyle w:val="Heading5"/>
        <w:numPr>
          <w:ilvl w:val="4"/>
          <w:numId w:val="1"/>
        </w:numPr>
        <w:rPr/>
      </w:pPr>
      <w:bookmarkStart w:id="380" w:name="__RefHeading___Toc9424062_73709187"/>
      <w:bookmarkStart w:id="381" w:name="_Toc145"/>
      <w:bookmarkEnd w:id="380"/>
      <w:r>
        <w:rPr>
          <w:rtl w:val="true"/>
        </w:rPr>
        <w:t>أدلّة القول الثانی و الجواب عنها</w:t>
      </w:r>
      <w:bookmarkEnd w:id="381"/>
    </w:p>
    <w:p>
      <w:pPr>
        <w:pStyle w:val="BookText"/>
        <w:rPr/>
      </w:pPr>
      <w:r>
        <w:rPr>
          <w:rFonts w:ascii="IRNazanin" w:hAnsi="IRNazanin" w:eastAsia="IRNazanin"/>
          <w:color w:val="111111"/>
          <w:sz w:val="28"/>
          <w:sz w:val="28"/>
          <w:szCs w:val="28"/>
          <w:rtl w:val="true"/>
          <w:lang w:bidi="fa-IR"/>
        </w:rPr>
        <w:t xml:space="preserve">احتجّ السیّد المرتضی و غیره للقول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فی المختلف</w:t>
      </w:r>
      <w:r>
        <w:rPr>
          <w:rStyle w:val="FootnoteAnchor"/>
          <w:rtl w:val="true"/>
        </w:rPr>
        <w:footnoteReference w:id="849"/>
      </w:r>
      <w:r>
        <w:rPr>
          <w:rFonts w:ascii="IRNazanin" w:hAnsi="IRNazanin" w:eastAsia="IRNazanin"/>
          <w:color w:val="111111"/>
          <w:sz w:val="28"/>
          <w:sz w:val="28"/>
          <w:szCs w:val="28"/>
          <w:rtl w:val="true"/>
          <w:lang w:bidi="fa-IR"/>
        </w:rPr>
        <w:t>و المسالک</w:t>
      </w:r>
      <w:r>
        <w:rPr>
          <w:rStyle w:val="FootnoteAnchor"/>
          <w:rtl w:val="true"/>
        </w:rPr>
        <w:footnoteReference w:id="850"/>
      </w:r>
    </w:p>
    <w:p>
      <w:pPr>
        <w:pStyle w:val="BookText"/>
        <w:rPr/>
      </w:pPr>
      <w:r>
        <w:rPr>
          <w:rFonts w:ascii="IRNazanin" w:hAnsi="IRNazanin" w:eastAsia="IRNazanin"/>
          <w:color w:val="111111"/>
          <w:sz w:val="28"/>
          <w:sz w:val="28"/>
          <w:szCs w:val="28"/>
          <w:rtl w:val="true"/>
          <w:lang w:bidi="fa-IR"/>
        </w:rPr>
        <w:t xml:space="preserve">بعد الإجماع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علی بن أبی حمزة، عن العبد الصالح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العقیقة واجبة إذا ولد للرجل ولد</w:t>
      </w:r>
      <w:r>
        <w:rPr>
          <w:rFonts w:eastAsia="IRNazanin" w:cs="IRNazanin"/>
          <w:color w:val="111111"/>
          <w:sz w:val="28"/>
          <w:szCs w:val="28"/>
          <w:rtl w:val="true"/>
          <w:lang w:bidi="fa-IR"/>
        </w:rPr>
        <w:t>»</w:t>
      </w:r>
      <w:r>
        <w:rPr>
          <w:rStyle w:val="FootnoteAnchor"/>
          <w:rtl w:val="true"/>
        </w:rPr>
        <w:footnoteReference w:id="8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روایة أبی بصیر</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أخری عن أبی بصیر،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ولد لک غلام أو جاریة فعقّ عنه یوم السابع</w:t>
      </w:r>
      <w:r>
        <w:rPr>
          <w:rFonts w:eastAsia="IRNazanin" w:cs="IRNazanin"/>
          <w:color w:val="111111"/>
          <w:sz w:val="28"/>
          <w:szCs w:val="28"/>
          <w:rtl w:val="true"/>
          <w:lang w:bidi="fa-IR"/>
        </w:rPr>
        <w:t>»</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طرق أهل السنّة عن النبیّ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الغلام عقیقة فأهریقوا عنه دماً</w:t>
      </w:r>
      <w:r>
        <w:rPr>
          <w:rFonts w:eastAsia="IRNazanin" w:cs="IRNazanin"/>
          <w:color w:val="111111"/>
          <w:sz w:val="28"/>
          <w:szCs w:val="28"/>
          <w:rtl w:val="true"/>
          <w:lang w:bidi="fa-IR"/>
        </w:rPr>
        <w:t>»</w:t>
      </w:r>
      <w:r>
        <w:rPr>
          <w:rStyle w:val="FootnoteAnchor"/>
          <w:rtl w:val="true"/>
        </w:rPr>
        <w:footnoteReference w:id="8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الروایات، فإنّها أوامر، و ظاهر الأمر فی الشریعة</w:t>
      </w:r>
    </w:p>
    <w:p>
      <w:pPr>
        <w:pStyle w:val="BookText"/>
        <w:rPr/>
      </w:pPr>
      <w:r>
        <w:rPr>
          <w:rFonts w:ascii="IRNazanin" w:hAnsi="IRNazanin" w:eastAsia="IRNazanin"/>
          <w:color w:val="111111"/>
          <w:sz w:val="28"/>
          <w:sz w:val="28"/>
          <w:szCs w:val="28"/>
          <w:rtl w:val="true"/>
          <w:lang w:bidi="fa-IR"/>
        </w:rPr>
        <w:t>یقتضی الوجوب</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الإجماع فلعدم تحقّقه، و علی فرض التحقّق فهو موهون؛ لاحتمال کونه إجماعاً مدرکیّاً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الروایات المتضمّنة للأمر بها، فمع قطع النظر عن سندها محمولة علی تأکّد الاستحباب</w:t>
      </w:r>
      <w:r>
        <w:rPr>
          <w:rStyle w:val="FootnoteAnchor"/>
          <w:rtl w:val="true"/>
        </w:rPr>
        <w:footnoteReference w:id="856"/>
      </w:r>
      <w:r>
        <w:rPr>
          <w:rFonts w:ascii="IRNazanin" w:hAnsi="IRNazanin" w:eastAsia="IRNazanin"/>
          <w:color w:val="111111"/>
          <w:sz w:val="28"/>
          <w:sz w:val="28"/>
          <w:szCs w:val="28"/>
          <w:rtl w:val="true"/>
          <w:lang w:bidi="fa-IR"/>
        </w:rPr>
        <w:t>؛ لأنّ الوجوب إنّما هو بمعنی الثبوت أو تأکّد الاستحباب، اللذین هما أحد معانی هذا اللفظ‌</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یتمّ الاستدلال بها إذا ثبت کون الوجوب حقیقة شرعیّة أو عرفیة فی اصطلاحهم، فی المعنی الذی کان إلی الآن متعارفاً عند الفقهاء و هو غیر معلوم</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العقیقة واجبة کغیرها من الواجبات لا یعقل إجزاء الأضحیة المستحبة اتّفاقاً عنها، کما فی موثّقة سماعة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ضحِّی عنه أو ضحّی الولد عن نفسه فقد أجزأت عنه عقیقته</w:t>
      </w:r>
      <w:r>
        <w:rPr>
          <w:rFonts w:eastAsia="IRNazanin" w:cs="IRNazanin"/>
          <w:color w:val="111111"/>
          <w:sz w:val="28"/>
          <w:szCs w:val="28"/>
          <w:rtl w:val="true"/>
          <w:lang w:bidi="fa-IR"/>
        </w:rPr>
        <w:t>»</w:t>
      </w:r>
      <w:r>
        <w:rPr>
          <w:rStyle w:val="FootnoteAnchor"/>
          <w:rtl w:val="true"/>
        </w:rPr>
        <w:footnoteReference w:id="859"/>
      </w:r>
      <w:r>
        <w:rPr>
          <w:rFonts w:ascii="IRNazanin" w:hAnsi="IRNazanin" w:eastAsia="IRNazanin"/>
          <w:color w:val="111111"/>
          <w:sz w:val="28"/>
          <w:sz w:val="28"/>
          <w:szCs w:val="28"/>
          <w:rtl w:val="true"/>
          <w:lang w:bidi="fa-IR"/>
        </w:rPr>
        <w:t>إذ مقتضی الوجوب تعلّق الخطاب بالعقیقة حتّی یأتی بها، و قیام غیرها مقامها لیس متعلّقاً للخطاب و به یحتاج إلی الدلیل</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بالعقیقة فی جملة من السنن المعلوم ندبها أوضح قرینة علی کونه فیها أیضاً کذلک، کما ورد فی صحیحة أبی بصیر</w:t>
      </w:r>
      <w:r>
        <w:rPr>
          <w:rStyle w:val="FootnoteAnchor"/>
          <w:rtl w:val="true"/>
        </w:rPr>
        <w:footnoteReference w:id="861"/>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bookmarkStart w:id="382" w:name="pg11752_146214"/>
    </w:p>
    <w:p>
      <w:pPr>
        <w:pStyle w:val="Heading5"/>
        <w:numPr>
          <w:ilvl w:val="4"/>
          <w:numId w:val="1"/>
        </w:numPr>
        <w:rPr/>
      </w:pPr>
      <w:bookmarkStart w:id="383" w:name="__RefHeading___Toc9424064_73709187"/>
      <w:bookmarkStart w:id="384" w:name="_Toc146"/>
      <w:bookmarkEnd w:id="382"/>
      <w:bookmarkEnd w:id="383"/>
      <w:r>
        <w:rPr>
          <w:rtl w:val="true"/>
        </w:rPr>
        <w:t>وقت العقیقة</w:t>
      </w:r>
      <w:bookmarkEnd w:id="384"/>
    </w:p>
    <w:p>
      <w:pPr>
        <w:pStyle w:val="BookText"/>
        <w:rPr/>
      </w:pPr>
      <w:r>
        <w:rPr>
          <w:rFonts w:ascii="IRNazanin" w:hAnsi="IRNazanin" w:eastAsia="IRNazanin"/>
          <w:color w:val="111111"/>
          <w:sz w:val="28"/>
          <w:sz w:val="28"/>
          <w:szCs w:val="28"/>
          <w:rtl w:val="true"/>
          <w:lang w:bidi="fa-IR"/>
        </w:rPr>
        <w:t>یستحبّ أن تکون العقیقة فی الیوم السابع من الولادة، و به قالت الشیعة</w:t>
      </w:r>
      <w:r>
        <w:rPr>
          <w:rStyle w:val="FootnoteAnchor"/>
          <w:rtl w:val="true"/>
        </w:rPr>
        <w:footnoteReference w:id="862"/>
      </w:r>
    </w:p>
    <w:p>
      <w:pPr>
        <w:pStyle w:val="BookText"/>
        <w:rPr/>
      </w:pPr>
      <w:r>
        <w:rPr>
          <w:rFonts w:ascii="Amiri" w:hAnsi="Amiri" w:eastAsia="Amiri" w:cs="Amiri"/>
          <w:color w:val="111111"/>
          <w:sz w:val="28"/>
          <w:sz w:val="28"/>
          <w:szCs w:val="28"/>
          <w:rtl w:val="true"/>
          <w:lang w:bidi="ar-SA"/>
        </w:rPr>
        <w:t>و أهل السنّة</w:t>
      </w:r>
      <w:r>
        <w:rPr>
          <w:rStyle w:val="FootnoteAnchor"/>
          <w:rtl w:val="true"/>
        </w:rPr>
        <w:footnoteReference w:id="8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الأخبار الواردة به مستفیضة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الکاهلی، 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العقیقة یوم السابع</w:t>
      </w:r>
      <w:r>
        <w:rPr>
          <w:rFonts w:eastAsia="IRNazanin" w:cs="IRNazanin"/>
          <w:color w:val="111111"/>
          <w:sz w:val="28"/>
          <w:szCs w:val="28"/>
          <w:rtl w:val="true"/>
          <w:lang w:bidi="fa-IR"/>
        </w:rPr>
        <w:t>»</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طرق العامة روی سمرة بن جندب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الغلام مرتهن بعقیقته، یذبح عنه یوم السابع</w:t>
      </w:r>
      <w:r>
        <w:rPr>
          <w:rFonts w:eastAsia="IRNazanin" w:cs="IRNazanin"/>
          <w:color w:val="111111"/>
          <w:sz w:val="28"/>
          <w:szCs w:val="28"/>
          <w:rtl w:val="true"/>
          <w:lang w:bidi="fa-IR"/>
        </w:rPr>
        <w:t>»</w:t>
      </w:r>
      <w:r>
        <w:rPr>
          <w:rStyle w:val="FootnoteAnchor"/>
          <w:rtl w:val="true"/>
        </w:rPr>
        <w:footnoteReference w:id="8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الأولی علی تقدیر التأخیر عن الیوم السابع الإتیان بها برجاء المطلوبیّة</w:t>
      </w:r>
      <w:r>
        <w:rPr>
          <w:rFonts w:eastAsia="IRNazanin" w:cs="IRNazanin"/>
          <w:color w:val="111111"/>
          <w:sz w:val="28"/>
          <w:szCs w:val="28"/>
          <w:rtl w:val="true"/>
          <w:lang w:bidi="fa-IR"/>
        </w:rPr>
        <w:t>.</w:t>
      </w:r>
    </w:p>
    <w:p>
      <w:pPr>
        <w:pStyle w:val="Heading5"/>
        <w:numPr>
          <w:ilvl w:val="4"/>
          <w:numId w:val="1"/>
        </w:numPr>
        <w:rPr/>
      </w:pPr>
      <w:bookmarkStart w:id="385" w:name="__RefHeading___Toc9424066_73709187"/>
      <w:bookmarkStart w:id="386" w:name="_Toc147"/>
      <w:bookmarkEnd w:id="385"/>
      <w:r>
        <w:rPr>
          <w:rtl w:val="true"/>
        </w:rPr>
        <w:t>عقاق البالغ عن نفسه</w:t>
      </w:r>
      <w:bookmarkEnd w:id="386"/>
    </w:p>
    <w:p>
      <w:pPr>
        <w:pStyle w:val="BookText"/>
        <w:rPr/>
      </w:pPr>
      <w:r>
        <w:rPr>
          <w:rFonts w:ascii="IRNazanin" w:hAnsi="IRNazanin" w:eastAsia="IRNazanin"/>
          <w:color w:val="111111"/>
          <w:sz w:val="28"/>
          <w:sz w:val="28"/>
          <w:szCs w:val="28"/>
          <w:rtl w:val="true"/>
          <w:lang w:bidi="fa-IR"/>
        </w:rPr>
        <w:t>إن لم یعقّ الوالد عن ولده یوم السابع و ما بعده استحبّ للولد أن یعقّ عن نفسه إذا بلغ و إن کان شیخاً، قال به علماؤنا</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الأدلّة علی ذلک</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عمر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و اللّه ما أدری کان أبی عقّ عنّی أم 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فأمرنی أبو عبد اللّه علیه السلام فعققت عن نفسی و أنا شیخ</w:t>
      </w:r>
    </w:p>
    <w:p>
      <w:pPr>
        <w:pStyle w:val="BookText"/>
        <w:rPr/>
      </w:pPr>
      <w:r>
        <w:rPr>
          <w:rFonts w:ascii="IRNazanin" w:hAnsi="IRNazanin" w:eastAsia="IRNazanin"/>
          <w:color w:val="111111"/>
          <w:sz w:val="28"/>
          <w:sz w:val="28"/>
          <w:szCs w:val="28"/>
          <w:rtl w:val="true"/>
          <w:lang w:bidi="fa-IR"/>
        </w:rPr>
        <w:t>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لم یعقّ عنه والده حتّی کبر، فکان غلاماً شاباً أو رجلاً قد بلغ،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ضحّی عنه أو ضحّی الولد عن نفسه فقد أجزأت عنه عقیقته،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المولود مرتهن بعقیقته، فکّه أبواه أو ترکاه</w:t>
      </w:r>
      <w:r>
        <w:rPr>
          <w:rFonts w:eastAsia="IRNazanin" w:cs="IRNazanin"/>
          <w:color w:val="111111"/>
          <w:sz w:val="28"/>
          <w:szCs w:val="28"/>
          <w:rtl w:val="true"/>
          <w:lang w:bidi="fa-IR"/>
        </w:rPr>
        <w:t>»</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أنّ النبیّ صلی الله علیه و آله عقّ عن نفسه بعد ما جاءته النبوّة</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ما رواه فی الکافی عن ذریح المحاربی، عن أبی عبد اللّه علیه السلام فی العقیقة،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جاوزت سبعة أیّام فلا عقیقة له</w:t>
      </w:r>
      <w:r>
        <w:rPr>
          <w:rFonts w:eastAsia="IRNazanin" w:cs="IRNazanin"/>
          <w:color w:val="111111"/>
          <w:sz w:val="28"/>
          <w:szCs w:val="28"/>
          <w:rtl w:val="true"/>
          <w:lang w:bidi="fa-IR"/>
        </w:rPr>
        <w:t>»</w:t>
      </w:r>
      <w:r>
        <w:rPr>
          <w:rStyle w:val="FootnoteAnchor"/>
          <w:rtl w:val="true"/>
        </w:rPr>
        <w:footnoteReference w:id="870"/>
      </w:r>
      <w:r>
        <w:rPr>
          <w:rFonts w:ascii="IRNazanin" w:hAnsi="IRNazanin" w:eastAsia="IRNazanin"/>
          <w:color w:val="111111"/>
          <w:sz w:val="28"/>
          <w:sz w:val="28"/>
          <w:szCs w:val="28"/>
          <w:rtl w:val="true"/>
          <w:lang w:bidi="fa-IR"/>
        </w:rPr>
        <w:t>ممّا یدلّ علی سقوطها بعد السبعة، فهو إنّما أراد نفی الفضل و الکمال، الذی کان یحصل له لو عقّ فی یوم السابع، کما قال به الشیخ</w:t>
      </w:r>
      <w:r>
        <w:rPr>
          <w:rStyle w:val="FootnoteAnchor"/>
          <w:rtl w:val="true"/>
        </w:rPr>
        <w:footnoteReference w:id="871"/>
      </w:r>
      <w:r>
        <w:rPr>
          <w:rFonts w:ascii="IRNazanin" w:hAnsi="IRNazanin" w:eastAsia="IRNazanin"/>
          <w:color w:val="111111"/>
          <w:sz w:val="28"/>
          <w:sz w:val="28"/>
          <w:szCs w:val="28"/>
          <w:rtl w:val="true"/>
          <w:lang w:bidi="fa-IR"/>
        </w:rPr>
        <w:t>و غیره</w:t>
      </w:r>
      <w:r>
        <w:rPr>
          <w:rStyle w:val="FootnoteAnchor"/>
          <w:rtl w:val="true"/>
        </w:rPr>
        <w:footnoteReference w:id="8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من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یصلّ فی جماعة فلا صلاة له</w:t>
      </w:r>
      <w:r>
        <w:rPr>
          <w:rFonts w:eastAsia="IRNazanin" w:cs="IRNazanin"/>
          <w:color w:val="111111"/>
          <w:sz w:val="28"/>
          <w:szCs w:val="28"/>
          <w:rtl w:val="true"/>
          <w:lang w:bidi="fa-IR"/>
        </w:rPr>
        <w:t>»</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جمهور الفقهاء من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 عن الذکر و الاُنثی الصغیرین فقط</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دلیلهم قوله صلی الله علیه و آله فی حدیث سمرة بن جندب، الذی مضی آنفاً، و لأجل أنّها مشروعة فی حقّ الوالد فلا یفعلها غیره،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 الغلام و لم یعقّ عنه فلیعقّ عن نفسه؛ لأنّه مشروعة عنه و لأنّه مرتهن بها، فینبغی أن شرع له فکاک نفسه، و أنّ النبیّ صلی الله علیه و آله عقّ عن نفسه بعد ما بعث بالنبوّة</w:t>
      </w:r>
      <w:r>
        <w:rPr>
          <w:rStyle w:val="FootnoteAnchor"/>
          <w:rtl w:val="true"/>
        </w:rPr>
        <w:footnoteReference w:id="874"/>
      </w:r>
      <w:bookmarkStart w:id="387" w:name="pg11752_146216"/>
    </w:p>
    <w:p>
      <w:pPr>
        <w:pStyle w:val="Heading4"/>
        <w:numPr>
          <w:ilvl w:val="3"/>
          <w:numId w:val="1"/>
        </w:numPr>
        <w:rPr/>
      </w:pPr>
      <w:bookmarkStart w:id="388" w:name="__RefHeading___Toc9424068_73709187"/>
      <w:bookmarkStart w:id="389" w:name="_Toc148"/>
      <w:bookmarkEnd w:id="387"/>
      <w:bookmarkEnd w:id="388"/>
      <w:r>
        <w:rPr>
          <w:rtl w:val="true"/>
        </w:rPr>
        <w:t>المبحث الثانی</w:t>
      </w:r>
      <w:r>
        <w:rPr>
          <w:rtl w:val="true"/>
        </w:rPr>
        <w:t xml:space="preserve">: </w:t>
      </w:r>
      <w:r>
        <w:rPr>
          <w:rtl w:val="true"/>
        </w:rPr>
        <w:t>شروط العقیقة</w:t>
      </w:r>
      <w:bookmarkEnd w:id="389"/>
    </w:p>
    <w:p>
      <w:pPr>
        <w:pStyle w:val="BookText"/>
        <w:rPr/>
      </w:pPr>
      <w:r>
        <w:rPr>
          <w:rFonts w:ascii="IRNazanin" w:hAnsi="IRNazanin" w:eastAsia="IRNazanin"/>
          <w:color w:val="111111"/>
          <w:sz w:val="28"/>
          <w:sz w:val="28"/>
          <w:szCs w:val="28"/>
          <w:rtl w:val="true"/>
          <w:lang w:bidi="fa-IR"/>
        </w:rPr>
        <w:t>یشترط أن تکون العقیقة من أحد الأنعام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الغنم ضأناً کان أو معزاً، و البقر، و الابل، کما روی محمد بن مارد،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العقیقة؟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شاة أو بقرة أو بدنة</w:t>
      </w:r>
      <w:r>
        <w:rPr>
          <w:rFonts w:eastAsia="IRNazanin" w:cs="IRNazanin"/>
          <w:color w:val="111111"/>
          <w:sz w:val="28"/>
          <w:szCs w:val="28"/>
          <w:rtl w:val="true"/>
          <w:lang w:bidi="fa-IR"/>
        </w:rPr>
        <w:t>»</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یعتبر أن یجتمع فیها شروط الاُضحیة من کونها سلیمة من العیوب سمینة، و لا یکون سنّها أقلّ من خمس سنین، کاملة فی الإبل و أقل من سنتین فی البقر و أقل من سنة کاملةٍ فی المعز و أقل من سبعة شهور فی الضأن</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الظاهر من کلام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حیث عنون الباب،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العقیقة لیست بمنزلة الأضحیة و إنّها تجزی ما کانت</w:t>
      </w:r>
      <w:r>
        <w:rPr>
          <w:rFonts w:eastAsia="IRNazanin" w:cs="IRNazanin"/>
          <w:color w:val="111111"/>
          <w:sz w:val="28"/>
          <w:szCs w:val="28"/>
          <w:rtl w:val="true"/>
          <w:lang w:bidi="fa-IR"/>
        </w:rPr>
        <w:t>»</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یدلّ علی ذلک قول الصادق علیه السلام فی الصحیح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هی شاة لحم لیست بمنزلة الأضحیة یجزی منها کلّ شیء</w:t>
      </w:r>
      <w:r>
        <w:rPr>
          <w:rFonts w:eastAsia="IRNazanin" w:cs="IRNazanin"/>
          <w:color w:val="111111"/>
          <w:sz w:val="28"/>
          <w:szCs w:val="28"/>
          <w:rtl w:val="true"/>
          <w:lang w:bidi="fa-IR"/>
        </w:rPr>
        <w:t>»</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أخری عنه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العقیقة لیست بمنزلة الهدی، خیرها أسمنها</w:t>
      </w:r>
      <w:r>
        <w:rPr>
          <w:rFonts w:eastAsia="IRNazanin" w:cs="IRNazanin"/>
          <w:color w:val="111111"/>
          <w:sz w:val="28"/>
          <w:szCs w:val="28"/>
          <w:rtl w:val="true"/>
          <w:lang w:bidi="fa-IR"/>
        </w:rPr>
        <w:t>»</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یستحبّ أن یجتمع فیها شروط الأضحیة</w:t>
      </w:r>
      <w:r>
        <w:rPr>
          <w:rStyle w:val="FootnoteAnchor"/>
          <w:rtl w:val="true"/>
        </w:rPr>
        <w:footnoteReference w:id="8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موثقة عمار</w:t>
      </w:r>
    </w:p>
    <w:p>
      <w:pPr>
        <w:pStyle w:val="BookText"/>
        <w:rPr/>
      </w:pPr>
      <w:r>
        <w:rPr>
          <w:rFonts w:ascii="IRNazanin" w:hAnsi="IRNazanin" w:eastAsia="IRNazanin"/>
          <w:color w:val="111111"/>
          <w:sz w:val="28"/>
          <w:sz w:val="28"/>
          <w:szCs w:val="28"/>
          <w:rtl w:val="true"/>
          <w:lang w:bidi="fa-IR"/>
        </w:rPr>
        <w:t>الساباطی،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العقیقة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یذبح عنه کبش، فإن لم یوجد کبش أجزأه ما یجزی فی الأضحیة</w:t>
      </w:r>
      <w:r>
        <w:rPr>
          <w:rFonts w:eastAsia="IRNazanin" w:cs="IRNazanin"/>
          <w:color w:val="111111"/>
          <w:sz w:val="28"/>
          <w:szCs w:val="28"/>
          <w:rtl w:val="true"/>
          <w:lang w:bidi="fa-IR"/>
        </w:rPr>
        <w:t>»</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مقتضی الجمع بین النصوص أفضلیة شروط الأضحیة فی العقیقة، و مع عدمها یجزی فاقد الشروط و الصفات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أهل السنّة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العقیقة مثل الاُضحیة فسنّها وصفتها سنّ الضحایا وصفتها، و ما یجزی منها و ما لا یجزی، و إنّه یتّقی فیها من العیوب ما یتّقی فی الضحایا، و یستحبّ فیها من الصفة ما یستحبّ فیها لشبهها بها فی ندبها</w:t>
      </w:r>
      <w:r>
        <w:rPr>
          <w:rStyle w:val="FootnoteAnchor"/>
          <w:rtl w:val="true"/>
        </w:rPr>
        <w:footnoteReference w:id="8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زاد بعضهم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أعلم فی هذا خلافاً فی المذهب و لا خارجاً منه</w:t>
      </w:r>
      <w:r>
        <w:rPr>
          <w:rStyle w:val="FootnoteAnchor"/>
          <w:rtl w:val="true"/>
        </w:rPr>
        <w:footnoteReference w:id="883"/>
      </w:r>
      <w:bookmarkStart w:id="390" w:name="pg11752_146218"/>
    </w:p>
    <w:p>
      <w:pPr>
        <w:pStyle w:val="Heading4"/>
        <w:numPr>
          <w:ilvl w:val="3"/>
          <w:numId w:val="1"/>
        </w:numPr>
        <w:rPr/>
      </w:pPr>
      <w:bookmarkStart w:id="391" w:name="__RefHeading___Toc9424070_73709187"/>
      <w:bookmarkStart w:id="392" w:name="_Toc149"/>
      <w:bookmarkEnd w:id="390"/>
      <w:bookmarkEnd w:id="391"/>
      <w:r>
        <w:rPr>
          <w:rtl w:val="true"/>
        </w:rPr>
        <w:t>المبحث الثالث</w:t>
      </w:r>
      <w:r>
        <w:rPr>
          <w:rtl w:val="true"/>
        </w:rPr>
        <w:t xml:space="preserve">: </w:t>
      </w:r>
      <w:r>
        <w:rPr>
          <w:rtl w:val="true"/>
        </w:rPr>
        <w:t>عدد العقیقة</w:t>
      </w:r>
      <w:bookmarkEnd w:id="392"/>
    </w:p>
    <w:p>
      <w:pPr>
        <w:pStyle w:val="Heading5"/>
        <w:numPr>
          <w:ilvl w:val="4"/>
          <w:numId w:val="1"/>
        </w:numPr>
        <w:rPr/>
      </w:pPr>
      <w:bookmarkStart w:id="393" w:name="__RefHeading___Toc9424072_73709187"/>
      <w:bookmarkStart w:id="394" w:name="_Toc150"/>
      <w:bookmarkEnd w:id="393"/>
      <w:r>
        <w:rPr>
          <w:rtl w:val="true"/>
        </w:rPr>
        <w:t>اشارة</w:t>
      </w:r>
      <w:bookmarkEnd w:id="394"/>
    </w:p>
    <w:p>
      <w:pPr>
        <w:pStyle w:val="BookText"/>
        <w:rPr/>
      </w:pPr>
      <w:r>
        <w:rPr>
          <w:rFonts w:ascii="IRNazanin" w:hAnsi="IRNazanin" w:eastAsia="IRNazanin"/>
          <w:color w:val="111111"/>
          <w:sz w:val="28"/>
          <w:sz w:val="28"/>
          <w:szCs w:val="28"/>
          <w:rtl w:val="true"/>
          <w:lang w:bidi="fa-IR"/>
        </w:rPr>
        <w:t>لا إشکال فی کفایة عقیقة واحدة عن کلّ واحد من الذکر و الأُنثی، سواء یعقَّ عن الذکر ذکراً و عن الانثی انثی أو العکس؛ لورود أکثر النصوص فی ذلک کصحیحة ابن مسکان و علیّ بن جعفر و غیرهما</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یستفاد من کلمات جملة من الأصحاب استحباب مساواة العقیقة للمولود، کما عن النهایة و الخلاف و الشرائع و الإرشاد و التبصرة و الجواهر و کتاب النکاح للشیخ الأنصاری</w:t>
      </w:r>
      <w:r>
        <w:rPr>
          <w:rStyle w:val="FootnoteAnchor"/>
          <w:rtl w:val="true"/>
        </w:rPr>
        <w:footnoteReference w:id="885"/>
      </w:r>
      <w:r>
        <w:rPr>
          <w:rFonts w:ascii="IRNazanin" w:hAnsi="IRNazanin" w:eastAsia="IRNazanin"/>
          <w:color w:val="111111"/>
          <w:sz w:val="28"/>
          <w:sz w:val="28"/>
          <w:szCs w:val="28"/>
          <w:rtl w:val="true"/>
          <w:lang w:bidi="fa-IR"/>
        </w:rPr>
        <w:t>و غیرهم،</w:t>
      </w:r>
    </w:p>
    <w:p>
      <w:pPr>
        <w:pStyle w:val="BookText"/>
        <w:rPr/>
      </w:pPr>
      <w:r>
        <w:rPr>
          <w:rFonts w:ascii="IRNazanin" w:hAnsi="IRNazanin" w:eastAsia="IRNazanin"/>
          <w:color w:val="111111"/>
          <w:sz w:val="28"/>
          <w:sz w:val="28"/>
          <w:szCs w:val="28"/>
          <w:rtl w:val="true"/>
          <w:lang w:bidi="fa-IR"/>
        </w:rPr>
        <w:t>و من الروایات</w:t>
      </w:r>
      <w:r>
        <w:rPr>
          <w:rStyle w:val="FootnoteAnchor"/>
          <w:rtl w:val="true"/>
        </w:rPr>
        <w:footnoteReference w:id="886"/>
      </w:r>
      <w:r>
        <w:rPr>
          <w:rFonts w:ascii="IRNazanin" w:hAnsi="IRNazanin" w:eastAsia="IRNazanin"/>
          <w:color w:val="111111"/>
          <w:sz w:val="28"/>
          <w:sz w:val="28"/>
          <w:szCs w:val="28"/>
          <w:rtl w:val="true"/>
          <w:lang w:bidi="fa-IR"/>
        </w:rPr>
        <w:t>الدالّة علی ذلک روایة محمد بن مارد، عن أبی عبد اللّه علیه السلام، فی حدیث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ذکراً عقّ عنه ذکراً و إن کان انثی عقّ عنه انثی</w:t>
      </w:r>
      <w:r>
        <w:rPr>
          <w:rFonts w:eastAsia="IRNazanin" w:cs="IRNazanin"/>
          <w:color w:val="111111"/>
          <w:sz w:val="28"/>
          <w:szCs w:val="28"/>
          <w:rtl w:val="true"/>
          <w:lang w:bidi="fa-IR"/>
        </w:rPr>
        <w:t>»</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إنّما الکلام فی استحباب تعدّد العقیقة عن المولود الواحد بالخصوص عن الذکر، و یستفاد ذلک من بعض الروایات و کلمات بعض الفقهاء</w:t>
      </w:r>
      <w:r>
        <w:rPr>
          <w:rStyle w:val="FootnoteAnchor"/>
          <w:rtl w:val="true"/>
        </w:rPr>
        <w:footnoteReference w:id="888"/>
      </w:r>
      <w:r>
        <w:rPr>
          <w:rFonts w:ascii="IRNazanin" w:hAnsi="IRNazanin" w:eastAsia="IRNazanin"/>
          <w:color w:val="111111"/>
          <w:sz w:val="28"/>
          <w:sz w:val="28"/>
          <w:szCs w:val="28"/>
          <w:rtl w:val="true"/>
          <w:lang w:bidi="fa-IR"/>
        </w:rPr>
        <w:t>، فقد نسب الصدوق ذلک إلی روایة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روی أن یعقّ عن الذکر باُنثیین و عن الاُنثی بواحدة</w:t>
      </w:r>
      <w:r>
        <w:rPr>
          <w:rFonts w:eastAsia="IRNazanin" w:cs="IRNazanin"/>
          <w:color w:val="111111"/>
          <w:sz w:val="28"/>
          <w:szCs w:val="28"/>
          <w:rtl w:val="true"/>
          <w:lang w:bidi="fa-IR"/>
        </w:rPr>
        <w:t>»</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الشیخ الحرّ العاملی فی الوسائل عقد لذلک باباً، و ذکر فیه أربع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إبراهیم بن إدریس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إلیّ مولای أبو محمد علیه السلام بکبش و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عقه عن ابنی فلان و کل و أطعم أهلک، ثمّ وجّه إلیّ بکبشین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 هذین الکبشین عن مولاک و کل هنّأک اللّه و أطعم إخوانک</w:t>
      </w:r>
      <w:r>
        <w:rPr>
          <w:rFonts w:eastAsia="IRNazanin" w:cs="IRNazanin"/>
          <w:color w:val="111111"/>
          <w:sz w:val="28"/>
          <w:szCs w:val="28"/>
          <w:rtl w:val="true"/>
          <w:lang w:bidi="fa-IR"/>
        </w:rPr>
        <w:t>»</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أنّ النبیّ صلی الله علیه و آله عقّ عن الحسن و الحسین علیهما السلام، و فاطمة علیها السلام أیضاً عقّت عنهما</w:t>
      </w:r>
      <w:r>
        <w:rPr>
          <w:rStyle w:val="FootnoteAnchor"/>
          <w:rtl w:val="true"/>
        </w:rPr>
        <w:footnoteReference w:id="891"/>
      </w:r>
      <w:r>
        <w:rPr>
          <w:rFonts w:ascii="IRNazanin" w:hAnsi="IRNazanin" w:eastAsia="IRNazanin"/>
          <w:color w:val="111111"/>
          <w:sz w:val="28"/>
          <w:sz w:val="28"/>
          <w:szCs w:val="28"/>
          <w:rtl w:val="true"/>
          <w:lang w:bidi="fa-IR"/>
        </w:rPr>
        <w:t>، و أنّ أبا محمد علیه السلام عقّ عن صاحب الأمر عجّل اللّه تعالی فرجه الشریف بکذا و کذا شاة</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 فلا بأس بالعمل بذلک بمقتضی التسامح فی أدلّة السنن، خصوصاً فی مثل الدماء التی یحبّ اللّه إراقتها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أهل السنة، فقد اختلفوا فیه علی ثلاثة مذاهب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 مالک یعقّ عن کلّ واحد من الغلام و الجاریة شاة، و فی حدیث ابن عباس أنّ رسول اللّه صلی الله علیه و آله عقّ عن الحسن و الحسین کبشاً کبشاً</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الشافعیة و الحنابلة و أبی داود و أبی ثور بالفرق بین الذکر و الأنثی و أن یُعقّ عن الغلام شاتان و عن الجاریة شاة لخبر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صلوات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الغلام شاتان مکافأتان و عن الجاریة شاة</w:t>
      </w:r>
      <w:r>
        <w:rPr>
          <w:rFonts w:eastAsia="IRNazanin" w:cs="IRNazanin"/>
          <w:color w:val="111111"/>
          <w:sz w:val="28"/>
          <w:szCs w:val="28"/>
          <w:rtl w:val="true"/>
          <w:lang w:bidi="fa-IR"/>
        </w:rPr>
        <w:t>»</w:t>
      </w:r>
      <w:r>
        <w:rPr>
          <w:rStyle w:val="FootnoteAnchor"/>
          <w:rtl w:val="true"/>
        </w:rPr>
        <w:footnoteReference w:id="8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حملوا حدیث ابن عباس علی الجواز</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 عن الغلام، و لا یعقّ عن الجاریة؛ لأنّ العقیقة ذبیحة للسرور، و السرور یختصّ بالغلام دون الجاریة</w:t>
      </w:r>
      <w:r>
        <w:rPr>
          <w:rStyle w:val="FootnoteAnchor"/>
          <w:rtl w:val="true"/>
        </w:rPr>
        <w:footnoteReference w:id="895"/>
      </w:r>
      <w:bookmarkStart w:id="395" w:name="pg11752_146220"/>
    </w:p>
    <w:p>
      <w:pPr>
        <w:pStyle w:val="Heading5"/>
        <w:numPr>
          <w:ilvl w:val="4"/>
          <w:numId w:val="1"/>
        </w:numPr>
        <w:rPr/>
      </w:pPr>
      <w:bookmarkStart w:id="396" w:name="__RefHeading___Toc9424074_73709187"/>
      <w:bookmarkStart w:id="397" w:name="_Toc151"/>
      <w:bookmarkEnd w:id="395"/>
      <w:bookmarkEnd w:id="396"/>
      <w:r>
        <w:rPr>
          <w:rtl w:val="true"/>
        </w:rPr>
        <w:t>فرع</w:t>
      </w:r>
      <w:bookmarkEnd w:id="397"/>
    </w:p>
    <w:p>
      <w:pPr>
        <w:pStyle w:val="BookText"/>
        <w:rPr/>
      </w:pPr>
      <w:r>
        <w:rPr>
          <w:rFonts w:ascii="IRNazanin" w:hAnsi="IRNazanin" w:eastAsia="IRNazanin"/>
          <w:color w:val="111111"/>
          <w:sz w:val="28"/>
          <w:sz w:val="28"/>
          <w:szCs w:val="28"/>
          <w:rtl w:val="true"/>
          <w:lang w:bidi="fa-IR"/>
        </w:rPr>
        <w:t>إذا عجز عن العقیقة، هل تقوم الصدقة مقامها أم لا؟ قال علماؤنا</w:t>
      </w:r>
      <w:r>
        <w:rPr>
          <w:rStyle w:val="FootnoteAnchor"/>
          <w:rtl w:val="true"/>
        </w:rPr>
        <w:footnoteReference w:id="8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یقوم ثمن العقیقة مقامها لخروجها عن مسمّاها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عجز عنها أخّرها حتّی یتمکّن، و إذا لم یتمکّن من العقیقة فلیس علیه شیء، خلافاً لأهل السنّة حیث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تقوم الصدقة مقامها، و إن کان ذبح العقیقة أفضل من التصدّق بقیمتها</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یدلّ علی قولنا ما رواه الکلینی فی الصحیح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لأبی جعفر علیه السلام غلامان جمیعاً، فأمر زید بن علیّ أن یشتری له جزورین للعقیقة، و کان زمن غلاء، فاشتری له واحدة و عسرت علیه الأخری، فقال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عسرت علیّ الأخری، فأتصدّق بثمنها؟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اطلبها حتّی تقدر علیها، فإنّ اللّه عزّ و جلّ یحبّ إهراق الدماء و إطعام الطعام</w:t>
      </w:r>
      <w:r>
        <w:rPr>
          <w:rFonts w:eastAsia="IRNazanin" w:cs="IRNazanin"/>
          <w:color w:val="111111"/>
          <w:sz w:val="28"/>
          <w:szCs w:val="28"/>
          <w:rtl w:val="true"/>
          <w:lang w:bidi="fa-IR"/>
        </w:rPr>
        <w:t>»</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موثّقة ابن بکیر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 علیه السلام فجاءه رسول عمّه عبد اللّه ابن علیّ،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لک عمّک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طلبنا العقیقة فلم نجدها، فما تری نتصدّق بثمنها؟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إنّ اللّه یحبّ إطعام الطعام و إراقة الدماء</w:t>
      </w:r>
      <w:r>
        <w:rPr>
          <w:rFonts w:eastAsia="IRNazanin" w:cs="IRNazanin"/>
          <w:color w:val="111111"/>
          <w:sz w:val="28"/>
          <w:szCs w:val="28"/>
          <w:rtl w:val="true"/>
          <w:lang w:bidi="fa-IR"/>
        </w:rPr>
        <w:t>»</w:t>
      </w:r>
      <w:r>
        <w:rPr>
          <w:rStyle w:val="FootnoteAnchor"/>
          <w:rtl w:val="true"/>
        </w:rPr>
        <w:footnoteReference w:id="899"/>
      </w:r>
      <w:bookmarkStart w:id="398" w:name="pg11752_146221"/>
    </w:p>
    <w:p>
      <w:pPr>
        <w:pStyle w:val="Heading4"/>
        <w:numPr>
          <w:ilvl w:val="3"/>
          <w:numId w:val="1"/>
        </w:numPr>
        <w:rPr/>
      </w:pPr>
      <w:bookmarkStart w:id="399" w:name="__RefHeading___Toc9424076_73709187"/>
      <w:bookmarkStart w:id="400" w:name="_Toc152"/>
      <w:bookmarkEnd w:id="398"/>
      <w:bookmarkEnd w:id="399"/>
      <w:r>
        <w:rPr>
          <w:rtl w:val="true"/>
        </w:rPr>
        <w:t>المبحث الرابع</w:t>
      </w:r>
      <w:r>
        <w:rPr>
          <w:rtl w:val="true"/>
        </w:rPr>
        <w:t xml:space="preserve">: </w:t>
      </w:r>
      <w:r>
        <w:rPr>
          <w:rtl w:val="true"/>
        </w:rPr>
        <w:t>الدعاء عند العقیقة</w:t>
      </w:r>
      <w:bookmarkEnd w:id="400"/>
    </w:p>
    <w:p>
      <w:pPr>
        <w:pStyle w:val="Heading5"/>
        <w:numPr>
          <w:ilvl w:val="4"/>
          <w:numId w:val="1"/>
        </w:numPr>
        <w:rPr/>
      </w:pPr>
      <w:bookmarkStart w:id="401" w:name="__RefHeading___Toc9424078_73709187"/>
      <w:bookmarkStart w:id="402" w:name="_Toc153"/>
      <w:bookmarkEnd w:id="401"/>
      <w:r>
        <w:rPr>
          <w:rtl w:val="true"/>
        </w:rPr>
        <w:t>اشارة</w:t>
      </w:r>
      <w:bookmarkEnd w:id="402"/>
    </w:p>
    <w:p>
      <w:pPr>
        <w:pStyle w:val="BookText"/>
        <w:rPr/>
      </w:pPr>
      <w:r>
        <w:rPr>
          <w:rFonts w:ascii="IRNazanin" w:hAnsi="IRNazanin" w:eastAsia="IRNazanin"/>
          <w:color w:val="111111"/>
          <w:sz w:val="28"/>
          <w:sz w:val="28"/>
          <w:szCs w:val="28"/>
          <w:rtl w:val="true"/>
          <w:lang w:bidi="fa-IR"/>
        </w:rPr>
        <w:t>و یستحبّ الدعاء عند ذبحها بالمأثور، و الروایات فی ذلک کثیرة</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 رسول اللّه صلی الله علیه و آله عن الحسن بیده، و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عقیقة عن الحسن، اللهمّ عظمها بعظمه، و لحمها بلحمه، و دمها بدمه، و شعرها بشعره، اللهمّ اجعلها وقاءً لمحمد و آله</w:t>
      </w:r>
      <w:r>
        <w:rPr>
          <w:rFonts w:eastAsia="IRNazanin" w:cs="IRNazanin"/>
          <w:color w:val="111111"/>
          <w:sz w:val="28"/>
          <w:szCs w:val="28"/>
          <w:rtl w:val="true"/>
          <w:lang w:bidi="fa-IR"/>
        </w:rPr>
        <w:t>»</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عمار الساباطی،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أردت أن تذبح العقیقة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إنّی بریء ممّا تشرکون إنّی وجّهت وجهی للذی فطر السموات و الأرض حنیفاً مسلماً و ما أنا من المشرکین، إنّ صلاتی و نسکی و محیای و مماتی للّه ربّ العالمین، لا شریک له و بذلک امرت و أنا من المسلمین، اللهمّ منک و لک بسم اللّه و اللّه أکبر، اللهمّ صلّ علی محمّد و آل محمد و تقبّل من فلان بن فلان، و تسمّی المولود باسمه ثمّ تذبح</w:t>
      </w:r>
      <w:r>
        <w:rPr>
          <w:rFonts w:eastAsia="IRNazanin" w:cs="IRNazanin"/>
          <w:color w:val="111111"/>
          <w:sz w:val="28"/>
          <w:szCs w:val="28"/>
          <w:rtl w:val="true"/>
          <w:lang w:bidi="fa-IR"/>
        </w:rPr>
        <w:t>»</w:t>
      </w:r>
      <w:r>
        <w:rPr>
          <w:rStyle w:val="FootnoteAnchor"/>
          <w:rtl w:val="true"/>
        </w:rPr>
        <w:footnoteReference w:id="9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من الروایات</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بعض أهل السنّة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یقول عند ذبحها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اللّه أکبر، اللهمّ منک و إلیک، اللهمّ إنّ هذه عقیقة فلان</w:t>
      </w:r>
      <w:r>
        <w:rPr>
          <w:rFonts w:eastAsia="IRNazanin" w:cs="IRNazanin"/>
          <w:color w:val="111111"/>
          <w:sz w:val="28"/>
          <w:szCs w:val="28"/>
          <w:rtl w:val="true"/>
          <w:lang w:bidi="fa-IR"/>
        </w:rPr>
        <w:t>»</w:t>
      </w:r>
      <w:r>
        <w:rPr>
          <w:rStyle w:val="FootnoteAnchor"/>
          <w:rtl w:val="true"/>
        </w:rPr>
        <w:footnoteReference w:id="904"/>
      </w:r>
      <w:bookmarkStart w:id="403" w:name="pg11752_146222"/>
    </w:p>
    <w:p>
      <w:pPr>
        <w:pStyle w:val="Heading5"/>
        <w:numPr>
          <w:ilvl w:val="4"/>
          <w:numId w:val="1"/>
        </w:numPr>
        <w:rPr/>
      </w:pPr>
      <w:bookmarkStart w:id="404" w:name="__RefHeading___Toc9424080_73709187"/>
      <w:bookmarkStart w:id="405" w:name="_Toc154"/>
      <w:bookmarkEnd w:id="403"/>
      <w:bookmarkEnd w:id="404"/>
      <w:r>
        <w:rPr>
          <w:rtl w:val="true"/>
        </w:rPr>
        <w:t>فرع</w:t>
      </w:r>
      <w:bookmarkEnd w:id="405"/>
    </w:p>
    <w:p>
      <w:pPr>
        <w:pStyle w:val="BookText"/>
        <w:rPr/>
      </w:pPr>
      <w:r>
        <w:rPr>
          <w:rFonts w:ascii="IRNazanin" w:hAnsi="IRNazanin" w:eastAsia="IRNazanin"/>
          <w:color w:val="111111"/>
          <w:sz w:val="28"/>
          <w:sz w:val="28"/>
          <w:szCs w:val="28"/>
          <w:rtl w:val="true"/>
          <w:lang w:bidi="fa-IR"/>
        </w:rPr>
        <w:t>یستحبّ للإنسان إذا ذبح العقیقة أن یعطی القابلة جزءا من العقیقة إذا لم تکن من العیال، و إن لم تکن قابلة أعطی الأمّ و هی تتصدّق بحصّتها لمن شاءت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الکلام فی تعیین ما یعطی، و الروایات فی ذلک لا تخلو من 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مطلق، کروایة أبی بصیر،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ولد لک غلام أو جاریة فعقّ عنه یوم 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أعط القابلة طائفة من ذلک</w:t>
      </w:r>
      <w:r>
        <w:rPr>
          <w:rFonts w:eastAsia="IRNazanin" w:cs="IRNazanin"/>
          <w:color w:val="111111"/>
          <w:sz w:val="28"/>
          <w:szCs w:val="28"/>
          <w:rtl w:val="true"/>
          <w:lang w:bidi="fa-IR"/>
        </w:rPr>
        <w:t>»</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مقیّد بربع العقیقة، کموثّقة عمّار،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تعطی القابلة ربعها</w:t>
      </w:r>
      <w:r>
        <w:rPr>
          <w:rFonts w:eastAsia="IRNazanin" w:cs="IRNazanin"/>
          <w:color w:val="111111"/>
          <w:sz w:val="28"/>
          <w:szCs w:val="28"/>
          <w:rtl w:val="true"/>
          <w:lang w:bidi="fa-IR"/>
        </w:rPr>
        <w:t>»</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بیّن أنّ لها ثلثها، کروایة أبی خدیجة،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للقابلة الثلث من العقیقة</w:t>
      </w:r>
      <w:r>
        <w:rPr>
          <w:rFonts w:eastAsia="IRNazanin" w:cs="IRNazanin"/>
          <w:color w:val="111111"/>
          <w:sz w:val="28"/>
          <w:szCs w:val="28"/>
          <w:rtl w:val="true"/>
          <w:lang w:bidi="fa-IR"/>
        </w:rPr>
        <w:t>»</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برجل الشاة، کما فی حدیث عقیقة الرسول صلی الله علیه و آله عن الحسن و الحسین</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بالرِّجل و الورک، و هو أکثر روایة</w:t>
      </w:r>
      <w:r>
        <w:rPr>
          <w:rStyle w:val="FootnoteAnchor"/>
          <w:rtl w:val="true"/>
        </w:rPr>
        <w:footnoteReference w:id="909"/>
      </w:r>
      <w:r>
        <w:rPr>
          <w:rFonts w:ascii="IRNazanin" w:hAnsi="IRNazanin" w:eastAsia="IRNazanin"/>
          <w:color w:val="111111"/>
          <w:sz w:val="28"/>
          <w:sz w:val="28"/>
          <w:szCs w:val="28"/>
          <w:rtl w:val="true"/>
          <w:lang w:bidi="fa-IR"/>
        </w:rPr>
        <w:t>و فتوی</w:t>
      </w:r>
      <w:r>
        <w:rPr>
          <w:rStyle w:val="FootnoteAnchor"/>
          <w:rtl w:val="true"/>
        </w:rPr>
        <w:footnoteReference w:id="910"/>
      </w:r>
      <w:r>
        <w:rPr>
          <w:rFonts w:ascii="IRNazanin" w:hAnsi="IRNazanin" w:eastAsia="IRNazanin"/>
          <w:color w:val="111111"/>
          <w:sz w:val="28"/>
          <w:sz w:val="28"/>
          <w:szCs w:val="28"/>
          <w:rtl w:val="true"/>
          <w:lang w:bidi="fa-IR"/>
        </w:rPr>
        <w:t>کما فی صحیحة أبی بصیر، عن أبی عبد اللّه علیه السلام 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یبعث إلی القابلة بالرجل مع</w:t>
      </w:r>
    </w:p>
    <w:p>
      <w:pPr>
        <w:pStyle w:val="BookText"/>
        <w:rPr/>
      </w:pPr>
      <w:r>
        <w:rPr>
          <w:rFonts w:ascii="IRNazanin" w:hAnsi="IRNazanin" w:eastAsia="IRNazanin"/>
          <w:color w:val="111111"/>
          <w:sz w:val="28"/>
          <w:sz w:val="28"/>
          <w:szCs w:val="28"/>
          <w:rtl w:val="true"/>
          <w:lang w:bidi="fa-IR"/>
        </w:rPr>
        <w:t>الورک</w:t>
      </w:r>
      <w:r>
        <w:rPr>
          <w:rStyle w:val="FootnoteAnchor"/>
          <w:rtl w:val="true"/>
        </w:rPr>
        <w:footnoteReference w:id="9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الجمع بین النصوص، بتفاوت مراتب الفضل کما فی الریاض</w:t>
      </w:r>
      <w:r>
        <w:rPr>
          <w:rStyle w:val="FootnoteAnchor"/>
          <w:rtl w:val="true"/>
        </w:rPr>
        <w:footnoteReference w:id="9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یومئ إلیه أیضاً ما فی کلام الشیخ المرجع الفاضل اللنکرانی دام ظلّه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إنّه ذکر فی المتن أنّه لو أعطی القابلة الربع الذی فیه الرجل و الورک من دون أن تکون الرجل و الورک زائداً علی الربع یکون عاملاً بالاستحبابین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الأفضل الجمع بین الربع و الرجل و الورک، بأن تعطی الربع الذی هما فیه</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أهل السنّة، فأکثرهم سکتوا عن ذلک، فقال بعضهم</w:t>
      </w:r>
      <w:r>
        <w:rPr>
          <w:rStyle w:val="FootnoteAnchor"/>
          <w:rtl w:val="true"/>
        </w:rPr>
        <w:footnoteReference w:id="9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یستحبّ إعطاء القابلة رجلها؛ لما فی مراسیل أبی داود عن جعفر، عن أبیه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النبیّ صلی الله علیه و آله قال فی العقیقة التی عقّتها فاطمة علیها السلام عن الحسن و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یبعثوا إلی القابلة منها برجل</w:t>
      </w:r>
      <w:r>
        <w:rPr>
          <w:rFonts w:eastAsia="IRNazanin" w:cs="IRNazanin"/>
          <w:color w:val="111111"/>
          <w:sz w:val="28"/>
          <w:szCs w:val="28"/>
          <w:rtl w:val="true"/>
          <w:lang w:bidi="fa-IR"/>
        </w:rPr>
        <w:t>»</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r>
        <w:rPr>
          <w:rStyle w:val="FootnoteAnchor"/>
          <w:rtl w:val="true"/>
        </w:rPr>
        <w:footnoteReference w:id="915"/>
      </w:r>
      <w:bookmarkStart w:id="406" w:name="pg11752_146224"/>
    </w:p>
    <w:p>
      <w:pPr>
        <w:pStyle w:val="Heading4"/>
        <w:numPr>
          <w:ilvl w:val="3"/>
          <w:numId w:val="1"/>
        </w:numPr>
        <w:rPr/>
      </w:pPr>
      <w:bookmarkStart w:id="407" w:name="__RefHeading___Toc9424082_73709187"/>
      <w:bookmarkStart w:id="408" w:name="_Toc155"/>
      <w:bookmarkEnd w:id="406"/>
      <w:bookmarkEnd w:id="407"/>
      <w:r>
        <w:rPr>
          <w:rtl w:val="true"/>
        </w:rPr>
        <w:t>المبحث الخامس</w:t>
      </w:r>
      <w:r>
        <w:rPr>
          <w:rtl w:val="true"/>
        </w:rPr>
        <w:t xml:space="preserve">: </w:t>
      </w:r>
      <w:r>
        <w:rPr>
          <w:rtl w:val="true"/>
        </w:rPr>
        <w:t>استحباب طبخ لحمها</w:t>
      </w:r>
      <w:bookmarkEnd w:id="408"/>
    </w:p>
    <w:p>
      <w:pPr>
        <w:pStyle w:val="Heading5"/>
        <w:numPr>
          <w:ilvl w:val="4"/>
          <w:numId w:val="1"/>
        </w:numPr>
        <w:rPr/>
      </w:pPr>
      <w:bookmarkStart w:id="409" w:name="__RefHeading___Toc9424084_73709187"/>
      <w:bookmarkStart w:id="410" w:name="_Toc156"/>
      <w:bookmarkEnd w:id="409"/>
      <w:r>
        <w:rPr>
          <w:rtl w:val="true"/>
        </w:rPr>
        <w:t>اشارة</w:t>
      </w:r>
      <w:bookmarkEnd w:id="410"/>
    </w:p>
    <w:p>
      <w:pPr>
        <w:pStyle w:val="BookText"/>
        <w:rPr/>
      </w:pPr>
      <w:r>
        <w:rPr>
          <w:rFonts w:ascii="IRNazanin" w:hAnsi="IRNazanin" w:eastAsia="IRNazanin"/>
          <w:color w:val="111111"/>
          <w:sz w:val="28"/>
          <w:sz w:val="28"/>
          <w:szCs w:val="28"/>
          <w:rtl w:val="true"/>
          <w:lang w:bidi="fa-IR"/>
        </w:rPr>
        <w:t>یستحبّ أن یطبخ لحم العقیقة بالماء، و لا تشوی علی النار، و یدعی علیه جماعة من المؤمنین أقلّهم عشرة أنفس، و کلّما کثر عددهم کان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لم یطبخ و قسّم لحمها علی الفقراء المؤمنین و أهل الولایة لم یکن به بأس</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 روایة حفص الکناسی،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یدعی نفر من المسلمین فیأکلون و یدعون للغلام</w:t>
      </w:r>
      <w:r>
        <w:rPr>
          <w:rFonts w:eastAsia="IRNazanin" w:cs="IRNazanin"/>
          <w:color w:val="111111"/>
          <w:sz w:val="28"/>
          <w:szCs w:val="28"/>
          <w:rtl w:val="true"/>
          <w:lang w:bidi="fa-IR"/>
        </w:rPr>
        <w:t>»</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موثقة عمّار، 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تطعم منه عشرة من المسلمین، فإن زادوا فهو أفضل</w:t>
      </w:r>
      <w:r>
        <w:rPr>
          <w:rFonts w:eastAsia="IRNazanin" w:cs="IRNazanin"/>
          <w:color w:val="111111"/>
          <w:sz w:val="28"/>
          <w:szCs w:val="28"/>
          <w:rtl w:val="true"/>
          <w:lang w:bidi="fa-IR"/>
        </w:rPr>
        <w:t>»</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روایة أبی خدیجة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تجعل أعضاء ثمّ یطبخها و یقسّمها، و لا یعطیها إلاّ لأهل الولایة</w:t>
      </w:r>
      <w:r>
        <w:rPr>
          <w:rFonts w:eastAsia="IRNazanin" w:cs="IRNazanin"/>
          <w:color w:val="111111"/>
          <w:sz w:val="28"/>
          <w:szCs w:val="28"/>
          <w:rtl w:val="true"/>
          <w:lang w:bidi="fa-IR"/>
        </w:rPr>
        <w:t>»</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أهل السنّة فقالوا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العقیقة فی الأکل و الهدیة و الصدقة حکم الأضحیّة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فی حکم الأضحیّة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یستحبّ أن یأکل ثلثها و یهدی ثلثها و یتصدّق بثلثها، و یسنّ طبخها و یأکل منها أهل البیت و إرسالها للفقراء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کره عند المالکیّة عملها ولیمة یدعو الناس إلیها</w:t>
      </w:r>
      <w:r>
        <w:rPr>
          <w:rFonts w:eastAsia="IRNazanin" w:cs="IRNazanin"/>
          <w:color w:val="111111"/>
          <w:sz w:val="28"/>
          <w:szCs w:val="28"/>
          <w:rtl w:val="true"/>
          <w:lang w:bidi="fa-IR"/>
        </w:rPr>
        <w:t>»</w:t>
      </w:r>
      <w:r>
        <w:rPr>
          <w:rStyle w:val="FootnoteAnchor"/>
          <w:rtl w:val="true"/>
        </w:rPr>
        <w:footnoteReference w:id="920"/>
      </w:r>
      <w:bookmarkStart w:id="411" w:name="pg11752_146225"/>
    </w:p>
    <w:p>
      <w:pPr>
        <w:pStyle w:val="BookText"/>
        <w:rPr/>
      </w:pPr>
      <w:bookmarkEnd w:id="411"/>
      <w:r>
        <w:rPr>
          <w:rFonts w:ascii="IRNazanin" w:hAnsi="IRNazanin" w:eastAsia="IRNazanin"/>
          <w:color w:val="111111"/>
          <w:sz w:val="28"/>
          <w:sz w:val="28"/>
          <w:szCs w:val="28"/>
          <w:rtl w:val="true"/>
          <w:lang w:bidi="fa-IR"/>
        </w:rPr>
        <w:t>و هنا فرعان</w:t>
      </w:r>
      <w:r>
        <w:rPr>
          <w:rFonts w:eastAsia="IRNazanin" w:cs="IRNazanin"/>
          <w:color w:val="111111"/>
          <w:sz w:val="28"/>
          <w:szCs w:val="28"/>
          <w:rtl w:val="true"/>
          <w:lang w:bidi="fa-IR"/>
        </w:rPr>
        <w:t>:</w:t>
      </w:r>
    </w:p>
    <w:p>
      <w:pPr>
        <w:pStyle w:val="Heading5"/>
        <w:numPr>
          <w:ilvl w:val="4"/>
          <w:numId w:val="1"/>
        </w:numPr>
        <w:rPr/>
      </w:pPr>
      <w:bookmarkStart w:id="412" w:name="__RefHeading___Toc9424086_73709187"/>
      <w:bookmarkStart w:id="413" w:name="_Toc157"/>
      <w:bookmarkEnd w:id="412"/>
      <w:r>
        <w:rPr>
          <w:rtl w:val="true"/>
        </w:rPr>
        <w:t>الفرع الأوّل</w:t>
      </w:r>
      <w:r>
        <w:rPr>
          <w:rtl w:val="true"/>
        </w:rPr>
        <w:t xml:space="preserve">: </w:t>
      </w:r>
      <w:r>
        <w:rPr>
          <w:rtl w:val="true"/>
        </w:rPr>
        <w:t>کراهة کسر عظامها</w:t>
      </w:r>
      <w:bookmarkEnd w:id="413"/>
    </w:p>
    <w:p>
      <w:pPr>
        <w:pStyle w:val="BookText"/>
        <w:rPr/>
      </w:pPr>
      <w:r>
        <w:rPr>
          <w:rFonts w:ascii="IRNazanin" w:hAnsi="IRNazanin" w:eastAsia="IRNazanin"/>
          <w:color w:val="111111"/>
          <w:sz w:val="28"/>
          <w:sz w:val="28"/>
          <w:szCs w:val="28"/>
          <w:rtl w:val="true"/>
          <w:lang w:bidi="fa-IR"/>
        </w:rPr>
        <w:t>یکره أن یکسر شیء من عظامها، بل تفصل أعضاء</w:t>
      </w:r>
      <w:r>
        <w:rPr>
          <w:rStyle w:val="FootnoteAnchor"/>
          <w:rtl w:val="true"/>
        </w:rPr>
        <w:footnoteReference w:id="921"/>
      </w:r>
      <w:r>
        <w:rPr>
          <w:rFonts w:ascii="IRNazanin" w:hAnsi="IRNazanin" w:eastAsia="IRNazanin"/>
          <w:color w:val="111111"/>
          <w:sz w:val="28"/>
          <w:sz w:val="28"/>
          <w:szCs w:val="28"/>
          <w:rtl w:val="true"/>
          <w:lang w:bidi="fa-IR"/>
        </w:rPr>
        <w:t>؛ لقول الصادق علیه السلام فی معتبرة الکاهلی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یکسر العظم</w:t>
      </w:r>
      <w:r>
        <w:rPr>
          <w:rFonts w:eastAsia="IRNazanin" w:cs="IRNazanin"/>
          <w:color w:val="111111"/>
          <w:sz w:val="28"/>
          <w:szCs w:val="28"/>
          <w:rtl w:val="true"/>
          <w:lang w:bidi="fa-IR"/>
        </w:rPr>
        <w:t>»</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تجعل أعضاءً ثمّ تطبخها و تقسّمها</w:t>
      </w:r>
      <w:r>
        <w:rPr>
          <w:rFonts w:eastAsia="IRNazanin" w:cs="IRNazanin"/>
          <w:color w:val="111111"/>
          <w:sz w:val="28"/>
          <w:szCs w:val="28"/>
          <w:rtl w:val="true"/>
          <w:lang w:bidi="fa-IR"/>
        </w:rPr>
        <w:t>»</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النهی فی الحدیث یحمل علی الکراهة بقرینة خبر عمّار الساباطی، عن الصادق علیه السلام أنّه سئل عن العقیقة إذا ذبحت یکسر عظمها؟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یکسر عظمها</w:t>
      </w:r>
      <w:r>
        <w:rPr>
          <w:rFonts w:eastAsia="IRNazanin" w:cs="IRNazanin"/>
          <w:color w:val="111111"/>
          <w:sz w:val="28"/>
          <w:szCs w:val="28"/>
          <w:rtl w:val="true"/>
          <w:lang w:bidi="fa-IR"/>
        </w:rPr>
        <w:t>»</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أهل السنّة فقد اختلفوا فی ذلک علی ثلاثة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أن تفصل أعضاؤها و لا تکسر عظامها تفؤّلاً بسلامة أعضاء المولود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یکسر عظمها فإن فعله لم یکره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 کسر عظامها؛ لما کانوا فی الجاهلیة یقطعونها من المفاصل</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4" w:name="__RefHeading___Toc9424088_73709187"/>
      <w:bookmarkStart w:id="415" w:name="_Toc158"/>
      <w:bookmarkEnd w:id="414"/>
      <w:r>
        <w:rPr>
          <w:rtl w:val="true"/>
        </w:rPr>
        <w:t>الفرع الثانی</w:t>
      </w:r>
      <w:r>
        <w:rPr>
          <w:rtl w:val="true"/>
        </w:rPr>
        <w:t xml:space="preserve">: </w:t>
      </w:r>
      <w:r>
        <w:rPr>
          <w:rtl w:val="true"/>
        </w:rPr>
        <w:t>کراهة أکل الوالدین من العقیقة</w:t>
      </w:r>
      <w:bookmarkEnd w:id="415"/>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یجوز للوالدین أن یأکلا من العقیقة أم لا؟ فیه أقوال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الأکل منها، و به قال الشیخ</w:t>
      </w:r>
      <w:r>
        <w:rPr>
          <w:rStyle w:val="FootnoteAnchor"/>
          <w:rtl w:val="true"/>
        </w:rPr>
        <w:footnoteReference w:id="9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علیه ما رواه أبو خدیجة،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یأکل هو و لا أحد من عیاله من العقیقة</w:t>
      </w:r>
      <w:r>
        <w:rPr>
          <w:rFonts w:eastAsia="IRNazanin" w:cs="IRNazanin"/>
          <w:color w:val="111111"/>
          <w:sz w:val="28"/>
          <w:szCs w:val="28"/>
          <w:rtl w:val="true"/>
          <w:lang w:bidi="fa-IR"/>
        </w:rPr>
        <w:t>»</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الکاهلی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تطعم الأمّ منها شیئاً</w:t>
      </w:r>
      <w:r>
        <w:rPr>
          <w:rFonts w:eastAsia="IRNazanin" w:cs="IRNazanin"/>
          <w:color w:val="111111"/>
          <w:sz w:val="28"/>
          <w:szCs w:val="28"/>
          <w:rtl w:val="true"/>
          <w:lang w:bidi="fa-IR"/>
        </w:rPr>
        <w:t>»</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فقه الرضا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یأکل منه الأبوان فإن أکلت منه الأمّ فلا ترضعه</w:t>
      </w:r>
      <w:r>
        <w:rPr>
          <w:rFonts w:eastAsia="IRNazanin" w:cs="IRNazanin"/>
          <w:color w:val="111111"/>
          <w:sz w:val="28"/>
          <w:szCs w:val="28"/>
          <w:rtl w:val="true"/>
          <w:lang w:bidi="fa-IR"/>
        </w:rPr>
        <w:t>»</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نهی صریح، و النهی ظاهر فی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کراهیة أکل الوالدین و من فی عیالهما منها، و به قال المشهور من فقهائنا، کالصدوق و ابن ادریس و یحیی بن سعید الحلّی، و المحقّق، و العلاّمة و المحقّق الآبی، و الفاضل الهندی و صاحب الجواهر و الشیخ الأنصاری</w:t>
      </w:r>
      <w:r>
        <w:rPr>
          <w:rStyle w:val="FootnoteAnchor"/>
          <w:rtl w:val="true"/>
        </w:rPr>
        <w:footnoteReference w:id="930"/>
      </w:r>
      <w:r>
        <w:rPr>
          <w:rFonts w:ascii="IRNazanin" w:hAnsi="IRNazanin" w:eastAsia="IRNazanin"/>
          <w:color w:val="111111"/>
          <w:sz w:val="28"/>
          <w:sz w:val="28"/>
          <w:szCs w:val="28"/>
          <w:rtl w:val="true"/>
          <w:lang w:bidi="fa-IR"/>
        </w:rPr>
        <w:t>و غیرهم، و هو الأقوی، جمعاً بین الأخبار المتقدّمة و خبر أبی بصیر، 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منها و أطعم</w:t>
      </w:r>
      <w:r>
        <w:rPr>
          <w:rFonts w:eastAsia="IRNazanin" w:cs="IRNazanin"/>
          <w:color w:val="111111"/>
          <w:sz w:val="28"/>
          <w:szCs w:val="28"/>
          <w:rtl w:val="true"/>
          <w:lang w:bidi="fa-IR"/>
        </w:rPr>
        <w:t>»</w:t>
      </w:r>
      <w:r>
        <w:rPr>
          <w:rStyle w:val="FootnoteAnchor"/>
          <w:rtl w:val="true"/>
        </w:rPr>
        <w:footnoteReference w:id="931"/>
      </w:r>
      <w:r>
        <w:rPr>
          <w:rFonts w:ascii="IRNazanin" w:hAnsi="IRNazanin" w:eastAsia="IRNazanin"/>
          <w:color w:val="111111"/>
          <w:sz w:val="28"/>
          <w:sz w:val="28"/>
          <w:szCs w:val="28"/>
          <w:rtl w:val="true"/>
          <w:lang w:bidi="fa-IR"/>
        </w:rPr>
        <w:t>و غیره</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تحمل روایة أبی خدیجة و الکاهلی علی الکراهة</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أکلها و عدم الکراهیة للوالدین و الأقرباء، و هذا یستفاد من کلمات أهل السنّة؛ لما روی عن عائشة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یطبخ جدولاً، لا یکسر عظم و یأکل و یطعم و یتصدّق</w:t>
      </w:r>
      <w:r>
        <w:rPr>
          <w:rStyle w:val="FootnoteAnchor"/>
          <w:rtl w:val="true"/>
        </w:rPr>
        <w:footnoteReference w:id="932"/>
      </w:r>
      <w:bookmarkStart w:id="416" w:name="pg11752_146227"/>
    </w:p>
    <w:p>
      <w:pPr>
        <w:pStyle w:val="Heading3"/>
        <w:numPr>
          <w:ilvl w:val="2"/>
          <w:numId w:val="1"/>
        </w:numPr>
        <w:rPr/>
      </w:pPr>
      <w:bookmarkStart w:id="417" w:name="__RefHeading___Toc9424090_73709187"/>
      <w:bookmarkStart w:id="418" w:name="_Toc159"/>
      <w:bookmarkEnd w:id="416"/>
      <w:bookmarkEnd w:id="417"/>
      <w:r>
        <w:rPr>
          <w:rtl w:val="true"/>
        </w:rPr>
        <w:t>الفصل التاسع فی الختان و ثقب الاُذن و الولیمة</w:t>
      </w:r>
      <w:bookmarkEnd w:id="418"/>
    </w:p>
    <w:p>
      <w:pPr>
        <w:pStyle w:val="Heading4"/>
        <w:numPr>
          <w:ilvl w:val="3"/>
          <w:numId w:val="1"/>
        </w:numPr>
        <w:rPr/>
      </w:pPr>
      <w:bookmarkStart w:id="419" w:name="__RefHeading___Toc9424092_73709187"/>
      <w:bookmarkStart w:id="420" w:name="_Toc160"/>
      <w:bookmarkEnd w:id="419"/>
      <w:r>
        <w:rPr>
          <w:rtl w:val="true"/>
        </w:rPr>
        <w:t>المبحث الأوّل</w:t>
      </w:r>
      <w:r>
        <w:rPr>
          <w:rtl w:val="true"/>
        </w:rPr>
        <w:t xml:space="preserve">: </w:t>
      </w:r>
      <w:r>
        <w:rPr>
          <w:rtl w:val="true"/>
        </w:rPr>
        <w:t>استحباب الختان فی الیوم السابع</w:t>
      </w:r>
      <w:bookmarkEnd w:id="420"/>
    </w:p>
    <w:p>
      <w:pPr>
        <w:pStyle w:val="Heading5"/>
        <w:numPr>
          <w:ilvl w:val="4"/>
          <w:numId w:val="1"/>
        </w:numPr>
        <w:rPr/>
      </w:pPr>
      <w:bookmarkStart w:id="421" w:name="__RefHeading___Toc9424094_73709187"/>
      <w:bookmarkStart w:id="422" w:name="_Toc161"/>
      <w:bookmarkEnd w:id="421"/>
      <w:r>
        <w:rPr>
          <w:rtl w:val="true"/>
        </w:rPr>
        <w:t>اشارة</w:t>
      </w:r>
      <w:bookmarkEnd w:id="422"/>
    </w:p>
    <w:p>
      <w:pPr>
        <w:pStyle w:val="BookText"/>
        <w:rPr/>
      </w:pPr>
      <w:r>
        <w:rPr>
          <w:rFonts w:ascii="IRNazanin" w:hAnsi="IRNazanin" w:eastAsia="IRNazanin"/>
          <w:color w:val="111111"/>
          <w:sz w:val="28"/>
          <w:sz w:val="28"/>
          <w:szCs w:val="28"/>
          <w:rtl w:val="true"/>
          <w:lang w:bidi="fa-IR"/>
        </w:rPr>
        <w:t>یستحبّ أن یختن الصبیّ فی الیوم السابع و یجوز التأخیر عنه</w:t>
      </w:r>
      <w:r>
        <w:rPr>
          <w:rStyle w:val="FootnoteAnchor"/>
          <w:rtl w:val="true"/>
        </w:rPr>
        <w:footnoteReference w:id="933"/>
      </w:r>
      <w:r>
        <w:rPr>
          <w:rFonts w:ascii="IRNazanin" w:hAnsi="IRNazanin" w:eastAsia="IRNazanin"/>
          <w:color w:val="111111"/>
          <w:sz w:val="28"/>
          <w:sz w:val="28"/>
          <w:szCs w:val="28"/>
          <w:rtl w:val="true"/>
          <w:lang w:bidi="fa-IR"/>
        </w:rPr>
        <w:t>، و الروایات الدالّة علی ذلک مستفیضة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السکونی،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طهّروا أولادکم یوم السابع، فإنّه أطیب و أطهر و أسرع لنبات اللحم، و إنّ الأرض تنجس من بول الأغلف أربعین صباحاً</w:t>
      </w:r>
      <w:r>
        <w:rPr>
          <w:rFonts w:eastAsia="IRNazanin" w:cs="IRNazanin"/>
          <w:color w:val="111111"/>
          <w:sz w:val="28"/>
          <w:szCs w:val="28"/>
          <w:rtl w:val="true"/>
          <w:lang w:bidi="fa-IR"/>
        </w:rPr>
        <w:t>»</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الصادق علیه السلام فی خبر مسعدة بن صدقة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اختنوا أولادکم لسبعة أیّام، فإنّه أطهر و أسرع لنبات اللحم، و إنّ الأرض لتکره بول الأغلف</w:t>
      </w:r>
      <w:r>
        <w:rPr>
          <w:rFonts w:eastAsia="IRNazanin" w:cs="IRNazanin"/>
          <w:color w:val="111111"/>
          <w:sz w:val="28"/>
          <w:szCs w:val="28"/>
          <w:rtl w:val="true"/>
          <w:lang w:bidi="fa-IR"/>
        </w:rPr>
        <w:t>»</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خبر آخر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ثقب أذن الغلام من السنّة، و ختان</w:t>
      </w:r>
      <w:bookmarkStart w:id="423" w:name="pg11752_146228"/>
    </w:p>
    <w:p>
      <w:pPr>
        <w:pStyle w:val="BookText"/>
        <w:rPr/>
      </w:pPr>
      <w:bookmarkEnd w:id="423"/>
      <w:r>
        <w:rPr>
          <w:rFonts w:ascii="Amiri" w:hAnsi="Amiri" w:eastAsia="Amiri" w:cs="Amiri"/>
          <w:color w:val="111111"/>
          <w:sz w:val="28"/>
          <w:sz w:val="28"/>
          <w:szCs w:val="28"/>
          <w:rtl w:val="true"/>
          <w:lang w:bidi="ar-SA"/>
        </w:rPr>
        <w:t>الغلام من السنّة</w:t>
      </w:r>
      <w:r>
        <w:rPr>
          <w:rFonts w:eastAsia="Amiri" w:cs="Amiri" w:ascii="Amiri" w:hAnsi="Amiri"/>
          <w:color w:val="111111"/>
          <w:sz w:val="28"/>
          <w:szCs w:val="28"/>
          <w:rtl w:val="true"/>
          <w:lang w:bidi="ar-SA"/>
        </w:rPr>
        <w:t>»</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یدلّ علی جواز تأخیر الختان من یوم السابع صحیحة علیّ بن یقطین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الحسن علیه السلام عن ختان الصبیّ لسبعة أیّام من السنّة هو أو یؤخّر، و أیّهما أفضل؟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لسبعة أیّام من السنّة و إن أخّر فلا بأس</w:t>
      </w:r>
      <w:r>
        <w:rPr>
          <w:rFonts w:eastAsia="IRNazanin" w:cs="IRNazanin"/>
          <w:color w:val="111111"/>
          <w:sz w:val="28"/>
          <w:szCs w:val="28"/>
          <w:rtl w:val="true"/>
          <w:lang w:bidi="fa-IR"/>
        </w:rPr>
        <w:t>»</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4" w:name="__RefHeading___Toc9424096_73709187"/>
      <w:bookmarkStart w:id="425" w:name="_Toc162"/>
      <w:bookmarkEnd w:id="424"/>
      <w:r>
        <w:rPr>
          <w:rtl w:val="true"/>
        </w:rPr>
        <w:t>جواز تأخیر الختان إلی البلوغ</w:t>
      </w:r>
      <w:bookmarkEnd w:id="425"/>
    </w:p>
    <w:p>
      <w:pPr>
        <w:pStyle w:val="BookText"/>
        <w:rPr/>
      </w:pPr>
      <w:r>
        <w:rPr>
          <w:rFonts w:ascii="IRNazanin" w:hAnsi="IRNazanin" w:eastAsia="IRNazanin"/>
          <w:color w:val="111111"/>
          <w:sz w:val="28"/>
          <w:sz w:val="28"/>
          <w:szCs w:val="28"/>
          <w:rtl w:val="true"/>
          <w:lang w:bidi="fa-IR"/>
        </w:rPr>
        <w:t>هل یجوز للولیّ تأخیر ختان ولده إلی البلوغ، بحیث إن لم یفعل إلی أن بلغ الصبیّ لم یأثم و یتعلّق الوجوب حینئذٍ بالولد، أو لا یجوز التأخیر و إن أخّر أثم؟</w:t>
      </w:r>
    </w:p>
    <w:p>
      <w:pPr>
        <w:pStyle w:val="BookText"/>
        <w:rPr/>
      </w:pP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أشهر القولین و أظهرهما؛ جواز التأخیر، وفاقاً لابن إدریس</w:t>
      </w:r>
      <w:r>
        <w:rPr>
          <w:rStyle w:val="FootnoteAnchor"/>
          <w:rtl w:val="true"/>
        </w:rPr>
        <w:footnoteReference w:id="938"/>
      </w:r>
      <w:r>
        <w:rPr>
          <w:rFonts w:ascii="IRNazanin" w:hAnsi="IRNazanin" w:eastAsia="IRNazanin"/>
          <w:color w:val="111111"/>
          <w:sz w:val="28"/>
          <w:sz w:val="28"/>
          <w:szCs w:val="28"/>
          <w:rtl w:val="true"/>
          <w:lang w:bidi="fa-IR"/>
        </w:rPr>
        <w:t>و الفاضل الهندی</w:t>
      </w:r>
      <w:r>
        <w:rPr>
          <w:rStyle w:val="FootnoteAnchor"/>
          <w:rtl w:val="true"/>
        </w:rPr>
        <w:footnoteReference w:id="939"/>
      </w:r>
      <w:r>
        <w:rPr>
          <w:rFonts w:ascii="IRNazanin" w:hAnsi="IRNazanin" w:eastAsia="IRNazanin"/>
          <w:color w:val="111111"/>
          <w:sz w:val="28"/>
          <w:sz w:val="28"/>
          <w:szCs w:val="28"/>
          <w:rtl w:val="true"/>
          <w:lang w:bidi="fa-IR"/>
        </w:rPr>
        <w:t>و المحدّث البحرانی</w:t>
      </w:r>
      <w:r>
        <w:rPr>
          <w:rStyle w:val="FootnoteAnchor"/>
          <w:rtl w:val="true"/>
        </w:rPr>
        <w:footnoteReference w:id="940"/>
      </w:r>
      <w:r>
        <w:rPr>
          <w:rFonts w:ascii="IRNazanin" w:hAnsi="IRNazanin" w:eastAsia="IRNazanin"/>
          <w:color w:val="111111"/>
          <w:sz w:val="28"/>
          <w:sz w:val="28"/>
          <w:szCs w:val="28"/>
          <w:rtl w:val="true"/>
          <w:lang w:bidi="fa-IR"/>
        </w:rPr>
        <w:t>و غیرهم</w:t>
      </w:r>
      <w:r>
        <w:rPr>
          <w:rStyle w:val="FootnoteAnchor"/>
          <w:rtl w:val="true"/>
        </w:rPr>
        <w:footnoteReference w:id="941"/>
      </w:r>
      <w:r>
        <w:rPr>
          <w:rFonts w:ascii="IRNazanin" w:hAnsi="IRNazanin" w:eastAsia="IRNazanin"/>
          <w:color w:val="111111"/>
          <w:sz w:val="28"/>
          <w:sz w:val="28"/>
          <w:szCs w:val="28"/>
          <w:rtl w:val="true"/>
          <w:lang w:bidi="fa-IR"/>
        </w:rPr>
        <w:t>؛ للأصل، لأنّ الأصل براءة ذمّة الولی من فعله، و إطلاق قوله علیه السلام فی صحیحة ابن یقطین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أخّر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احتمل أن یقال من أنّ الظاهر من الصحیحة عدم البأس فی التأخیر عن یوم السابع، و لکن التمسّک بالأصل أقوی حتّی یقوم دلیل علی خلافه</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التأخیر، و بهذا القول صرّح العلاّمة فی التحریر</w:t>
      </w:r>
      <w:r>
        <w:rPr>
          <w:rStyle w:val="FootnoteAnchor"/>
          <w:rtl w:val="true"/>
        </w:rPr>
        <w:footnoteReference w:id="942"/>
      </w:r>
      <w:bookmarkStart w:id="426" w:name="pg11752_146229"/>
    </w:p>
    <w:p>
      <w:pPr>
        <w:pStyle w:val="BookText"/>
        <w:rPr/>
      </w:pPr>
      <w:bookmarkEnd w:id="426"/>
      <w:r>
        <w:rPr>
          <w:rFonts w:ascii="IRNazanin" w:hAnsi="IRNazanin" w:eastAsia="IRNazanin"/>
          <w:color w:val="111111"/>
          <w:sz w:val="28"/>
          <w:sz w:val="28"/>
          <w:szCs w:val="28"/>
          <w:rtl w:val="true"/>
          <w:lang w:bidi="fa-IR"/>
        </w:rPr>
        <w:t>و وجه هذا القول شمول إطلاق الأمر فی الروایات المتقدّمة و غیرها للولیّ‌</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فی الروایات المتقدّمة قبل بلوغ الولد محمول علی الاستحباب سیّما بالنظر إلی التعلیلات التی اشتملت علیها تلک الأخبار؛ و لأنّ فی بعض الأخبار أنّه من السنّة</w:t>
      </w:r>
      <w:r>
        <w:rPr>
          <w:rStyle w:val="FootnoteAnchor"/>
          <w:rtl w:val="true"/>
        </w:rPr>
        <w:footnoteReference w:id="9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السنّة فی نصّها أعمّ من الواجب إلاّ أنّه مقرون بثقب الأذن، المتعیّن حمله علی الاستحباب</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7" w:name="__RefHeading___Toc9424098_73709187"/>
      <w:bookmarkStart w:id="428" w:name="_Toc163"/>
      <w:bookmarkEnd w:id="427"/>
      <w:r>
        <w:rPr>
          <w:rtl w:val="true"/>
        </w:rPr>
        <w:t>وجوب الختان بعد البلوغ</w:t>
      </w:r>
      <w:bookmarkEnd w:id="428"/>
    </w:p>
    <w:p>
      <w:pPr>
        <w:pStyle w:val="BookText"/>
        <w:rPr/>
      </w:pPr>
      <w:r>
        <w:rPr>
          <w:rFonts w:ascii="IRNazanin" w:hAnsi="IRNazanin" w:eastAsia="IRNazanin"/>
          <w:color w:val="111111"/>
          <w:sz w:val="28"/>
          <w:sz w:val="28"/>
          <w:szCs w:val="28"/>
          <w:rtl w:val="true"/>
          <w:lang w:bidi="fa-IR"/>
        </w:rPr>
        <w:t>إذا بلغ الصبیّ و لم یختن وجب أن یختن نفسه و لا یجوز ترکه علی حالٍ، و من ذلک متی أسلم کافر غیر مختتن وجب أن یختن و لو کان مُسنّاً</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یدلّ علی ذلک الإجماع بقسمیه، و بالضرورة من المذهب و الدین</w:t>
      </w:r>
      <w:r>
        <w:rPr>
          <w:rStyle w:val="FootnoteAnchor"/>
          <w:rtl w:val="true"/>
        </w:rPr>
        <w:footnoteReference w:id="947"/>
      </w:r>
      <w:r>
        <w:rPr>
          <w:rFonts w:ascii="IRNazanin" w:hAnsi="IRNazanin" w:eastAsia="IRNazanin"/>
          <w:color w:val="111111"/>
          <w:sz w:val="28"/>
          <w:sz w:val="28"/>
          <w:szCs w:val="28"/>
          <w:rtl w:val="true"/>
          <w:lang w:bidi="fa-IR"/>
        </w:rPr>
        <w:t>و کذا 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السکونی،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أسلم الرجل اختتن و لو بلغ ثمانین سنة</w:t>
      </w:r>
      <w:r>
        <w:rPr>
          <w:rFonts w:eastAsia="IRNazanin" w:cs="IRNazanin"/>
          <w:color w:val="111111"/>
          <w:sz w:val="28"/>
          <w:szCs w:val="28"/>
          <w:rtl w:val="true"/>
          <w:lang w:bidi="fa-IR"/>
        </w:rPr>
        <w:t>»</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غیاث بن إبراهیم، عن جعفر بن محمد، عن أبیه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بأس بأن لا تختتن المرأة، فأمّا الرجل فلا بدّ منه</w:t>
      </w:r>
      <w:r>
        <w:rPr>
          <w:rFonts w:eastAsia="IRNazanin" w:cs="IRNazanin"/>
          <w:color w:val="111111"/>
          <w:sz w:val="28"/>
          <w:szCs w:val="28"/>
          <w:rtl w:val="true"/>
          <w:lang w:bidi="fa-IR"/>
        </w:rPr>
        <w:t>»</w:t>
      </w:r>
      <w:r>
        <w:rPr>
          <w:rStyle w:val="FootnoteAnchor"/>
          <w:rtl w:val="true"/>
        </w:rPr>
        <w:footnoteReference w:id="949"/>
      </w:r>
      <w:bookmarkStart w:id="429" w:name="pg11752_146230"/>
    </w:p>
    <w:p>
      <w:pPr>
        <w:pStyle w:val="BookText"/>
        <w:rPr/>
      </w:pPr>
      <w:bookmarkEnd w:id="429"/>
      <w:r>
        <w:rPr>
          <w:rFonts w:ascii="IRNazanin" w:hAnsi="IRNazanin" w:eastAsia="IRNazanin"/>
          <w:color w:val="111111"/>
          <w:sz w:val="28"/>
          <w:sz w:val="28"/>
          <w:szCs w:val="28"/>
          <w:rtl w:val="true"/>
          <w:lang w:bidi="fa-IR"/>
        </w:rPr>
        <w:t>إلی غیر ذلک من الروایات، و قدر الواجب فی الرجل أن یقطع الجلدة التی تستر الحشفة حتّی تنکشف الحشفة فلا یبقی منها ما کان مستوراً</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0" w:name="__RefHeading___Toc9424100_73709187"/>
      <w:bookmarkStart w:id="431" w:name="_Toc164"/>
      <w:bookmarkEnd w:id="430"/>
      <w:r>
        <w:rPr>
          <w:rtl w:val="true"/>
        </w:rPr>
        <w:t>الدعاء عند الختان</w:t>
      </w:r>
      <w:bookmarkEnd w:id="431"/>
    </w:p>
    <w:p>
      <w:pPr>
        <w:pStyle w:val="BookText"/>
        <w:rPr/>
      </w:pPr>
      <w:r>
        <w:rPr>
          <w:rFonts w:ascii="IRNazanin" w:hAnsi="IRNazanin" w:eastAsia="IRNazanin"/>
          <w:color w:val="111111"/>
          <w:sz w:val="28"/>
          <w:sz w:val="28"/>
          <w:szCs w:val="28"/>
          <w:rtl w:val="true"/>
          <w:lang w:bidi="fa-IR"/>
        </w:rPr>
        <w:t>و یستحبّ الدعاء وقت ختن الصبی بما رواه فی الفقیه، عن مرازم بن حکیم، عن أبی عبد اللّه علیه السلام فی الصبیّ إذا ختن،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هذه سنّتک و سنّة نبیّک صلواتک علیه و آله و اتّباع منّا لک و لنبیّک بمشیئتک و بإرادتک و قضائک لأمرٍ أردته و قضاءٍ حتمته و أمر أنفذته، فأذقته حرّ الحدید فی ختانه و حجامته لأمرٍ أنت أعرف به منّی، اللهمّ فطهِّره من الذنوب، و زد فی عمره، و ادفع الآفات عن بدنه، و الأوجاع عن جسمه، و زده من الغنی و ادفع عنه الفقر فإنّک تعلم و لا نعلم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رجل لم یقلها عند ختان ولده فلیقلها علیه من قبل أن یحتلم، فإن قالها کفی حرّ الحدید من قتل أو غیره</w:t>
      </w:r>
      <w:r>
        <w:rPr>
          <w:rFonts w:eastAsia="IRNazanin" w:cs="IRNazanin"/>
          <w:color w:val="111111"/>
          <w:sz w:val="28"/>
          <w:szCs w:val="28"/>
          <w:rtl w:val="true"/>
          <w:lang w:bidi="fa-IR"/>
        </w:rPr>
        <w:t>»</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2" w:name="__RefHeading___Toc9424102_73709187"/>
      <w:bookmarkStart w:id="433" w:name="_Toc165"/>
      <w:bookmarkEnd w:id="432"/>
      <w:r>
        <w:rPr>
          <w:rtl w:val="true"/>
        </w:rPr>
        <w:t>الختان عند أهل السنّة</w:t>
      </w:r>
      <w:bookmarkEnd w:id="433"/>
    </w:p>
    <w:p>
      <w:pPr>
        <w:pStyle w:val="BookText"/>
        <w:rPr/>
      </w:pPr>
      <w:r>
        <w:rPr>
          <w:rFonts w:ascii="IRNazanin" w:hAnsi="IRNazanin" w:eastAsia="IRNazanin"/>
          <w:color w:val="111111"/>
          <w:sz w:val="28"/>
          <w:sz w:val="28"/>
          <w:szCs w:val="28"/>
          <w:rtl w:val="true"/>
          <w:lang w:bidi="fa-IR"/>
        </w:rPr>
        <w:t>و اختلفت الفقهاء من أهل السنّة فی وجوب الختان و استحبابه و وقته علی أقوال</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الختان سنّة مؤکّدة عند المالکیة و الحنفیة للذکور، و إن بلغ الشخص قبل الختان لا یجوز للبالغ أن یکشف عورته لغیره لأجل الختان، بل إن لم یمکنه الفعل بنفسه سقطت السنة</w:t>
      </w:r>
      <w:r>
        <w:rPr>
          <w:rStyle w:val="FootnoteAnchor"/>
          <w:rtl w:val="true"/>
        </w:rPr>
        <w:footnoteReference w:id="952"/>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الشافعیة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الختان فرض علی الذکور و الإناث</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الختان واجب علی الرجال</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ذهب الشافعیة و الحنابلة إلی أنّ الوقت الذی یصیر فیه الختان واجباً هو ما بعد البلوغ؛ لأنّ الختان من أجل الطهارة، و هی لا تجب علیه قبله، و یستحبّ ختانه فی الصغر إلی سنّ التمییز؛ لأنّه أرفق به، و لأنّه أسرع برءا</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استدلّوا علی وجوب الختان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أَوْحَیْنا إِلَیْکَ أَنِ اتَّبِعْ مِلَّةَ إِبْراهِیمَ حَنِیفاً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الختان، و قد اختتن و هو ابن ثمانین سنة</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 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الآیة صریحة فی اتّباعه فیما فعله إلاّ ما قام الدلیل علی أنّه سنّة فی حقّنا و هی المضمضة و الاستنشاق و قصّ الشارب و فرق الرأس و قلم الأظفار و نتف الإبط و حلق العانة و الاستنجاء و الختان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الذین اعتقدوا أنّ الختان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دلالة فی الآیة علی وجوب الختان؛ لأنّا أمرنا بالتدیّن بدینه، فما فعله معتقداً وجوبه فعلناه معتقدین وجوبه، و ما فعله معتقداً ندبه فعلناه معتقدین ندبه، و لم یعلم أنّه کان یعتقده واجباً</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اختلفوا فی وقته؛ فالحنابلة و المالکیة و الحنفیة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الختان یوم السابع؛ لأنّه من فعل الیهود، و یستحبّ أن یؤخّر الختان حتّی یؤمر الصبیّ بالصلاة و ذلک من السبع إلی العشر؛ و لذا قال الأجهوری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سابع المولود ندباً یفعل عقیقة و حلق رأس أوّل</w:t>
      </w:r>
    </w:p>
    <w:p>
      <w:pPr>
        <w:pStyle w:val="BookText"/>
        <w:rPr/>
      </w:pPr>
      <w:r>
        <w:rPr>
          <w:rFonts w:ascii="IRNazanin" w:hAnsi="IRNazanin" w:eastAsia="IRNazanin"/>
          <w:color w:val="111111"/>
          <w:sz w:val="28"/>
          <w:sz w:val="28"/>
          <w:szCs w:val="28"/>
          <w:rtl w:val="true"/>
          <w:lang w:bidi="fa-IR"/>
        </w:rPr>
        <w:t>و وزنه نقداً تصدّقن به و سمّه و إن یمت من قبله</w:t>
      </w:r>
    </w:p>
    <w:p>
      <w:pPr>
        <w:pStyle w:val="BookText"/>
        <w:rPr/>
      </w:pPr>
      <w:r>
        <w:rPr>
          <w:rFonts w:ascii="Amiri" w:hAnsi="Amiri" w:eastAsia="Amiri" w:cs="Amiri"/>
          <w:color w:val="111111"/>
          <w:sz w:val="28"/>
          <w:sz w:val="28"/>
          <w:szCs w:val="28"/>
          <w:rtl w:val="true"/>
          <w:lang w:bidi="ar-SA"/>
        </w:rPr>
        <w:t>إن عنه قد عقّ و إلاّ سمّی فی أیّ یوم شاءه المسمّی</w:t>
      </w:r>
    </w:p>
    <w:p>
      <w:pPr>
        <w:pStyle w:val="BookText"/>
        <w:rPr/>
      </w:pPr>
      <w:r>
        <w:rPr>
          <w:rFonts w:ascii="IRNazanin" w:hAnsi="IRNazanin" w:eastAsia="IRNazanin"/>
          <w:color w:val="111111"/>
          <w:sz w:val="28"/>
          <w:sz w:val="28"/>
          <w:szCs w:val="28"/>
          <w:rtl w:val="true"/>
          <w:lang w:bidi="fa-IR"/>
        </w:rPr>
        <w:t>کلّ ذا فی سابع و الختن فی زمان الأمر بالصلاة فاعرف</w:t>
      </w:r>
      <w:r>
        <w:rPr>
          <w:rStyle w:val="FootnoteAnchor"/>
          <w:rtl w:val="true"/>
        </w:rPr>
        <w:footnoteReference w:id="958"/>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الشافعیة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یسنّ أن یختن فی الیوم السابع؛ لأنّه صلی الله علیه و آله ختن الحسن و الحسین یوم سابعهما و یکره قبل السابع، فإن أخّر عنه ففی الأربعین و إلاّ ففی السنة السابعة؛ لأنّها وقت أمره بالصلاة، فإن ضعف بدنه عن الختانة فی السابع أخّر حتّی یقوی علیها</w:t>
      </w:r>
      <w:r>
        <w:rPr>
          <w:rStyle w:val="FootnoteAnchor"/>
          <w:rtl w:val="true"/>
        </w:rPr>
        <w:footnoteReference w:id="959"/>
      </w:r>
      <w:bookmarkStart w:id="434" w:name="pg11752_146233"/>
    </w:p>
    <w:p>
      <w:pPr>
        <w:pStyle w:val="Heading4"/>
        <w:numPr>
          <w:ilvl w:val="3"/>
          <w:numId w:val="1"/>
        </w:numPr>
        <w:rPr/>
      </w:pPr>
      <w:bookmarkStart w:id="435" w:name="__RefHeading___Toc9424104_73709187"/>
      <w:bookmarkStart w:id="436" w:name="_Toc166"/>
      <w:bookmarkEnd w:id="434"/>
      <w:bookmarkEnd w:id="435"/>
      <w:r>
        <w:rPr>
          <w:rtl w:val="true"/>
        </w:rPr>
        <w:t>المبحث الثانی</w:t>
      </w:r>
      <w:r>
        <w:rPr>
          <w:rtl w:val="true"/>
        </w:rPr>
        <w:t xml:space="preserve">: </w:t>
      </w:r>
      <w:r>
        <w:rPr>
          <w:rtl w:val="true"/>
        </w:rPr>
        <w:t>استحباب الخفض و الختان فی النساء</w:t>
      </w:r>
      <w:bookmarkEnd w:id="436"/>
    </w:p>
    <w:p>
      <w:pPr>
        <w:pStyle w:val="Heading5"/>
        <w:numPr>
          <w:ilvl w:val="4"/>
          <w:numId w:val="1"/>
        </w:numPr>
        <w:rPr/>
      </w:pPr>
      <w:bookmarkStart w:id="437" w:name="__RefHeading___Toc9424106_73709187"/>
      <w:bookmarkStart w:id="438" w:name="_Toc167"/>
      <w:bookmarkEnd w:id="437"/>
      <w:r>
        <w:rPr>
          <w:rtl w:val="true"/>
        </w:rPr>
        <w:t>اشارة</w:t>
      </w:r>
      <w:bookmarkEnd w:id="438"/>
    </w:p>
    <w:p>
      <w:pPr>
        <w:pStyle w:val="BookText"/>
        <w:rPr/>
      </w:pPr>
      <w:r>
        <w:rPr>
          <w:rStyle w:val="FootnoteAnchor"/>
          <w:rtl w:val="true"/>
        </w:rPr>
        <w:footnoteReference w:id="9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بین الأصحاب فی استحباب خفض الجواری و الختان فی النساء فإن فعل کان فیه فضل کبیر، فهو مکرمة و موجبة لحسنها و کرامتها عند زواجها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بواجب عندنا إجماعاً لا علی الولیّ قبل البلوغ و لا علیهنّ بعده</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یستحبّ للمرأة أن تخفض نفسها إذا بلغت أو أسلمت غیر مخفوضة؛ لما روی محمد بن مسلم فی الصحیح،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هاجرن النساء إلی رسول اللّه صلی الله علیه و آله هاجرت فیهنّ امرأة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حبیب و کانت خافضة تخفض الجواری، فلمّا رآها رسول اللّه صلی الله علیه و آله 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أُمّ حبیب العمل الذی کان فی یدک هو فی یدک الیوم؟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رسول اللّه إلاّ أن یکون حراماً فتنهانی عنه،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بل حلال فادنی منّی حتّی أعلّمک،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فدنوت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 حبیب إذا أنت فعلت فلا تنهکی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تستأصلی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أشمّی فإنّه أشرق للوجه و أحظی عند الزوج</w:t>
      </w:r>
      <w:r>
        <w:rPr>
          <w:rFonts w:eastAsia="IRNazanin" w:cs="IRNazanin"/>
          <w:color w:val="111111"/>
          <w:sz w:val="28"/>
          <w:szCs w:val="28"/>
          <w:rtl w:val="true"/>
          <w:lang w:bidi="fa-IR"/>
        </w:rPr>
        <w:t>»</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مسعدة بن صدقة،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خفض الجاریة مکرمة، و لیست من السنّة و لا شیئاً واجباً، و أیّ شیء أفضل من المکرمة؟</w:t>
      </w:r>
      <w:r>
        <w:rPr>
          <w:rFonts w:eastAsia="IRNazanin" w:cs="IRNazanin"/>
          <w:color w:val="111111"/>
          <w:sz w:val="28"/>
          <w:szCs w:val="28"/>
          <w:rtl w:val="true"/>
          <w:lang w:bidi="fa-IR"/>
        </w:rPr>
        <w:t>»</w:t>
      </w:r>
      <w:r>
        <w:rPr>
          <w:rStyle w:val="FootnoteAnchor"/>
          <w:rtl w:val="true"/>
        </w:rPr>
        <w:footnoteReference w:id="9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موجبة</w:t>
      </w:r>
      <w:bookmarkStart w:id="439" w:name="pg11752_146234"/>
    </w:p>
    <w:p>
      <w:pPr>
        <w:pStyle w:val="BookText"/>
        <w:rPr/>
      </w:pPr>
      <w:bookmarkEnd w:id="439"/>
      <w:r>
        <w:rPr>
          <w:rFonts w:ascii="IRNazanin" w:hAnsi="IRNazanin" w:eastAsia="IRNazanin"/>
          <w:color w:val="111111"/>
          <w:sz w:val="28"/>
          <w:sz w:val="28"/>
          <w:szCs w:val="28"/>
          <w:rtl w:val="true"/>
          <w:lang w:bidi="fa-IR"/>
        </w:rPr>
        <w:t>لحسنها، و لیست من السنن، أی لا یجب علیهنّ، و لیس سنّة مؤکدة فیهنّ فلا ینافی استحبابه</w:t>
      </w:r>
      <w:r>
        <w:rPr>
          <w:rStyle w:val="FootnoteAnchor"/>
          <w:rtl w:val="true"/>
        </w:rPr>
        <w:footnoteReference w:id="9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أیّ شیء أفضل من المکرمة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 بالاستحباب فی الجملة</w:t>
      </w:r>
      <w:r>
        <w:rPr>
          <w:rStyle w:val="FootnoteAnchor"/>
          <w:rtl w:val="true"/>
        </w:rPr>
        <w:footnoteReference w:id="9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من الروایات، حتّی ادّعی بعض الفقهاء استفاضتها أو تواترها</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أنّ وقت الخفض فی النساء بلوغ سبع سنین کما قال به بعض الفقهاء</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فی خبر وهب، عن جعفر، عن أبیه، عن علی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تخفض الجاریة حتّی تبلغ سبع سنین</w:t>
      </w:r>
      <w:r>
        <w:rPr>
          <w:rFonts w:eastAsia="IRNazanin" w:cs="IRNazanin"/>
          <w:color w:val="111111"/>
          <w:sz w:val="28"/>
          <w:szCs w:val="28"/>
          <w:rtl w:val="true"/>
          <w:lang w:bidi="fa-IR"/>
        </w:rPr>
        <w:t>»</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0" w:name="__RefHeading___Toc9424108_73709187"/>
      <w:bookmarkStart w:id="441" w:name="_Toc168"/>
      <w:bookmarkEnd w:id="440"/>
      <w:r>
        <w:rPr>
          <w:rtl w:val="true"/>
        </w:rPr>
        <w:t>الخفض عند أهل السنّة</w:t>
      </w:r>
      <w:bookmarkEnd w:id="441"/>
    </w:p>
    <w:p>
      <w:pPr>
        <w:pStyle w:val="BookText"/>
        <w:rPr/>
      </w:pPr>
      <w:r>
        <w:rPr>
          <w:rFonts w:ascii="IRNazanin" w:hAnsi="IRNazanin" w:eastAsia="IRNazanin"/>
          <w:color w:val="111111"/>
          <w:sz w:val="28"/>
          <w:sz w:val="28"/>
          <w:szCs w:val="28"/>
          <w:rtl w:val="true"/>
          <w:lang w:bidi="fa-IR"/>
        </w:rPr>
        <w:t>و أمّا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اختلفوا فی وجوب الخفض و ندبه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المالکیة و الحنفیة و الحنابلة أنّ الخفض فی النساء مندوب و مکرمة؛ لقوله صلی الله علیه و آله لمن تخفض الإناث</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اخفضی و لا تنهکی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تجوری فی قطع اللحمة الناتئة بین الشفرین فوق الفرج، فإنّه یضعّف بریق الوجه و لذّة الجماع</w:t>
      </w:r>
      <w:r>
        <w:rPr>
          <w:rStyle w:val="FootnoteAnchor"/>
          <w:rtl w:val="true"/>
        </w:rPr>
        <w:footnoteReference w:id="968"/>
      </w:r>
      <w:r>
        <w:rPr>
          <w:rFonts w:ascii="Amiri" w:hAnsi="Amiri" w:eastAsia="Amiri" w:cs="Amiri"/>
          <w:color w:val="111111"/>
          <w:sz w:val="28"/>
          <w:sz w:val="28"/>
          <w:szCs w:val="28"/>
          <w:rtl w:val="true"/>
          <w:lang w:bidi="ar-SA"/>
        </w:rPr>
        <w:t>، و أمّا الشافعیة فقد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الخفض؛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أَوْحَیْنا إِلَیْکَ أَنِ اتَّبِعْ مِلَّةَ إِبْراهِیمَ حَنِیفاً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الختان</w:t>
      </w:r>
      <w:r>
        <w:rPr>
          <w:rStyle w:val="FootnoteAnchor"/>
          <w:rtl w:val="true"/>
        </w:rPr>
        <w:footnoteReference w:id="969"/>
      </w:r>
      <w:bookmarkStart w:id="442" w:name="pg11752_146235"/>
    </w:p>
    <w:p>
      <w:pPr>
        <w:pStyle w:val="Heading4"/>
        <w:numPr>
          <w:ilvl w:val="3"/>
          <w:numId w:val="1"/>
        </w:numPr>
        <w:rPr/>
      </w:pPr>
      <w:bookmarkStart w:id="443" w:name="__RefHeading___Toc9424110_73709187"/>
      <w:bookmarkStart w:id="444" w:name="_Toc169"/>
      <w:bookmarkEnd w:id="442"/>
      <w:bookmarkEnd w:id="443"/>
      <w:r>
        <w:rPr>
          <w:rtl w:val="true"/>
        </w:rPr>
        <w:t>المبحث الثالث</w:t>
      </w:r>
      <w:r>
        <w:rPr>
          <w:rtl w:val="true"/>
        </w:rPr>
        <w:t xml:space="preserve">: </w:t>
      </w:r>
      <w:r>
        <w:rPr>
          <w:rtl w:val="true"/>
        </w:rPr>
        <w:t>استحباب ثقب أُذن المولود</w:t>
      </w:r>
      <w:bookmarkEnd w:id="444"/>
    </w:p>
    <w:p>
      <w:pPr>
        <w:pStyle w:val="Heading5"/>
        <w:numPr>
          <w:ilvl w:val="4"/>
          <w:numId w:val="1"/>
        </w:numPr>
        <w:rPr/>
      </w:pPr>
      <w:bookmarkStart w:id="445" w:name="__RefHeading___Toc9424112_73709187"/>
      <w:bookmarkStart w:id="446" w:name="_Toc170"/>
      <w:bookmarkEnd w:id="445"/>
      <w:r>
        <w:rPr>
          <w:rtl w:val="true"/>
        </w:rPr>
        <w:t>اشارة</w:t>
      </w:r>
      <w:bookmarkEnd w:id="446"/>
    </w:p>
    <w:p>
      <w:pPr>
        <w:pStyle w:val="BookText"/>
        <w:rPr/>
      </w:pPr>
      <w:r>
        <w:rPr>
          <w:rFonts w:ascii="IRNazanin" w:hAnsi="IRNazanin" w:eastAsia="IRNazanin"/>
          <w:color w:val="111111"/>
          <w:sz w:val="28"/>
          <w:sz w:val="28"/>
          <w:szCs w:val="28"/>
          <w:rtl w:val="true"/>
          <w:lang w:bidi="fa-IR"/>
        </w:rPr>
        <w:t>و یستحبّ ثقب أذن المولود فی یوم السابع</w:t>
      </w:r>
      <w:r>
        <w:rPr>
          <w:rStyle w:val="FootnoteAnchor"/>
          <w:rtl w:val="true"/>
        </w:rPr>
        <w:footnoteReference w:id="970"/>
      </w:r>
      <w:r>
        <w:rPr>
          <w:rFonts w:ascii="IRNazanin" w:hAnsi="IRNazanin" w:eastAsia="IRNazanin"/>
          <w:color w:val="111111"/>
          <w:sz w:val="28"/>
          <w:sz w:val="28"/>
          <w:szCs w:val="28"/>
          <w:rtl w:val="true"/>
          <w:lang w:bidi="fa-IR"/>
        </w:rPr>
        <w:t>، و ادّعی بعض الفقهاء إجماع أصحابنا و استفاضة الأخبار فیه</w:t>
      </w:r>
      <w:r>
        <w:rPr>
          <w:rStyle w:val="FootnoteAnchor"/>
          <w:rtl w:val="true"/>
        </w:rPr>
        <w:footnoteReference w:id="971"/>
      </w:r>
      <w:r>
        <w:rPr>
          <w:rFonts w:ascii="IRNazanin" w:hAnsi="IRNazanin" w:eastAsia="IRNazanin"/>
          <w:color w:val="111111"/>
          <w:sz w:val="28"/>
          <w:sz w:val="28"/>
          <w:szCs w:val="28"/>
          <w:rtl w:val="true"/>
          <w:lang w:bidi="fa-IR"/>
        </w:rPr>
        <w:t>و التی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عبد اللّه بن سنان فی الصحیح، 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ثقب أذن الغلام من السنّة</w:t>
      </w:r>
      <w:r>
        <w:rPr>
          <w:rFonts w:eastAsia="IRNazanin" w:cs="IRNazanin"/>
          <w:color w:val="111111"/>
          <w:sz w:val="28"/>
          <w:szCs w:val="28"/>
          <w:rtl w:val="true"/>
          <w:lang w:bidi="fa-IR"/>
        </w:rPr>
        <w:t>»</w:t>
      </w:r>
      <w:r>
        <w:rPr>
          <w:rStyle w:val="FootnoteAnchor"/>
          <w:rtl w:val="true"/>
        </w:rPr>
        <w:footnoteReference w:id="9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 غیره</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الصدوق، عن السکونی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فاطمة اثقبی أذنی الحسن و الحسین علیهما السلام خلافاً للیهود</w:t>
      </w:r>
      <w:r>
        <w:rPr>
          <w:rFonts w:eastAsia="IRNazanin" w:cs="IRNazanin"/>
          <w:color w:val="111111"/>
          <w:sz w:val="28"/>
          <w:szCs w:val="28"/>
          <w:rtl w:val="true"/>
          <w:lang w:bidi="fa-IR"/>
        </w:rPr>
        <w:t>»</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یستحبّ أن تثقب أذنه، فالیمنی فی شحمتها و الیسری فی أعلاها</w:t>
      </w:r>
      <w:r>
        <w:rPr>
          <w:rStyle w:val="FootnoteAnchor"/>
          <w:rtl w:val="true"/>
        </w:rPr>
        <w:footnoteReference w:id="975"/>
      </w:r>
      <w:r>
        <w:rPr>
          <w:rFonts w:ascii="IRNazanin" w:hAnsi="IRNazanin" w:eastAsia="IRNazanin"/>
          <w:color w:val="111111"/>
          <w:sz w:val="28"/>
          <w:sz w:val="28"/>
          <w:szCs w:val="28"/>
          <w:rtl w:val="true"/>
          <w:lang w:bidi="fa-IR"/>
        </w:rPr>
        <w:t>کما فی خبر حسین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الرضا علیه السلام عن التهنئة بالولد متی؟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ولد الحسن بن علیّ علیهما السلام هبط جبرئیل بالتهنئة علی النبیّ صلی الله علیه و آله فی الیوم السابع، و أمره أن یسمّیه و یکنّیه و یحلق رأسه و یعقّ عنه و یثقب أذنه، و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ولد الحسین علیه السلام أتاه فی الیوم السابع فأمره بمثل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لهما ذؤابتان فی القرن الأیسر، و کان الثقب فی الأذن الیمنی فی شحمة الأذن، و فی الیسری</w:t>
      </w:r>
      <w:bookmarkStart w:id="447" w:name="pg11752_146236"/>
    </w:p>
    <w:p>
      <w:pPr>
        <w:pStyle w:val="BookText"/>
        <w:rPr/>
      </w:pPr>
      <w:bookmarkEnd w:id="447"/>
      <w:r>
        <w:rPr>
          <w:rFonts w:ascii="IRNazanin" w:hAnsi="IRNazanin" w:eastAsia="IRNazanin"/>
          <w:color w:val="111111"/>
          <w:sz w:val="28"/>
          <w:sz w:val="28"/>
          <w:szCs w:val="28"/>
          <w:rtl w:val="true"/>
          <w:lang w:bidi="fa-IR"/>
        </w:rPr>
        <w:t>فی أعلی الأذن، فالقِرْط فی الیمنی و الشنف</w:t>
      </w:r>
      <w:r>
        <w:rPr>
          <w:rStyle w:val="FootnoteAnchor"/>
          <w:rtl w:val="true"/>
        </w:rPr>
        <w:footnoteReference w:id="976"/>
      </w:r>
      <w:r>
        <w:rPr>
          <w:rFonts w:ascii="IRNazanin" w:hAnsi="IRNazanin" w:eastAsia="IRNazanin"/>
          <w:color w:val="111111"/>
          <w:sz w:val="28"/>
          <w:sz w:val="28"/>
          <w:szCs w:val="28"/>
          <w:rtl w:val="true"/>
          <w:lang w:bidi="fa-IR"/>
        </w:rPr>
        <w:t>فی الیسری</w:t>
      </w:r>
      <w:r>
        <w:rPr>
          <w:rFonts w:eastAsia="IRNazanin" w:cs="IRNazanin"/>
          <w:color w:val="111111"/>
          <w:sz w:val="28"/>
          <w:szCs w:val="28"/>
          <w:rtl w:val="true"/>
          <w:lang w:bidi="fa-IR"/>
        </w:rPr>
        <w:t>»</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8" w:name="__RefHeading___Toc9424114_73709187"/>
      <w:bookmarkStart w:id="449" w:name="_Toc171"/>
      <w:bookmarkEnd w:id="448"/>
      <w:r>
        <w:rPr>
          <w:rtl w:val="true"/>
        </w:rPr>
        <w:t>ثقب الاُذن عند فقهاء أهل السنّة</w:t>
      </w:r>
      <w:bookmarkEnd w:id="449"/>
    </w:p>
    <w:p>
      <w:pPr>
        <w:pStyle w:val="BookText"/>
        <w:rPr/>
      </w:pP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ثقب أذن المولود إذا کان أنثی، نصّ علیه الإمام أحمد، کما ذکر ذلک ابن القیّم،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الإمام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کراهته فی حقّ الصبیّ</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الفرق بین الاُنثی و الذکر حیث یجوز ثقب أذن الأنثی و یکره فی حقّ الذکر، أنّ الاُنثی یباح فی حقّها التزیّن، و تحتاج إلیه و ترغب فیه بطبیعتها، و قد أذن لها الشرع بذلک، و من مواضع الزینة و التزیّن الأذن، حیث یعلّق بها القرط و الحُلی المناسبة لها، فکان الثقب فی الأذن وسیلة لوضع الحلیة فیها بتعلیقها بها، و الصبیّ لا یحتاج إلی ذلک، فلا حاجة لثقب أذنه</w:t>
      </w:r>
      <w:r>
        <w:rPr>
          <w:rStyle w:val="FootnoteAnchor"/>
          <w:rtl w:val="true"/>
        </w:rPr>
        <w:footnoteReference w:id="978"/>
      </w:r>
      <w:bookmarkStart w:id="450" w:name="pg11752_146237"/>
    </w:p>
    <w:p>
      <w:pPr>
        <w:pStyle w:val="Heading4"/>
        <w:numPr>
          <w:ilvl w:val="3"/>
          <w:numId w:val="1"/>
        </w:numPr>
        <w:rPr/>
      </w:pPr>
      <w:bookmarkStart w:id="451" w:name="__RefHeading___Toc9424116_73709187"/>
      <w:bookmarkStart w:id="452" w:name="_Toc172"/>
      <w:bookmarkEnd w:id="450"/>
      <w:bookmarkEnd w:id="451"/>
      <w:r>
        <w:rPr>
          <w:rtl w:val="true"/>
        </w:rPr>
        <w:t>المبحث الرابع</w:t>
      </w:r>
      <w:r>
        <w:rPr>
          <w:rtl w:val="true"/>
        </w:rPr>
        <w:t xml:space="preserve">: </w:t>
      </w:r>
      <w:r>
        <w:rPr>
          <w:rtl w:val="true"/>
        </w:rPr>
        <w:t>استحباب الولیمة عند الولادة</w:t>
      </w:r>
      <w:bookmarkEnd w:id="452"/>
    </w:p>
    <w:p>
      <w:pPr>
        <w:pStyle w:val="Heading5"/>
        <w:numPr>
          <w:ilvl w:val="4"/>
          <w:numId w:val="1"/>
        </w:numPr>
        <w:rPr/>
      </w:pPr>
      <w:bookmarkStart w:id="453" w:name="__RefHeading___Toc9424118_73709187"/>
      <w:bookmarkStart w:id="454" w:name="_Toc173"/>
      <w:bookmarkEnd w:id="453"/>
      <w:r>
        <w:rPr>
          <w:rtl w:val="true"/>
        </w:rPr>
        <w:t>اشارة</w:t>
      </w:r>
      <w:bookmarkEnd w:id="454"/>
    </w:p>
    <w:p>
      <w:pPr>
        <w:pStyle w:val="BookText"/>
        <w:rPr/>
      </w:pPr>
      <w:r>
        <w:rPr>
          <w:rFonts w:ascii="IRNazanin" w:hAnsi="IRNazanin" w:eastAsia="IRNazanin"/>
          <w:color w:val="111111"/>
          <w:sz w:val="28"/>
          <w:sz w:val="28"/>
          <w:szCs w:val="28"/>
          <w:rtl w:val="true"/>
          <w:lang w:bidi="fa-IR"/>
        </w:rPr>
        <w:t>تستحبّ الولیمة عند الولادة، و هی إحدی الخمس التی سنّ فیها الولیمة، کما أنّ إحداها الختان، و لا یعتبر فی السنة الاُولی إیقاعها فی یوم الولادة، فلا بأس بتأخیرها عنه بأیّام قلائل، و الظاهر أنّه إن ختن فی الیوم السابع أو قبله فأولم فی یوم الختان بقصدهما تتأدّی السنّتان</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یدلّ علی استحباب الولیمة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نبیّنا الأعظم صلی الله علیه و آله فی وصیته لعلیّ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لا ولیمة إلاّ فی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عرس، أو خرس، أو عذار، أو وکار، أو رکاز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التزویج، و الخرس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النفاس بالولد، و العذار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الختان، و الوکار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شراء الدار، و الرکاز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الرجل یقدم من مکّة</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المرسل لعلیّ بن الحکم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أبو الحسن موسی علیه السلام ولیمة علی بعض ولده، فأطعم أهل المدینة ثلاثة أیّام الفالوذجات فی الجفان فی المساجد و الأزقّة، فعابه بذلک بعض أهل المدینة، فبلغه علیه السلام ذلک،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آتی اللّه عزّ و جلّ نبیّاً من أنبیائه شیئاً إلاّ و قد آتی محمداً صلی الله علیه و آله مثله و زاده ما لم یؤتهم، قال لسلیمان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عَطاؤُنا فَامْنُنْ أَوْ أَمْسِکْ بِغَیْرِ حِسابٍ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لمحمد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آتاکُمُ الرَّسُولُ فَخُذُوهُ وَ ما نَهاکُمْ عَنْهُ فَانْتَهُوا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Style w:val="FootnoteAnchor"/>
          <w:rtl w:val="true"/>
        </w:rPr>
        <w:footnoteReference w:id="981"/>
      </w:r>
      <w:bookmarkStart w:id="455" w:name="pg11752_146238"/>
    </w:p>
    <w:p>
      <w:pPr>
        <w:pStyle w:val="BookText"/>
        <w:rPr/>
      </w:pPr>
      <w:bookmarkEnd w:id="455"/>
      <w:r>
        <w:rPr>
          <w:rFonts w:ascii="IRNazanin" w:hAnsi="IRNazanin" w:eastAsia="IRNazanin"/>
          <w:color w:val="111111"/>
          <w:sz w:val="28"/>
          <w:sz w:val="28"/>
          <w:szCs w:val="28"/>
          <w:rtl w:val="true"/>
          <w:lang w:bidi="fa-IR"/>
        </w:rPr>
        <w:t>و هکذا ما رواه هشام بن سالم، عن أبی عبد اللّه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تجب الدعوة إلاّ فی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العرس و الخرس و الإیاب و الأعذار</w:t>
      </w:r>
      <w:r>
        <w:rPr>
          <w:rFonts w:eastAsia="IRNazanin" w:cs="IRNazanin"/>
          <w:color w:val="111111"/>
          <w:sz w:val="28"/>
          <w:szCs w:val="28"/>
          <w:rtl w:val="true"/>
          <w:lang w:bidi="fa-IR"/>
        </w:rPr>
        <w:t>»</w:t>
      </w:r>
      <w:r>
        <w:rPr>
          <w:rStyle w:val="FootnoteAnchor"/>
          <w:rtl w:val="true"/>
        </w:rPr>
        <w:footnoteReference w:id="9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روایة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توکیر و هو بناء الدار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r>
        <w:rPr>
          <w:rStyle w:val="FootnoteAnchor"/>
          <w:rtl w:val="true"/>
        </w:rPr>
        <w:footnoteReference w:id="9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من الروایات</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6" w:name="__RefHeading___Toc9424120_73709187"/>
      <w:bookmarkStart w:id="457" w:name="_Toc174"/>
      <w:bookmarkEnd w:id="456"/>
      <w:r>
        <w:rPr>
          <w:rtl w:val="true"/>
        </w:rPr>
        <w:t>الولیمة عند أهل السنّة</w:t>
      </w:r>
      <w:bookmarkEnd w:id="457"/>
    </w:p>
    <w:p>
      <w:pPr>
        <w:pStyle w:val="BookText"/>
        <w:rPr/>
      </w:pPr>
      <w:r>
        <w:rPr>
          <w:rFonts w:ascii="IRNazanin" w:hAnsi="IRNazanin" w:eastAsia="IRNazanin"/>
          <w:color w:val="111111"/>
          <w:sz w:val="28"/>
          <w:sz w:val="28"/>
          <w:szCs w:val="28"/>
          <w:rtl w:val="true"/>
          <w:lang w:bidi="fa-IR"/>
        </w:rPr>
        <w:t>قال ابن قدامة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الولیمة اسم للطعام فی العرس خاصة لا یقع هذا الاسم علی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حکاه ابن عبد البرّ عن ثعلب و غیره من أهل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الفقهاء من أصحابنا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الولیمة تقع علی کلّ طعام لسرور حادث، إلاّ أنّ استعمالها فی طعام العرس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أهل اللغة أقوی؛ لأنّهم أهل اللسان و هم أعرف بموضوعات اللغة و أعلم بلسان العرب</w:t>
      </w:r>
      <w:r>
        <w:rPr>
          <w:rFonts w:eastAsia="IRNazanin" w:cs="IRNazanin"/>
          <w:color w:val="111111"/>
          <w:sz w:val="28"/>
          <w:szCs w:val="28"/>
          <w:rtl w:val="true"/>
          <w:lang w:bidi="fa-IR"/>
        </w:rPr>
        <w:t>»</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خلاف بین أهل العلم فی أنّ الولیمة سنّة فی العرس مشروعة لما روی أنّ النبیّ صلی الله علیه و آله أمر به و فعلها</w:t>
      </w:r>
      <w:r>
        <w:rPr>
          <w:rFonts w:eastAsia="IRNazanin" w:cs="IRNazanin"/>
          <w:color w:val="111111"/>
          <w:sz w:val="28"/>
          <w:szCs w:val="28"/>
          <w:rtl w:val="true"/>
          <w:lang w:bidi="fa-IR"/>
        </w:rPr>
        <w:t>»</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موضع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فحکم الدعوة للختان و سائر الدعوات غیر الولیمة أنّها مستحبّة؛ لما فیها من إطعام الطعام، و الإجابة إلیها مستحبّة غیر واجبة، و هذا قول مالک و الشافعی و أبی حنیفة و أصحابه</w:t>
      </w:r>
      <w:r>
        <w:rPr>
          <w:rFonts w:eastAsia="IRNazanin" w:cs="IRNazanin"/>
          <w:color w:val="111111"/>
          <w:sz w:val="28"/>
          <w:szCs w:val="28"/>
          <w:rtl w:val="true"/>
          <w:lang w:bidi="fa-IR"/>
        </w:rPr>
        <w:t>»</w:t>
      </w:r>
      <w:r>
        <w:rPr>
          <w:rStyle w:val="FootnoteAnchor"/>
          <w:rtl w:val="true"/>
        </w:rPr>
        <w:footnoteReference w:id="987"/>
      </w:r>
      <w:bookmarkStart w:id="458" w:name="pg11752_146239"/>
    </w:p>
    <w:p>
      <w:pPr>
        <w:pStyle w:val="Heading5"/>
        <w:numPr>
          <w:ilvl w:val="4"/>
          <w:numId w:val="1"/>
        </w:numPr>
        <w:rPr/>
      </w:pPr>
      <w:bookmarkStart w:id="459" w:name="__RefHeading___Toc9424122_73709187"/>
      <w:bookmarkStart w:id="460" w:name="_Toc175"/>
      <w:bookmarkEnd w:id="458"/>
      <w:bookmarkEnd w:id="459"/>
      <w:r>
        <w:rPr>
          <w:rtl w:val="true"/>
        </w:rPr>
        <w:t>فرع فی استحباب التهنئة</w:t>
      </w:r>
      <w:bookmarkEnd w:id="460"/>
    </w:p>
    <w:p>
      <w:pPr>
        <w:pStyle w:val="BookText"/>
        <w:rPr/>
      </w:pPr>
      <w:r>
        <w:rPr>
          <w:rFonts w:ascii="IRNazanin" w:hAnsi="IRNazanin" w:eastAsia="IRNazanin"/>
          <w:color w:val="111111"/>
          <w:sz w:val="28"/>
          <w:sz w:val="28"/>
          <w:szCs w:val="28"/>
          <w:rtl w:val="true"/>
          <w:lang w:bidi="fa-IR"/>
        </w:rPr>
        <w:t>التهنئة خلاف التعزیة</w:t>
      </w:r>
      <w:r>
        <w:rPr>
          <w:rStyle w:val="FootnoteAnchor"/>
          <w:rtl w:val="true"/>
        </w:rPr>
        <w:footnoteReference w:id="988"/>
      </w:r>
      <w:r>
        <w:rPr>
          <w:rFonts w:ascii="IRNazanin" w:hAnsi="IRNazanin" w:eastAsia="IRNazanin"/>
          <w:color w:val="111111"/>
          <w:sz w:val="28"/>
          <w:sz w:val="28"/>
          <w:szCs w:val="28"/>
          <w:rtl w:val="true"/>
          <w:lang w:bidi="fa-IR"/>
        </w:rPr>
        <w:t>، و فی الاصطلاح فهی دعاء للوالد بالخیر و المولود بعد أن یُعلم بولادته، أو دعاء لوالدته بذلک، کأن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 اللّه لک بما رزقک اللّه من ولدٍ و جعله صالحاً، أو یقول ذلک لوالدته</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تستحبّ التهنئة فی الیوم السابع بالوالد إذا رزقه اللّه ولداً، کما فی حسنة حسین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الرضا علیه السلام عن التهنئة بالولد متی؟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ولد الحسن بن علیّ علیه السلام هبط جبرئیل علیه السلام بالتهنئة علی النبیّ صلی الله علیه و آله فی الیوم السابع، و أمره أن یسمّیه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کذلک حین ولد الحسین علیه السلام أتاه فی الیوم السابع فأمره بمثل ذلک</w:t>
      </w:r>
      <w:r>
        <w:rPr>
          <w:rFonts w:eastAsia="IRNazanin" w:cs="IRNazanin"/>
          <w:color w:val="111111"/>
          <w:sz w:val="28"/>
          <w:szCs w:val="28"/>
          <w:rtl w:val="true"/>
          <w:lang w:bidi="fa-IR"/>
        </w:rPr>
        <w:t>»</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 أیمن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ولدت فاطمة الحسین علیهما السلام فکان یوم السابع، أمر رسول اللّه صلی الله علیه و آله فحلق رأسه و تصدّق بوزن شعره فضّة و عقّ عنه، ثمّ هیّأته أمّ أیمن و لفّته فی برد رسول اللّه صلی الله علیه و آله</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کیفیة التهنئة جاء فی نهج البلاغة أنّه هنّأ بحضرة أمیر المؤمنین علیه السلام رجل رجلاً بغلام ولد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لیهنئک الفارس،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تقل ذلک، و لکن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شکرت الواهب، و بورک لک فی الموهوب، و بلغ أشدّه، و رزقت برّه</w:t>
      </w:r>
      <w:r>
        <w:rPr>
          <w:rFonts w:eastAsia="IRNazanin" w:cs="IRNazanin"/>
          <w:color w:val="111111"/>
          <w:sz w:val="28"/>
          <w:szCs w:val="28"/>
          <w:rtl w:val="true"/>
          <w:lang w:bidi="fa-IR"/>
        </w:rPr>
        <w:t>»</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ذکر الحسن بن علیّ بن شعبة فی 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علی علیهما السلام، أنّه رزق غلاماً فأتته قریش تهنّئه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یهنّئک الفارس،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شیء هذا من</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و لعلّه یکون راجلاً فقال له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نقول یا بن رسول اللّه؟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ولد لأحدکم غلام فأتیتموه، فقولوا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شکرت الواهب، و بورک لک فی الموهوب، و بلغ اللّه به أشدّه، و رزقک برّه</w:t>
      </w:r>
      <w:r>
        <w:rPr>
          <w:rFonts w:eastAsia="IRNazanin" w:cs="IRNazanin"/>
          <w:color w:val="111111"/>
          <w:sz w:val="28"/>
          <w:szCs w:val="28"/>
          <w:rtl w:val="true"/>
          <w:lang w:bidi="fa-IR"/>
        </w:rPr>
        <w:t>»</w:t>
      </w:r>
      <w:r>
        <w:rPr>
          <w:rStyle w:val="FootnoteAnchor"/>
          <w:rtl w:val="true"/>
        </w:rPr>
        <w:footnoteReference w:id="993"/>
      </w:r>
      <w:bookmarkStart w:id="461" w:name="pg11752_146241"/>
    </w:p>
    <w:p>
      <w:pPr>
        <w:pStyle w:val="Heading3"/>
        <w:numPr>
          <w:ilvl w:val="2"/>
          <w:numId w:val="1"/>
        </w:numPr>
        <w:rPr/>
      </w:pPr>
      <w:bookmarkStart w:id="462" w:name="__RefHeading___Toc9424124_73709187"/>
      <w:bookmarkStart w:id="463" w:name="_Toc176"/>
      <w:bookmarkEnd w:id="461"/>
      <w:bookmarkEnd w:id="462"/>
      <w:r>
        <w:rPr>
          <w:rtl w:val="true"/>
        </w:rPr>
        <w:t>الفصل العاشر فی الرضاع</w:t>
      </w:r>
      <w:bookmarkEnd w:id="463"/>
    </w:p>
    <w:p>
      <w:pPr>
        <w:pStyle w:val="Heading4"/>
        <w:numPr>
          <w:ilvl w:val="3"/>
          <w:numId w:val="1"/>
        </w:numPr>
        <w:rPr/>
      </w:pPr>
      <w:bookmarkStart w:id="464" w:name="__RefHeading___Toc9424126_73709187"/>
      <w:bookmarkStart w:id="465" w:name="_Toc177"/>
      <w:bookmarkEnd w:id="464"/>
      <w:r>
        <w:rPr>
          <w:rtl w:val="true"/>
        </w:rPr>
        <w:t>تمهید</w:t>
      </w:r>
      <w:bookmarkEnd w:id="465"/>
    </w:p>
    <w:p>
      <w:pPr>
        <w:pStyle w:val="BookText"/>
        <w:rPr/>
      </w:pPr>
      <w:r>
        <w:rPr>
          <w:rFonts w:ascii="IRNazanin" w:hAnsi="IRNazanin" w:eastAsia="IRNazanin"/>
          <w:color w:val="111111"/>
          <w:sz w:val="28"/>
          <w:sz w:val="28"/>
          <w:szCs w:val="28"/>
          <w:rtl w:val="true"/>
          <w:lang w:bidi="fa-IR"/>
        </w:rPr>
        <w:t>إنّ الأمر الإلهی بإرضاع الأمّهات أولادهنّ یکون علی مقتضی الفطرة؛ لأنّ أفضل اللبن للولد لبن أمّه؛ لأنّه قد تکوّن من دمها فی أحشائها، فلمّا برز إلی الوجود تحوّل اللبن الذی کان یتغذّی منه فی الرحم إلی لبن یتغذّی منه فی خارجه، فهو اللبن الذی یلائمه و یناسبه، و قد قضت الحکمة بأن تکون حالة لبن الأمّ فی التغذیة ملائمة لحال الطفل بحسب درجات سنّه</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اتّفقت کلمة العلماء المختصّین و الأطبّاء علی أنّ لبن الأمّ یعدّ أفضل غذاء للطفل، و هذا الذی اکتشفه العلم أخیراً قال به الأئمّة المعصومون علیهم السلام منذ أربعة عشر قرناً، فقد روی أبو عبد اللّه علیه السلام، عن أمیر المؤمنین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لبن رضع به الصّبی أعظم برکة علیه من لبن امّه</w:t>
      </w:r>
      <w:r>
        <w:rPr>
          <w:rFonts w:eastAsia="IRNazanin" w:cs="IRNazanin"/>
          <w:color w:val="111111"/>
          <w:sz w:val="28"/>
          <w:szCs w:val="28"/>
          <w:rtl w:val="true"/>
          <w:lang w:bidi="fa-IR"/>
        </w:rPr>
        <w:t>»</w:t>
      </w:r>
      <w:r>
        <w:rPr>
          <w:rStyle w:val="FootnoteAnchor"/>
          <w:rtl w:val="true"/>
        </w:rPr>
        <w:footnoteReference w:id="995"/>
      </w:r>
    </w:p>
    <w:p>
      <w:pPr>
        <w:pStyle w:val="BookText"/>
        <w:rPr/>
      </w:pP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به فقهاؤنا فی القرون السابقة، و لا ریب و لا خلاف فی أنّ أفضل ما یرضع به الولد لبن أمّه؛ لأوفقیته بمزاجه و أنسبیته بطبیعته؛ لتغذیته منه فی بطن أمّه</w:t>
      </w:r>
      <w:r>
        <w:rPr>
          <w:rStyle w:val="FootnoteAnchor"/>
          <w:rtl w:val="true"/>
        </w:rPr>
        <w:footnoteReference w:id="9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جهة أفضلیّة لبن الأمّ للولد لطبیعة الولد، و الشواهد و الدلائل فی هذا المعنی لها مجال واسع، و لکنّا لسنا بصدد ذلک؛ لأنّ بحثنا هذا منصبّ علی مسائل الرضاع فقهیاً، هل أنّه واجب علی الأمّ مطلقاً أو مشروط بشرائط؟ و فی أیّ مدّةٍ یجب أو یستحبّ إرضاع الولد؟ و هل الأمّ تقدم فی الإرضاع إذا تطوّعت لإرضاعه و هل یجوز لها أن تطلب الأجرة لإرضاع ولدها أم لیس لها ذلک؟ و هکذا الآثار المترتّبة علی الرضاع من نشر الحرمة، و أنّه یحرم من الرضاع ما یحرم من النسب، و الشرائط التی تجعل الرضاع موجباً لنشر الحرمة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الفصل وضعناه للتحقیق فی المباحث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الإرضاع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الأمّ فی الإرضاع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استحقاق الأمّ أجرة الرضاع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الرضاع و نشر الحرمة</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شروط نشر الحرمة</w:t>
      </w:r>
      <w:r>
        <w:rPr>
          <w:rFonts w:eastAsia="IRNazanin" w:cs="IRNazanin"/>
          <w:color w:val="111111"/>
          <w:sz w:val="28"/>
          <w:szCs w:val="28"/>
          <w:rtl w:val="true"/>
          <w:lang w:bidi="fa-IR"/>
        </w:rPr>
        <w:t>.</w:t>
      </w:r>
      <w:bookmarkStart w:id="466" w:name="pg11752_146243"/>
    </w:p>
    <w:p>
      <w:pPr>
        <w:pStyle w:val="Heading4"/>
        <w:numPr>
          <w:ilvl w:val="3"/>
          <w:numId w:val="1"/>
        </w:numPr>
        <w:rPr/>
      </w:pPr>
      <w:bookmarkStart w:id="467" w:name="__RefHeading___Toc9424128_73709187"/>
      <w:bookmarkStart w:id="468" w:name="_Toc178"/>
      <w:bookmarkEnd w:id="466"/>
      <w:bookmarkEnd w:id="467"/>
      <w:r>
        <w:rPr>
          <w:rtl w:val="true"/>
        </w:rPr>
        <w:t>المبحث الأوّل</w:t>
      </w:r>
      <w:r>
        <w:rPr>
          <w:rtl w:val="true"/>
        </w:rPr>
        <w:t xml:space="preserve">: </w:t>
      </w:r>
      <w:r>
        <w:rPr>
          <w:rtl w:val="true"/>
        </w:rPr>
        <w:t>حکم الإرضاع</w:t>
      </w:r>
      <w:bookmarkEnd w:id="468"/>
    </w:p>
    <w:p>
      <w:pPr>
        <w:pStyle w:val="Heading5"/>
        <w:numPr>
          <w:ilvl w:val="4"/>
          <w:numId w:val="1"/>
        </w:numPr>
        <w:rPr/>
      </w:pPr>
      <w:bookmarkStart w:id="469" w:name="__RefHeading___Toc9424130_73709187"/>
      <w:bookmarkStart w:id="470" w:name="_Toc179"/>
      <w:bookmarkEnd w:id="469"/>
      <w:r>
        <w:rPr>
          <w:rtl w:val="true"/>
        </w:rPr>
        <w:t>اشارة</w:t>
      </w:r>
      <w:bookmarkEnd w:id="470"/>
    </w:p>
    <w:p>
      <w:pPr>
        <w:pStyle w:val="BookText"/>
        <w:rPr/>
      </w:pPr>
      <w:r>
        <w:rPr>
          <w:rFonts w:ascii="IRNazanin" w:hAnsi="IRNazanin" w:eastAsia="IRNazanin"/>
          <w:color w:val="111111"/>
          <w:sz w:val="28"/>
          <w:sz w:val="28"/>
          <w:szCs w:val="28"/>
          <w:rtl w:val="true"/>
          <w:lang w:bidi="fa-IR"/>
        </w:rPr>
        <w:t>یستفاد من کلمات فقهائنا بل ادّعی الإجماع علیه</w:t>
      </w:r>
      <w:r>
        <w:rPr>
          <w:rStyle w:val="FootnoteAnchor"/>
          <w:rtl w:val="true"/>
        </w:rPr>
        <w:footnoteReference w:id="997"/>
      </w:r>
      <w:r>
        <w:rPr>
          <w:rFonts w:ascii="IRNazanin" w:hAnsi="IRNazanin" w:eastAsia="IRNazanin"/>
          <w:color w:val="111111"/>
          <w:sz w:val="28"/>
          <w:sz w:val="28"/>
          <w:szCs w:val="28"/>
          <w:rtl w:val="true"/>
          <w:lang w:bidi="fa-IR"/>
        </w:rPr>
        <w:t>لا یجب علی الاُمّ أن ترضع ولدها إلاّ اللباء، فإنّه یجب علی قول بعض، بل یجب علی الأب بمعنی وجوب نفقتها علیه، و یجوز للولی أن یجبر أمتَه علی رضاع ولدها أو ولد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فی النهایة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أفضل الألبان التی یُرضع بها الصبی لبان الأمّ، فإن کانت أمّه حرّة و اختارت رضاعه کان ذلک لها و إن لم تختر فلا تجبر علی رضاع ولدها، و إن کانت أمة جاز أن تجبر علی رضاع ولدها</w:t>
      </w:r>
      <w:r>
        <w:rPr>
          <w:rFonts w:eastAsia="IRNazanin" w:cs="IRNazanin"/>
          <w:color w:val="111111"/>
          <w:sz w:val="28"/>
          <w:szCs w:val="28"/>
          <w:rtl w:val="true"/>
          <w:lang w:bidi="fa-IR"/>
        </w:rPr>
        <w:t>»</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قال العلاّمة فی القواعد</w:t>
      </w:r>
      <w:r>
        <w:rPr>
          <w:rStyle w:val="FootnoteAnchor"/>
          <w:rtl w:val="true"/>
        </w:rPr>
        <w:footnoteReference w:id="999"/>
      </w:r>
      <w:r>
        <w:rPr>
          <w:rFonts w:ascii="IRNazanin" w:hAnsi="IRNazanin" w:eastAsia="IRNazanin"/>
          <w:color w:val="111111"/>
          <w:sz w:val="28"/>
          <w:sz w:val="28"/>
          <w:szCs w:val="28"/>
          <w:rtl w:val="true"/>
          <w:lang w:bidi="fa-IR"/>
        </w:rPr>
        <w:t>و ابن إدریس فی السرائر</w:t>
      </w:r>
      <w:r>
        <w:rPr>
          <w:rStyle w:val="FootnoteAnchor"/>
          <w:rtl w:val="true"/>
        </w:rPr>
        <w:footnoteReference w:id="1000"/>
      </w:r>
      <w:r>
        <w:rPr>
          <w:rFonts w:ascii="IRNazanin" w:hAnsi="IRNazanin" w:eastAsia="IRNazanin"/>
          <w:color w:val="111111"/>
          <w:sz w:val="28"/>
          <w:sz w:val="28"/>
          <w:szCs w:val="28"/>
          <w:rtl w:val="true"/>
          <w:lang w:bidi="fa-IR"/>
        </w:rPr>
        <w:t>، و الشهید فی الروضة</w:t>
      </w:r>
      <w:r>
        <w:rPr>
          <w:rStyle w:val="FootnoteAnchor"/>
          <w:rtl w:val="true"/>
        </w:rPr>
        <w:footnoteReference w:id="10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w:t>
      </w:r>
      <w:r>
        <w:rPr>
          <w:rStyle w:val="FootnoteAnchor"/>
          <w:rtl w:val="true"/>
        </w:rPr>
        <w:footnoteReference w:id="10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الوجوه الدالّة علی ذلک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الإرضاع من نفقة الولد، و سنذکر فی البحث عن النفقة أنّ الکتاب و السنّة یدلاّن علی وجوب نفقة الولد علی الوالد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إجبار الأمّ علی الرضاع لا یخلو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لحقّ الولد أو لحقّ الزوج أو لهما</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یجوز أن یکون لحقّ الزوج؛ فإنّه لا یملک إجبارها علی رضاع ولده من غیرها، و لا علی خدمته فیما یختصّ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أن یکون لحقّ الولد؛ فإنّ ذلک لو کان له للزمها بعد الفرقة، و لأنّه ممّا یلزم الوالد لولده، فلزم الأب علی الخصوص کالنفقة، أو کما بعد الفرقة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أن یکون لهما؛ لأنّ ما لا مناسبة فیه لا یثبت الحکم بانضمام بعضه إلی بعض، و لأنّه لو کان لهما لثبت الحکم به بعد الفرقة</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للأمّ المطالبة بأجرة رضاعه، فإن لم یکن للولد مال وجب علی الأب بذل الأجر</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عقد الشیخ الحرّ العاملی فی الوسائل باباً لذلک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أنّه لا یجب علی الحرّة إرضاع ولدها بغیر أجرة، بل لها أخذ الأجرة</w:t>
      </w:r>
      <w:r>
        <w:rPr>
          <w:rFonts w:eastAsia="IRNazanin" w:cs="IRNazanin"/>
          <w:color w:val="111111"/>
          <w:sz w:val="28"/>
          <w:szCs w:val="28"/>
          <w:rtl w:val="true"/>
          <w:lang w:bidi="fa-IR"/>
        </w:rPr>
        <w:t>...»</w:t>
      </w:r>
      <w:r>
        <w:rPr>
          <w:rStyle w:val="FootnoteAnchor"/>
          <w:rtl w:val="true"/>
        </w:rPr>
        <w:footnoteReference w:id="1005"/>
      </w:r>
      <w:r>
        <w:rPr>
          <w:rFonts w:ascii="IRNazanin" w:hAnsi="IRNazanin" w:eastAsia="IRNazanin"/>
          <w:color w:val="111111"/>
          <w:sz w:val="28"/>
          <w:sz w:val="28"/>
          <w:szCs w:val="28"/>
          <w:rtl w:val="true"/>
          <w:lang w:bidi="fa-IR"/>
        </w:rPr>
        <w:t>و ذکر فیه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عبد اللّه بن سنان فی الصحیح، عن أبی عبد اللّه علیه السلام فی رجل مات و ترک امرأة و معها منه ولد، فألقته علی خادم لها فأرضعته، ثمّ جاءت تطلب رضاع الغلام من الوصی،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لها أجر مثلها</w:t>
      </w:r>
      <w:r>
        <w:rPr>
          <w:rFonts w:eastAsia="IRNazanin" w:cs="IRNazanin"/>
          <w:color w:val="111111"/>
          <w:sz w:val="28"/>
          <w:szCs w:val="28"/>
          <w:rtl w:val="true"/>
          <w:lang w:bidi="fa-IR"/>
        </w:rPr>
        <w:t>»</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الروایة دلّت بالالتزام علی أنّ الرضاع لا یجب علی الأمّ و إلاّ لم یحکم علیه السلام بأجرة المثل لها</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علیه أیضاً خبر سلیمان بن داود المنقری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 اللّه علیه السلام عن الرضاع؟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تجبر الحرّة علی رضاع الولد، و تجبر أمّ الولد</w:t>
      </w:r>
      <w:r>
        <w:rPr>
          <w:rStyle w:val="FootnoteAnchor"/>
          <w:rtl w:val="true"/>
        </w:rPr>
        <w:footnoteReference w:id="10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یؤیّده أیضاً عموم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تُضَارَّ والِدَةٌ بِوَلَدِها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الشامل لمثل الإضرار بها فیه بإجبارها علی إرضاعه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بمعنی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غضّ النظر عن النصوص و 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شککنا أنّ الرضاع واجب علی الأمّ أم لا، فالأصل عدم وجوبه علیها</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یستفاد من ظاهر الطلب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الْوالِداتُ یُرْضِعْنَ أَوْلادَهُنَّ حَوْلَیْنِ کامِلَیْنِ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الرضاع واجب علی الأمّ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بما مرّ من الأدلّة یصرف ظاهر الطلب المستفاد من الآیة علی الاستحباب؛ جمعاً بین الأدلّة کما فی الریاض</w:t>
      </w:r>
      <w:r>
        <w:rPr>
          <w:rStyle w:val="FootnoteAnchor"/>
          <w:rtl w:val="true"/>
        </w:rPr>
        <w:footnoteReference w:id="1009"/>
      </w:r>
      <w:r>
        <w:rPr>
          <w:rFonts w:ascii="IRNazanin" w:hAnsi="IRNazanin" w:eastAsia="IRNazanin"/>
          <w:color w:val="111111"/>
          <w:sz w:val="28"/>
          <w:sz w:val="28"/>
          <w:szCs w:val="28"/>
          <w:rtl w:val="true"/>
          <w:lang w:bidi="fa-IR"/>
        </w:rPr>
        <w:t>و الجواهر</w:t>
      </w:r>
      <w:r>
        <w:rPr>
          <w:rStyle w:val="FootnoteAnchor"/>
          <w:rtl w:val="true"/>
        </w:rPr>
        <w:footnoteReference w:id="1010"/>
      </w:r>
      <w:r>
        <w:rPr>
          <w:rFonts w:ascii="IRNazanin" w:hAnsi="IRNazanin" w:eastAsia="IRNazanin"/>
          <w:color w:val="111111"/>
          <w:sz w:val="28"/>
          <w:sz w:val="28"/>
          <w:szCs w:val="28"/>
          <w:rtl w:val="true"/>
          <w:lang w:bidi="fa-IR"/>
        </w:rPr>
        <w:t>، فنحکم أنّه یستحبّ للأُمّ أن ترضع ولدها طول المدّة المعتبرة فی الرضاع، کما صرّح به بعض الفقهاء، قال الشهید فی اللمعة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یستحبّ للاُمّ أن ترضعه طول المدّة المعتبرة فی الرضاع</w:t>
      </w:r>
      <w:r>
        <w:rPr>
          <w:rFonts w:eastAsia="IRNazanin" w:cs="IRNazanin"/>
          <w:color w:val="111111"/>
          <w:sz w:val="28"/>
          <w:szCs w:val="28"/>
          <w:rtl w:val="true"/>
          <w:lang w:bidi="fa-IR"/>
        </w:rPr>
        <w:t>»</w:t>
      </w:r>
      <w:r>
        <w:rPr>
          <w:rStyle w:val="FootnoteAnchor"/>
          <w:rtl w:val="true"/>
        </w:rPr>
        <w:footnoteReference w:id="1011"/>
      </w:r>
    </w:p>
    <w:p>
      <w:pPr>
        <w:pStyle w:val="BookText"/>
        <w:rPr/>
      </w:pPr>
      <w:r>
        <w:rPr>
          <w:rFonts w:ascii="IRNazanin" w:hAnsi="IRNazanin" w:eastAsia="IRNazanin"/>
          <w:color w:val="111111"/>
          <w:sz w:val="28"/>
          <w:sz w:val="28"/>
          <w:szCs w:val="28"/>
          <w:rtl w:val="true"/>
          <w:lang w:bidi="fa-IR"/>
        </w:rPr>
        <w:t>و کذا فی الروضة</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المهذّب</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أن نستفید حکم الاستحباب عن ظاهر بعض النصوص أیضاً، مثل ما رواه فی الکافی عن طلحة بن زید،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لبنٍ رضع به الصبیّ أعظم برکةً علیه من لبن أُمّه</w:t>
      </w:r>
      <w:r>
        <w:rPr>
          <w:rFonts w:eastAsia="Amiri" w:cs="Amiri" w:ascii="Amiri" w:hAnsi="Amiri"/>
          <w:color w:val="111111"/>
          <w:sz w:val="28"/>
          <w:szCs w:val="28"/>
          <w:rtl w:val="true"/>
          <w:lang w:bidi="ar-SA"/>
        </w:rPr>
        <w:t>»</w:t>
      </w:r>
      <w:r>
        <w:rPr>
          <w:rStyle w:val="FootnoteAnchor"/>
          <w:rtl w:val="true"/>
        </w:rPr>
        <w:footnoteReference w:id="1013"/>
      </w:r>
      <w:r>
        <w:rPr>
          <w:rFonts w:ascii="IRNazanin" w:hAnsi="IRNazanin" w:eastAsia="IRNazanin"/>
          <w:color w:val="111111"/>
          <w:sz w:val="28"/>
          <w:sz w:val="28"/>
          <w:szCs w:val="28"/>
          <w:rtl w:val="true"/>
          <w:lang w:bidi="fa-IR"/>
        </w:rPr>
        <w:t xml:space="preserve">و غیره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لا إشکال فی أصل الحکم و عدم وجوب الرضاع علی الأُمّ، و یستثنی من ذلک الحکم صور، و یمکن أن تخصّص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للولد مرضعة أخری سواها</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له مرضعة أخری و لکن لم یمکن؛ لعدم وجود الأب أو إعساره</w:t>
      </w:r>
      <w:bookmarkStart w:id="471" w:name="pg11752_146246"/>
    </w:p>
    <w:p>
      <w:pPr>
        <w:pStyle w:val="BookText"/>
        <w:rPr/>
      </w:pPr>
      <w:bookmarkEnd w:id="471"/>
      <w:r>
        <w:rPr>
          <w:rFonts w:ascii="IRNazanin" w:hAnsi="IRNazanin" w:eastAsia="IRNazanin"/>
          <w:color w:val="111111"/>
          <w:sz w:val="28"/>
          <w:sz w:val="28"/>
          <w:szCs w:val="28"/>
          <w:rtl w:val="true"/>
          <w:lang w:bidi="fa-IR"/>
        </w:rPr>
        <w:t>و عدم تمکّنه منه، مع عدم مال للولد یمکن به إرضاعه من غیرها، فیجب علیها بلا خلاف کوجوب إنفاقها علیه فی هاتین الصورتین</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یقبل الطفل إلاّ ثدی أمّه، فیجب عندئذ إرضاعه إنقاذاً له من الهلاک؛ لتعین الأمّ‌</w:t>
      </w:r>
      <w:r>
        <w:rPr>
          <w:rStyle w:val="FootnoteAnchor"/>
          <w:rtl w:val="true"/>
        </w:rPr>
        <w:footnoteReference w:id="1016"/>
      </w:r>
      <w:r>
        <w:rPr>
          <w:rFonts w:ascii="IRNazanin" w:hAnsi="IRNazanin" w:eastAsia="IRNazanin"/>
          <w:color w:val="111111"/>
          <w:sz w:val="28"/>
          <w:sz w:val="28"/>
          <w:szCs w:val="28"/>
          <w:rtl w:val="true"/>
          <w:lang w:bidi="fa-IR"/>
        </w:rPr>
        <w:t>، کما تجبر المرضعة علی استدامة الإجارة بعد مضی مدّتها إذا لم یقبل ثدی غیرها</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الإشکال فی استثناء صورة ثالثة، و هی وجوب إرضاعها اللباء، و هو أوّل اللبن،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کما فی القواعد</w:t>
      </w:r>
      <w:r>
        <w:rPr>
          <w:rStyle w:val="FootnoteAnchor"/>
          <w:rtl w:val="true"/>
        </w:rPr>
        <w:footnoteReference w:id="1017"/>
      </w:r>
      <w:r>
        <w:rPr>
          <w:rFonts w:ascii="Amiri" w:hAnsi="Amiri" w:eastAsia="Amiri" w:cs="Amiri"/>
          <w:color w:val="111111"/>
          <w:sz w:val="28"/>
          <w:sz w:val="28"/>
          <w:szCs w:val="28"/>
          <w:rtl w:val="true"/>
          <w:lang w:bidi="ar-SA"/>
        </w:rPr>
        <w:t>و اللمعة</w:t>
      </w:r>
      <w:r>
        <w:rPr>
          <w:rStyle w:val="FootnoteAnchor"/>
          <w:rtl w:val="true"/>
        </w:rPr>
        <w:footnoteReference w:id="1018"/>
      </w:r>
      <w:r>
        <w:rPr>
          <w:rFonts w:ascii="IRNazanin" w:hAnsi="IRNazanin" w:eastAsia="IRNazanin"/>
          <w:color w:val="111111"/>
          <w:sz w:val="28"/>
          <w:sz w:val="28"/>
          <w:szCs w:val="28"/>
          <w:rtl w:val="true"/>
          <w:lang w:bidi="fa-IR"/>
        </w:rPr>
        <w:t>؛ لأنّ الولد لا یعیش بدونه، خلافاً للأکثر الذین قالوا بالعدم، لمخالفة التعلیل الوجدان، و هو أظهر، إلاّ مع ثبوت الضرر فیجب بلا إشکال و لا نظر</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2" w:name="__RefHeading___Toc9424132_73709187"/>
      <w:bookmarkStart w:id="473" w:name="_Toc180"/>
      <w:bookmarkEnd w:id="472"/>
      <w:r>
        <w:rPr>
          <w:rtl w:val="true"/>
        </w:rPr>
        <w:t>حکم الإرضاع عند أهل السنّة</w:t>
      </w:r>
      <w:bookmarkEnd w:id="473"/>
    </w:p>
    <w:p>
      <w:pPr>
        <w:pStyle w:val="BookText"/>
        <w:rPr/>
      </w:pPr>
      <w:r>
        <w:rPr>
          <w:rFonts w:ascii="IRNazanin" w:hAnsi="IRNazanin" w:eastAsia="IRNazanin"/>
          <w:color w:val="111111"/>
          <w:sz w:val="28"/>
          <w:sz w:val="28"/>
          <w:szCs w:val="28"/>
          <w:rtl w:val="true"/>
          <w:lang w:bidi="fa-IR"/>
        </w:rPr>
        <w:t>اختلفت الفقهاء من أهل السنّة فی وجوب الرضاع علی الأمّ، و ذلک أنّ قوماً أوجبوا علیها الرضاع علی الإطلاق، و قوم لم یوجبوا ذلک علیها مطلقاً، و قوم أوجبوا ذلک علی الدنیئة و لم یوجبوا ذلک علی الشریفة، إلاّ أن یکون الطفل لا یقبل إلاّ ثدیها</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ادّعی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فقهاء الإسلام علی أنّ الرضاع واجب علی الأمّ</w:t>
      </w:r>
    </w:p>
    <w:p>
      <w:pPr>
        <w:pStyle w:val="BookText"/>
        <w:rPr/>
      </w:pPr>
      <w:r>
        <w:rPr>
          <w:rFonts w:ascii="IRNazanin" w:hAnsi="IRNazanin" w:eastAsia="IRNazanin"/>
          <w:color w:val="111111"/>
          <w:sz w:val="28"/>
          <w:sz w:val="28"/>
          <w:szCs w:val="28"/>
          <w:rtl w:val="true"/>
          <w:lang w:bidi="fa-IR"/>
        </w:rPr>
        <w:t>دیانةً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اختلفوا فی وجوبه علیها قضاءً، أَ یَستطیع القاضی إجبارها علیه أم لا؟</w:t>
      </w:r>
    </w:p>
    <w:p>
      <w:pPr>
        <w:pStyle w:val="BookText"/>
        <w:rPr/>
      </w:pPr>
      <w:r>
        <w:rPr>
          <w:rFonts w:ascii="IRNazanin" w:hAnsi="IRNazanin" w:eastAsia="IRNazanin"/>
          <w:color w:val="111111"/>
          <w:sz w:val="28"/>
          <w:sz w:val="28"/>
          <w:szCs w:val="28"/>
          <w:rtl w:val="true"/>
          <w:lang w:bidi="fa-IR"/>
        </w:rPr>
        <w:t>فقال المالکیة بالوجوب قضاء، فتجبر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الجمهور بأنّه مندوب لا تجبر علیه، و لها أن تمتنع إلاّ عند الضرورة، و رضاع الولد علی الأب وحده، و لیس له إجبار أمّه علی رضاعه، دنیئة کانت أو شریفة، و سواء أ کانت فی حال الزوجیّة أم مطلّقة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ذهب الجمهور إلی أنّ الأمر الوارد فی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الْوالِداتُ یُرْضِعْنَ أَوْلادَهُنَّ حَوْلَیْنِ کامِلَیْنِ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ندب و إرشاد من اللّه تعالی للوالدات أن یرضعن أولادهنّ، إلاّ إذا لم یقبل الولد ثدی غیر الاُمّ، بدلیل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تَعاسَرْتُمْ فَسَتُرْضِعُ لَهُ أُخْری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إنّما ندب للأمّ إرضاع ولدها؛ لأنّ لبن الاُمّ أصلح للطفل، و شفقة الأمّ علیه أکثر، و لأنّ الرضاع حقّ للاُمّ کما هو حقّ للولد، و لا یجبر أحد علی استیفاء حقّه إلاّ مع توفّر دواعی الإجبار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المالکیة إلی أنّه یجب علی الأمّ إذا کانت زوجة أو معتدّة من طلاق رجعی إرضاع ولدها، فلو امتنعت من إرضاعه بدون عذر أجبرها القاضی، إلاّ المرأة الشریفة لثراء أو حسب، فلا یجب علیهما الإرضاع إن قبل الولد الرضاع من غیرها، فهم فهموا من الآیة أنّها أمر لکلّ والدة زوجة أو غیرها بالرضاع، و هو حقّ علیها، و استثنوا الشریفة بالعرف القائم علی المصلحة، و لا یجب الإرضاع أیضاً علی المطلّقة طلاقاً بائناً؛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أَرْضَعْنَ لَکُمْ فَآتُوهُنَّ أُجُورَهُنَّ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هذه الآیة واردة فی المطلّقات طلاقاً بائناً</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لأنّ النفقة واجبة للمطلّقة الرجعیة لأجل بقاء النکاح فی العدّة،</w:t>
      </w:r>
    </w:p>
    <w:p>
      <w:pPr>
        <w:pStyle w:val="BookText"/>
        <w:rPr/>
      </w:pPr>
      <w:r>
        <w:rPr>
          <w:rFonts w:ascii="IRNazanin" w:hAnsi="IRNazanin" w:eastAsia="IRNazanin"/>
          <w:color w:val="111111"/>
          <w:sz w:val="28"/>
          <w:sz w:val="28"/>
          <w:szCs w:val="28"/>
          <w:rtl w:val="true"/>
          <w:lang w:bidi="fa-IR"/>
        </w:rPr>
        <w:t>و لا تستوجب الأمّ زیادة علی النفقة لأجل رضاعه</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أنّ عدم وجوب الرضاع علی الأمّ إجماعی</w:t>
      </w:r>
      <w:r>
        <w:rPr>
          <w:rStyle w:val="FootnoteAnchor"/>
          <w:rtl w:val="true"/>
        </w:rPr>
        <w:footnoteReference w:id="10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یمکن الجواب عمّا قال المالکیة بأنّ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الْوالِداتُ یُرْضِعْنَ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قبلنا أنّها ظاهرة فی الوجوب، و لکن یحتمل أن یکون المعنی أنّ الإرضاع فی هذه المدّة للأمّ، بمعنی أنّه حقّها یجب علی الأب تمکینها منه، و لا یجوز له الأخذ منها و إرضاع غیرها، فیکون حینئذ إخباراً عن حقّ الأمّ الواجب علی الأب، فلا یحتاج إلی ارتکاب الخروج عن الظاهر</w:t>
      </w:r>
      <w:r>
        <w:rPr>
          <w:rStyle w:val="FootnoteAnchor"/>
          <w:rtl w:val="true"/>
        </w:rPr>
        <w:footnoteReference w:id="10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نقول بلزوم تخصیصها و حمل وجوب الرضاع علی الأمّ فی الجملة، مثل أن لا یعیش إلاّ بلبن أمّه، بأن لا یشرب إلاّ لبنها أو لا یوجد غیرها، أو الوالد یکون عاجزاً عن تحصیل غیرها؛ لعدم قدرته علی الأجرة</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یدلّ علی هذا التخصیص الجملة التی فی ذیل الآیة، أی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عَلَی الْمَوْلُودِ لَهُ رِزْقُهُنَّ وَ کِسْوَتُهُنَّ بِالْمَعْرُوفِ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الرضاع من النفقة، و نفقة الولد علی الوالد إن لم یکن للولد مال، و 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أَرْضَعْنَ لَکُمْ فَآتُوهُنَّ أُجُورَهُنَّ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ظاهرها العموم، سواء کان بعد انقطاع عقدة النکاح بالطلاق أو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فعلی هذا یحمل الأمر المستفاد من الجملة الخبریة فی الآیة أی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الْوالِداتُ یُرْضِعْنَ أَوْلادَهُنَّ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لمطلق الرجحان، الشامل للوجوب و الندب، فقد یکون واجباً کما إذا لم یرتضع الصبی إلاّ من أمّه، أو لم یوجد ظئر، أو عجز الوالد عن الاستئجار، و قد</w:t>
      </w:r>
    </w:p>
    <w:p>
      <w:pPr>
        <w:pStyle w:val="BookText"/>
        <w:rPr/>
      </w:pPr>
      <w:r>
        <w:rPr>
          <w:rFonts w:ascii="IRNazanin" w:hAnsi="IRNazanin" w:eastAsia="IRNazanin"/>
          <w:color w:val="111111"/>
          <w:sz w:val="28"/>
          <w:sz w:val="28"/>
          <w:szCs w:val="28"/>
          <w:rtl w:val="true"/>
          <w:lang w:bidi="fa-IR"/>
        </w:rPr>
        <w:t>یکون مندوباً کما إذا لم یحصل أحد الأسباب الموجبة فإنّه أفضل ما یرضع لبن أمّه، و یستحبّ لها أن تفعل ذلک</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استثناء المرأة الشریفة و تخصیص الآیة بنظر العرف، فإنّه اجتهاد فی مقابل النصّ، و العرف إذا خالف الشرع لا یجوز اتباع نظره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قولهم بأنّ النفقة واجبة للمطلّقة الرجعیة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 النفقة للمطلّقة الرجعیّة لا یدلّ علی عدم استحقاق الزوجة أجرة لأجل الرضاع، إذ هو حینئذٍ کبذل الزاد للمضطرّ؛ لأنّ الزوج لا یملک منافعها کالأجیر الخاصّ، و لا یلزم من استحقاقه لمنفعة البضع ملکه لجمیع منافعها</w:t>
      </w:r>
      <w:r>
        <w:rPr>
          <w:rFonts w:eastAsia="IRNazanin" w:cs="IRNazanin"/>
          <w:color w:val="111111"/>
          <w:sz w:val="28"/>
          <w:szCs w:val="28"/>
          <w:rtl w:val="true"/>
          <w:lang w:bidi="fa-IR"/>
        </w:rPr>
        <w:t>.</w:t>
      </w:r>
      <w:bookmarkStart w:id="474" w:name="pg11752_146250"/>
    </w:p>
    <w:p>
      <w:pPr>
        <w:pStyle w:val="Heading4"/>
        <w:numPr>
          <w:ilvl w:val="3"/>
          <w:numId w:val="1"/>
        </w:numPr>
        <w:rPr/>
      </w:pPr>
      <w:bookmarkStart w:id="475" w:name="__RefHeading___Toc9424134_73709187"/>
      <w:bookmarkStart w:id="476" w:name="_Toc181"/>
      <w:bookmarkEnd w:id="474"/>
      <w:bookmarkEnd w:id="475"/>
      <w:r>
        <w:rPr>
          <w:rtl w:val="true"/>
        </w:rPr>
        <w:t>المبحث الثانی</w:t>
      </w:r>
      <w:r>
        <w:rPr>
          <w:rtl w:val="true"/>
        </w:rPr>
        <w:t xml:space="preserve">: </w:t>
      </w:r>
      <w:r>
        <w:rPr>
          <w:rtl w:val="true"/>
        </w:rPr>
        <w:t>تقدّم الأمّ فی الإرضاع</w:t>
      </w:r>
      <w:bookmarkEnd w:id="476"/>
    </w:p>
    <w:p>
      <w:pPr>
        <w:pStyle w:val="Heading5"/>
        <w:numPr>
          <w:ilvl w:val="4"/>
          <w:numId w:val="1"/>
        </w:numPr>
        <w:rPr/>
      </w:pPr>
      <w:bookmarkStart w:id="477" w:name="__RefHeading___Toc9424136_73709187"/>
      <w:bookmarkStart w:id="478" w:name="_Toc182"/>
      <w:bookmarkEnd w:id="477"/>
      <w:r>
        <w:rPr>
          <w:rtl w:val="true"/>
        </w:rPr>
        <w:t>اشارة</w:t>
      </w:r>
      <w:bookmarkEnd w:id="478"/>
    </w:p>
    <w:p>
      <w:pPr>
        <w:pStyle w:val="BookText"/>
        <w:rPr/>
      </w:pPr>
      <w:r>
        <w:rPr>
          <w:rFonts w:ascii="IRNazanin" w:hAnsi="IRNazanin" w:eastAsia="IRNazanin"/>
          <w:color w:val="111111"/>
          <w:sz w:val="28"/>
          <w:sz w:val="28"/>
          <w:szCs w:val="28"/>
          <w:rtl w:val="true"/>
          <w:lang w:bidi="fa-IR"/>
        </w:rPr>
        <w:t>اتّفق الفقهاء</w:t>
      </w:r>
      <w:r>
        <w:rPr>
          <w:rStyle w:val="FootnoteAnchor"/>
          <w:rtl w:val="true"/>
        </w:rPr>
        <w:footnoteReference w:id="1025"/>
      </w:r>
      <w:r>
        <w:rPr>
          <w:rFonts w:ascii="IRNazanin" w:hAnsi="IRNazanin" w:eastAsia="IRNazanin"/>
          <w:color w:val="111111"/>
          <w:sz w:val="28"/>
          <w:sz w:val="28"/>
          <w:szCs w:val="28"/>
          <w:rtl w:val="true"/>
          <w:lang w:bidi="fa-IR"/>
        </w:rPr>
        <w:t>علی أنّ الأمّ تقدّم فی الإرضاع إذا أرضعت ولدها بدون أجر، أو لم تطلب زیادة علی ما تأخذه الأجنبیة و لو دون أجر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یدلّ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أنّ الاُمّ تراعی مصلحة الصغیر لکونها أکثر حناناً و شفقة علیه من 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الآیات و الروایات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الآیات، فإنّ فی منع الاُمّ من إرضاع ولدها إضراراً بها، و هو لا یجوز؛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تُضَارَّ والِدَةٌ بِوَلَدِها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لمخالفته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الْوالِداتُ یُرْضِعْنَ أَوْلادَهُنَّ حَوْلَیْنِ کامِلَیْنِ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دلّت علی أنّ الإرضاع حقّ لهنّ‌</w:t>
      </w:r>
      <w:r>
        <w:rPr>
          <w:rStyle w:val="FootnoteAnchor"/>
          <w:rtl w:val="true"/>
        </w:rPr>
        <w:footnoteReference w:id="1026"/>
      </w:r>
      <w:r>
        <w:rPr>
          <w:rFonts w:ascii="IRNazanin" w:hAnsi="IRNazanin" w:eastAsia="IRNazanin"/>
          <w:color w:val="111111"/>
          <w:sz w:val="28"/>
          <w:sz w:val="28"/>
          <w:szCs w:val="28"/>
          <w:rtl w:val="true"/>
          <w:lang w:bidi="fa-IR"/>
        </w:rPr>
        <w:t>، فلا یجوز منعهنّ، و یجب علی الأب تمکینها منه و لا یجوز له الأخذ منها و إرضاع غیرها</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الروایات فهی فی حدّ الاستفاضة إن لم نقل بالتواتر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صحیحة الحلبی، عن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الحبلی المطلّقة ینفق علیها حتّی تضع حملها، و هی أحقّ بولدها حتّی ترضعه بما تقبله امرأة أخری، إنّ اللّه تعالی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تُضَارَّ والِدَةٌ بِوَلَدِها وَ لا مَوْلُودٌ لَهُ بِوَلَدِهِ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أبان، عن فضل أبی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w:t>
      </w:r>
    </w:p>
    <w:p>
      <w:pPr>
        <w:pStyle w:val="BookText"/>
        <w:rPr/>
      </w:pPr>
      <w:r>
        <w:rPr>
          <w:rFonts w:ascii="IRNazanin" w:hAnsi="IRNazanin" w:eastAsia="IRNazanin"/>
          <w:color w:val="111111"/>
          <w:sz w:val="28"/>
          <w:sz w:val="28"/>
          <w:szCs w:val="28"/>
          <w:rtl w:val="true"/>
          <w:lang w:bidi="fa-IR"/>
        </w:rPr>
        <w:t>أحقّ بولده أم المرأة؟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بل الرجل، فإن قالت المرأة لزوجها الذی طلّقها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أرضع ابنی بمثل ما تجد من یرضعه فهی أحقّ به</w:t>
      </w:r>
      <w:r>
        <w:rPr>
          <w:rFonts w:eastAsia="IRNazanin" w:cs="IRNazanin"/>
          <w:color w:val="111111"/>
          <w:sz w:val="28"/>
          <w:szCs w:val="28"/>
          <w:rtl w:val="true"/>
          <w:lang w:bidi="fa-IR"/>
        </w:rPr>
        <w:t>»</w:t>
      </w:r>
      <w:r>
        <w:rPr>
          <w:rStyle w:val="FootnoteAnchor"/>
          <w:rtl w:val="true"/>
        </w:rPr>
        <w:footnoteReference w:id="1028"/>
      </w:r>
      <w:r>
        <w:rPr>
          <w:rFonts w:ascii="IRNazanin" w:hAnsi="IRNazanin" w:eastAsia="IRNazanin"/>
          <w:color w:val="111111"/>
          <w:sz w:val="28"/>
          <w:sz w:val="28"/>
          <w:szCs w:val="28"/>
          <w:rtl w:val="true"/>
          <w:lang w:bidi="fa-IR"/>
        </w:rPr>
        <w:t>و غیرها</w:t>
      </w:r>
      <w:r>
        <w:rPr>
          <w:rStyle w:val="FootnoteAnchor"/>
          <w:rtl w:val="true"/>
        </w:rPr>
        <w:footnoteReference w:id="10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الدلالة ظاهرة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إذا وجدت متبرّعة بالإرضاع و طلبت الأمّ الأجر أو وجدت مرضعة بأجر أقلّ ممّا تأخذه الاُمّ کان للأب نزعه و تسلیمه إلی غیرها، سواء کان ما تطلبه الأمّ أجرة المثل أو أقلّ أو أزید، کما قال به العلاّمة</w:t>
      </w:r>
      <w:r>
        <w:rPr>
          <w:rStyle w:val="FootnoteAnchor"/>
          <w:rtl w:val="true"/>
        </w:rPr>
        <w:footnoteReference w:id="1030"/>
      </w:r>
      <w:r>
        <w:rPr>
          <w:rFonts w:ascii="IRNazanin" w:hAnsi="IRNazanin" w:eastAsia="IRNazanin"/>
          <w:color w:val="111111"/>
          <w:sz w:val="28"/>
          <w:sz w:val="28"/>
          <w:szCs w:val="28"/>
          <w:rtl w:val="true"/>
          <w:lang w:bidi="fa-IR"/>
        </w:rPr>
        <w:t>و الشهید الثانی</w:t>
      </w:r>
      <w:r>
        <w:rPr>
          <w:rStyle w:val="FootnoteAnchor"/>
          <w:rtl w:val="true"/>
        </w:rPr>
        <w:footnoteReference w:id="1031"/>
      </w:r>
      <w:r>
        <w:rPr>
          <w:rFonts w:ascii="IRNazanin" w:hAnsi="IRNazanin" w:eastAsia="IRNazanin"/>
          <w:color w:val="111111"/>
          <w:sz w:val="28"/>
          <w:sz w:val="28"/>
          <w:szCs w:val="28"/>
          <w:rtl w:val="true"/>
          <w:lang w:bidi="fa-IR"/>
        </w:rPr>
        <w:t>و السید الطباطبائی</w:t>
      </w:r>
      <w:r>
        <w:rPr>
          <w:rStyle w:val="FootnoteAnchor"/>
          <w:rtl w:val="true"/>
        </w:rPr>
        <w:footnoteReference w:id="1032"/>
      </w:r>
      <w:r>
        <w:rPr>
          <w:rFonts w:ascii="IRNazanin" w:hAnsi="IRNazanin" w:eastAsia="IRNazanin"/>
          <w:color w:val="111111"/>
          <w:sz w:val="28"/>
          <w:sz w:val="28"/>
          <w:szCs w:val="28"/>
          <w:rtl w:val="true"/>
          <w:lang w:bidi="fa-IR"/>
        </w:rPr>
        <w:t>و غیرهم</w:t>
      </w:r>
      <w:r>
        <w:rPr>
          <w:rStyle w:val="FootnoteAnchor"/>
          <w:rtl w:val="true"/>
        </w:rPr>
        <w:footnoteReference w:id="10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 أیضاً الحنفیة و الشافعیة</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یدلّ علیه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تُضَارَّ والِدَةٌ بِوَلَدِها وَ لا مَوْلُودٌ لَهُ بِوَلَدِهِ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بإلزامه لها أکثر من أجرة الأجنبیّة، و لإطلاق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تَعاسَرْتُمْ فَسَتُرْضِعُ لَهُ أُخْری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هکذا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أَرَدْتُمْ أَنْ تَسْتَرْضِعُوا أَوْلادَکُمْ فَلا جُناحَ عَلَیْکُمْ إِذا سَلَّمْتُمْ ما آتَیْتُمْ بِالْمَعْرُوفِ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أمّا النصوص الواردة عن الأئمّة المعصومین علیهم السلام</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أبی الصباح الکنانی،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طلّق الرجل المرأة و هی حبلی أنفق علیها حتّی تضع حملها، و إذا وضعته أعطاها أجرها</w:t>
      </w:r>
    </w:p>
    <w:p>
      <w:pPr>
        <w:pStyle w:val="BookText"/>
        <w:rPr/>
      </w:pPr>
      <w:r>
        <w:rPr>
          <w:rFonts w:ascii="IRNazanin" w:hAnsi="IRNazanin" w:eastAsia="IRNazanin"/>
          <w:color w:val="111111"/>
          <w:sz w:val="28"/>
          <w:sz w:val="28"/>
          <w:szCs w:val="28"/>
          <w:rtl w:val="true"/>
          <w:lang w:bidi="fa-IR"/>
        </w:rPr>
        <w:t>و لا یضارّها إلاّ أن یجد من هو أرخص أجراً منها، فإن هی رضیت بذلک الأجر فهی أحقّ بابنها حتّی تفطمه</w:t>
      </w:r>
      <w:r>
        <w:rPr>
          <w:rFonts w:eastAsia="IRNazanin" w:cs="IRNazanin"/>
          <w:color w:val="111111"/>
          <w:sz w:val="28"/>
          <w:szCs w:val="28"/>
          <w:rtl w:val="true"/>
          <w:lang w:bidi="fa-IR"/>
        </w:rPr>
        <w:t>»</w:t>
      </w:r>
      <w:r>
        <w:rPr>
          <w:rStyle w:val="FootnoteAnchor"/>
          <w:rtl w:val="true"/>
        </w:rPr>
        <w:footnoteReference w:id="10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غیرها</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هی أحقّ مطلقاً إذا لم تطلب أکثر من أجرة المثل</w:t>
      </w:r>
      <w:r>
        <w:rPr>
          <w:rStyle w:val="FootnoteAnchor"/>
          <w:rtl w:val="true"/>
        </w:rPr>
        <w:footnoteReference w:id="1037"/>
      </w:r>
      <w:r>
        <w:rPr>
          <w:rFonts w:ascii="IRNazanin" w:hAnsi="IRNazanin" w:eastAsia="IRNazanin"/>
          <w:color w:val="111111"/>
          <w:sz w:val="28"/>
          <w:sz w:val="28"/>
          <w:szCs w:val="28"/>
          <w:rtl w:val="true"/>
          <w:lang w:bidi="fa-IR"/>
        </w:rPr>
        <w:t>، کما علیه المالکیة و الحنابلة</w:t>
      </w:r>
      <w:r>
        <w:rPr>
          <w:rStyle w:val="FootnoteAnchor"/>
          <w:rtl w:val="true"/>
        </w:rPr>
        <w:footnoteReference w:id="10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استدلّوا بإطلاق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تُضَارَّ والِدَةٌ بِوَلَدِها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الْوالِداتُ یُرْضِعْنَ أَوْلادَهُنَّ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إلزام الأب بأجرة أکثر من أجرة الأجنبیّة فیه ضرر علیه، و أنّه تعالی نفی الضرر عن الأب کما ینفیه عن الأمّ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تُضَارَّ والِدَةٌ بِوَلَدِها وَ لا مَوْلُودٌ لَهُ بِوَلَدِهِ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یکون نهیاً عن أن یلحق بها الضرر من قبل الزوج، و أن یلحق به الضرر من جهة الزوجة بسبب الولد</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مخالف لإطلاق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تَعاسَرْتُمْ فَسَتُرْضِعُ لَهُ أُخْری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اختلفتم فی الرضاع و فی الأجر فسترضع له امرأة أخری أجنبیة، أی فلیسترضع الوالد غیر والدة الصبیّ‌</w:t>
      </w:r>
      <w:r>
        <w:rPr>
          <w:rStyle w:val="FootnoteAnchor"/>
          <w:rtl w:val="true"/>
        </w:rPr>
        <w:footnoteReference w:id="10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مخالف لإطلاق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أَرَدْتُمْ أَنْ تَسْتَرْضِعُوا أَوْلادَکُمْ فَلا جُناحَ عَلَیْکُمْ</w:t>
      </w:r>
      <w:r>
        <w:rPr>
          <w:rFonts w:eastAsia="Amiri" w:cs="Amiri" w:ascii="Amiri" w:hAnsi="Amiri"/>
          <w:color w:val="111111"/>
          <w:sz w:val="28"/>
          <w:szCs w:val="28"/>
          <w:rtl w:val="true"/>
          <w:lang w:bidi="ar-SA"/>
        </w:rPr>
        <w:t>)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مخالف للروایات المذکورة آنفاً و غیرها نحو ما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المطلّقة الحبلی ینفق علیها حتّی تضع حملها، و هی أحقّ بولدها أن ترضعه بما تقبله امرأة أخری، یقول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تُضَارَّ</w:t>
      </w:r>
      <w:bookmarkStart w:id="479" w:name="pg11752_146253"/>
    </w:p>
    <w:p>
      <w:pPr>
        <w:pStyle w:val="BookText"/>
        <w:rPr/>
      </w:pPr>
      <w:bookmarkEnd w:id="479"/>
      <w:r>
        <w:rPr>
          <w:rFonts w:ascii="Amiri" w:hAnsi="Amiri" w:eastAsia="Amiri" w:cs="Amiri"/>
          <w:color w:val="111111"/>
          <w:sz w:val="28"/>
          <w:sz w:val="28"/>
          <w:szCs w:val="28"/>
          <w:rtl w:val="true"/>
          <w:lang w:bidi="ar-SA"/>
        </w:rPr>
        <w:t>والِدَةٌ بِوَلَدِها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فإنّ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تقبله امرأة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سواء کان ما تطلبه الأُخری أجرة المثل أو أقلّ أو أزید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أصالة عدم الأحقیّة إلاّ ما ساعدت بإخراجه الأدلّة</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0" w:name="__RefHeading___Toc9424138_73709187"/>
      <w:bookmarkStart w:id="481" w:name="_Toc183"/>
      <w:bookmarkEnd w:id="480"/>
      <w:r>
        <w:rPr>
          <w:rtl w:val="true"/>
        </w:rPr>
        <w:t>استحباب الرضاع فی حولین کاملین</w:t>
      </w:r>
      <w:bookmarkEnd w:id="481"/>
    </w:p>
    <w:p>
      <w:pPr>
        <w:pStyle w:val="BookText"/>
        <w:rPr/>
      </w:pPr>
      <w:r>
        <w:rPr>
          <w:rFonts w:ascii="Amiri" w:hAnsi="Amiri" w:eastAsia="Amiri" w:cs="Amiri"/>
          <w:color w:val="111111"/>
          <w:sz w:val="28"/>
          <w:sz w:val="28"/>
          <w:szCs w:val="28"/>
          <w:rtl w:val="true"/>
          <w:lang w:bidi="ar-SA"/>
        </w:rPr>
        <w:t>یستحبّ أن یرضع الولد سنتین کاملتین لا أقلّ منهما و لا أکثر، کما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الْوالِداتُ یُرْضِعْنَ أَوْلادَهُنَّ حَوْلَیْنِ کامِلَیْنِ لِمَنْ أَرادَ أَنْ یُتِمَّ الرَّضاعَةَ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فإنّ هذه الجملة فی معنی الأمر، و تقدیره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لیرضعن أولادهنّ، و دلّت علی أنّ الحولین حقّ لکلّ ولد، سواء ولد لستّة أشهر أو أکثر إن أراد الولیّ إتمام الرضاعة، کما قال به بعض</w:t>
      </w:r>
      <w:r>
        <w:rPr>
          <w:rStyle w:val="FootnoteAnchor"/>
          <w:rtl w:val="true"/>
        </w:rPr>
        <w:footnoteReference w:id="1042"/>
      </w:r>
      <w:r>
        <w:rPr>
          <w:rFonts w:ascii="Amiri" w:hAnsi="Amiri" w:eastAsia="Amiri" w:cs="Amiri"/>
          <w:color w:val="111111"/>
          <w:sz w:val="28"/>
          <w:sz w:val="28"/>
          <w:szCs w:val="28"/>
          <w:rtl w:val="true"/>
          <w:lang w:bidi="ar-SA"/>
        </w:rPr>
        <w:t>فإن نقصت عن السنتین مدّة ثلاثة أشهر لم یکن به بأس، کما یستفاد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حَمْلُهُ وَ فِصالُهُ ثَلاثُونَ شَهْراً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مدّة الحمل غالباً تسعة أشهر، فإذا نقصت التسعة من الثلاثین یبقی واحد و عشرون شهراً</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نقص من إحدی و عشرین شهراً لم یجز، و کان ظلماً و جوراً علی الصبی، کما علیه المفید و الشیخ و الشهید الثانی و الفاضل المقداد</w:t>
      </w:r>
      <w:r>
        <w:rPr>
          <w:rStyle w:val="FootnoteAnchor"/>
          <w:rtl w:val="true"/>
        </w:rPr>
        <w:footnoteReference w:id="1043"/>
      </w:r>
      <w:r>
        <w:rPr>
          <w:rFonts w:ascii="IRNazanin" w:hAnsi="IRNazanin" w:eastAsia="IRNazanin"/>
          <w:color w:val="111111"/>
          <w:sz w:val="28"/>
          <w:sz w:val="28"/>
          <w:szCs w:val="28"/>
          <w:rtl w:val="true"/>
          <w:lang w:bidi="fa-IR"/>
        </w:rPr>
        <w:t>و غیرهم، و یدلّ‌</w:t>
      </w:r>
      <w:r>
        <w:rPr>
          <w:rStyle w:val="FootnoteAnchor"/>
          <w:rtl w:val="true"/>
        </w:rPr>
        <w:footnoteReference w:id="1044"/>
      </w:r>
      <w:r>
        <w:rPr>
          <w:rFonts w:ascii="IRNazanin" w:hAnsi="IRNazanin" w:eastAsia="IRNazanin"/>
          <w:color w:val="111111"/>
          <w:sz w:val="28"/>
          <w:sz w:val="28"/>
          <w:szCs w:val="28"/>
          <w:rtl w:val="true"/>
          <w:lang w:bidi="fa-IR"/>
        </w:rPr>
        <w:t>علی</w:t>
      </w:r>
      <w:bookmarkStart w:id="482" w:name="pg11752_146254"/>
    </w:p>
    <w:p>
      <w:pPr>
        <w:pStyle w:val="BookText"/>
        <w:rPr/>
      </w:pPr>
      <w:bookmarkEnd w:id="482"/>
      <w:r>
        <w:rPr>
          <w:rFonts w:ascii="IRNazanin" w:hAnsi="IRNazanin" w:eastAsia="IRNazanin"/>
          <w:color w:val="111111"/>
          <w:sz w:val="28"/>
          <w:sz w:val="28"/>
          <w:szCs w:val="28"/>
          <w:rtl w:val="true"/>
          <w:lang w:bidi="fa-IR"/>
        </w:rPr>
        <w:t>ذلک روایة سماعة بن مهران، 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الرضاع واحد و عشرون شهراً، فما نقص فهو جور علی الصبیّ</w:t>
      </w:r>
      <w:r>
        <w:rPr>
          <w:rFonts w:eastAsia="IRNazanin" w:cs="IRNazanin"/>
          <w:color w:val="111111"/>
          <w:sz w:val="28"/>
          <w:szCs w:val="28"/>
          <w:rtl w:val="true"/>
          <w:lang w:bidi="fa-IR"/>
        </w:rPr>
        <w:t>»</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هکذا روایة عبد الوهّاب بن الصباح، 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الفرض فی الرضاع أحد و عشرون شهراً، فما نقص عن أحد و عشرین شهراً فقد نقص المرضع، و إن أراد أن یتمَّ الرضاعة فحولین کاملین</w:t>
      </w:r>
      <w:r>
        <w:rPr>
          <w:rFonts w:eastAsia="IRNazanin" w:cs="IRNazanin"/>
          <w:color w:val="111111"/>
          <w:sz w:val="28"/>
          <w:szCs w:val="28"/>
          <w:rtl w:val="true"/>
          <w:lang w:bidi="fa-IR"/>
        </w:rPr>
        <w:t>»</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یجوز إذا اقتضت</w:t>
      </w:r>
      <w:r>
        <w:rPr>
          <w:rStyle w:val="FootnoteAnchor"/>
          <w:rtl w:val="true"/>
        </w:rPr>
        <w:footnoteReference w:id="1047"/>
      </w:r>
      <w:r>
        <w:rPr>
          <w:rFonts w:ascii="Amiri" w:hAnsi="Amiri" w:eastAsia="Amiri" w:cs="Amiri"/>
          <w:color w:val="111111"/>
          <w:sz w:val="28"/>
          <w:sz w:val="28"/>
          <w:szCs w:val="28"/>
          <w:rtl w:val="true"/>
          <w:lang w:bidi="ar-SA"/>
        </w:rPr>
        <w:t>مصلحة الولد ذلک و تراضی علیه الأبوان کما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أَرادا فِصالاً عَنْ تَراضٍ مِنْهُما وَ تَشاوُرٍ فَلا جُناحَ عَلَیْهِما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فإن أراد الأب و الاُمّ فصالاً قبل الحولین و تراضیا به، و یکون الفصال مصلحة للولد فلا جناح و لا حرج علیهما، فإن تنازعا رجعا إلی الحولین</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3" w:name="__RefHeading___Toc9424140_73709187"/>
      <w:bookmarkStart w:id="484" w:name="_Toc184"/>
      <w:bookmarkEnd w:id="483"/>
      <w:r>
        <w:rPr>
          <w:rtl w:val="true"/>
        </w:rPr>
        <w:t>حکم إرضاع الولد أکثر من حولین</w:t>
      </w:r>
      <w:bookmarkEnd w:id="484"/>
    </w:p>
    <w:p>
      <w:pPr>
        <w:pStyle w:val="Heading6"/>
        <w:numPr>
          <w:ilvl w:val="5"/>
          <w:numId w:val="1"/>
        </w:numPr>
        <w:rPr/>
      </w:pPr>
      <w:bookmarkStart w:id="485" w:name="__RefHeading___Toc9424142_73709187"/>
      <w:bookmarkStart w:id="486" w:name="_Toc185"/>
      <w:bookmarkEnd w:id="485"/>
      <w:r>
        <w:rPr>
          <w:rtl w:val="true"/>
        </w:rPr>
        <w:t>اشارة</w:t>
      </w:r>
      <w:bookmarkEnd w:id="486"/>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اختلف الفقهاء فی أنّه هل یجوز إرضاع الولد أکثر من حولین کاملین إلی 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الزیادة مطلقاً</w:t>
      </w:r>
    </w:p>
    <w:p>
      <w:pPr>
        <w:pStyle w:val="BookText"/>
        <w:rPr/>
      </w:pPr>
      <w:r>
        <w:rPr>
          <w:rFonts w:ascii="IRNazanin" w:hAnsi="IRNazanin" w:eastAsia="IRNazanin"/>
          <w:color w:val="111111"/>
          <w:sz w:val="28"/>
          <w:sz w:val="28"/>
          <w:szCs w:val="28"/>
          <w:rtl w:val="true"/>
          <w:lang w:bidi="fa-IR"/>
        </w:rPr>
        <w:t>قال فی المقنعة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علی الأب بعد بلوغ الصبیّ سنتین أجر رضاع، فإن اختارت أُمّه بعد رضاعه بعد ذلک لم یکن له منعها منه</w:t>
      </w:r>
      <w:r>
        <w:rPr>
          <w:rFonts w:eastAsia="IRNazanin" w:cs="IRNazanin"/>
          <w:color w:val="111111"/>
          <w:sz w:val="28"/>
          <w:szCs w:val="28"/>
          <w:rtl w:val="true"/>
          <w:lang w:bidi="fa-IR"/>
        </w:rPr>
        <w:t>»</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الشهید فی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الزیادة علی الحولین فمقتضی الآیة أنّه لیس من الرضاعة لتمامها بالحولین، لکن لیس فیها دلالة علی المنع من الزائد</w:t>
      </w:r>
      <w:r>
        <w:rPr>
          <w:rFonts w:eastAsia="IRNazanin" w:cs="IRNazanin"/>
          <w:color w:val="111111"/>
          <w:sz w:val="28"/>
          <w:szCs w:val="28"/>
          <w:rtl w:val="true"/>
          <w:lang w:bidi="fa-IR"/>
        </w:rPr>
        <w:t>»</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قال فی الریاض</w:t>
      </w:r>
      <w:r>
        <w:rPr>
          <w:rStyle w:val="FootnoteAnchor"/>
          <w:rtl w:val="true"/>
        </w:rPr>
        <w:footnoteReference w:id="1051"/>
      </w:r>
      <w:r>
        <w:rPr>
          <w:rFonts w:ascii="IRNazanin" w:hAnsi="IRNazanin" w:eastAsia="IRNazanin"/>
          <w:color w:val="111111"/>
          <w:sz w:val="28"/>
          <w:sz w:val="28"/>
          <w:szCs w:val="28"/>
          <w:rtl w:val="true"/>
          <w:lang w:bidi="fa-IR"/>
        </w:rPr>
        <w:t>و نهایة المرام</w:t>
      </w:r>
      <w:r>
        <w:rPr>
          <w:rStyle w:val="FootnoteAnchor"/>
          <w:rtl w:val="true"/>
        </w:rPr>
        <w:footnoteReference w:id="1052"/>
      </w:r>
      <w:r>
        <w:rPr>
          <w:rFonts w:ascii="IRNazanin" w:hAnsi="IRNazanin" w:eastAsia="IRNazanin"/>
          <w:color w:val="111111"/>
          <w:sz w:val="28"/>
          <w:sz w:val="28"/>
          <w:szCs w:val="28"/>
          <w:rtl w:val="true"/>
          <w:lang w:bidi="fa-IR"/>
        </w:rPr>
        <w:t>، و هکذا صرّح فی الحدائق بجواز الزیادة علی الحولین مطلقاً، و أضاف بأنّ الأمر بالحولین فی الآیة و الأخبار لا یقتضی المنع عمّا زاد</w:t>
      </w:r>
      <w:r>
        <w:rPr>
          <w:rFonts w:eastAsia="IRNazanin" w:cs="IRNazanin"/>
          <w:color w:val="111111"/>
          <w:sz w:val="28"/>
          <w:szCs w:val="28"/>
          <w:rtl w:val="true"/>
          <w:lang w:bidi="fa-IR"/>
        </w:rPr>
        <w:t>»</w:t>
      </w:r>
      <w:r>
        <w:rPr>
          <w:rStyle w:val="FootnoteAnchor"/>
          <w:rtl w:val="true"/>
        </w:rPr>
        <w:footnoteReference w:id="10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 فی منهاج الصالحین و مبانیها</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الاستدلال علی الجواز بأصالة البراءة عن الحرمة کما فی الریاض</w:t>
      </w:r>
      <w:r>
        <w:rPr>
          <w:rStyle w:val="FootnoteAnchor"/>
          <w:rtl w:val="true"/>
        </w:rPr>
        <w:footnoteReference w:id="1055"/>
      </w:r>
    </w:p>
    <w:p>
      <w:pPr>
        <w:pStyle w:val="BookText"/>
        <w:rPr/>
      </w:pPr>
      <w:r>
        <w:rPr>
          <w:rFonts w:ascii="IRNazanin" w:hAnsi="IRNazanin" w:eastAsia="IRNazanin"/>
          <w:color w:val="111111"/>
          <w:sz w:val="28"/>
          <w:sz w:val="28"/>
          <w:szCs w:val="28"/>
          <w:rtl w:val="true"/>
          <w:lang w:bidi="fa-IR"/>
        </w:rPr>
        <w:t>و الجواهر</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مضافاً إلی أنّه قد دلّت علیه بعض النصوص، کصحیحة سعد بن سعد الأشعری عن أبی الحسن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الصبیّ هل یرضع أکثر من سنتین؟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زاد علی سنتین هل علی أبویه من ذلک شیء؟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مثلها ما رواه فی التهذیب عن الحلبی فی الصحیح،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للمرأة أن تأخذ فی رضاع ولدها أکثر من حولین کاملین</w:t>
      </w:r>
      <w:r>
        <w:rPr>
          <w:rFonts w:eastAsia="IRNazanin" w:cs="IRNazanin"/>
          <w:color w:val="111111"/>
          <w:sz w:val="28"/>
          <w:szCs w:val="28"/>
          <w:rtl w:val="true"/>
          <w:lang w:bidi="fa-IR"/>
        </w:rPr>
        <w:t>»</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ما رواه فی الفقیه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المطلّقة الحبلی ینفق علیها حتّی تضع حملها، و هی أحقّ بولدها أن ترضعه بما تقبله امرأة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لها أن تأخذ فی رضاعه فوق حولین کاملین</w:t>
      </w:r>
      <w:r>
        <w:rPr>
          <w:rFonts w:eastAsia="IRNazanin" w:cs="IRNazanin"/>
          <w:color w:val="111111"/>
          <w:sz w:val="28"/>
          <w:szCs w:val="28"/>
          <w:rtl w:val="true"/>
          <w:lang w:bidi="fa-IR"/>
        </w:rPr>
        <w:t>»</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فالمستفاد من هذه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سیما الصحیحة الأولی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یجوز أخذ الاُجرة بعد الحولین، فیفهم أنّ الإرضاع بعد الحولین بلا أجرة لا بأس به، و أمّا الأدلّة التی تدلّ علی أنّ الإرضاع یلزم أن یقع فی الحولین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الْوالِداتُ یُرْضِعْنَ أَوْلادَهُنَّ حَوْلَیْنِ کامِلَیْنِ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کذا النصوص المتقدّمة</w:t>
      </w:r>
      <w:r>
        <w:rPr>
          <w:rStyle w:val="FootnoteAnchor"/>
          <w:rtl w:val="true"/>
        </w:rPr>
        <w:footnoteReference w:id="1060"/>
      </w:r>
      <w:r>
        <w:rPr>
          <w:rFonts w:ascii="IRNazanin" w:hAnsi="IRNazanin" w:eastAsia="IRNazanin"/>
          <w:color w:val="111111"/>
          <w:sz w:val="28"/>
          <w:sz w:val="28"/>
          <w:szCs w:val="28"/>
          <w:rtl w:val="true"/>
          <w:lang w:bidi="fa-IR"/>
        </w:rPr>
        <w:t>فإنّها تدلّ علی أنّ ما زاد من الحولین لم یکن من الرضاعة، و لکن لیس فیها دلالة علی المنع من الزائد کما أشار إلی ذلک فی المسالک</w:t>
      </w:r>
      <w:r>
        <w:rPr>
          <w:rStyle w:val="FootnoteAnchor"/>
          <w:rtl w:val="true"/>
        </w:rPr>
        <w:footnoteReference w:id="1061"/>
      </w:r>
      <w:r>
        <w:rPr>
          <w:rFonts w:ascii="IRNazanin" w:hAnsi="IRNazanin" w:eastAsia="IRNazanin"/>
          <w:color w:val="111111"/>
          <w:sz w:val="28"/>
          <w:sz w:val="28"/>
          <w:szCs w:val="28"/>
          <w:rtl w:val="true"/>
          <w:lang w:bidi="fa-IR"/>
        </w:rPr>
        <w:t>و الحدائق</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الثانی فی المسألة، و هو قول المشهور من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یجوز الزیادة علی الحولین و یستثنی شهراً أو شهرین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فی النهایة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بأس أن یزاد علی السنتین فی الرضاع إلاّ أنّه لا یکون أکثر من شهرین</w:t>
      </w:r>
      <w:r>
        <w:rPr>
          <w:rFonts w:eastAsia="IRNazanin" w:cs="IRNazanin"/>
          <w:color w:val="111111"/>
          <w:sz w:val="28"/>
          <w:szCs w:val="28"/>
          <w:rtl w:val="true"/>
          <w:lang w:bidi="fa-IR"/>
        </w:rPr>
        <w:t>»</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یجوز الزیادة علی الحولین شهراً و شهرین</w:t>
      </w:r>
      <w:r>
        <w:rPr>
          <w:rFonts w:eastAsia="IRNazanin" w:cs="IRNazanin"/>
          <w:color w:val="111111"/>
          <w:sz w:val="28"/>
          <w:szCs w:val="28"/>
          <w:rtl w:val="true"/>
          <w:lang w:bidi="fa-IR"/>
        </w:rPr>
        <w:t>»</w:t>
      </w:r>
      <w:r>
        <w:rPr>
          <w:rStyle w:val="FootnoteAnchor"/>
          <w:rtl w:val="true"/>
        </w:rPr>
        <w:footnoteReference w:id="10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 فی</w:t>
      </w:r>
    </w:p>
    <w:p>
      <w:pPr>
        <w:pStyle w:val="BookText"/>
        <w:rPr/>
      </w:pPr>
      <w:r>
        <w:rPr>
          <w:rFonts w:ascii="IRNazanin" w:hAnsi="IRNazanin" w:eastAsia="IRNazanin"/>
          <w:color w:val="111111"/>
          <w:sz w:val="28"/>
          <w:sz w:val="28"/>
          <w:szCs w:val="28"/>
          <w:rtl w:val="true"/>
          <w:lang w:bidi="fa-IR"/>
        </w:rPr>
        <w:t>الوسیلة</w:t>
      </w:r>
      <w:r>
        <w:rPr>
          <w:rStyle w:val="FootnoteAnchor"/>
          <w:rtl w:val="true"/>
        </w:rPr>
        <w:footnoteReference w:id="1065"/>
      </w:r>
      <w:r>
        <w:rPr>
          <w:rFonts w:ascii="IRNazanin" w:hAnsi="IRNazanin" w:eastAsia="IRNazanin"/>
          <w:color w:val="111111"/>
          <w:sz w:val="28"/>
          <w:sz w:val="28"/>
          <w:szCs w:val="28"/>
          <w:rtl w:val="true"/>
          <w:lang w:bidi="fa-IR"/>
        </w:rPr>
        <w:t>و الجامع للشرائع</w:t>
      </w:r>
      <w:r>
        <w:rPr>
          <w:rStyle w:val="FootnoteAnchor"/>
          <w:rtl w:val="true"/>
        </w:rPr>
        <w:footnoteReference w:id="1066"/>
      </w:r>
      <w:r>
        <w:rPr>
          <w:rFonts w:ascii="IRNazanin" w:hAnsi="IRNazanin" w:eastAsia="IRNazanin"/>
          <w:color w:val="111111"/>
          <w:sz w:val="28"/>
          <w:sz w:val="28"/>
          <w:szCs w:val="28"/>
          <w:rtl w:val="true"/>
          <w:lang w:bidi="fa-IR"/>
        </w:rPr>
        <w:t>و السرائر</w:t>
      </w:r>
      <w:r>
        <w:rPr>
          <w:rStyle w:val="FootnoteAnchor"/>
          <w:rtl w:val="true"/>
        </w:rPr>
        <w:footnoteReference w:id="1067"/>
      </w:r>
      <w:r>
        <w:rPr>
          <w:rFonts w:ascii="Amiri" w:hAnsi="Amiri" w:eastAsia="Amiri" w:cs="Amiri"/>
          <w:color w:val="111111"/>
          <w:sz w:val="28"/>
          <w:sz w:val="28"/>
          <w:szCs w:val="28"/>
          <w:rtl w:val="true"/>
          <w:lang w:bidi="ar-SA"/>
        </w:rPr>
        <w:t>و المهذّب</w:t>
      </w:r>
      <w:r>
        <w:rPr>
          <w:rStyle w:val="FootnoteAnchor"/>
          <w:rtl w:val="true"/>
        </w:rPr>
        <w:footnoteReference w:id="1068"/>
      </w:r>
      <w:r>
        <w:rPr>
          <w:rFonts w:ascii="IRNazanin" w:hAnsi="IRNazanin" w:eastAsia="IRNazanin"/>
          <w:color w:val="111111"/>
          <w:sz w:val="28"/>
          <w:sz w:val="28"/>
          <w:szCs w:val="28"/>
          <w:rtl w:val="true"/>
          <w:lang w:bidi="fa-IR"/>
        </w:rPr>
        <w:t>و القواعد</w:t>
      </w:r>
      <w:r>
        <w:rPr>
          <w:rStyle w:val="FootnoteAnchor"/>
          <w:rtl w:val="true"/>
        </w:rPr>
        <w:footnoteReference w:id="1069"/>
      </w:r>
      <w:r>
        <w:rPr>
          <w:rFonts w:ascii="IRNazanin" w:hAnsi="IRNazanin" w:eastAsia="IRNazanin"/>
          <w:color w:val="111111"/>
          <w:sz w:val="28"/>
          <w:sz w:val="28"/>
          <w:szCs w:val="28"/>
          <w:rtl w:val="true"/>
          <w:lang w:bidi="fa-IR"/>
        </w:rPr>
        <w:t>و تفصیل الشریعة</w:t>
      </w:r>
      <w:r>
        <w:rPr>
          <w:rStyle w:val="FootnoteAnchor"/>
          <w:rtl w:val="true"/>
        </w:rPr>
        <w:footnoteReference w:id="1070"/>
      </w:r>
      <w:r>
        <w:rPr>
          <w:rFonts w:ascii="IRNazanin" w:hAnsi="IRNazanin" w:eastAsia="IRNazanin"/>
          <w:color w:val="111111"/>
          <w:sz w:val="28"/>
          <w:sz w:val="28"/>
          <w:szCs w:val="28"/>
          <w:rtl w:val="true"/>
          <w:lang w:bidi="fa-IR"/>
        </w:rPr>
        <w:t>و غیرها</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الذی یمکن أن یستدلّ به لإثبات قول المشهور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یقال من أنّ به روایة مرسلة منجبرة بالشهرة الدالّة علی عدم الجواز</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أنّ المرسل لا اعتبار به سیّما مع الجهل بمضمونه، قال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الاعتماد علی مثلها فی تقییدها بما مرّ من الأدلّة مناقشة</w:t>
      </w:r>
      <w:r>
        <w:rPr>
          <w:rFonts w:eastAsia="IRNazanin" w:cs="IRNazanin"/>
          <w:color w:val="111111"/>
          <w:sz w:val="28"/>
          <w:szCs w:val="28"/>
          <w:rtl w:val="true"/>
          <w:lang w:bidi="fa-IR"/>
        </w:rPr>
        <w:t>»</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الحدائق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الفحص و التتبّع لم نقف علیها فی شیء فی کتب الأخبار</w:t>
      </w:r>
      <w:r>
        <w:rPr>
          <w:rFonts w:eastAsia="IRNazanin" w:cs="IRNazanin"/>
          <w:color w:val="111111"/>
          <w:sz w:val="28"/>
          <w:szCs w:val="28"/>
          <w:rtl w:val="true"/>
          <w:lang w:bidi="fa-IR"/>
        </w:rPr>
        <w:t>»</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اللبن بعد الحولین من فضلات ما لا یؤکل لحمه الممنوع أکلها، بل الظاهر أنّ ذلک لکونه من الخبائث کالبصاق و باقی رطوباتها، و کلّما حرم علی المکلّف لخبثه یحرم إطعامه لغیر المکلّف کالدم و نحوه، کما فی الجواهر أیضاً</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کون اللبن بعد الحولین من الخبائث فهو أوّل الکلام، و علی فرض</w:t>
      </w:r>
    </w:p>
    <w:p>
      <w:pPr>
        <w:pStyle w:val="BookText"/>
        <w:rPr/>
      </w:pPr>
      <w:r>
        <w:rPr>
          <w:rFonts w:ascii="IRNazanin" w:hAnsi="IRNazanin" w:eastAsia="IRNazanin"/>
          <w:color w:val="111111"/>
          <w:sz w:val="28"/>
          <w:sz w:val="28"/>
          <w:szCs w:val="28"/>
          <w:rtl w:val="true"/>
          <w:lang w:bidi="fa-IR"/>
        </w:rPr>
        <w:t>التسلیم لا دلیل علی حرمة إطعام کلّ محرّم لخبثه لغیر المکلّف؛ و لذا قال المستدلّ فی موضع آخر من کلامه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یتحصّل لنا الیوم من الخبائث معنی منضبطاً یرجع إلیه، فیجب الاقتصار فیها علی ما علم صدقها علیه کفضلة الإنسان، و الرجوع فی البواقی إلی الأصل الأوّل</w:t>
      </w:r>
      <w:r>
        <w:rPr>
          <w:rFonts w:eastAsia="IRNazanin" w:cs="IRNazanin"/>
          <w:color w:val="111111"/>
          <w:sz w:val="28"/>
          <w:szCs w:val="28"/>
          <w:rtl w:val="true"/>
          <w:lang w:bidi="fa-IR"/>
        </w:rPr>
        <w:t>»</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مضافاً إلی أنّ الکلام فی جواز إرضاع الصبی بعد الحولین و لو من لبن امرأة ولدت لأقلّ من تلک المدّة و بین المقامین بون بعید</w:t>
      </w:r>
      <w:r>
        <w:rPr>
          <w:rFonts w:eastAsia="IRNazanin" w:cs="IRNazanin"/>
          <w:color w:val="111111"/>
          <w:sz w:val="28"/>
          <w:szCs w:val="28"/>
          <w:rtl w:val="true"/>
          <w:lang w:bidi="fa-IR"/>
        </w:rPr>
        <w:t>»</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السیرة کما ادّعاها فی المهذّب</w:t>
      </w:r>
      <w:r>
        <w:rPr>
          <w:rStyle w:val="FootnoteAnchor"/>
          <w:rtl w:val="true"/>
        </w:rPr>
        <w:footnoteReference w:id="1078"/>
      </w:r>
      <w:r>
        <w:rPr>
          <w:rFonts w:ascii="Amiri" w:hAnsi="Amiri" w:eastAsia="Amiri" w:cs="Amiri"/>
          <w:color w:val="111111"/>
          <w:sz w:val="28"/>
          <w:sz w:val="28"/>
          <w:szCs w:val="28"/>
          <w:rtl w:val="true"/>
          <w:lang w:bidi="ar-SA"/>
        </w:rPr>
        <w:t>إلاّ أنّ إطلاق النصوص المتقدِّمة علی خلافها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جامع المدارک بعد استظهار جواز الزیادة علی الحولین مطلقاً، من الصحیحة المتقدِّمة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التعبیر بالزیادة لا یشمل کلّ زیادة بلغت ما بلغت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کذلک إلاّ أنّه لا دلیل لإثباته إلاّ حکم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تفصیل الشریعة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الدلیل علی جواز الزیادة شهراً أو شهرین إنّما هو عدم التحفّظ نوعاً علی الحولین و صعوبة فطام الطفل دفعة واحدة علی وجه یخشی علیه التلف لشدّة تعلّقه به</w:t>
      </w:r>
      <w:r>
        <w:rPr>
          <w:rFonts w:eastAsia="IRNazanin" w:cs="IRNazanin"/>
          <w:color w:val="111111"/>
          <w:sz w:val="28"/>
          <w:szCs w:val="28"/>
          <w:rtl w:val="true"/>
          <w:lang w:bidi="fa-IR"/>
        </w:rPr>
        <w:t>»</w:t>
      </w:r>
      <w:r>
        <w:rPr>
          <w:rStyle w:val="FootnoteAnchor"/>
          <w:rtl w:val="true"/>
        </w:rPr>
        <w:footnoteReference w:id="10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الجواهر</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إن کان وجیهاً إلاّ أنّه لا دلیل لإثباته أیضاً إلاّ العقل</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دلیل فقهیّاً لقول المشهور بحیث یطمئنّ به القلب فی الحکم به؛</w:t>
      </w:r>
      <w:bookmarkStart w:id="487" w:name="pg11752_146259"/>
    </w:p>
    <w:p>
      <w:pPr>
        <w:pStyle w:val="BookText"/>
        <w:rPr/>
      </w:pPr>
      <w:bookmarkEnd w:id="487"/>
      <w:r>
        <w:rPr>
          <w:rFonts w:ascii="IRNazanin" w:hAnsi="IRNazanin" w:eastAsia="IRNazanin"/>
          <w:color w:val="111111"/>
          <w:sz w:val="28"/>
          <w:sz w:val="28"/>
          <w:szCs w:val="28"/>
          <w:rtl w:val="true"/>
          <w:lang w:bidi="fa-IR"/>
        </w:rPr>
        <w:t>و لذا قال فی الریاض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مستنده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واضح</w:t>
      </w:r>
      <w:r>
        <w:rPr>
          <w:rFonts w:eastAsia="IRNazanin" w:cs="IRNazanin"/>
          <w:color w:val="111111"/>
          <w:sz w:val="28"/>
          <w:szCs w:val="28"/>
          <w:rtl w:val="true"/>
          <w:lang w:bidi="fa-IR"/>
        </w:rPr>
        <w:t>»</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مخالفته أیضاً مشکل، فالقول الأوّل و إن کان أوفق بالقواعد إلاّ أنّه یجب مراعاة الاحتیاط، و اللّه تعالی هو العالم بحکمه</w:t>
      </w:r>
      <w:r>
        <w:rPr>
          <w:rFonts w:eastAsia="IRNazanin" w:cs="IRNazanin"/>
          <w:color w:val="111111"/>
          <w:sz w:val="28"/>
          <w:szCs w:val="28"/>
          <w:rtl w:val="true"/>
          <w:lang w:bidi="fa-IR"/>
        </w:rPr>
        <w:t>.</w:t>
      </w:r>
    </w:p>
    <w:p>
      <w:pPr>
        <w:pStyle w:val="Heading6"/>
        <w:numPr>
          <w:ilvl w:val="5"/>
          <w:numId w:val="1"/>
        </w:numPr>
        <w:rPr/>
      </w:pPr>
      <w:bookmarkStart w:id="488" w:name="__RefHeading___Toc9424144_73709187"/>
      <w:bookmarkStart w:id="489" w:name="_Toc186"/>
      <w:bookmarkEnd w:id="488"/>
      <w:r>
        <w:rPr>
          <w:rtl w:val="true"/>
        </w:rPr>
        <w:t>فرع</w:t>
      </w:r>
      <w:bookmarkEnd w:id="489"/>
    </w:p>
    <w:p>
      <w:pPr>
        <w:pStyle w:val="BookText"/>
        <w:rPr/>
      </w:pPr>
      <w:r>
        <w:rPr>
          <w:rFonts w:ascii="IRNazanin" w:hAnsi="IRNazanin" w:eastAsia="IRNazanin"/>
          <w:color w:val="111111"/>
          <w:sz w:val="28"/>
          <w:sz w:val="28"/>
          <w:szCs w:val="28"/>
          <w:rtl w:val="true"/>
          <w:lang w:bidi="fa-IR"/>
        </w:rPr>
        <w:t>ظهر ممّا تقدّم أنّه لا یجب علی الوالد و غیره ممّن وجب علیه إرضاع الولد دفع أُجرة ما زاد علی الحولین؛ لأنّهما منتهی الرضاعة الواجبة علیه، و یدلّ علیه النصوص المتقدِّمة کما صرّح به کثیر من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المقنع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لها أن تأخذ فی رضاعة فوق حولین کاملین</w:t>
      </w:r>
      <w:r>
        <w:rPr>
          <w:rFonts w:eastAsia="IRNazanin" w:cs="IRNazanin"/>
          <w:color w:val="111111"/>
          <w:sz w:val="28"/>
          <w:szCs w:val="28"/>
          <w:rtl w:val="true"/>
          <w:lang w:bidi="fa-IR"/>
        </w:rPr>
        <w:t>»</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المقنعة</w:t>
      </w:r>
      <w:r>
        <w:rPr>
          <w:rStyle w:val="FootnoteAnchor"/>
          <w:rtl w:val="true"/>
        </w:rPr>
        <w:footnoteReference w:id="1083"/>
      </w:r>
      <w:r>
        <w:rPr>
          <w:rFonts w:ascii="IRNazanin" w:hAnsi="IRNazanin" w:eastAsia="IRNazanin"/>
          <w:color w:val="111111"/>
          <w:sz w:val="28"/>
          <w:sz w:val="28"/>
          <w:szCs w:val="28"/>
          <w:rtl w:val="true"/>
          <w:lang w:bidi="fa-IR"/>
        </w:rPr>
        <w:t>و النهایة</w:t>
      </w:r>
      <w:r>
        <w:rPr>
          <w:rStyle w:val="FootnoteAnchor"/>
          <w:rtl w:val="true"/>
        </w:rPr>
        <w:footnoteReference w:id="1084"/>
      </w:r>
      <w:r>
        <w:rPr>
          <w:rFonts w:ascii="IRNazanin" w:hAnsi="IRNazanin" w:eastAsia="IRNazanin"/>
          <w:color w:val="111111"/>
          <w:sz w:val="28"/>
          <w:sz w:val="28"/>
          <w:szCs w:val="28"/>
          <w:rtl w:val="true"/>
          <w:lang w:bidi="fa-IR"/>
        </w:rPr>
        <w:t>و الشرائع</w:t>
      </w:r>
      <w:r>
        <w:rPr>
          <w:rStyle w:val="FootnoteAnchor"/>
          <w:rtl w:val="true"/>
        </w:rPr>
        <w:footnoteReference w:id="1085"/>
      </w:r>
      <w:r>
        <w:rPr>
          <w:rFonts w:ascii="Amiri" w:hAnsi="Amiri" w:eastAsia="Amiri" w:cs="Amiri"/>
          <w:color w:val="111111"/>
          <w:sz w:val="28"/>
          <w:sz w:val="28"/>
          <w:szCs w:val="28"/>
          <w:rtl w:val="true"/>
          <w:lang w:bidi="ar-SA"/>
        </w:rPr>
        <w:t>و اللمعة</w:t>
      </w:r>
      <w:r>
        <w:rPr>
          <w:rStyle w:val="FootnoteAnchor"/>
          <w:rtl w:val="true"/>
        </w:rPr>
        <w:footnoteReference w:id="1086"/>
      </w:r>
      <w:r>
        <w:rPr>
          <w:rFonts w:ascii="IRNazanin" w:hAnsi="IRNazanin" w:eastAsia="IRNazanin"/>
          <w:color w:val="111111"/>
          <w:sz w:val="28"/>
          <w:sz w:val="28"/>
          <w:szCs w:val="28"/>
          <w:rtl w:val="true"/>
          <w:lang w:bidi="fa-IR"/>
        </w:rPr>
        <w:t>و غیرها</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لقد أجاد فی المسالک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یخلو علی إطلاقه من إشکال، و إنّما یتمّ علی تقدیر عدم حاجة الولد إلیه، أمّا لو احتاج إلیه لمرض و نحوه بحیث لم یکن غذاؤه بغیر اللبن کان اللبن حینئذٍ بمنزلة النفقة الضروریة، فعدم استحقاق الأُمّ علیه اجرة مطلقاً لا یخلو من نظر</w:t>
      </w:r>
      <w:r>
        <w:rPr>
          <w:rFonts w:eastAsia="IRNazanin" w:cs="IRNazanin"/>
          <w:color w:val="111111"/>
          <w:sz w:val="28"/>
          <w:szCs w:val="28"/>
          <w:rtl w:val="true"/>
          <w:lang w:bidi="fa-IR"/>
        </w:rPr>
        <w:t>»</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کشف اللثام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الأصول تقتضی أن یجب علیه الأجر إن اضطرّ الطفل إلیه</w:t>
      </w:r>
      <w:bookmarkStart w:id="490" w:name="pg11752_146260"/>
    </w:p>
    <w:p>
      <w:pPr>
        <w:pStyle w:val="BookText"/>
        <w:rPr/>
      </w:pPr>
      <w:bookmarkEnd w:id="490"/>
      <w:r>
        <w:rPr>
          <w:rFonts w:ascii="IRNazanin" w:hAnsi="IRNazanin" w:eastAsia="IRNazanin"/>
          <w:color w:val="111111"/>
          <w:sz w:val="28"/>
          <w:sz w:val="28"/>
          <w:szCs w:val="28"/>
          <w:rtl w:val="true"/>
          <w:lang w:bidi="fa-IR"/>
        </w:rPr>
        <w:t>و کان معسراً لوجوب نفقته علیه مع انحصارها حینئذٍ فی الرضاع</w:t>
      </w:r>
      <w:r>
        <w:rPr>
          <w:rFonts w:eastAsia="IRNazanin" w:cs="IRNazanin"/>
          <w:color w:val="111111"/>
          <w:sz w:val="28"/>
          <w:szCs w:val="28"/>
          <w:rtl w:val="true"/>
          <w:lang w:bidi="fa-IR"/>
        </w:rPr>
        <w:t>»</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شبه هذا فی نهایة المرام</w:t>
      </w:r>
      <w:r>
        <w:rPr>
          <w:rStyle w:val="FootnoteAnchor"/>
          <w:rtl w:val="true"/>
        </w:rPr>
        <w:footnoteReference w:id="1090"/>
      </w:r>
      <w:r>
        <w:rPr>
          <w:rFonts w:ascii="IRNazanin" w:hAnsi="IRNazanin" w:eastAsia="IRNazanin"/>
          <w:color w:val="111111"/>
          <w:sz w:val="28"/>
          <w:sz w:val="28"/>
          <w:szCs w:val="28"/>
          <w:rtl w:val="true"/>
          <w:lang w:bidi="fa-IR"/>
        </w:rPr>
        <w:t>و الریاض</w:t>
      </w:r>
      <w:r>
        <w:rPr>
          <w:rStyle w:val="FootnoteAnchor"/>
          <w:rtl w:val="true"/>
        </w:rPr>
        <w:footnoteReference w:id="1091"/>
      </w:r>
      <w:r>
        <w:rPr>
          <w:rFonts w:ascii="IRNazanin" w:hAnsi="IRNazanin" w:eastAsia="IRNazanin"/>
          <w:color w:val="111111"/>
          <w:sz w:val="28"/>
          <w:sz w:val="28"/>
          <w:szCs w:val="28"/>
          <w:rtl w:val="true"/>
          <w:lang w:bidi="fa-IR"/>
        </w:rPr>
        <w:t>و جامع المدارک</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1" w:name="__RefHeading___Toc9424146_73709187"/>
      <w:bookmarkStart w:id="492" w:name="_Toc187"/>
      <w:bookmarkEnd w:id="491"/>
      <w:r>
        <w:rPr>
          <w:rtl w:val="true"/>
        </w:rPr>
        <w:t>إرضاع الولد أکثر من حولین عند فقهاء أهل السنّة</w:t>
      </w:r>
      <w:bookmarkEnd w:id="492"/>
    </w:p>
    <w:p>
      <w:pPr>
        <w:pStyle w:val="BookText"/>
        <w:rPr/>
      </w:pPr>
      <w:r>
        <w:rPr>
          <w:rFonts w:ascii="IRNazanin" w:hAnsi="IRNazanin" w:eastAsia="IRNazanin"/>
          <w:color w:val="111111"/>
          <w:sz w:val="28"/>
          <w:sz w:val="28"/>
          <w:szCs w:val="28"/>
          <w:rtl w:val="true"/>
          <w:lang w:bidi="fa-IR"/>
        </w:rPr>
        <w:t>یستفاد من کلماتهم فی البحث عن شرائط نشر الحرمة بالرضاع أنّهم قائلون بجواز إرضاع الولد أکثر من حولین، و قیّده بعضهم بأن یکون مدّة الرضاع بعد الحولین قلیلة، کشهر أو شهرین أو ثلاثة شهور أو نصف الحول الثالث، و اختلفوا فی أنّه هل تحصل به الحرمة أم لا؟ فإلیک نصّ بعض کلماتهم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فی البیان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ذیل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الْوالِداتُ یُرْضِعْنَ أَوْلادَهُنَّ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 تمام الرضاع فی الحولین، فعلم أنّه لم یرد أنّه لا یجوز أکثر منه؛ لأنّ ذلک یجوز، و إنّما أراد أنّ تمام الرضاع الشرعی فی الحولین، و أنّه لا حکم لما زاد</w:t>
      </w:r>
      <w:r>
        <w:rPr>
          <w:rFonts w:eastAsia="Amiri" w:cs="Amiri" w:ascii="Amiri" w:hAnsi="Amiri"/>
          <w:color w:val="111111"/>
          <w:sz w:val="28"/>
          <w:szCs w:val="28"/>
          <w:rtl w:val="true"/>
          <w:lang w:bidi="ar-SA"/>
        </w:rPr>
        <w:t>»</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أحکام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أرادا فصالاً عن تراضٍ منهما و تشاور فلا حرج إن أرادا أن یفطما قبل الحولین أو بعدهما</w:t>
      </w:r>
      <w:r>
        <w:rPr>
          <w:rFonts w:eastAsia="IRNazanin" w:cs="IRNazanin"/>
          <w:color w:val="111111"/>
          <w:sz w:val="28"/>
          <w:szCs w:val="28"/>
          <w:rtl w:val="true"/>
          <w:lang w:bidi="fa-IR"/>
        </w:rPr>
        <w:t>»</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صرّح القرطبی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الزیادة علی الحولین أو النقصان إنّما یکون عند عدم الإضرار بالمولود و عند رضا الأبوین</w:t>
      </w:r>
      <w:r>
        <w:rPr>
          <w:rFonts w:eastAsia="IRNazanin" w:cs="IRNazanin"/>
          <w:color w:val="111111"/>
          <w:sz w:val="28"/>
          <w:szCs w:val="28"/>
          <w:rtl w:val="true"/>
          <w:lang w:bidi="fa-IR"/>
        </w:rPr>
        <w:t>»</w:t>
      </w:r>
      <w:r>
        <w:rPr>
          <w:rStyle w:val="FootnoteAnchor"/>
          <w:rtl w:val="true"/>
        </w:rPr>
        <w:footnoteReference w:id="1095"/>
      </w:r>
    </w:p>
    <w:p>
      <w:pPr>
        <w:pStyle w:val="BookText"/>
        <w:rPr/>
      </w:pPr>
      <w:r>
        <w:rPr>
          <w:rFonts w:ascii="IRNazanin" w:hAnsi="IRNazanin" w:eastAsia="IRNazanin"/>
          <w:color w:val="111111"/>
          <w:sz w:val="28"/>
          <w:sz w:val="28"/>
          <w:szCs w:val="28"/>
          <w:rtl w:val="true"/>
          <w:lang w:bidi="fa-IR"/>
        </w:rPr>
        <w:t>فیستفاد منه أنّ الإرضاع زیادة علی الحولین إن لم یضرّ بالمولود و رضی به الأبوان 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عقد الجواهر الثمینة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کان بمدّة قریبة و الطفل مستمرّ الرضاع و فی تحدید المدّة القریبة خلاف، قال فی 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یکون بعد الحولین بأیّام یسیرة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استحسن مالک أن یحرم ما بعدهما إلی الشهر، و قال فی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ینظر إلی الحولین و الشهر و الشهرین بعد الحولین</w:t>
      </w:r>
      <w:r>
        <w:rPr>
          <w:rFonts w:eastAsia="IRNazanin" w:cs="IRNazanin"/>
          <w:color w:val="111111"/>
          <w:sz w:val="28"/>
          <w:szCs w:val="28"/>
          <w:rtl w:val="true"/>
          <w:lang w:bidi="fa-IR"/>
        </w:rPr>
        <w:t>...»</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الفقه الإسلامی و أدلّته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استمرّ الرضاع بعد الحولین لضعف الطفل فلا مانع منه للحاجة، و لکن لا یترتّب علیه أحکامه من التحریم و أخذ الاُمّ المطلّقة أجراً علیه</w:t>
      </w:r>
      <w:r>
        <w:rPr>
          <w:rFonts w:eastAsia="IRNazanin" w:cs="IRNazanin"/>
          <w:color w:val="111111"/>
          <w:sz w:val="28"/>
          <w:szCs w:val="28"/>
          <w:rtl w:val="true"/>
          <w:lang w:bidi="fa-IR"/>
        </w:rPr>
        <w:t>»</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المحلّی بالآثار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أرادت الاُمّ أو الأب التمادی علی إرضاع الرضیع بعد الحولین فلهما ذلک؛ لأنّه لم یأت نصّ بالمنع من ذلک</w:t>
      </w:r>
      <w:r>
        <w:rPr>
          <w:rFonts w:eastAsia="IRNazanin" w:cs="IRNazanin"/>
          <w:color w:val="111111"/>
          <w:sz w:val="28"/>
          <w:szCs w:val="28"/>
          <w:rtl w:val="true"/>
          <w:lang w:bidi="fa-IR"/>
        </w:rPr>
        <w:t>»</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قریب منها فی غیرها</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 الآیة إنّما دلّت علی جواز الفصال و الفطام فی صورة التراضی و التشاور و لا تدلّ علی کون الفصال لا بدّ و أن یکون بمصلحة الولد مثلاً إذا لم یکن الفصال مصلحة للولد و لکن من جهة أخری تراضی الأبوان علی الفطام، فلا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مضافاً إلی أنّه إذا کان الملاک لزوم رعایة مصلحة الولد فلا دخل للتراضی أصلاً</w:t>
      </w:r>
      <w:r>
        <w:rPr>
          <w:rFonts w:eastAsia="IRNazanin" w:cs="IRNazanin"/>
          <w:color w:val="111111"/>
          <w:sz w:val="28"/>
          <w:szCs w:val="28"/>
          <w:rtl w:val="true"/>
          <w:lang w:bidi="fa-IR"/>
        </w:rPr>
        <w:t>.</w:t>
      </w:r>
      <w:bookmarkStart w:id="493" w:name="pg11752_146262"/>
    </w:p>
    <w:p>
      <w:pPr>
        <w:pStyle w:val="Heading4"/>
        <w:numPr>
          <w:ilvl w:val="3"/>
          <w:numId w:val="1"/>
        </w:numPr>
        <w:rPr/>
      </w:pPr>
      <w:bookmarkStart w:id="494" w:name="__RefHeading___Toc9424148_73709187"/>
      <w:bookmarkStart w:id="495" w:name="_Toc188"/>
      <w:bookmarkEnd w:id="493"/>
      <w:bookmarkEnd w:id="494"/>
      <w:r>
        <w:rPr>
          <w:rtl w:val="true"/>
        </w:rPr>
        <w:t>المبحث الثالث</w:t>
      </w:r>
      <w:r>
        <w:rPr>
          <w:rtl w:val="true"/>
        </w:rPr>
        <w:t xml:space="preserve">: </w:t>
      </w:r>
      <w:r>
        <w:rPr>
          <w:rtl w:val="true"/>
        </w:rPr>
        <w:t>فی استحقاق الأمّ أجرة الرضاع</w:t>
      </w:r>
      <w:bookmarkEnd w:id="495"/>
    </w:p>
    <w:p>
      <w:pPr>
        <w:pStyle w:val="Heading5"/>
        <w:numPr>
          <w:ilvl w:val="4"/>
          <w:numId w:val="1"/>
        </w:numPr>
        <w:rPr/>
      </w:pPr>
      <w:bookmarkStart w:id="496" w:name="__RefHeading___Toc9424150_73709187"/>
      <w:bookmarkStart w:id="497" w:name="_Toc189"/>
      <w:bookmarkEnd w:id="496"/>
      <w:r>
        <w:rPr>
          <w:rtl w:val="true"/>
        </w:rPr>
        <w:t>اشارة</w:t>
      </w:r>
      <w:bookmarkEnd w:id="497"/>
    </w:p>
    <w:p>
      <w:pPr>
        <w:pStyle w:val="BookText"/>
        <w:rPr/>
      </w:pPr>
      <w:r>
        <w:rPr>
          <w:rFonts w:ascii="Amiri" w:hAnsi="Amiri" w:eastAsia="Amiri" w:cs="Amiri"/>
          <w:color w:val="111111"/>
          <w:sz w:val="28"/>
          <w:sz w:val="28"/>
          <w:szCs w:val="28"/>
          <w:rtl w:val="true"/>
          <w:lang w:bidi="ar-SA"/>
        </w:rPr>
        <w:t>لا خلاف بین الفقهاء، من الخاصّة و العامّة فی أنّ الأمّ تستحقّ أجرة الرضاع بعد انتهاء الزوجیة و العدّة أو فی عدّة الوفاة؛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أَرْضَعْنَ لَکُمْ فَآتُوهُنَّ أُجُورَهُنَّ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لصحیح عبد اللّه بن سنان، عن أبی عبد اللّه علیه السلام فی رجل مات و ترک امرأة و معها منه ولد، فألقته علی خادم لها فأرضعته ثمّ جاءت تطلب رضاع الغلام من الصبیّ،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لها أجر مثلها، و لیس للوصیّ أن یخرجه من حجرها حتی یدرک و یدفع إلیه ماله</w:t>
      </w:r>
      <w:r>
        <w:rPr>
          <w:rFonts w:eastAsia="Amiri" w:cs="Amiri" w:ascii="Amiri" w:hAnsi="Amiri"/>
          <w:color w:val="111111"/>
          <w:sz w:val="28"/>
          <w:szCs w:val="28"/>
          <w:rtl w:val="true"/>
          <w:lang w:bidi="ar-SA"/>
        </w:rPr>
        <w:t>»</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اختلفوا فی استحقاق الأجرة فی حال الزوجیّة أو فی أثناء العدّة من الطلاق الرجعی علی أقوال، حتّی کان للفقیه الواحد رأیان، فقد قال الشیخ قدس سره فی النهایة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طلبت الحرّة أجر الرضاع کان لها ذلک علی أب الولد</w:t>
      </w:r>
      <w:r>
        <w:rPr>
          <w:rFonts w:eastAsia="IRNazanin" w:cs="IRNazanin"/>
          <w:color w:val="111111"/>
          <w:sz w:val="28"/>
          <w:szCs w:val="28"/>
          <w:rtl w:val="true"/>
          <w:lang w:bidi="fa-IR"/>
        </w:rPr>
        <w:t>»</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تعاقدا عقد الإجارة علی رضاع الولد لم تصح</w:t>
      </w:r>
      <w:r>
        <w:rPr>
          <w:rFonts w:eastAsia="IRNazanin" w:cs="IRNazanin"/>
          <w:color w:val="111111"/>
          <w:sz w:val="28"/>
          <w:szCs w:val="28"/>
          <w:rtl w:val="true"/>
          <w:lang w:bidi="fa-IR"/>
        </w:rPr>
        <w:t>»</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جمع آراءهم فی هذه المسألة فی ثلاثة أقوال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تستحقّ الأمّ أجرة الرضاع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تستحقّ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تستحق إذا کان الرضاع واجباً، أمّا إن لم یکن واجباً علی الأمّ فتستحقّ</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المشهور بین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 تستحقّ الأجرة، کما قال به</w:t>
      </w:r>
    </w:p>
    <w:p>
      <w:pPr>
        <w:pStyle w:val="BookText"/>
        <w:rPr/>
      </w:pPr>
      <w:r>
        <w:rPr>
          <w:rFonts w:ascii="IRNazanin" w:hAnsi="IRNazanin" w:eastAsia="IRNazanin"/>
          <w:color w:val="111111"/>
          <w:sz w:val="28"/>
          <w:sz w:val="28"/>
          <w:szCs w:val="28"/>
          <w:rtl w:val="true"/>
          <w:lang w:bidi="fa-IR"/>
        </w:rPr>
        <w:t>المرتضی</w:t>
      </w:r>
      <w:r>
        <w:rPr>
          <w:rStyle w:val="FootnoteAnchor"/>
          <w:rtl w:val="true"/>
        </w:rPr>
        <w:footnoteReference w:id="1103"/>
      </w:r>
      <w:r>
        <w:rPr>
          <w:rFonts w:ascii="IRNazanin" w:hAnsi="IRNazanin" w:eastAsia="IRNazanin"/>
          <w:color w:val="111111"/>
          <w:sz w:val="28"/>
          <w:sz w:val="28"/>
          <w:szCs w:val="28"/>
          <w:rtl w:val="true"/>
          <w:lang w:bidi="fa-IR"/>
        </w:rPr>
        <w:t>و ابن إدریس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المحقّق</w:t>
      </w:r>
      <w:r>
        <w:rPr>
          <w:rStyle w:val="FootnoteAnchor"/>
          <w:rtl w:val="true"/>
        </w:rPr>
        <w:footnoteReference w:id="1104"/>
      </w:r>
      <w:r>
        <w:rPr>
          <w:rFonts w:ascii="Amiri" w:hAnsi="Amiri" w:eastAsia="Amiri" w:cs="Amiri"/>
          <w:color w:val="111111"/>
          <w:sz w:val="28"/>
          <w:sz w:val="28"/>
          <w:szCs w:val="28"/>
          <w:rtl w:val="true"/>
          <w:lang w:bidi="ar-SA"/>
        </w:rPr>
        <w:t>و العلاّمة</w:t>
      </w:r>
      <w:r>
        <w:rPr>
          <w:rStyle w:val="FootnoteAnchor"/>
          <w:rtl w:val="true"/>
        </w:rPr>
        <w:footnoteReference w:id="1105"/>
      </w:r>
      <w:r>
        <w:rPr>
          <w:rFonts w:ascii="IRNazanin" w:hAnsi="IRNazanin" w:eastAsia="IRNazanin"/>
          <w:color w:val="111111"/>
          <w:sz w:val="28"/>
          <w:sz w:val="28"/>
          <w:szCs w:val="28"/>
          <w:rtl w:val="true"/>
          <w:lang w:bidi="fa-IR"/>
        </w:rPr>
        <w:t>و الشهیدان</w:t>
      </w:r>
      <w:r>
        <w:rPr>
          <w:rStyle w:val="FootnoteAnchor"/>
          <w:rtl w:val="true"/>
        </w:rPr>
        <w:footnoteReference w:id="1106"/>
      </w:r>
      <w:r>
        <w:rPr>
          <w:rFonts w:ascii="IRNazanin" w:hAnsi="IRNazanin" w:eastAsia="IRNazanin"/>
          <w:color w:val="111111"/>
          <w:sz w:val="28"/>
          <w:sz w:val="28"/>
          <w:szCs w:val="28"/>
          <w:rtl w:val="true"/>
          <w:lang w:bidi="fa-IR"/>
        </w:rPr>
        <w:t>و السید الطباطبائی</w:t>
      </w:r>
      <w:r>
        <w:rPr>
          <w:rStyle w:val="FootnoteAnchor"/>
          <w:rtl w:val="true"/>
        </w:rPr>
        <w:footnoteReference w:id="1107"/>
      </w:r>
      <w:r>
        <w:rPr>
          <w:rFonts w:ascii="IRNazanin" w:hAnsi="IRNazanin" w:eastAsia="IRNazanin"/>
          <w:color w:val="111111"/>
          <w:sz w:val="28"/>
          <w:sz w:val="28"/>
          <w:szCs w:val="28"/>
          <w:rtl w:val="true"/>
          <w:lang w:bidi="fa-IR"/>
        </w:rPr>
        <w:t>و غیرهم</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أن یستدلّ بأنّ الأصل یقتضی ذلک، أی الأصل جواز أخذ الأجرة ما لم یقم دلیل علی المنع، و سنذکر توضیحاً فی مورد هذا الأصل فی البحث عن الحضانة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یدلّ علیه أیضاً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عَلَی الْمَوْلُودِ لَهُ رِزْقُهُنَّ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عامّ تشمل المورد، و العوض المأخوذ لیس فی مقابل التمکین بل فی مقابل الإرضاع، و سواء فی ذلک منع الزوج من حقوقه أو لا؛ لأنّه رضی بذلک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أَرْضَعْنَ لَکُمْ فَآتُوهُنَّ أُجُورَهُنَّ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مطلق فیشمل ما کانت الزوجة فی حباله أو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یدلّ علیه أیضاً ما رواه داود بن الحصین، عن أبی عبد اللّه علیه السلام قال فی 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وجد الأب من یرضعه بأربعة دراهم، و قالت الأمّ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أرضعه إلاّ بخمسة دراهم، فإنّ له أن ینزعه منها إلاّ أنّ ذلک خیر له و أرفق به أن یترک مع أمّه</w:t>
      </w:r>
      <w:r>
        <w:rPr>
          <w:rFonts w:eastAsia="IRNazanin" w:cs="IRNazanin"/>
          <w:color w:val="111111"/>
          <w:sz w:val="28"/>
          <w:szCs w:val="28"/>
          <w:rtl w:val="true"/>
          <w:lang w:bidi="fa-IR"/>
        </w:rPr>
        <w:t>»</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فیستفاد من مفهومه أنّ الاُمّ تستحقّ الأجرة علی الرضاع بقدر ما یأخذه غیرها</w:t>
      </w:r>
      <w:r>
        <w:rPr>
          <w:rFonts w:eastAsia="IRNazanin" w:cs="IRNazanin"/>
          <w:color w:val="111111"/>
          <w:sz w:val="28"/>
          <w:szCs w:val="28"/>
          <w:rtl w:val="true"/>
          <w:lang w:bidi="fa-IR"/>
        </w:rPr>
        <w:t>.</w:t>
      </w:r>
      <w:bookmarkStart w:id="498" w:name="pg11752_146264"/>
    </w:p>
    <w:p>
      <w:pPr>
        <w:pStyle w:val="BookText"/>
        <w:rPr/>
      </w:pPr>
      <w:bookmarkEnd w:id="498"/>
      <w:r>
        <w:rPr>
          <w:rFonts w:ascii="IRNazanin" w:hAnsi="IRNazanin" w:eastAsia="IRNazanin"/>
          <w:color w:val="111111"/>
          <w:sz w:val="28"/>
          <w:sz w:val="28"/>
          <w:szCs w:val="28"/>
          <w:rtl w:val="true"/>
          <w:lang w:bidi="fa-IR"/>
        </w:rPr>
        <w:t>و استدلّ للقول الثانی و هو اختیار الشیخ فی المبسوط‌</w:t>
      </w:r>
      <w:r>
        <w:rPr>
          <w:rStyle w:val="FootnoteAnchor"/>
          <w:rtl w:val="true"/>
        </w:rPr>
        <w:footnoteReference w:id="1110"/>
      </w:r>
      <w:r>
        <w:rPr>
          <w:rFonts w:ascii="IRNazanin" w:hAnsi="IRNazanin" w:eastAsia="IRNazanin"/>
          <w:color w:val="111111"/>
          <w:sz w:val="28"/>
          <w:sz w:val="28"/>
          <w:szCs w:val="28"/>
          <w:rtl w:val="true"/>
          <w:lang w:bidi="fa-IR"/>
        </w:rPr>
        <w:t>و جمهور أهل السنّة من الحنفیة و الشافعیة و الحنابلة، بأنّ الزوج مکلّف بالإنفاق علیها، فلا تستحقّ نفقة أخری مقابل الرضاع حتّی لا یجتمع علیه واجبان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النفقة و الأجرة فی آنٍ واحدٍ و هو غیر جائز؛ لکفایة النفقة الواجبة علی الزوج</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 النفقة علی الزوج لا یدلّ علی عدم استحقاق الزوجة أجرة الرضاع؛ لأنّ الزوج لا یملک منافعها، و تملّک وجوه الاستمتاع لا یقتضی تملّک الاسترضاع</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القول الثالث و هو التفصیل، فهی خیرة المالکیة، حیث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الرضاع واجباً علی الأمّ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الحالة الغالبة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تستحقّ الأجرة، أمّا إن کان الرضاع غیر واجب علی الاُمّ کالشریفة القدر، فإنّها تستحقّ الأجرة علی الرضاع</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نسلّم أنّ الرضاع واجب علیها کما أوضحناه فی المبحث الثانی، و مع فرض الوجوب لا منافاة بین الوجوب و أخذ الأجرة علی رضاعها،</w:t>
      </w:r>
    </w:p>
    <w:p>
      <w:pPr>
        <w:pStyle w:val="Heading5"/>
        <w:numPr>
          <w:ilvl w:val="4"/>
          <w:numId w:val="1"/>
        </w:numPr>
        <w:rPr/>
      </w:pPr>
      <w:bookmarkStart w:id="499" w:name="__RefHeading___Toc9424152_73709187"/>
      <w:bookmarkStart w:id="500" w:name="_Toc190"/>
      <w:bookmarkEnd w:id="499"/>
      <w:r>
        <w:rPr>
          <w:rtl w:val="true"/>
        </w:rPr>
        <w:t>استحباب اختیار العاقلة و</w:t>
      </w:r>
      <w:r>
        <w:rPr>
          <w:rtl w:val="true"/>
        </w:rPr>
        <w:t xml:space="preserve">... </w:t>
      </w:r>
      <w:r>
        <w:rPr>
          <w:rtl w:val="true"/>
        </w:rPr>
        <w:t>للرضاع</w:t>
      </w:r>
      <w:bookmarkEnd w:id="500"/>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لم تختر الأمّ إرضاع ولدها، أو تطلب زیادة علی ما تأخذه الأجنبیة کان للأب نزعه و استرضاع غیرها، و یستحبّ أن یختار للرضاع المرأة العاقلة، المسلمة العفیفة، الوضیئة؛ لأنّ الرضاع یؤثِّر فی الطباع و الصورة</w:t>
      </w:r>
      <w:r>
        <w:rPr>
          <w:rFonts w:eastAsia="IRNazanin" w:cs="IRNazanin"/>
          <w:color w:val="111111"/>
          <w:sz w:val="28"/>
          <w:szCs w:val="28"/>
          <w:rtl w:val="true"/>
          <w:lang w:bidi="fa-IR"/>
        </w:rPr>
        <w:t>...</w:t>
      </w:r>
      <w:r>
        <w:rPr>
          <w:rStyle w:val="FootnoteAnchor"/>
          <w:rtl w:val="true"/>
        </w:rPr>
        <w:footnoteReference w:id="1114"/>
      </w:r>
    </w:p>
    <w:p>
      <w:pPr>
        <w:pStyle w:val="BookText"/>
        <w:rPr/>
      </w:pPr>
      <w:r>
        <w:rPr>
          <w:rFonts w:ascii="IRNazanin" w:hAnsi="IRNazanin" w:eastAsia="IRNazanin"/>
          <w:color w:val="111111"/>
          <w:sz w:val="28"/>
          <w:sz w:val="28"/>
          <w:szCs w:val="28"/>
          <w:rtl w:val="true"/>
          <w:lang w:bidi="fa-IR"/>
        </w:rPr>
        <w:t>و یدلّ علی ذلک جملة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الکافی عن محمد بن مروان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جعفر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استرضع لولدک بلبن الحسان، و إیّاک و القباح فإنّ اللبن قد یعدی</w:t>
      </w:r>
      <w:r>
        <w:rPr>
          <w:rFonts w:eastAsia="IRNazanin" w:cs="IRNazanin"/>
          <w:color w:val="111111"/>
          <w:sz w:val="28"/>
          <w:szCs w:val="28"/>
          <w:rtl w:val="true"/>
          <w:lang w:bidi="fa-IR"/>
        </w:rPr>
        <w:t>»</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غیاث بن إبراهیم،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انظروا من یرضع أولادکم، فإنّ الولد یشبّ علیه</w:t>
      </w:r>
      <w:r>
        <w:rPr>
          <w:rFonts w:eastAsia="IRNazanin" w:cs="IRNazanin"/>
          <w:color w:val="111111"/>
          <w:sz w:val="28"/>
          <w:szCs w:val="28"/>
          <w:rtl w:val="true"/>
          <w:lang w:bidi="fa-IR"/>
        </w:rPr>
        <w:t>»</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محمد بن قیس،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تسترضعوا الحمقاء، فإنّ اللبن یعدی، و إنّ الغلام ینزع إلی اللبن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إلی الظئر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الرعونة و الحمق</w:t>
      </w:r>
      <w:r>
        <w:rPr>
          <w:rFonts w:eastAsia="IRNazanin" w:cs="IRNazanin"/>
          <w:color w:val="111111"/>
          <w:sz w:val="28"/>
          <w:szCs w:val="28"/>
          <w:rtl w:val="true"/>
          <w:lang w:bidi="fa-IR"/>
        </w:rPr>
        <w:t>»</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رواه فی کتاب قرب الإسناد، عن جعفر، عن أبیه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علیاً علیه السلام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تخیّروا للرضاع کما تخیّرون للنکاح، فإنّ الرضاع یغیّر الطباع</w:t>
      </w:r>
      <w:r>
        <w:rPr>
          <w:rFonts w:eastAsia="IRNazanin" w:cs="IRNazanin"/>
          <w:color w:val="111111"/>
          <w:sz w:val="28"/>
          <w:szCs w:val="28"/>
          <w:rtl w:val="true"/>
          <w:lang w:bidi="fa-IR"/>
        </w:rPr>
        <w:t>»</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یکره أن تسترضع الکافرة إلاّ مع الضرورة، فإن اضطرّ إلیها فلیسترضع یهودیّة أو نصرانیة، و تتأکّد الکراهة فی المجوسیة و مَن کانت ولادتها عن الزنا، و لیمنعها من شرب الخمر و أکل لحم الخنزیر</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یدلّ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التعلیلین الموجودین فی روایتی محمد بن مروان و غیاث بن إبراهیم المذکورتین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الکافی و التهذیب عن عبد الرحمن بن أبی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هل یصلح للرجل أن ترضع له الیهودیة و النصرانیة و المشرکة؟ قال</w:t>
      </w:r>
      <w:r>
        <w:rPr>
          <w:rFonts w:eastAsia="IRNazanin" w:cs="IRNazanin"/>
          <w:color w:val="111111"/>
          <w:sz w:val="28"/>
          <w:szCs w:val="28"/>
          <w:rtl w:val="true"/>
          <w:lang w:bidi="fa-IR"/>
        </w:rPr>
        <w:t>:</w:t>
      </w:r>
      <w:bookmarkStart w:id="501" w:name="pg11752_146266"/>
    </w:p>
    <w:p>
      <w:pPr>
        <w:pStyle w:val="BookText"/>
        <w:rPr/>
      </w:pPr>
      <w:bookmarkEnd w:id="50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امنعوهنّ من شرب الخمر</w:t>
      </w:r>
      <w:r>
        <w:rPr>
          <w:rFonts w:eastAsia="IRNazanin" w:cs="IRNazanin"/>
          <w:color w:val="111111"/>
          <w:sz w:val="28"/>
          <w:szCs w:val="28"/>
          <w:rtl w:val="true"/>
          <w:lang w:bidi="fa-IR"/>
        </w:rPr>
        <w:t>»</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محمد بن مسلم،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لبن الیهودیة و النصرانیة و المجوسیة أحبّ إلیّ من لبن ولد الزنا</w:t>
      </w:r>
      <w:r>
        <w:rPr>
          <w:rFonts w:eastAsia="IRNazanin" w:cs="IRNazanin"/>
          <w:color w:val="111111"/>
          <w:sz w:val="28"/>
          <w:szCs w:val="28"/>
          <w:rtl w:val="true"/>
          <w:lang w:bidi="fa-IR"/>
        </w:rPr>
        <w:t>»</w:t>
      </w:r>
      <w:r>
        <w:rPr>
          <w:rStyle w:val="FootnoteAnchor"/>
          <w:rtl w:val="true"/>
        </w:rPr>
        <w:footnoteReference w:id="1121"/>
      </w:r>
      <w:r>
        <w:rPr>
          <w:rFonts w:ascii="IRNazanin" w:hAnsi="IRNazanin" w:eastAsia="IRNazanin"/>
          <w:color w:val="111111"/>
          <w:sz w:val="28"/>
          <w:sz w:val="28"/>
          <w:szCs w:val="28"/>
          <w:rtl w:val="true"/>
          <w:lang w:bidi="fa-IR"/>
        </w:rPr>
        <w:t>و موثّق الحلبی</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المستفاد من هذه الأخبار و غیرها </w:t>
      </w:r>
      <w:r>
        <w:rPr>
          <w:rStyle w:val="FootnoteAnchor"/>
          <w:rtl w:val="true"/>
        </w:rPr>
        <w:footnoteReference w:id="1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ضمّ بعضها إلی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استرضاع الذمّیة، و شدّة کراهة استرضاع المجوسیة، و أشدّیة کراهة استرضاع الزانیة</w:t>
      </w:r>
      <w:r>
        <w:rPr>
          <w:rFonts w:eastAsia="IRNazanin" w:cs="IRNazanin"/>
          <w:color w:val="111111"/>
          <w:sz w:val="28"/>
          <w:szCs w:val="28"/>
          <w:rtl w:val="true"/>
          <w:lang w:bidi="fa-IR"/>
        </w:rPr>
        <w:t>.</w:t>
      </w:r>
    </w:p>
    <w:p>
      <w:pPr>
        <w:pStyle w:val="Heading5"/>
        <w:numPr>
          <w:ilvl w:val="4"/>
          <w:numId w:val="1"/>
        </w:numPr>
        <w:rPr/>
      </w:pPr>
      <w:bookmarkStart w:id="502" w:name="__RefHeading___Toc9424154_73709187"/>
      <w:bookmarkStart w:id="503" w:name="_Toc191"/>
      <w:bookmarkEnd w:id="502"/>
      <w:r>
        <w:rPr>
          <w:rtl w:val="true"/>
        </w:rPr>
        <w:t>إیضاح</w:t>
      </w:r>
      <w:bookmarkEnd w:id="503"/>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فی زماننا هذا لا یستفاد غالباً من المرأة المرضعة فی الرضاع، بل یستفاد من الحلیب المجفّف الذی یُصنع من ألبان البقر و الغنم و غیرهما، فعلی هذا لا موضوع للبحث عن المرضعة و أوصافها؛ و لذا اکتفینا بذکر قلیل من الروایات، مع أنّه ذکر فی المطوّلات روایات کثیرة، و یدخل الرضاع بهذا المعنی فی التغذیة و النفقة للولد، و سیأتی التحقیق عنها فی الباب الخامس إن شاء اللّه تعالی</w:t>
      </w:r>
      <w:r>
        <w:rPr>
          <w:rFonts w:eastAsia="IRNazanin" w:cs="IRNazanin"/>
          <w:color w:val="111111"/>
          <w:sz w:val="28"/>
          <w:szCs w:val="28"/>
          <w:rtl w:val="true"/>
          <w:lang w:bidi="fa-IR"/>
        </w:rPr>
        <w:t>.</w:t>
      </w:r>
      <w:bookmarkStart w:id="504" w:name="pg11752_146267"/>
    </w:p>
    <w:p>
      <w:pPr>
        <w:pStyle w:val="Heading4"/>
        <w:numPr>
          <w:ilvl w:val="3"/>
          <w:numId w:val="1"/>
        </w:numPr>
        <w:rPr/>
      </w:pPr>
      <w:bookmarkStart w:id="505" w:name="__RefHeading___Toc9424156_73709187"/>
      <w:bookmarkStart w:id="506" w:name="_Toc192"/>
      <w:bookmarkEnd w:id="504"/>
      <w:bookmarkEnd w:id="505"/>
      <w:r>
        <w:rPr>
          <w:rtl w:val="true"/>
        </w:rPr>
        <w:t>المبحث الرابع</w:t>
      </w:r>
      <w:r>
        <w:rPr>
          <w:rtl w:val="true"/>
        </w:rPr>
        <w:t xml:space="preserve">: </w:t>
      </w:r>
      <w:r>
        <w:rPr>
          <w:rtl w:val="true"/>
        </w:rPr>
        <w:t>الرضاع و نشر الحرمة</w:t>
      </w:r>
      <w:bookmarkEnd w:id="506"/>
    </w:p>
    <w:p>
      <w:pPr>
        <w:pStyle w:val="Heading5"/>
        <w:numPr>
          <w:ilvl w:val="4"/>
          <w:numId w:val="1"/>
        </w:numPr>
        <w:rPr/>
      </w:pPr>
      <w:bookmarkStart w:id="507" w:name="__RefHeading___Toc9424158_73709187"/>
      <w:bookmarkStart w:id="508" w:name="_Toc193"/>
      <w:bookmarkEnd w:id="507"/>
      <w:r>
        <w:rPr>
          <w:rtl w:val="true"/>
        </w:rPr>
        <w:t>اشارة</w:t>
      </w:r>
      <w:bookmarkEnd w:id="508"/>
    </w:p>
    <w:p>
      <w:pPr>
        <w:pStyle w:val="BookText"/>
        <w:rPr/>
      </w:pPr>
      <w:r>
        <w:rPr>
          <w:rFonts w:ascii="IRNazanin" w:hAnsi="IRNazanin" w:eastAsia="IRNazanin"/>
          <w:color w:val="111111"/>
          <w:sz w:val="28"/>
          <w:sz w:val="28"/>
          <w:szCs w:val="28"/>
          <w:rtl w:val="true"/>
          <w:lang w:bidi="fa-IR"/>
        </w:rPr>
        <w:t>اتّفقت کلمة الفقهاء من الشیعة و السنّة کافّة علی سببیة الرضاع لنشر الحرمة فی الجملة</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یدلّ علی ذلک الکتاب و السنّة المستفیضة بل المتواترة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الکتاب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أُمَّهاتُکُمُ اللاّتِی أَرْضَعْنَکُمْ وَ أَخَواتُکُمْ مِنَ الرَّضاعَةِ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فیستفاد منها أنّ أحد ملاکات الحرمة فی التزویج هو الرضاع، و بما أنّه لا خصوصیة للمورد ینتج أنّ الرضاع مثل النسب فی المنع عن التزویج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السنّة عدّة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الکافی و التهذیب أبی جعفر علیه السلام فی حدیث، عن النبیّ صلی الله علیه و آله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من الرضاع ما یحرم من النسب</w:t>
      </w:r>
      <w:r>
        <w:rPr>
          <w:rFonts w:eastAsia="IRNazanin" w:cs="IRNazanin"/>
          <w:color w:val="111111"/>
          <w:sz w:val="28"/>
          <w:szCs w:val="28"/>
          <w:rtl w:val="true"/>
          <w:lang w:bidi="fa-IR"/>
        </w:rPr>
        <w:t>»</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الصحیح عن أبی الصباح الکنانی، عن أبی عبد اللّه علیه السلام، أنّه سئل عن الرضاع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یحرم من الرضاع ما یحرم من النسب</w:t>
      </w:r>
      <w:r>
        <w:rPr>
          <w:rFonts w:eastAsia="IRNazanin" w:cs="IRNazanin"/>
          <w:color w:val="111111"/>
          <w:sz w:val="28"/>
          <w:szCs w:val="28"/>
          <w:rtl w:val="true"/>
          <w:lang w:bidi="fa-IR"/>
        </w:rPr>
        <w:t>»</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فی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سنان،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یحرم من الرضاع ما یحرم من القرابة</w:t>
      </w:r>
      <w:r>
        <w:rPr>
          <w:rFonts w:eastAsia="IRNazanin" w:cs="IRNazanin"/>
          <w:color w:val="111111"/>
          <w:sz w:val="28"/>
          <w:szCs w:val="28"/>
          <w:rtl w:val="true"/>
          <w:lang w:bidi="fa-IR"/>
        </w:rPr>
        <w:t>»</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فی الکافی و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عبیدة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تنکح المرأة علی عمّتها و لا علی خالتها و لا علی أختها من</w:t>
      </w:r>
    </w:p>
    <w:p>
      <w:pPr>
        <w:pStyle w:val="BookText"/>
        <w:rPr/>
      </w:pPr>
      <w:r>
        <w:rPr>
          <w:rFonts w:ascii="IRNazanin" w:hAnsi="IRNazanin" w:eastAsia="IRNazanin"/>
          <w:color w:val="111111"/>
          <w:sz w:val="28"/>
          <w:sz w:val="28"/>
          <w:szCs w:val="28"/>
          <w:rtl w:val="true"/>
          <w:lang w:bidi="fa-IR"/>
        </w:rPr>
        <w:t>الرضاعة،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علیه السلام ذکر لرسول اللّه صلی الله علیه و آله ابنة حمزة،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علمت أنّها ابنة أخی من الرضاعة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رسول اللّه صلی الله علیه و آله و عمّه حمزة علیه السلام قد رضعا من امرأة</w:t>
      </w:r>
      <w:r>
        <w:rPr>
          <w:rFonts w:eastAsia="IRNazanin" w:cs="IRNazanin"/>
          <w:color w:val="111111"/>
          <w:sz w:val="28"/>
          <w:szCs w:val="28"/>
          <w:rtl w:val="true"/>
          <w:lang w:bidi="fa-IR"/>
        </w:rPr>
        <w:t>»</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یصلح للمرأة أن ینکحها عمّها و لا خالها من الرضاعة</w:t>
      </w:r>
      <w:r>
        <w:rPr>
          <w:rFonts w:eastAsia="IRNazanin" w:cs="IRNazanin"/>
          <w:color w:val="111111"/>
          <w:sz w:val="28"/>
          <w:szCs w:val="28"/>
          <w:rtl w:val="true"/>
          <w:lang w:bidi="fa-IR"/>
        </w:rPr>
        <w:t>»</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غیر ذلک من الأخبار التی جمعها فی الوسائل</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طرق أهل السنّة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یحرم من الرضاعة ما یحرم من الولادة</w:t>
      </w:r>
      <w:r>
        <w:rPr>
          <w:rFonts w:eastAsia="IRNazanin" w:cs="IRNazanin"/>
          <w:color w:val="111111"/>
          <w:sz w:val="28"/>
          <w:szCs w:val="28"/>
          <w:rtl w:val="true"/>
          <w:lang w:bidi="fa-IR"/>
        </w:rPr>
        <w:t>»</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أیضاً عن عروة، عن عائشة أنّها أخبرته أنّ عمّها من الرضاعة یسمّی أفلح، استأذن علیها فحجبته فأخبرت رسول اللّه صلی الله علیه و آله، فقال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تحتجبی منه، فإنّه یحرم من الرضاعة ما یحرم من النسب</w:t>
      </w:r>
      <w:r>
        <w:rPr>
          <w:rFonts w:eastAsia="IRNazanin" w:cs="IRNazanin"/>
          <w:color w:val="111111"/>
          <w:sz w:val="28"/>
          <w:szCs w:val="28"/>
          <w:rtl w:val="true"/>
          <w:lang w:bidi="fa-IR"/>
        </w:rPr>
        <w:t>»</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علیّ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ما لک تَنوق فی قریش و تَدَعُنا؟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عندکم شیء؟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بنت حمزة،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لا تحلّ لی، إنّها ابنة أخی من الرضاعة</w:t>
      </w:r>
      <w:r>
        <w:rPr>
          <w:rFonts w:eastAsia="IRNazanin" w:cs="IRNazanin"/>
          <w:color w:val="111111"/>
          <w:sz w:val="28"/>
          <w:szCs w:val="28"/>
          <w:rtl w:val="true"/>
          <w:lang w:bidi="fa-IR"/>
        </w:rPr>
        <w:t>»</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حرّم من الرضاع ما حرّم من النسب</w:t>
      </w:r>
      <w:r>
        <w:rPr>
          <w:rFonts w:eastAsia="IRNazanin" w:cs="IRNazanin"/>
          <w:color w:val="111111"/>
          <w:sz w:val="28"/>
          <w:szCs w:val="28"/>
          <w:rtl w:val="true"/>
          <w:lang w:bidi="fa-IR"/>
        </w:rPr>
        <w:t>»</w:t>
      </w:r>
      <w:r>
        <w:rPr>
          <w:rStyle w:val="FootnoteAnchor"/>
          <w:rtl w:val="true"/>
        </w:rPr>
        <w:footnoteReference w:id="1134"/>
      </w:r>
      <w:bookmarkStart w:id="509" w:name="pg11752_146269"/>
    </w:p>
    <w:p>
      <w:pPr>
        <w:pStyle w:val="Heading5"/>
        <w:numPr>
          <w:ilvl w:val="4"/>
          <w:numId w:val="1"/>
        </w:numPr>
        <w:rPr/>
      </w:pPr>
      <w:bookmarkStart w:id="510" w:name="__RefHeading___Toc9424160_73709187"/>
      <w:bookmarkStart w:id="511" w:name="_Toc194"/>
      <w:bookmarkEnd w:id="509"/>
      <w:bookmarkEnd w:id="510"/>
      <w:r>
        <w:rPr>
          <w:rtl w:val="true"/>
        </w:rPr>
        <w:t>معنی الحدیث النبویّ صلی الله علیه و آله</w:t>
      </w:r>
      <w:bookmarkEnd w:id="511"/>
    </w:p>
    <w:p>
      <w:pPr>
        <w:pStyle w:val="BookText"/>
        <w:rPr/>
      </w:pPr>
      <w:r>
        <w:rPr>
          <w:rFonts w:ascii="IRNazanin" w:hAnsi="IRNazanin" w:eastAsia="IRNazanin"/>
          <w:color w:val="111111"/>
          <w:sz w:val="28"/>
          <w:sz w:val="28"/>
          <w:szCs w:val="28"/>
          <w:rtl w:val="true"/>
          <w:lang w:bidi="fa-IR"/>
        </w:rPr>
        <w:t>قبل بیان أحکام نشر الحرمة بالرضاع یلزم أن نبیّن معنی هذه 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یحرم من الرضاع ما یحرم من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تضمنتها أخبار الفریقین و استفاض نقلها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السیّد بحر العلوم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یحرم من النسب من العناوین السبعة النسبیة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الأمّ، و البنت، و الأخت، و العمّة، و الخالة، و بنات الأخ، و بنات الأخت، المذکورة فی الآیة الشریفة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وجد نظیره فی الرضاع أوجب الحرمة بإرادة العنوان من الموصول و إلاّ فنفس من یحرم من النسب لا معنی لکونه یحرم من الرضاع، کما هو ظاهر العبارة، فلا بدّ من انتزاع عنوان یکون وجوده مناطاً فی الحکم، و إنّما وقع التعبیر بذلک لبیان اعتبار اتّحاد العنوان الحاصل منهما، فیکون حاصل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الرضاع یوجب ربطاً علی حدّ ربط النسب، و علاقة نحو علاقته، کما یعرب عنه تشبیه لحمته بلحمته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ما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لحمة الرضاع کلحمة النسب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فالعلائق السبعة الرضاعیّة تحرم کما تحرم العلائق السبعة النسبیة، 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الرضاع یحدث ما یحدثه النسب من العناوین السبعة، و یفعل فعله فی تحقّقها بعد تنزیل الرضاع منزلة الولادة فی ذلک، فیجری مجراه فی التحریم، سواء کان الحکم به بسبب النسب أو بسبب المصاهرة کأمّ الزوجة الرضاعیة، فإنها محرّمة علی زوج بنتها من الرضاع، و لکنّها بالمصاهرة لا بالرضاع</w:t>
      </w:r>
      <w:r>
        <w:rPr>
          <w:rFonts w:eastAsia="IRNazanin" w:cs="IRNazanin"/>
          <w:color w:val="111111"/>
          <w:sz w:val="28"/>
          <w:szCs w:val="28"/>
          <w:rtl w:val="true"/>
          <w:lang w:bidi="fa-IR"/>
        </w:rPr>
        <w:t>»</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2" w:name="__RefHeading___Toc9424162_73709187"/>
      <w:bookmarkStart w:id="513" w:name="_Toc195"/>
      <w:bookmarkEnd w:id="512"/>
      <w:r>
        <w:rPr>
          <w:rtl w:val="true"/>
        </w:rPr>
        <w:t>الأحکام المترتّبة علی الرضاع</w:t>
      </w:r>
      <w:bookmarkEnd w:id="513"/>
    </w:p>
    <w:p>
      <w:pPr>
        <w:pStyle w:val="BookText"/>
        <w:rPr/>
      </w:pPr>
      <w:r>
        <w:rPr>
          <w:rFonts w:ascii="IRNazanin" w:hAnsi="IRNazanin" w:eastAsia="IRNazanin"/>
          <w:color w:val="111111"/>
          <w:sz w:val="28"/>
          <w:sz w:val="28"/>
          <w:szCs w:val="28"/>
          <w:rtl w:val="true"/>
          <w:lang w:bidi="fa-IR"/>
        </w:rPr>
        <w:t>تترتّب علی الرضاع مع شرائطه أحکام نذکرها اختصاراً</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حصل الرضاع المحرّم، انتشرت الحرمة بین المرضعة و فحلها إلی</w:t>
      </w:r>
    </w:p>
    <w:p>
      <w:pPr>
        <w:pStyle w:val="BookText"/>
        <w:rPr/>
      </w:pPr>
      <w:r>
        <w:rPr>
          <w:rFonts w:ascii="IRNazanin" w:hAnsi="IRNazanin" w:eastAsia="IRNazanin"/>
          <w:color w:val="111111"/>
          <w:sz w:val="28"/>
          <w:sz w:val="28"/>
          <w:szCs w:val="28"/>
          <w:rtl w:val="true"/>
          <w:lang w:bidi="fa-IR"/>
        </w:rPr>
        <w:t>المرتضع و منه إلیهما، فصارت المرضعة له أمّاً و الفحل أباً و آباؤهما أجداداً و أمّهاتهما جدّات و أولادهما إخوة، و أخواتهما أخوالاً و أعماماً</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یقول صاحب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أجده فی شیء من ذلک، بل الظاهر اتّفاق أهل الإسلام جمیعاً علیه إلاّ مَن لا یعتدّ به من العامة، الذین قصروا الحرمة علی الأمّهات و الأخوات خاصّة؛ جموداً علی ما فی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أُمَّهاتُکُمُ اللاّتِی أَرْضَعْنَکُمْ وَ أَخَواتُکُمْ مِنَ الرَّضاعَةِ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معلوم البطلان، خصوصاً بعد تواتر قوله صلی الله علیه و 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من الرضاع ما یحرم من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منه علی الظاهر أنّ کلّما یحرم من النسب یحرم نظیره فی الرضاع، فیشمل حینئذٍ المحرّم من جهة النسب، و المحرّم من جهة المصاهرة بعد وجود سببها نحوها فی النسب، فالبنات و الأمّهات و الأخوات و العمّات و الخالات و بنات الأخ و بنات الأخت منه نحوها من النسب فی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حلیلة الابن الرضاعی و منکوحة الأب الرضاعی و أمّ الزوجة الرضاعیة، و الجمع بین الأختین الرضاعیتین و نحو ذلک، کلّها یستفاد تحریمها منه مضافاً إلی النسبیات</w:t>
      </w:r>
      <w:r>
        <w:rPr>
          <w:rFonts w:eastAsia="IRNazanin" w:cs="IRNazanin"/>
          <w:color w:val="111111"/>
          <w:sz w:val="28"/>
          <w:szCs w:val="28"/>
          <w:rtl w:val="true"/>
          <w:lang w:bidi="fa-IR"/>
        </w:rPr>
        <w:t>»</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ینسب إلی الفحل من الأولاد ولادةً و رضاعاً یحرمون علی هذا المرتضع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کلّ من ینتسب إلی المرضعة بالبنوّة ولادةً و إن نزلوا، و لا یحرم علیه مَن ینتسب إلیها بالبنوّة رضاعاً</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ینکح أبو المرتضع فی أولاد صاحب اللبن ولادةً و لا رضاعاً، و لا فی أولاد زوجته المرضعة ولادةً؛ لأنّهم صاروا فی حکم ولده</w:t>
      </w:r>
      <w:r>
        <w:rPr>
          <w:rStyle w:val="FootnoteAnchor"/>
          <w:rtl w:val="true"/>
        </w:rPr>
        <w:footnoteReference w:id="1138"/>
      </w:r>
      <w:r>
        <w:rPr>
          <w:rFonts w:ascii="IRNazanin" w:hAnsi="IRNazanin" w:eastAsia="IRNazanin"/>
          <w:color w:val="111111"/>
          <w:sz w:val="28"/>
          <w:sz w:val="28"/>
          <w:szCs w:val="28"/>
          <w:rtl w:val="true"/>
          <w:lang w:bidi="fa-IR"/>
        </w:rPr>
        <w:t>؛ وفاقاً للشیخ</w:t>
      </w:r>
    </w:p>
    <w:p>
      <w:pPr>
        <w:pStyle w:val="BookText"/>
        <w:rPr/>
      </w:pPr>
      <w:r>
        <w:rPr>
          <w:rFonts w:ascii="IRNazanin" w:hAnsi="IRNazanin" w:eastAsia="IRNazanin"/>
          <w:color w:val="111111"/>
          <w:sz w:val="28"/>
          <w:sz w:val="28"/>
          <w:szCs w:val="28"/>
          <w:rtl w:val="true"/>
          <w:lang w:bidi="fa-IR"/>
        </w:rPr>
        <w:t>فی غیر المبسوط‌</w:t>
      </w:r>
      <w:r>
        <w:rPr>
          <w:rStyle w:val="FootnoteAnchor"/>
          <w:rtl w:val="true"/>
        </w:rPr>
        <w:footnoteReference w:id="1139"/>
      </w:r>
      <w:r>
        <w:rPr>
          <w:rFonts w:ascii="Amiri" w:hAnsi="Amiri" w:eastAsia="Amiri" w:cs="Amiri"/>
          <w:color w:val="111111"/>
          <w:sz w:val="28"/>
          <w:sz w:val="28"/>
          <w:szCs w:val="28"/>
          <w:rtl w:val="true"/>
          <w:lang w:bidi="ar-SA"/>
        </w:rPr>
        <w:t>و ابن حمزة</w:t>
      </w:r>
      <w:r>
        <w:rPr>
          <w:rStyle w:val="FootnoteAnchor"/>
          <w:rtl w:val="true"/>
        </w:rPr>
        <w:footnoteReference w:id="1140"/>
      </w:r>
      <w:r>
        <w:rPr>
          <w:rFonts w:ascii="IRNazanin" w:hAnsi="IRNazanin" w:eastAsia="IRNazanin"/>
          <w:color w:val="111111"/>
          <w:sz w:val="28"/>
          <w:sz w:val="28"/>
          <w:szCs w:val="28"/>
          <w:rtl w:val="true"/>
          <w:lang w:bidi="fa-IR"/>
        </w:rPr>
        <w:t>و إدریس</w:t>
      </w:r>
      <w:r>
        <w:rPr>
          <w:rStyle w:val="FootnoteAnchor"/>
          <w:rtl w:val="true"/>
        </w:rPr>
        <w:footnoteReference w:id="1141"/>
      </w:r>
      <w:r>
        <w:rPr>
          <w:rFonts w:ascii="IRNazanin" w:hAnsi="IRNazanin" w:eastAsia="IRNazanin"/>
          <w:color w:val="111111"/>
          <w:sz w:val="28"/>
          <w:sz w:val="28"/>
          <w:szCs w:val="28"/>
          <w:rtl w:val="true"/>
          <w:lang w:bidi="fa-IR"/>
        </w:rPr>
        <w:t>، بل نسبه بعضهم إلی الشهرة، بل ربما ادّعی الإجماع علیه</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یدلّ علی ذلک عدّة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علیّ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عیسی بن جعفر بن عیسی أبا جعفر الثانی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امرأة أرضعت لی صبیّاً، فهل یحلّ لی أن أتزوّج ابنة زوجها؟ فقال 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أجود ما سألت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هاهنا یؤتی أن یقول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علیه امرأته من قبل لبن الفحل، هذا هو لبن الفحل لا غیره، فقلت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الجاریة لیست ابنة المرأة التی أرضعت لی، هی ابنة غیرها،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 عشراً متفرّقات ما حلّ لک منهنّ شیء، و کنّ فی موضع بناتک</w:t>
      </w:r>
      <w:r>
        <w:rPr>
          <w:rFonts w:eastAsia="IRNazanin" w:cs="IRNazanin"/>
          <w:color w:val="111111"/>
          <w:sz w:val="28"/>
          <w:szCs w:val="28"/>
          <w:rtl w:val="true"/>
          <w:lang w:bidi="fa-IR"/>
        </w:rPr>
        <w:t>»</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محمد الحسن بن علیّ العسکری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أرضعت ولد الرجل، هل یحلّ لذلک الرجل أن یتزوّج ابنة هذه المرضعة أم لا؟ فوقع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لا تحلّ له</w:t>
      </w:r>
      <w:r>
        <w:rPr>
          <w:rFonts w:eastAsia="IRNazanin" w:cs="IRNazanin"/>
          <w:color w:val="111111"/>
          <w:sz w:val="28"/>
          <w:szCs w:val="28"/>
          <w:rtl w:val="true"/>
          <w:lang w:bidi="fa-IR"/>
        </w:rPr>
        <w:t>»</w:t>
      </w:r>
      <w:r>
        <w:rPr>
          <w:rStyle w:val="FootnoteAnchor"/>
          <w:rtl w:val="true"/>
        </w:rPr>
        <w:footnoteReference w:id="1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نحوها صحیحة أیّوب بن نوح</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الرضاع المحرّم یمنع من النکاح سابقاً و یبطله لاحقاً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تزوّج رضیعة، فأرضعتها من یفسد نکاح الصغیرة برضاعها، کأمّه و جدّته و أخته و زوجة الأب و الأخ، إذا کان لبن المرضعة منهما؛ فسد النکاح</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فکما أنّ أمّه لو أرضعت بنتاً بالشروط المتقدّمة صارت أخته و حرمت علیه،</w:t>
      </w:r>
    </w:p>
    <w:p>
      <w:pPr>
        <w:pStyle w:val="BookText"/>
        <w:rPr/>
      </w:pPr>
      <w:r>
        <w:rPr>
          <w:rFonts w:ascii="IRNazanin" w:hAnsi="IRNazanin" w:eastAsia="IRNazanin"/>
          <w:color w:val="111111"/>
          <w:sz w:val="28"/>
          <w:sz w:val="28"/>
          <w:szCs w:val="28"/>
          <w:rtl w:val="true"/>
          <w:lang w:bidi="fa-IR"/>
        </w:rPr>
        <w:t>فکذا لو تزوّج رضیعة ثمّ إنّ أمّه أرضعتها الرضاع المحرم فإنّها تصیر أخته، و ینفسخ نکاحها و تحرم علیه مؤبّداً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أرضعت جدّته من أبیه صبیة، فإنّها تکون عمّته، و لو أرضعتها جدّته من أمّه صارت خالته، فلا یجوز له نکاحها فی الحالین، کذلک لو تزوّج صبیة ثمّ حصل الرضاع الموجب لذلک بعد ذلک، فإنّه ینفسخ النکاح و یبطل؛ لکونها عمّته أو خالته فتحرم علیه مؤبّداً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لو أرضعت زوجة أخیه بلبنه صبیّة، فإنّها تکون بنت أخیه و یصیر هو عمّها، فلا یجوز له نکاحها، فکذا لو تزوّجها أوّلاً ثمّ حصل الرضاع الموجب لذلک بعده، فإنّه ینفسخ النکاح للعلة المذکورة</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هذه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کونها مطابقة للعمومات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علیها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رجلاً تزوّج جاریة رضیعة فأرضعتها امرأته فسد النکاح</w:t>
      </w:r>
      <w:r>
        <w:rPr>
          <w:rFonts w:eastAsia="IRNazanin" w:cs="IRNazanin"/>
          <w:color w:val="111111"/>
          <w:sz w:val="28"/>
          <w:szCs w:val="28"/>
          <w:rtl w:val="true"/>
          <w:lang w:bidi="fa-IR"/>
        </w:rPr>
        <w:t>»</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عثمان بن عیسی، عن أبی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أخی تزوّج امرأة فأولدها، فانطلقت امرأة أخی فأرضعت جاریة من عرض الناس، فیحلّ لی أن أتزوج تلک الجاریة التی أرضعتها امرأة أخی؟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إنّه یحرم من الرضاع ما یحرم من النسب</w:t>
      </w:r>
      <w:r>
        <w:rPr>
          <w:rFonts w:eastAsia="IRNazanin" w:cs="IRNazanin"/>
          <w:color w:val="111111"/>
          <w:sz w:val="28"/>
          <w:szCs w:val="28"/>
          <w:rtl w:val="true"/>
          <w:lang w:bidi="fa-IR"/>
        </w:rPr>
        <w:t>»</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صاحب الحدائق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خلاف و لا إشکال فی أنّه إذا أوقب غلاماً حرمت علیه أمّ الغلام و بنته و أخته مؤبّداً إذا کنّ من النسب؛ للنصوص الواردة بذلک عن أهل العصمة صلوات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حمّاد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أتی غلاماً أ تحلّ له أخته؟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ثقب فلا</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إبراهیم بن عمر، عن أبی عبد اللّه علیه السلام فی رجل لعب بغلام هل یحلّ له أمّه؟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ثقب فلا</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أنهنّ لو کنّ من الرضاع فکذلک؛ لعموم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من الرضاع ما یحرم من النسب</w:t>
      </w:r>
      <w:r>
        <w:rPr>
          <w:rStyle w:val="FootnoteAnchor"/>
          <w:rtl w:val="true"/>
        </w:rPr>
        <w:footnoteReference w:id="1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صدق الأمّ علیها فی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أُمَّهاتُکُمُ اللاّتِی أَرْضَعْنَکُمْ وَ أَخَواتُکُمْ مِنَ الرَّضاعَةِ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کذا الأخت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أَخَواتُکُمْ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یؤیّد ذلک صحیحة محمد بن مسلم، عن أبی جعفر علیه السلام فی رجل فجر بامرأة أ یتزوّج أمّها من الرضاعة أو ابنتها؟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التقریب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حیث حلّت الأمّ من الرضاعة و البنت هنا محلّ نظیریهما من النسب فحرمتا علیه، فکذلک فیما نحن فیه، الاندراج تحت عموم الخبر النبویّ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قیل بالعدم؛ لأنّ الأمّ حقیقة فی النسبیة التی ولدته، لقوله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أُمَّهاتُهُمْ إِلاَّ اللاّئِی وَلَدْنَهُمْ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تتناول النصوص الواردة بالتحریم لها</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الحصر المذکور فی الآیة إنّما هو إضافی بالنسبة إلی المصاهرة و تسمیة المظاهر لزوجته أمّاً، و إلاّ فقد عرفت فی الآیة إطلاق الأمّ علی المرضعة، و الأصل فی الاستعمال الحقیقة</w:t>
      </w:r>
      <w:r>
        <w:rPr>
          <w:rFonts w:eastAsia="IRNazanin" w:cs="IRNazanin"/>
          <w:color w:val="111111"/>
          <w:sz w:val="28"/>
          <w:szCs w:val="28"/>
          <w:rtl w:val="true"/>
          <w:lang w:bidi="fa-IR"/>
        </w:rPr>
        <w:t>»</w:t>
      </w:r>
      <w:r>
        <w:rPr>
          <w:rStyle w:val="FootnoteAnchor"/>
          <w:rtl w:val="true"/>
        </w:rPr>
        <w:footnoteReference w:id="1153"/>
      </w:r>
      <w:bookmarkStart w:id="514" w:name="pg11752_146274"/>
    </w:p>
    <w:p>
      <w:pPr>
        <w:pStyle w:val="Heading4"/>
        <w:numPr>
          <w:ilvl w:val="3"/>
          <w:numId w:val="1"/>
        </w:numPr>
        <w:rPr/>
      </w:pPr>
      <w:bookmarkStart w:id="515" w:name="__RefHeading___Toc9424164_73709187"/>
      <w:bookmarkStart w:id="516" w:name="_Toc196"/>
      <w:bookmarkEnd w:id="514"/>
      <w:bookmarkEnd w:id="515"/>
      <w:r>
        <w:rPr>
          <w:rtl w:val="true"/>
        </w:rPr>
        <w:t>المبحث الخامس</w:t>
      </w:r>
      <w:r>
        <w:rPr>
          <w:rtl w:val="true"/>
        </w:rPr>
        <w:t xml:space="preserve">: </w:t>
      </w:r>
      <w:r>
        <w:rPr>
          <w:rtl w:val="true"/>
        </w:rPr>
        <w:t>شروط نشر الحرمة</w:t>
      </w:r>
      <w:bookmarkEnd w:id="516"/>
    </w:p>
    <w:p>
      <w:pPr>
        <w:pStyle w:val="Heading5"/>
        <w:numPr>
          <w:ilvl w:val="4"/>
          <w:numId w:val="1"/>
        </w:numPr>
        <w:rPr/>
      </w:pPr>
      <w:bookmarkStart w:id="517" w:name="__RefHeading___Toc9424166_73709187"/>
      <w:bookmarkStart w:id="518" w:name="_Toc197"/>
      <w:bookmarkEnd w:id="517"/>
      <w:r>
        <w:rPr>
          <w:rtl w:val="true"/>
        </w:rPr>
        <w:t>اشارة</w:t>
      </w:r>
      <w:bookmarkEnd w:id="518"/>
    </w:p>
    <w:p>
      <w:pPr>
        <w:pStyle w:val="BookText"/>
        <w:rPr/>
      </w:pPr>
      <w:r>
        <w:rPr>
          <w:rFonts w:ascii="IRNazanin" w:hAnsi="IRNazanin" w:eastAsia="IRNazanin"/>
          <w:color w:val="111111"/>
          <w:sz w:val="28"/>
          <w:sz w:val="28"/>
          <w:szCs w:val="28"/>
          <w:rtl w:val="true"/>
          <w:lang w:bidi="fa-IR"/>
        </w:rPr>
        <w:t>نشر الحرمة بالرضاع یتحقّق بعد توفّر الشرائط التی یرجع اعتبار بعضها فی المرضعة، و بعضها فی الرضیع، و بعضها فی الرضاع، و البحث موزّع علی ثلاث مطالب</w:t>
      </w:r>
      <w:r>
        <w:rPr>
          <w:rFonts w:eastAsia="IRNazanin" w:cs="IRNazanin"/>
          <w:color w:val="111111"/>
          <w:sz w:val="28"/>
          <w:szCs w:val="28"/>
          <w:rtl w:val="true"/>
          <w:lang w:bidi="fa-IR"/>
        </w:rPr>
        <w:t>:</w:t>
      </w:r>
    </w:p>
    <w:p>
      <w:pPr>
        <w:pStyle w:val="Heading5"/>
        <w:numPr>
          <w:ilvl w:val="4"/>
          <w:numId w:val="1"/>
        </w:numPr>
        <w:rPr/>
      </w:pPr>
      <w:bookmarkStart w:id="519" w:name="__RefHeading___Toc9424168_73709187"/>
      <w:bookmarkStart w:id="520" w:name="_Toc198"/>
      <w:bookmarkEnd w:id="519"/>
      <w:r>
        <w:rPr>
          <w:rtl w:val="true"/>
        </w:rPr>
        <w:t>المطلب الأوّل</w:t>
      </w:r>
      <w:r>
        <w:rPr>
          <w:rtl w:val="true"/>
        </w:rPr>
        <w:t xml:space="preserve">: </w:t>
      </w:r>
      <w:r>
        <w:rPr>
          <w:rtl w:val="true"/>
        </w:rPr>
        <w:t>فی شروط المرضعة</w:t>
      </w:r>
      <w:bookmarkEnd w:id="520"/>
    </w:p>
    <w:p>
      <w:pPr>
        <w:pStyle w:val="Heading6"/>
        <w:numPr>
          <w:ilvl w:val="5"/>
          <w:numId w:val="1"/>
        </w:numPr>
        <w:rPr/>
      </w:pPr>
      <w:bookmarkStart w:id="521" w:name="__RefHeading___Toc9424170_73709187"/>
      <w:bookmarkStart w:id="522" w:name="_Toc199"/>
      <w:bookmarkEnd w:id="521"/>
      <w:r>
        <w:rPr>
          <w:rtl w:val="true"/>
        </w:rPr>
        <w:t>الأوّل</w:t>
      </w:r>
      <w:r>
        <w:rPr>
          <w:rtl w:val="true"/>
        </w:rPr>
        <w:t xml:space="preserve">: </w:t>
      </w:r>
      <w:r>
        <w:rPr>
          <w:rtl w:val="true"/>
        </w:rPr>
        <w:t>أن تکون حیّة</w:t>
      </w:r>
      <w:bookmarkEnd w:id="522"/>
    </w:p>
    <w:p>
      <w:pPr>
        <w:pStyle w:val="BookText"/>
        <w:rPr/>
      </w:pPr>
      <w:r>
        <w:rPr>
          <w:rStyle w:val="FootnoteAnchor"/>
          <w:rtl w:val="true"/>
        </w:rPr>
        <w:footnoteReference w:id="1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صاحب الحدائق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خلاف بین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 یشترط فی الرضاع المحرّم أن تکون المرضعة حیّة فلو ارتضع من میّتة العدد أو تمامه لم ینشر حرمة، و یدلّ علیه ظاهر الآیة، و هی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أُمَّهاتُکُمُ اللاّتِی أَرْضَعْنَکُمْ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نسب إلیها المباشرة و الإرادة للارتضاع، و المیّتة لیست کذلک</w:t>
      </w:r>
      <w:r>
        <w:rPr>
          <w:rFonts w:eastAsia="IRNazanin" w:cs="IRNazanin"/>
          <w:color w:val="111111"/>
          <w:sz w:val="28"/>
          <w:szCs w:val="28"/>
          <w:rtl w:val="true"/>
          <w:lang w:bidi="fa-IR"/>
        </w:rPr>
        <w:t>»</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لأنّ المتبادر من إطلاق الرضاع فی الأدلّة ما إذا حصل بالارتضاع من الحیّ، فیبقی غیره داخلاً فی عموم أدلّة الإباحة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الأخبار و إن کان أکثرها مطلقاً، إلاّ أنّ جملة منها دلّت علی ما دلّت علیه الآیة، من إسناد الإرضاع إلی المرأة الموجب لکونها حیّة قاصدة مریدة لذلک</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کصحیحة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لبن الفحل،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ما</w:t>
      </w:r>
      <w:bookmarkStart w:id="523" w:name="pg11752_146275"/>
    </w:p>
    <w:p>
      <w:pPr>
        <w:pStyle w:val="BookText"/>
        <w:rPr/>
      </w:pPr>
      <w:bookmarkEnd w:id="523"/>
      <w:r>
        <w:rPr>
          <w:rFonts w:ascii="IRNazanin" w:hAnsi="IRNazanin" w:eastAsia="IRNazanin"/>
          <w:color w:val="111111"/>
          <w:sz w:val="28"/>
          <w:sz w:val="28"/>
          <w:szCs w:val="28"/>
          <w:rtl w:val="true"/>
          <w:lang w:bidi="fa-IR"/>
        </w:rPr>
        <w:t>أرضعت امرأتک من لبنک و لبن ولدک، ولد امرأة أخری فهو حرام</w:t>
      </w:r>
      <w:r>
        <w:rPr>
          <w:rFonts w:eastAsia="IRNazanin" w:cs="IRNazanin"/>
          <w:color w:val="111111"/>
          <w:sz w:val="28"/>
          <w:szCs w:val="28"/>
          <w:rtl w:val="true"/>
          <w:lang w:bidi="fa-IR"/>
        </w:rPr>
        <w:t>»</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صاحب الحدائق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یؤیّده أنّ الأصل الإباحة حتّی یقوم دلیل التحریم، و لیس فی النصوص ما یدلّ علی ذلک، و الأخبار و إن کان أکثرها مطلقاً إلاّ أنّ جملةٌ منها دلّت علی ما دلّت علیه الآیة من إسناد الإرضاع إلی المرأة الموجب لکونها حیّة، قاصدة مریدة لذلک، و إذا ضمّت الأخبار بعضها إلی بعض بحمل مطلقها علی مقیّدها، تمّ الاستدلال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أیضاً أنّ من القواعد المقرّرة فی کلامهم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الإطلاق فی الأخبار إنّما یحمل علی الأفراد المتکرّرة المتکاثرة، دون الفروض النادرة خصوصاً فی هذا الموضع، فإنّ ذلک إنّما هو أمر فرضی لم یقع و لا یکاد یقع</w:t>
      </w:r>
      <w:r>
        <w:rPr>
          <w:rFonts w:eastAsia="IRNazanin" w:cs="IRNazanin"/>
          <w:color w:val="111111"/>
          <w:sz w:val="28"/>
          <w:szCs w:val="28"/>
          <w:rtl w:val="true"/>
          <w:lang w:bidi="fa-IR"/>
        </w:rPr>
        <w:t>»</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قالت الشافعیة، و أما الجمهور من أهل السنّة الحنفیة و المالکیة و الحنبلیة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یشترط فی المرضعة أن تکون حیّة، فلو ماتت امرأة و بجانبها طفل فالتقم ثدیها و رضع منه فإنّه یتعلّق بالتحریم</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قدامة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یحرم لبن المیتة کما یحرم لبن الحیّة؛ لأنّ اللبن لا یموت</w:t>
      </w:r>
      <w:r>
        <w:rPr>
          <w:rFonts w:eastAsia="IRNazanin" w:cs="IRNazanin"/>
          <w:color w:val="111111"/>
          <w:sz w:val="28"/>
          <w:szCs w:val="28"/>
          <w:rtl w:val="true"/>
          <w:lang w:bidi="fa-IR"/>
        </w:rPr>
        <w:t>»</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24" w:name="__RefHeading___Toc9424172_73709187"/>
      <w:bookmarkStart w:id="525" w:name="_Toc200"/>
      <w:bookmarkEnd w:id="524"/>
      <w:r>
        <w:rPr>
          <w:rtl w:val="true"/>
        </w:rPr>
        <w:t>الثانی</w:t>
      </w:r>
      <w:r>
        <w:rPr>
          <w:rtl w:val="true"/>
        </w:rPr>
        <w:t xml:space="preserve">: </w:t>
      </w:r>
      <w:r>
        <w:rPr>
          <w:rtl w:val="true"/>
        </w:rPr>
        <w:t>أن یکون لبن المرضعة عن وط‌ء صحیح</w:t>
      </w:r>
      <w:bookmarkEnd w:id="525"/>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غیر فرق بین کونه بعقد دائم أو منقطع أو ملک یمین و ما فی معناه، فلو درّ اللبن من امرأة عن غیر وط‌ء و نکاح لم یعتدّ به فضلاً عن غیرها من الذکر و البهیمة</w:t>
      </w:r>
      <w:r>
        <w:rPr>
          <w:rStyle w:val="FootnoteAnchor"/>
          <w:rtl w:val="true"/>
        </w:rPr>
        <w:footnoteReference w:id="1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لا خلاف</w:t>
      </w:r>
    </w:p>
    <w:p>
      <w:pPr>
        <w:pStyle w:val="BookText"/>
        <w:rPr/>
      </w:pPr>
      <w:r>
        <w:rPr>
          <w:rFonts w:ascii="IRNazanin" w:hAnsi="IRNazanin" w:eastAsia="IRNazanin"/>
          <w:color w:val="111111"/>
          <w:sz w:val="28"/>
          <w:sz w:val="28"/>
          <w:szCs w:val="28"/>
          <w:rtl w:val="true"/>
          <w:lang w:bidi="fa-IR"/>
        </w:rPr>
        <w:t>بینهم فی هذا أیضاً، بل أجمعوا علیه</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الشهید فی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أجمع علماؤنا علی أنّه یشترط فی اللبن المحرّم فی الرضاع أن یکون من امرأة عن نکاح، و المراد به هنا الوط‌ء الصحیح، فیندرج فیه الوط‌ء بالعقد دائماً و متعةً، و ملک یمین و ما فی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خلاف فی أنّ اللبن الحادث من الزنا لا ینشر؛ لأنّ الزنا لا حرمة له و لا یلحق به 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فاللبن الحاصل عنه فی حکم الصادر عن غیر نکاح</w:t>
      </w:r>
      <w:r>
        <w:rPr>
          <w:rFonts w:eastAsia="IRNazanin" w:cs="IRNazanin"/>
          <w:color w:val="111111"/>
          <w:sz w:val="28"/>
          <w:szCs w:val="28"/>
          <w:rtl w:val="true"/>
          <w:lang w:bidi="fa-IR"/>
        </w:rPr>
        <w:t>»</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حکم للبن البهیمة و لا للبن الرجل، و لا للبن الخنثی المشکل أمره لتحریم نکاحه، و کلّ ذلک عندنا موضع وفاق، و إنّما خالف فیه بعض أهل السنّة، فحکم بنشر الحرمة بجمیع ذلک علی اختلاف بینهم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ذلک الإجماع بقسمیه و هو الحجّة</w:t>
      </w:r>
      <w:r>
        <w:rPr>
          <w:rStyle w:val="FootnoteAnchor"/>
          <w:rtl w:val="true"/>
        </w:rPr>
        <w:footnoteReference w:id="1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فی صحیحة عبد اللّه بن سنان المتقدّمة،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ما أرضعت امرأتک من لبنک و لبن ولدک ولد امرأة أخری فهو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خصّ الصادق علیه السلام لبن الفحل بما یحصل من امرأته، فلا یکون ذلک إلاّ مع النکاح الصحیح؛ و لأنّ اللبن لو درّ عن غیر نکاح لم یعتدّ به، و نکاح الزنا ساقط الاعتبار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فی الدعائم عن جعفر بن محمّد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لبن الحرام لا یحرّم الحلال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ذلک امرأة أرضعت بلبن زوجها ثمّ أرضعت بلبن فجور، قال</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أرضع من فجور بلبن صبیّة لم یحرم من نکاحها؛ لأنّ اللبن الحرام لا یحرّم الحلال</w:t>
      </w:r>
      <w:r>
        <w:rPr>
          <w:rFonts w:eastAsia="IRNazanin" w:cs="IRNazanin"/>
          <w:color w:val="111111"/>
          <w:sz w:val="28"/>
          <w:szCs w:val="28"/>
          <w:rtl w:val="true"/>
          <w:lang w:bidi="fa-IR"/>
        </w:rPr>
        <w:t>»</w:t>
      </w:r>
      <w:r>
        <w:rPr>
          <w:rStyle w:val="FootnoteAnchor"/>
          <w:rtl w:val="true"/>
        </w:rPr>
        <w:footnoteReference w:id="1164"/>
      </w:r>
      <w:bookmarkStart w:id="526" w:name="pg11752_146277"/>
    </w:p>
    <w:p>
      <w:pPr>
        <w:pStyle w:val="Heading6"/>
        <w:numPr>
          <w:ilvl w:val="5"/>
          <w:numId w:val="1"/>
        </w:numPr>
        <w:rPr/>
      </w:pPr>
      <w:bookmarkStart w:id="527" w:name="__RefHeading___Toc9424174_73709187"/>
      <w:bookmarkStart w:id="528" w:name="_Toc201"/>
      <w:bookmarkEnd w:id="526"/>
      <w:bookmarkEnd w:id="527"/>
      <w:r>
        <w:rPr>
          <w:rtl w:val="true"/>
        </w:rPr>
        <w:t>نظر أهل السنّة فی الشرط الثانی</w:t>
      </w:r>
      <w:bookmarkEnd w:id="528"/>
    </w:p>
    <w:p>
      <w:pPr>
        <w:pStyle w:val="BookText"/>
        <w:rPr/>
      </w:pPr>
      <w:r>
        <w:rPr>
          <w:rFonts w:ascii="IRNazanin" w:hAnsi="IRNazanin" w:eastAsia="IRNazanin"/>
          <w:color w:val="111111"/>
          <w:sz w:val="28"/>
          <w:sz w:val="28"/>
          <w:szCs w:val="28"/>
          <w:rtl w:val="true"/>
          <w:lang w:bidi="fa-IR"/>
        </w:rPr>
        <w:t>الجمهور من أهل السنّة الحنفیة و المالکیة و الشافعیة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یشترط أن تکون المرضعة ثیّباً موطوءة، بل إذا نزل اللبن البکر التی لم تتزوّج فأرضعت صبیاً صارت أمّاً له، و تثبت جمیع أحکام الرضاع، و مثل ذلک ما إذا کانت عجوزاً یئست من الحیض و الولادة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الحنابلة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المرضع أن تکون ممّن تحمل، و اللبن ناشئاً عن الحمل بالفعل، فإذا أرضع من امرأة لا تحمل فإنّ رضاعه لا یعتبر</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قدامة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ثاب لامرأة لبن من غیر وط‌ء، فأرضعت به طفلاً نشر الحرمة فی أظهر الروایتین، و هو قول ابن حامد و مذهب مالک و الثوری و الشافعی و أبی ثور و أصحاب الرأی، و کلّ من یحفظ عنه ابن المنذر؛ لقول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أُمَّهاتُکُمُ اللاّتِی أَرْضَعْنَکُمْ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لأنّه لبن امرأة فتعلّق به التحریم، کما لو ثاب بوط‌ء، و لأنّ ألبان النساء خلقت لغذاء الأطفال، فإن کان هذا نادراً فجنسه معتاد، و الروایة الثانیة لا تنشر الحرمة؛ لأنّه نادر لم تجر العادة به لتغذیة الأطفال فأشبه لبن الرجال، و الأوّل أصحّ</w:t>
      </w:r>
      <w:r>
        <w:rPr>
          <w:rFonts w:eastAsia="Amiri" w:cs="Amiri" w:ascii="Amiri" w:hAnsi="Amiri"/>
          <w:color w:val="111111"/>
          <w:sz w:val="28"/>
          <w:szCs w:val="28"/>
          <w:rtl w:val="true"/>
          <w:lang w:bidi="ar-SA"/>
        </w:rPr>
        <w:t>»</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خصوص أن یکون اللبن من الآدمی لا من غیره قال ابن قدامة</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تنتشر الحرمة بغیر لبن الآدمیة بحال، فلو ارتضع اثنان من لبن بهیمة لم یصیرا أخوین فی قول عامّة أهل العلم،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الشافعی، و ابن القاسم، و أبو ثور، و أصحاب الرأی، و لو ارتضعا من رجل لم یصیرا أخوین، و لم تنتشر الحرمة بینه و بینهما فی قول عامّتهم</w:t>
      </w:r>
      <w:r>
        <w:rPr>
          <w:rFonts w:eastAsia="IRNazanin" w:cs="IRNazanin"/>
          <w:color w:val="111111"/>
          <w:sz w:val="28"/>
          <w:szCs w:val="28"/>
          <w:rtl w:val="true"/>
          <w:lang w:bidi="fa-IR"/>
        </w:rPr>
        <w:t>.</w:t>
      </w:r>
      <w:bookmarkStart w:id="529" w:name="pg11752_146278"/>
    </w:p>
    <w:p>
      <w:pPr>
        <w:pStyle w:val="BookText"/>
        <w:rPr/>
      </w:pPr>
      <w:bookmarkEnd w:id="529"/>
      <w:r>
        <w:rPr>
          <w:rFonts w:ascii="IRNazanin" w:hAnsi="IRNazanin" w:eastAsia="IRNazanin"/>
          <w:color w:val="111111"/>
          <w:sz w:val="28"/>
          <w:sz w:val="28"/>
          <w:szCs w:val="28"/>
          <w:rtl w:val="true"/>
          <w:lang w:bidi="fa-IR"/>
        </w:rPr>
        <w:t>و قال الکرابیسی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یتعلّق به التحریم؛ لأنّه لبن آدمی أشبه لبن الآدمیة، و حکی عن بعض السلف أنّهما إذا ارتضعا من لبن بهیمة صارا أخوین، و لیس بصحیح؛ لأنّ هذا لا یتعلّق به تحریم الاُمومة، فلا یثبت به تحریم الأخوّة؛ لأنّ الأخوة فرع علی الأمومة، و کذلک لا یتعلّق به تحریم الأبوّة لذلک</w:t>
      </w:r>
      <w:r>
        <w:rPr>
          <w:rFonts w:eastAsia="IRNazanin" w:cs="IRNazanin"/>
          <w:color w:val="111111"/>
          <w:sz w:val="28"/>
          <w:szCs w:val="28"/>
          <w:rtl w:val="true"/>
          <w:lang w:bidi="fa-IR"/>
        </w:rPr>
        <w:t>»</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30" w:name="__RefHeading___Toc9424176_73709187"/>
      <w:bookmarkStart w:id="531" w:name="_Toc202"/>
      <w:bookmarkEnd w:id="530"/>
      <w:r>
        <w:rPr>
          <w:rtl w:val="true"/>
        </w:rPr>
        <w:t>الثالث</w:t>
      </w:r>
      <w:r>
        <w:rPr>
          <w:rtl w:val="true"/>
        </w:rPr>
        <w:t xml:space="preserve">: </w:t>
      </w:r>
      <w:r>
        <w:rPr>
          <w:rtl w:val="true"/>
        </w:rPr>
        <w:t>أن یکون اللبن من النکاح الذی حصل منه الولد</w:t>
      </w:r>
      <w:bookmarkEnd w:id="531"/>
    </w:p>
    <w:p>
      <w:pPr>
        <w:pStyle w:val="BookText"/>
        <w:rPr/>
      </w:pPr>
      <w:r>
        <w:rPr>
          <w:rFonts w:ascii="IRNazanin" w:hAnsi="IRNazanin" w:eastAsia="IRNazanin"/>
          <w:color w:val="111111"/>
          <w:sz w:val="28"/>
          <w:sz w:val="28"/>
          <w:szCs w:val="28"/>
          <w:rtl w:val="true"/>
          <w:lang w:bidi="fa-IR"/>
        </w:rPr>
        <w:t>، فلا یکفی مجرّد الوط‌ء الصحیح فی اعتبار اللبن لو فرض درّه من غیر ولد</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درّ لبن امرأة من غیر ولادة، فأرضعت صبیّاً صغیراً لم ینشر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خالف جمیع الفقهاء فی ذلک، دلیلنا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 الفرقة و أخبارهم</w:t>
      </w:r>
      <w:r>
        <w:rPr>
          <w:rFonts w:eastAsia="IRNazanin" w:cs="IRNazanin"/>
          <w:color w:val="111111"/>
          <w:sz w:val="28"/>
          <w:szCs w:val="28"/>
          <w:rtl w:val="true"/>
          <w:lang w:bidi="fa-IR"/>
        </w:rPr>
        <w:t>»</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یدلّ علیه صحیحة عبد اللّه بن سنان المتقدّمة،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ما أرضعت امرأتک من لبنک و لبن ولدک ولد امرأة أخری فهو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موثّقة یونس بن یعقوب،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امرأة درّ لبنها من غیر ولادة، فأرضعت جاریة و غلاماً من ذلک اللبن، هل یحرم بذلک اللبن ما یحرم من الرضاع؟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1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روایة یعقوب بن شعیب</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32" w:name="__RefHeading___Toc9424178_73709187"/>
      <w:bookmarkStart w:id="533" w:name="_Toc203"/>
      <w:bookmarkEnd w:id="532"/>
      <w:r>
        <w:rPr>
          <w:rtl w:val="true"/>
        </w:rPr>
        <w:t>الرابع</w:t>
      </w:r>
      <w:r>
        <w:rPr>
          <w:rtl w:val="true"/>
        </w:rPr>
        <w:t xml:space="preserve">: </w:t>
      </w:r>
      <w:r>
        <w:rPr>
          <w:rtl w:val="true"/>
        </w:rPr>
        <w:t>أن یکون الإرضاع بعد انفصال الولد</w:t>
      </w:r>
      <w:bookmarkEnd w:id="533"/>
    </w:p>
    <w:p>
      <w:pPr>
        <w:pStyle w:val="BookText"/>
        <w:rPr/>
      </w:pPr>
      <w:r>
        <w:rPr>
          <w:rFonts w:ascii="IRNazanin" w:hAnsi="IRNazanin" w:eastAsia="IRNazanin"/>
          <w:color w:val="111111"/>
          <w:sz w:val="28"/>
          <w:sz w:val="28"/>
          <w:szCs w:val="28"/>
          <w:rtl w:val="true"/>
          <w:lang w:bidi="fa-IR"/>
        </w:rPr>
        <w:t>هل یعتبر فی نشر الحرمة انفصال الولد أو یکفی الحمل؟</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وجهان، بل قولان، اختلفت کلمات الفقهاء فی ذلک حتّی من الفقیه الواحد</w:t>
      </w:r>
    </w:p>
    <w:p>
      <w:pPr>
        <w:pStyle w:val="BookText"/>
        <w:rPr/>
      </w:pPr>
      <w:r>
        <w:rPr>
          <w:rFonts w:ascii="IRNazanin" w:hAnsi="IRNazanin" w:eastAsia="IRNazanin"/>
          <w:color w:val="111111"/>
          <w:sz w:val="28"/>
          <w:sz w:val="28"/>
          <w:szCs w:val="28"/>
          <w:rtl w:val="true"/>
          <w:lang w:bidi="fa-IR"/>
        </w:rPr>
        <w:t>کالعلاّمة، ففی القواعد</w:t>
      </w:r>
      <w:r>
        <w:rPr>
          <w:rStyle w:val="FootnoteAnchor"/>
          <w:rtl w:val="true"/>
        </w:rPr>
        <w:footnoteReference w:id="1172"/>
      </w:r>
      <w:r>
        <w:rPr>
          <w:rFonts w:ascii="IRNazanin" w:hAnsi="IRNazanin" w:eastAsia="IRNazanin"/>
          <w:color w:val="111111"/>
          <w:sz w:val="28"/>
          <w:sz w:val="28"/>
          <w:szCs w:val="28"/>
          <w:rtl w:val="true"/>
          <w:lang w:bidi="fa-IR"/>
        </w:rPr>
        <w:t>اکتفی بالحمل و قطع بعدم اشتراط الولادة، و فی التحریر</w:t>
      </w:r>
      <w:r>
        <w:rPr>
          <w:rStyle w:val="FootnoteAnchor"/>
          <w:rtl w:val="true"/>
        </w:rPr>
        <w:footnoteReference w:id="1173"/>
      </w:r>
    </w:p>
    <w:p>
      <w:pPr>
        <w:pStyle w:val="BookText"/>
        <w:rPr/>
      </w:pPr>
      <w:r>
        <w:rPr>
          <w:rFonts w:ascii="IRNazanin" w:hAnsi="IRNazanin" w:eastAsia="IRNazanin"/>
          <w:color w:val="111111"/>
          <w:sz w:val="28"/>
          <w:sz w:val="28"/>
          <w:szCs w:val="28"/>
          <w:rtl w:val="true"/>
          <w:lang w:bidi="fa-IR"/>
        </w:rPr>
        <w:t>اعتبر الولادة، و لقد أجاد فی تفصیل الشریعة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یعتبر کون اللبن بعد الولادة، فلو درّ من غیر ولادة و لو مع الحمل لم تنشر به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إضافة اللبن إلی الفحل هی باعتبار الولادة منه</w:t>
      </w:r>
      <w:r>
        <w:rPr>
          <w:rFonts w:eastAsia="IRNazanin" w:cs="IRNazanin"/>
          <w:color w:val="111111"/>
          <w:sz w:val="28"/>
          <w:szCs w:val="28"/>
          <w:rtl w:val="true"/>
          <w:lang w:bidi="fa-IR"/>
        </w:rPr>
        <w:t>»</w:t>
      </w:r>
      <w:r>
        <w:rPr>
          <w:rStyle w:val="FootnoteAnchor"/>
          <w:rtl w:val="true"/>
        </w:rPr>
        <w:footnoteReference w:id="1174"/>
      </w:r>
      <w:r>
        <w:rPr>
          <w:rFonts w:ascii="IRNazanin" w:hAnsi="IRNazanin" w:eastAsia="IRNazanin"/>
          <w:color w:val="111111"/>
          <w:sz w:val="28"/>
          <w:sz w:val="28"/>
          <w:szCs w:val="28"/>
          <w:rtl w:val="true"/>
          <w:lang w:bidi="fa-IR"/>
        </w:rPr>
        <w:t>، و قال بعض الفقهاء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فی القواعد أظهر؛ للإطلاقات من الکتاب و السنة، و قول الباقر علیه السلام فی صحیحة برید العجلی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امرأة أرضعت من لبن فحلها ولد امرأة أخری من جاریة أو غلام</w:t>
      </w:r>
      <w:r>
        <w:rPr>
          <w:rFonts w:eastAsia="IRNazanin" w:cs="IRNazanin"/>
          <w:color w:val="111111"/>
          <w:sz w:val="28"/>
          <w:szCs w:val="28"/>
          <w:rtl w:val="true"/>
          <w:lang w:bidi="fa-IR"/>
        </w:rPr>
        <w:t>»</w:t>
      </w:r>
      <w:r>
        <w:rPr>
          <w:rStyle w:val="FootnoteAnchor"/>
          <w:rtl w:val="true"/>
        </w:rPr>
        <w:footnoteReference w:id="1175"/>
      </w:r>
      <w:r>
        <w:rPr>
          <w:rFonts w:ascii="IRNazanin" w:hAnsi="IRNazanin" w:eastAsia="IRNazanin"/>
          <w:color w:val="111111"/>
          <w:sz w:val="28"/>
          <w:sz w:val="28"/>
          <w:szCs w:val="28"/>
          <w:rtl w:val="true"/>
          <w:lang w:bidi="fa-IR"/>
        </w:rPr>
        <w:t>فذلک الذی 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ممّا دلّ من الصحاح و غیرها علی إناطة التحریم بکون اللبن من الفحل، کصحیحة الحلبی</w:t>
      </w:r>
      <w:r>
        <w:rPr>
          <w:rStyle w:val="FootnoteAnchor"/>
          <w:rtl w:val="true"/>
        </w:rPr>
        <w:footnoteReference w:id="1176"/>
      </w:r>
      <w:r>
        <w:rPr>
          <w:rFonts w:ascii="Amiri" w:hAnsi="Amiri" w:eastAsia="Amiri" w:cs="Amiri"/>
          <w:color w:val="111111"/>
          <w:sz w:val="28"/>
          <w:sz w:val="28"/>
          <w:szCs w:val="28"/>
          <w:rtl w:val="true"/>
          <w:lang w:bidi="ar-SA"/>
        </w:rPr>
        <w:t>و موثّقة جمیل بن درّاج بأحمد بن فضّال</w:t>
      </w:r>
      <w:r>
        <w:rPr>
          <w:rStyle w:val="FootnoteAnchor"/>
          <w:rtl w:val="true"/>
        </w:rPr>
        <w:footnoteReference w:id="1177"/>
      </w:r>
      <w:r>
        <w:rPr>
          <w:rFonts w:ascii="IRNazanin" w:hAnsi="IRNazanin" w:eastAsia="IRNazanin"/>
          <w:color w:val="111111"/>
          <w:sz w:val="28"/>
          <w:sz w:val="28"/>
          <w:szCs w:val="28"/>
          <w:rtl w:val="true"/>
          <w:lang w:bidi="fa-IR"/>
        </w:rPr>
        <w:t>و روایة أبی بصیر</w:t>
      </w:r>
      <w:r>
        <w:rPr>
          <w:rStyle w:val="FootnoteAnchor"/>
          <w:rtl w:val="true"/>
        </w:rPr>
        <w:footnoteReference w:id="1178"/>
      </w:r>
      <w:r>
        <w:rPr>
          <w:rFonts w:ascii="IRNazanin" w:hAnsi="IRNazanin" w:eastAsia="IRNazanin"/>
          <w:color w:val="111111"/>
          <w:sz w:val="28"/>
          <w:sz w:val="28"/>
          <w:szCs w:val="28"/>
          <w:rtl w:val="true"/>
          <w:lang w:bidi="fa-IR"/>
        </w:rPr>
        <w:t xml:space="preserve">و لا ینافیها قوله فی صحیحة ابن سنان و حسنته المتقدّمتین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لبن ولدک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یصدق علی ذلک اللبن أیضاً أنّه لبن الولد، کما یشهد به العرف</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صدق لبن الولد علی الحمل</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عموم صحیحة الحلبی و غیرها؛ لانصرافها بحکم الغلبة إلی الإرضاع بعد الوضع</w:t>
      </w:r>
      <w:r>
        <w:rPr>
          <w:rFonts w:eastAsia="IRNazanin" w:cs="IRNazanin"/>
          <w:color w:val="111111"/>
          <w:sz w:val="28"/>
          <w:szCs w:val="28"/>
          <w:rtl w:val="true"/>
          <w:lang w:bidi="fa-IR"/>
        </w:rPr>
        <w:t>.</w:t>
      </w:r>
      <w:bookmarkStart w:id="534" w:name="pg11752_146280"/>
    </w:p>
    <w:p>
      <w:pPr>
        <w:pStyle w:val="BookText"/>
        <w:rPr/>
      </w:pPr>
      <w:bookmarkEnd w:id="534"/>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صحیحة ابن سنان اشتراط الولادة،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أرضعت امرأتک من لبنک و لبن ولدک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روایتی یونس بن یعقوب و یعقوب بن شعیب المتقدّمتین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درّ اللبن من غیر ولادة لا یوجب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الحرمة إن درّ اللبن من غیر ولادة</w:t>
      </w:r>
      <w:r>
        <w:rPr>
          <w:rFonts w:eastAsia="IRNazanin" w:cs="IRNazanin"/>
          <w:color w:val="111111"/>
          <w:sz w:val="28"/>
          <w:szCs w:val="28"/>
          <w:rtl w:val="true"/>
          <w:lang w:bidi="fa-IR"/>
        </w:rPr>
        <w:t>.</w:t>
      </w:r>
    </w:p>
    <w:p>
      <w:pPr>
        <w:pStyle w:val="Heading6"/>
        <w:numPr>
          <w:ilvl w:val="5"/>
          <w:numId w:val="1"/>
        </w:numPr>
        <w:rPr/>
      </w:pPr>
      <w:bookmarkStart w:id="535" w:name="__RefHeading___Toc9424180_73709187"/>
      <w:bookmarkStart w:id="536" w:name="_Toc204"/>
      <w:bookmarkEnd w:id="535"/>
      <w:r>
        <w:rPr>
          <w:rtl w:val="true"/>
        </w:rPr>
        <w:t>عدم اشتراط بقاء المرأة فی حبال الرجل</w:t>
      </w:r>
      <w:bookmarkEnd w:id="536"/>
    </w:p>
    <w:p>
      <w:pPr>
        <w:pStyle w:val="BookText"/>
        <w:rPr/>
      </w:pPr>
      <w:r>
        <w:rPr>
          <w:rFonts w:ascii="IRNazanin" w:hAnsi="IRNazanin" w:eastAsia="IRNazanin"/>
          <w:color w:val="111111"/>
          <w:sz w:val="28"/>
          <w:sz w:val="28"/>
          <w:szCs w:val="28"/>
          <w:rtl w:val="true"/>
          <w:lang w:bidi="fa-IR"/>
        </w:rPr>
        <w:t>لا یعتبر فی النشر بقاء المرأة فی حبال الرجل قطعاً، و لو بانت عنه بطلاق و نحوه ینشر الحرمة، إذ لا خلاف بین الأصحاب فی أنّه لا یشترط إذن الزوج فی تحریم الرضاع؛ لأنّه لا یملک الزوجة و لا لبنها و إن کان منسوباً إلیه، و غایة ما هناک أنّه یلزم من الرضاع الإثم إذا استلزم تعطیل بعض حقوقه الواجبة، و هذا لا یوجب نفی تعلّق التحریم بالرضاع، و بالجملة فإنّ المعتمد هو إطلاق النصوص الدالّة علی التحریم فإنّه یتناول هذا الإرضاع المذکور</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فلو طلّق الزوج و هی حامل منه ثمّ وضعت بعد ذلک، أو طلّقها و هی مرضع، أو مات عنها کذلک فأرضعت ولداً نشر هذا الرضاع الحرمة، کما لو کانت فی حباله، بلا خلاف أجده فیه، بل الإجماع بقسمیه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تزوّجت و دخل بها الزوج الثانی و لم تحمل منه، بل و إن حملت منه مع کون اللبن بحاله لم ینقطع و لم تحدث فیه زیادة، فإنّه للأوّل أیضاً</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الکاسانی الحنفی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طلّق الرجل امرأته و لها لبن من ولد کانت ولدته منه، فانقضت عدّتها و تزوّجت بزوج آخر و هی کذلک، فأرضعت صبیّاً عند الثانی، ینظر إن أرضعت قبل أن تحمل من الثانی فالرضاع من الأوّل بالإجماع؛</w:t>
      </w:r>
      <w:bookmarkStart w:id="537" w:name="pg11752_146281"/>
    </w:p>
    <w:p>
      <w:pPr>
        <w:pStyle w:val="BookText"/>
        <w:rPr/>
      </w:pPr>
      <w:bookmarkEnd w:id="537"/>
      <w:r>
        <w:rPr>
          <w:rFonts w:ascii="IRNazanin" w:hAnsi="IRNazanin" w:eastAsia="IRNazanin"/>
          <w:color w:val="111111"/>
          <w:sz w:val="28"/>
          <w:sz w:val="28"/>
          <w:szCs w:val="28"/>
          <w:rtl w:val="true"/>
          <w:lang w:bidi="fa-IR"/>
        </w:rPr>
        <w:t>لأنّ اللبن نزل من الأول، فلا یرتفع حکمه بارتفاع النکاح، کما لا یرتفع بالموت</w:t>
      </w:r>
      <w:r>
        <w:rPr>
          <w:rFonts w:eastAsia="IRNazanin" w:cs="IRNazanin"/>
          <w:color w:val="111111"/>
          <w:sz w:val="28"/>
          <w:szCs w:val="28"/>
          <w:rtl w:val="true"/>
          <w:lang w:bidi="fa-IR"/>
        </w:rPr>
        <w:t>»</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8" w:name="__RefHeading___Toc9424182_73709187"/>
      <w:bookmarkStart w:id="539" w:name="_Toc205"/>
      <w:bookmarkEnd w:id="538"/>
      <w:r>
        <w:rPr>
          <w:rtl w:val="true"/>
        </w:rPr>
        <w:t>المطلب الثانی</w:t>
      </w:r>
      <w:r>
        <w:rPr>
          <w:rtl w:val="true"/>
        </w:rPr>
        <w:t xml:space="preserve">: </w:t>
      </w:r>
      <w:r>
        <w:rPr>
          <w:rtl w:val="true"/>
        </w:rPr>
        <w:t>فی شروط المرتضع</w:t>
      </w:r>
      <w:bookmarkEnd w:id="539"/>
    </w:p>
    <w:p>
      <w:pPr>
        <w:pStyle w:val="Heading6"/>
        <w:numPr>
          <w:ilvl w:val="5"/>
          <w:numId w:val="1"/>
        </w:numPr>
        <w:rPr/>
      </w:pPr>
      <w:bookmarkStart w:id="540" w:name="__RefHeading___Toc9424184_73709187"/>
      <w:bookmarkStart w:id="541" w:name="_Toc206"/>
      <w:bookmarkEnd w:id="540"/>
      <w:r>
        <w:rPr>
          <w:rtl w:val="true"/>
        </w:rPr>
        <w:t>اشارة</w:t>
      </w:r>
      <w:bookmarkEnd w:id="541"/>
    </w:p>
    <w:p>
      <w:pPr>
        <w:pStyle w:val="BookText"/>
        <w:rPr/>
      </w:pPr>
      <w:r>
        <w:rPr>
          <w:rFonts w:ascii="IRNazanin" w:hAnsi="IRNazanin" w:eastAsia="IRNazanin"/>
          <w:color w:val="111111"/>
          <w:sz w:val="28"/>
          <w:sz w:val="28"/>
          <w:szCs w:val="28"/>
          <w:rtl w:val="true"/>
          <w:lang w:bidi="fa-IR"/>
        </w:rPr>
        <w:t>یشترط فی المرتضع أن یکون سنّه دون الحولین، و یکفی فیه تمامیة رضاعه بتمامهما، قال الشیخ فی النهایة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ینبغی أن یکون الرضاع فی مدّة الحولین، فإن حصل الرضاع بعد الحولین، سواء کان قبل الفطام أو بعده قلیلاً کان أو کثیراً، فإنّه لا یحرّم</w:t>
      </w:r>
      <w:r>
        <w:rPr>
          <w:rFonts w:eastAsia="IRNazanin" w:cs="IRNazanin"/>
          <w:color w:val="111111"/>
          <w:sz w:val="28"/>
          <w:szCs w:val="28"/>
          <w:rtl w:val="true"/>
          <w:lang w:bidi="fa-IR"/>
        </w:rPr>
        <w:t>»</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بهذا المضمون قال فی المبسوط‌</w:t>
      </w:r>
      <w:r>
        <w:rPr>
          <w:rStyle w:val="FootnoteAnchor"/>
          <w:rtl w:val="true"/>
        </w:rPr>
        <w:footnoteReference w:id="1184"/>
      </w:r>
      <w:r>
        <w:rPr>
          <w:rFonts w:ascii="IRNazanin" w:hAnsi="IRNazanin" w:eastAsia="IRNazanin"/>
          <w:color w:val="111111"/>
          <w:sz w:val="28"/>
          <w:sz w:val="28"/>
          <w:szCs w:val="28"/>
          <w:rtl w:val="true"/>
          <w:lang w:bidi="fa-IR"/>
        </w:rPr>
        <w:t>و قال فی الخلاف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راعی عشر رضعات من أصحابنا، أو خمس عشرة رضعة علی ما اعتبرناه، فإن وقع خمس رضعات فی مدّة الحولین و باقیها بعد تمام الحولین فإنّه لا یحرّم</w:t>
      </w:r>
      <w:r>
        <w:rPr>
          <w:rFonts w:eastAsia="IRNazanin" w:cs="IRNazanin"/>
          <w:color w:val="111111"/>
          <w:sz w:val="28"/>
          <w:szCs w:val="28"/>
          <w:rtl w:val="true"/>
          <w:lang w:bidi="fa-IR"/>
        </w:rPr>
        <w:t>»</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المفید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یحرّم النکاح من الرضاع إلاّ ما کان فی الحولین قبل الکمال، فأمّا ما حصل بعد الحولین فإنّه لیس برضاع یحرم به النکاح</w:t>
      </w:r>
      <w:r>
        <w:rPr>
          <w:rFonts w:eastAsia="IRNazanin" w:cs="IRNazanin"/>
          <w:color w:val="111111"/>
          <w:sz w:val="28"/>
          <w:szCs w:val="28"/>
          <w:rtl w:val="true"/>
          <w:lang w:bidi="fa-IR"/>
        </w:rPr>
        <w:t>»</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یدلّ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الإجماع بقسمیه و منقوله فوق الاستفاضة </w:t>
      </w:r>
      <w:r>
        <w:rPr>
          <w:rStyle w:val="FootnoteAnchor"/>
          <w:rtl w:val="true"/>
        </w:rPr>
        <w:footnoteReference w:id="1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الْوالِداتُ یُرْضِعْنَ أَوْلادَهُنَّ حَوْلَیْنِ کامِلَیْنِ لِمَنْ أَرادَ أَنْ یُتِمَّ الرَّضاعَةَ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المراد إثبات الرضاع الشرعی الذی تتعلّق به الحرمة، لا الرضاع</w:t>
      </w:r>
    </w:p>
    <w:p>
      <w:pPr>
        <w:pStyle w:val="BookText"/>
        <w:rPr/>
      </w:pPr>
      <w:r>
        <w:rPr>
          <w:rFonts w:ascii="IRNazanin" w:hAnsi="IRNazanin" w:eastAsia="IRNazanin"/>
          <w:color w:val="111111"/>
          <w:sz w:val="28"/>
          <w:sz w:val="28"/>
          <w:szCs w:val="28"/>
          <w:rtl w:val="true"/>
          <w:lang w:bidi="fa-IR"/>
        </w:rPr>
        <w:t>بالمعنی اللغوی؛ لأنّه یطلق علی ما یحصل بعد الحولین و قبل تمامها، و لا یرید نفی جوازه دونهما أو بعدهما؛ لأنّ ذلک جائز بلا خلاف، و لا نفی الکفایة بدونهما أو بعدهما؛ لأنّ الکفایة قبل تمامهما قد تحصل بلا شبهة، فلم یبق إلاّ ما قلناه</w:t>
      </w:r>
      <w:r>
        <w:rPr>
          <w:rStyle w:val="FootnoteAnchor"/>
          <w:rtl w:val="true"/>
        </w:rPr>
        <w:footnoteReference w:id="11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الرضاع الشرعی الذی یحصل منه التحریم و یشترط فیه أن یکون سنّ الولد دون الحولین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الطبرسی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الرضاع بعد الحولین لا حکم له فی التحریم عندنا، و به قال ابن عباس و ابن مسعود، و أکثر العلماء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بالآیة بیان التحریم الواقع، ففی الحولین یحرّم و ما بعده لا یحرّم</w:t>
      </w:r>
      <w:r>
        <w:rPr>
          <w:rFonts w:eastAsia="IRNazanin" w:cs="IRNazanin"/>
          <w:color w:val="111111"/>
          <w:sz w:val="28"/>
          <w:szCs w:val="28"/>
          <w:rtl w:val="true"/>
          <w:lang w:bidi="fa-IR"/>
        </w:rPr>
        <w:t>»</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رضاع بعد فطام</w:t>
      </w:r>
      <w:r>
        <w:rPr>
          <w:rFonts w:eastAsia="IRNazanin" w:cs="IRNazanin"/>
          <w:color w:val="111111"/>
          <w:sz w:val="28"/>
          <w:szCs w:val="28"/>
          <w:rtl w:val="true"/>
          <w:lang w:bidi="fa-IR"/>
        </w:rPr>
        <w:t>»</w:t>
      </w:r>
      <w:r>
        <w:rPr>
          <w:rStyle w:val="FootnoteAnchor"/>
          <w:rtl w:val="true"/>
        </w:rPr>
        <w:footnoteReference w:id="11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انتفاء أحکام الرضاع بعد فطام المرتضع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المراد بالفطام فی الأخبار المطلقة هو زمان الفطام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الحولین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دلّت علیه روایتا الفضل و حمّاد</w:t>
      </w:r>
      <w:r>
        <w:rPr>
          <w:rStyle w:val="FootnoteAnchor"/>
          <w:rtl w:val="true"/>
        </w:rPr>
        <w:footnoteReference w:id="1191"/>
      </w:r>
      <w:r>
        <w:rPr>
          <w:rFonts w:ascii="IRNazanin" w:hAnsi="IRNazanin" w:eastAsia="IRNazanin"/>
          <w:color w:val="111111"/>
          <w:sz w:val="28"/>
          <w:sz w:val="28"/>
          <w:szCs w:val="28"/>
          <w:rtl w:val="true"/>
          <w:lang w:bidi="fa-IR"/>
        </w:rPr>
        <w:t>، فلا عبرة بنفس الفطام، حتّی أنّه لو لم یفطم الرضیع إلی أن تجاوز الحولین ثمّ ارتضع بعدها قبل الفطام لم یثبت التحریم، کما أنّه لو فطم قبل الحولین ثمّ ارتضع قبلهما ثبت التحریم</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معناه کما فی الفقیه أنّه إذا رضع الصبی حولین کاملین ثمّ شرب بعد ذلک من لبن امرأة أخری ما شرب، لم یحرم ذلک الرضاع؛ لأنّه رضاع بعد فطام، أی بعد بلوغ سنّ الفطام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مع ذلک فالإنصاف عدم</w:t>
      </w:r>
      <w:bookmarkStart w:id="542" w:name="pg11752_146283"/>
    </w:p>
    <w:p>
      <w:pPr>
        <w:pStyle w:val="BookText"/>
        <w:rPr/>
      </w:pPr>
      <w:bookmarkEnd w:id="542"/>
      <w:r>
        <w:rPr>
          <w:rFonts w:ascii="IRNazanin" w:hAnsi="IRNazanin" w:eastAsia="IRNazanin"/>
          <w:color w:val="111111"/>
          <w:sz w:val="28"/>
          <w:sz w:val="28"/>
          <w:szCs w:val="28"/>
          <w:rtl w:val="true"/>
          <w:lang w:bidi="fa-IR"/>
        </w:rPr>
        <w:t>خلوّ اعتبار ذلک عن قوّة إن لم یقم إجماع؛ ضرورة کونه هو مقتضی قواعد الجمع بین الإطلاق و التقیید و أصالة التأسیس و ظهور الفطام فی الفعلی منه لا سنّه، بل استعماله فیه مجاز</w:t>
      </w:r>
      <w:r>
        <w:rPr>
          <w:rFonts w:eastAsia="IRNazanin" w:cs="IRNazanin"/>
          <w:color w:val="111111"/>
          <w:sz w:val="28"/>
          <w:szCs w:val="28"/>
          <w:rtl w:val="true"/>
          <w:lang w:bidi="fa-IR"/>
        </w:rPr>
        <w:t>»</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حمّاد 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الموثّق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رضاع بعد فطام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 ما الفطام؟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الحولان اللذان قال اللّه عزّ و جلّ</w:t>
      </w:r>
      <w:r>
        <w:rPr>
          <w:rFonts w:eastAsia="IRNazanin" w:cs="IRNazanin"/>
          <w:color w:val="111111"/>
          <w:sz w:val="28"/>
          <w:szCs w:val="28"/>
          <w:rtl w:val="true"/>
          <w:lang w:bidi="fa-IR"/>
        </w:rPr>
        <w:t>»</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نحوها روایة الفضل بن عبد الملک، 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الرضاع قبل الحولین قبل أن یفطم</w:t>
      </w:r>
      <w:r>
        <w:rPr>
          <w:rFonts w:eastAsia="IRNazanin" w:cs="IRNazanin"/>
          <w:color w:val="111111"/>
          <w:sz w:val="28"/>
          <w:szCs w:val="28"/>
          <w:rtl w:val="true"/>
          <w:lang w:bidi="fa-IR"/>
        </w:rPr>
        <w:t>»</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جنید من علمائنا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بعد الحولین و لم یتوسّط بین الرضاعین فطام بعد الحولین حرّم</w:t>
      </w:r>
      <w:r>
        <w:rPr>
          <w:rFonts w:eastAsia="IRNazanin" w:cs="IRNazanin"/>
          <w:color w:val="111111"/>
          <w:sz w:val="28"/>
          <w:szCs w:val="28"/>
          <w:rtl w:val="true"/>
          <w:lang w:bidi="fa-IR"/>
        </w:rPr>
        <w:t>»</w:t>
      </w:r>
      <w:r>
        <w:rPr>
          <w:rStyle w:val="FootnoteAnchor"/>
          <w:rtl w:val="true"/>
        </w:rPr>
        <w:footnoteReference w:id="11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احتجّ بما رواه داود بن الحصین، عن الصادق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الرضاع بعد الحولین قبل أن یفطم یحرّم</w:t>
      </w:r>
      <w:r>
        <w:rPr>
          <w:rFonts w:eastAsia="IRNazanin" w:cs="IRNazanin"/>
          <w:color w:val="111111"/>
          <w:sz w:val="28"/>
          <w:szCs w:val="28"/>
          <w:rtl w:val="true"/>
          <w:lang w:bidi="fa-IR"/>
        </w:rPr>
        <w:t>»</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أجاب الشیخ عن هذا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خبر شاذّ لا یعارض ما قدّمناه من الأخبار لکثرتها، و یجوز أن یکون خرج مخرج التقیّة؛ و لأنّه مذهب بعض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صاحب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الحمل علی الإنکار</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43" w:name="__RefHeading___Toc9424186_73709187"/>
      <w:bookmarkStart w:id="544" w:name="_Toc207"/>
      <w:bookmarkEnd w:id="543"/>
      <w:r>
        <w:rPr>
          <w:rtl w:val="true"/>
        </w:rPr>
        <w:t>اعتبار سنّ المرتضع فی الحولین عند فقهاء أهل السنّة</w:t>
      </w:r>
      <w:bookmarkEnd w:id="544"/>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خلاف بین الفقهاء من المذاهب الأربعة فی أنّه یشترط أن یکون الرضاع فی</w:t>
      </w:r>
    </w:p>
    <w:p>
      <w:pPr>
        <w:pStyle w:val="BookText"/>
        <w:rPr/>
      </w:pPr>
      <w:r>
        <w:rPr>
          <w:rFonts w:ascii="IRNazanin" w:hAnsi="IRNazanin" w:eastAsia="IRNazanin"/>
          <w:color w:val="111111"/>
          <w:sz w:val="28"/>
          <w:sz w:val="28"/>
          <w:szCs w:val="28"/>
          <w:rtl w:val="true"/>
          <w:lang w:bidi="fa-IR"/>
        </w:rPr>
        <w:t>حال الصغر، فلا یحرم رضاع الکبیر</w:t>
      </w:r>
      <w:r>
        <w:rPr>
          <w:rStyle w:val="FootnoteAnchor"/>
          <w:rtl w:val="true"/>
        </w:rPr>
        <w:footnoteReference w:id="11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استدلّوا علی ذلک بالکتاب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قدامة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شرط تحریم الرضاع أن یکون فی الحولین، و هذا قول أکثر أهل العلم، روی نحو ذلک عن عمر و علیّ و ابن عمر و ابن مسعود و ابن عباس و أبی هریرة و أزواج النبیّ صلی الله علیه و آله سوی عائشة، و إلیه ذهب الشعبی و ابن شبرمة و الأوزاعی و الشافعی و إسحاق و أبو یوسف و محمّد و أبو ثور و روایة عن مالک، و روی عنه إن زاد شهراً جاز، و روی شهران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یحرم الرضاع فی ثلاثین شهراً؛ لقوله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حَمْلُهُ وَ فِصالُهُ ثَلاثُونَ شَهْراً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لنا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الْوالِداتُ یُرْضِعْنَ أَوْلادَهُنَّ حَوْلَیْنِ کامِلَیْنِ لِمَنْ أَرادَ أَنْ یُتِمَّ الرَّضاعَةَ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فجعل تمام الرضاعة حولین، فیدلّ علی أنّه لا حکم لها بعدهما</w:t>
      </w:r>
      <w:r>
        <w:rPr>
          <w:rFonts w:eastAsia="Amiri" w:cs="Amiri" w:ascii="Amiri" w:hAnsi="Amiri"/>
          <w:color w:val="111111"/>
          <w:sz w:val="28"/>
          <w:szCs w:val="28"/>
          <w:rtl w:val="true"/>
          <w:lang w:bidi="ar-SA"/>
        </w:rPr>
        <w:t>»</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رضاع إلاّ ما کان فی الحولین</w:t>
      </w:r>
      <w:r>
        <w:rPr>
          <w:rFonts w:eastAsia="IRNazanin" w:cs="IRNazanin"/>
          <w:color w:val="111111"/>
          <w:sz w:val="28"/>
          <w:szCs w:val="28"/>
          <w:rtl w:val="true"/>
          <w:lang w:bidi="fa-IR"/>
        </w:rPr>
        <w:t>»</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 آله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یحرّم من الرضاع إلاّ ما فتق الأمعاء فی الثدی، و کان قبل الفطام</w:t>
      </w:r>
      <w:r>
        <w:rPr>
          <w:rFonts w:eastAsia="IRNazanin" w:cs="IRNazanin"/>
          <w:color w:val="111111"/>
          <w:sz w:val="28"/>
          <w:szCs w:val="28"/>
          <w:rtl w:val="true"/>
          <w:lang w:bidi="fa-IR"/>
        </w:rPr>
        <w:t>»</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رضاع بعد فصال، و لا یتمّ بعد احتلام</w:t>
      </w:r>
      <w:r>
        <w:rPr>
          <w:rFonts w:eastAsia="IRNazanin" w:cs="IRNazanin"/>
          <w:color w:val="111111"/>
          <w:sz w:val="28"/>
          <w:szCs w:val="28"/>
          <w:rtl w:val="true"/>
          <w:lang w:bidi="fa-IR"/>
        </w:rPr>
        <w:t>»</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الزحیلی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الرأی هو الراجح؛ لقوّة الأدلّة التی استندوا إلیها</w:t>
      </w:r>
      <w:r>
        <w:rPr>
          <w:rStyle w:val="FootnoteAnchor"/>
          <w:rtl w:val="true"/>
        </w:rPr>
        <w:footnoteReference w:id="1204"/>
      </w:r>
    </w:p>
    <w:p>
      <w:pPr>
        <w:pStyle w:val="BookText"/>
        <w:rPr/>
      </w:pPr>
      <w:r>
        <w:rPr>
          <w:rFonts w:ascii="IRNazanin" w:hAnsi="IRNazanin" w:eastAsia="IRNazanin"/>
          <w:color w:val="111111"/>
          <w:sz w:val="28"/>
          <w:sz w:val="28"/>
          <w:szCs w:val="28"/>
          <w:rtl w:val="true"/>
          <w:lang w:bidi="fa-IR"/>
        </w:rPr>
        <w:t>و أضاف مالک مدّة شهرین علی الحولین؛ لأنّ الطفل قد یحتاج إلی هذه المدّة لتحویل غذائه إلی الطعام، لکن إن فطم الولد عن اللبن، و استغنی بالطعام استغناءً بیّناً و لو فی الحولین، أو لم یوجد له مرضع فی الحولین، فاستغنی بالطعام أکثر من یومین و ما أشبههما، فأرضعته امرأة فلا یحرم؛ لأنّ مفهوم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الرضاعة من المجاعة یدلّ علی أنّ الطفل غیر مفطوم، فإن فطم فی بعض الحولین لم یکن رضاعاً من المجاعة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أضاف أبو حنیفة أیضاً مدّة نصف سنة علی الحولین، فتکون مدّة الرضاع عنده ثلاثین شهراً؛ لاحتیاج الطفل إلی هذه المدّة للتدرّج من اللبن إلی الطعام المعتاد، لکن إن استغنی بالفطام عن اللبن استغناءً تامّاً لم یکن ذلک رضاعاً؛ لأنّه لا رضاع بعد الفطام، و إن فطم الطفل فأکل أکلاً ضعیفاً لا یستغنی به عن الرضاع، ثمّ عاد فأرضع، کما یرضع أوّلاً فی الثلاثین شهراً، فهو رضاع محرّم، کما یحرم رضاع الصغیر الذی لم یفطم، و یحمل الحدیث السابق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رضاع بعد فصال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الفصال المعتاد المتعارف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استدلّ للإمامین مالک و أبی حنیفة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الْوالِداتُ یُرْضِعْنَ أَوْلادَهُنَّ حَوْلَیْنِ کامِلَیْنِ لِمَنْ أَرادَ أَنْ یُتِمَّ الرَّضاعَةَ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أَرادا فِصالاً عَنْ تَراضٍ مِنْهُما وَ تَشاوُرٍ فَلا جُناحَ عَلَیْهِما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فالآیة فی نهایتها تدلّ علی أنّ للوالدین الخیار فی الفطم عند تمام الحولین، و التحدید بالحولین فی مقدّم الآیة إنّما هو لبیان المدّة التی یجوز فیها للأمّ المطلّقة أن تأخذ فیها أجراً علی الرضاع</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أجیب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الفطام الذی یحتاج إلی المشاورة و التراضی بین الوالدین هو الذی یکون قبل تمام الحولین، فإن استمرّ الرضاع بعد الحولین لضعف الطفل فلا مانع منه للحاجة، و لکن لا یترتّب علیه أحکامه من التحریم و أخذ الأمّ المطلّقة</w:t>
      </w:r>
      <w:bookmarkStart w:id="545" w:name="pg11752_146286"/>
    </w:p>
    <w:p>
      <w:pPr>
        <w:pStyle w:val="BookText"/>
        <w:rPr/>
      </w:pPr>
      <w:bookmarkEnd w:id="545"/>
      <w:r>
        <w:rPr>
          <w:rFonts w:ascii="Amiri" w:hAnsi="Amiri" w:eastAsia="Amiri" w:cs="Amiri"/>
          <w:color w:val="111111"/>
          <w:sz w:val="28"/>
          <w:sz w:val="28"/>
          <w:szCs w:val="28"/>
          <w:rtl w:val="true"/>
          <w:lang w:bidi="ar-SA"/>
        </w:rPr>
        <w:t>أجراً علیه</w:t>
      </w:r>
      <w:r>
        <w:rPr>
          <w:rFonts w:eastAsia="Amiri" w:cs="Amiri" w:ascii="Amiri" w:hAnsi="Amiri"/>
          <w:color w:val="111111"/>
          <w:sz w:val="28"/>
          <w:szCs w:val="28"/>
          <w:rtl w:val="true"/>
          <w:lang w:bidi="ar-SA"/>
        </w:rPr>
        <w:t>»</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46" w:name="__RefHeading___Toc9424188_73709187"/>
      <w:bookmarkStart w:id="547" w:name="_Toc208"/>
      <w:bookmarkEnd w:id="546"/>
      <w:r>
        <w:rPr>
          <w:rtl w:val="true"/>
        </w:rPr>
        <w:t>عدم اعتبار الحولین فی ولد المرضعة</w:t>
      </w:r>
      <w:bookmarkEnd w:id="547"/>
    </w:p>
    <w:p>
      <w:pPr>
        <w:pStyle w:val="BookText"/>
        <w:rPr/>
      </w:pPr>
      <w:r>
        <w:rPr>
          <w:rFonts w:ascii="IRNazanin" w:hAnsi="IRNazanin" w:eastAsia="IRNazanin"/>
          <w:color w:val="111111"/>
          <w:sz w:val="28"/>
          <w:sz w:val="28"/>
          <w:szCs w:val="28"/>
          <w:rtl w:val="true"/>
          <w:lang w:bidi="fa-IR"/>
        </w:rPr>
        <w:t>هل یعتبر فی ولد المرضعة الذی یحصل اللبن من ولادته کونه فی الحولین عند ارتضاع المرتضع من لبنه، بحیث لا یقع شیء من الارتضاع بعد تجاوزه إیّاهما أم لا؟ 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الاشتراط، فلا یحرّم الرضاع لو وقع شیء منه بعد استکماله حولین، و هو قول أبی الصلاح</w:t>
      </w:r>
      <w:r>
        <w:rPr>
          <w:rStyle w:val="FootnoteAnchor"/>
          <w:rtl w:val="true"/>
        </w:rPr>
        <w:footnoteReference w:id="1206"/>
      </w:r>
      <w:r>
        <w:rPr>
          <w:rFonts w:ascii="Amiri" w:hAnsi="Amiri" w:eastAsia="Amiri" w:cs="Amiri"/>
          <w:color w:val="111111"/>
          <w:sz w:val="28"/>
          <w:sz w:val="28"/>
          <w:szCs w:val="28"/>
          <w:rtl w:val="true"/>
          <w:lang w:bidi="ar-SA"/>
        </w:rPr>
        <w:t>و ابن زهرة</w:t>
      </w:r>
      <w:r>
        <w:rPr>
          <w:rStyle w:val="FootnoteAnchor"/>
          <w:rtl w:val="true"/>
        </w:rPr>
        <w:footnoteReference w:id="1207"/>
      </w:r>
      <w:r>
        <w:rPr>
          <w:rFonts w:ascii="Amiri" w:hAnsi="Amiri" w:eastAsia="Amiri" w:cs="Amiri"/>
          <w:color w:val="111111"/>
          <w:sz w:val="28"/>
          <w:sz w:val="28"/>
          <w:szCs w:val="28"/>
          <w:rtl w:val="true"/>
          <w:lang w:bidi="ar-SA"/>
        </w:rPr>
        <w:t>و ابن حمزة</w:t>
      </w:r>
      <w:r>
        <w:rPr>
          <w:rStyle w:val="FootnoteAnchor"/>
          <w:rtl w:val="true"/>
        </w:rPr>
        <w:footnoteReference w:id="12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العلاّمة فی التذکرة</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أبو الصلاح الحلبی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شرائط التحریم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الراضع و المرتضع من لبنه ینقص سنّهما عن الحولین</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الاستدلال لهذا القول بالأصل و إطلاق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رضاع بعد فطام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الشامل لفطام المرتضع و ولد المرضعة، بل لم یفهم منه ابن بکیر إلاّ فطام ولد المرضعة، لمّا سأله ابن فضال فی المسجد،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تقولون فی امرأةٍ أرضعت غلاماً سنتین، ثمّ أرضعت صبیّة لها أقلّ من سنتین حتّی تمّت السنتان، أ یفسد ذلک بینهما؟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یفسد ذلک بینهما؛ لأنّه رضاع بعد فطام، و إنّما 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رضاع</w:t>
      </w:r>
    </w:p>
    <w:p>
      <w:pPr>
        <w:pStyle w:val="BookText"/>
        <w:rPr/>
      </w:pPr>
      <w:r>
        <w:rPr>
          <w:rFonts w:ascii="IRNazanin" w:hAnsi="IRNazanin" w:eastAsia="IRNazanin"/>
          <w:color w:val="111111"/>
          <w:sz w:val="28"/>
          <w:sz w:val="28"/>
          <w:szCs w:val="28"/>
          <w:rtl w:val="true"/>
          <w:lang w:bidi="fa-IR"/>
        </w:rPr>
        <w:t>بعد فطامٍ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أنّه إذا تمّ للغلام سنتان أو الجاریة فقد خرج من حدّ اللبن، فلا یفسد بینه و بین من شرب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یشرب منه</w:t>
      </w:r>
      <w:r>
        <w:rPr>
          <w:rFonts w:eastAsia="IRNazanin" w:cs="IRNazanin"/>
          <w:color w:val="111111"/>
          <w:sz w:val="28"/>
          <w:szCs w:val="28"/>
          <w:rtl w:val="true"/>
          <w:lang w:bidi="fa-IR"/>
        </w:rPr>
        <w:t>)</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الاشتراط و هو اختیار المحقّق</w:t>
      </w:r>
      <w:r>
        <w:rPr>
          <w:rStyle w:val="FootnoteAnchor"/>
          <w:rtl w:val="true"/>
        </w:rPr>
        <w:footnoteReference w:id="1212"/>
      </w:r>
      <w:r>
        <w:rPr>
          <w:rFonts w:ascii="IRNazanin" w:hAnsi="IRNazanin" w:eastAsia="IRNazanin"/>
          <w:color w:val="111111"/>
          <w:sz w:val="28"/>
          <w:sz w:val="28"/>
          <w:szCs w:val="28"/>
          <w:rtl w:val="true"/>
          <w:lang w:bidi="fa-IR"/>
        </w:rPr>
        <w:t>و ابن إدریس</w:t>
      </w:r>
      <w:r>
        <w:rPr>
          <w:rStyle w:val="FootnoteAnchor"/>
          <w:rtl w:val="true"/>
        </w:rPr>
        <w:footnoteReference w:id="1213"/>
      </w:r>
      <w:r>
        <w:rPr>
          <w:rFonts w:ascii="IRNazanin" w:hAnsi="IRNazanin" w:eastAsia="IRNazanin"/>
          <w:color w:val="111111"/>
          <w:sz w:val="28"/>
          <w:sz w:val="28"/>
          <w:szCs w:val="28"/>
          <w:rtl w:val="true"/>
          <w:lang w:bidi="fa-IR"/>
        </w:rPr>
        <w:t>و العلاّمة فی غیر المختلف</w:t>
      </w:r>
      <w:r>
        <w:rPr>
          <w:rStyle w:val="FootnoteAnchor"/>
          <w:rtl w:val="true"/>
        </w:rPr>
        <w:footnoteReference w:id="1214"/>
      </w:r>
      <w:r>
        <w:rPr>
          <w:rFonts w:ascii="IRNazanin" w:hAnsi="IRNazanin" w:eastAsia="IRNazanin"/>
          <w:color w:val="111111"/>
          <w:sz w:val="28"/>
          <w:sz w:val="28"/>
          <w:szCs w:val="28"/>
          <w:rtl w:val="true"/>
          <w:lang w:bidi="fa-IR"/>
        </w:rPr>
        <w:t>و الشهیدان</w:t>
      </w:r>
      <w:r>
        <w:rPr>
          <w:rStyle w:val="FootnoteAnchor"/>
          <w:rtl w:val="true"/>
        </w:rPr>
        <w:footnoteReference w:id="1215"/>
      </w:r>
      <w:r>
        <w:rPr>
          <w:rFonts w:ascii="IRNazanin" w:hAnsi="IRNazanin" w:eastAsia="IRNazanin"/>
          <w:color w:val="111111"/>
          <w:sz w:val="28"/>
          <w:sz w:val="28"/>
          <w:szCs w:val="28"/>
          <w:rtl w:val="true"/>
          <w:lang w:bidi="fa-IR"/>
        </w:rPr>
        <w:t>و فخر الإسلام</w:t>
      </w:r>
      <w:r>
        <w:rPr>
          <w:rStyle w:val="FootnoteAnchor"/>
          <w:rtl w:val="true"/>
        </w:rPr>
        <w:footnoteReference w:id="1216"/>
      </w:r>
      <w:r>
        <w:rPr>
          <w:rFonts w:ascii="IRNazanin" w:hAnsi="IRNazanin" w:eastAsia="IRNazanin"/>
          <w:color w:val="111111"/>
          <w:sz w:val="28"/>
          <w:sz w:val="28"/>
          <w:szCs w:val="28"/>
          <w:rtl w:val="true"/>
          <w:lang w:bidi="fa-IR"/>
        </w:rPr>
        <w:t>و الکرکی</w:t>
      </w:r>
      <w:r>
        <w:rPr>
          <w:rStyle w:val="FootnoteAnchor"/>
          <w:rtl w:val="true"/>
        </w:rPr>
        <w:footnoteReference w:id="1217"/>
      </w:r>
      <w:r>
        <w:rPr>
          <w:rFonts w:ascii="IRNazanin" w:hAnsi="IRNazanin" w:eastAsia="IRNazanin"/>
          <w:color w:val="111111"/>
          <w:sz w:val="28"/>
          <w:sz w:val="28"/>
          <w:szCs w:val="28"/>
          <w:rtl w:val="true"/>
          <w:lang w:bidi="fa-IR"/>
        </w:rPr>
        <w:t>و نهایة المرام</w:t>
      </w:r>
      <w:r>
        <w:rPr>
          <w:rStyle w:val="FootnoteAnchor"/>
          <w:rtl w:val="true"/>
        </w:rPr>
        <w:footnoteReference w:id="1218"/>
      </w:r>
      <w:r>
        <w:rPr>
          <w:rFonts w:ascii="IRNazanin" w:hAnsi="IRNazanin" w:eastAsia="IRNazanin"/>
          <w:color w:val="111111"/>
          <w:sz w:val="28"/>
          <w:sz w:val="28"/>
          <w:szCs w:val="28"/>
          <w:rtl w:val="true"/>
          <w:lang w:bidi="fa-IR"/>
        </w:rPr>
        <w:t>و تحریر الوسیلة</w:t>
      </w:r>
      <w:r>
        <w:rPr>
          <w:rStyle w:val="FootnoteAnchor"/>
          <w:rtl w:val="true"/>
        </w:rPr>
        <w:footnoteReference w:id="1219"/>
      </w:r>
      <w:r>
        <w:rPr>
          <w:rFonts w:ascii="IRNazanin" w:hAnsi="IRNazanin" w:eastAsia="IRNazanin"/>
          <w:color w:val="111111"/>
          <w:sz w:val="28"/>
          <w:sz w:val="28"/>
          <w:szCs w:val="28"/>
          <w:rtl w:val="true"/>
          <w:lang w:bidi="fa-IR"/>
        </w:rPr>
        <w:t>و تفصیل الشریعة</w:t>
      </w:r>
      <w:r>
        <w:rPr>
          <w:rStyle w:val="FootnoteAnchor"/>
          <w:rtl w:val="true"/>
        </w:rPr>
        <w:footnoteReference w:id="1220"/>
      </w:r>
      <w:r>
        <w:rPr>
          <w:rFonts w:ascii="Amiri" w:hAnsi="Amiri" w:eastAsia="Amiri" w:cs="Amiri"/>
          <w:color w:val="111111"/>
          <w:sz w:val="28"/>
          <w:sz w:val="28"/>
          <w:szCs w:val="28"/>
          <w:rtl w:val="true"/>
          <w:lang w:bidi="ar-SA"/>
        </w:rPr>
        <w:t>و غیرهم، و هو الأظهر؛ للأصل، و لعموم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أُمَّهاتُکُمُ اللاّتِی أَرْضَعْنَکُمْ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نحوه من العمومات السالمة من المخصّص، و لظهور الخبر المذکور فی فطام المرتضع</w:t>
      </w:r>
      <w:r>
        <w:rPr>
          <w:rStyle w:val="FootnoteAnchor"/>
          <w:rtl w:val="true"/>
        </w:rPr>
        <w:footnoteReference w:id="1221"/>
      </w:r>
      <w:r>
        <w:rPr>
          <w:rFonts w:ascii="IRNazanin" w:hAnsi="IRNazanin" w:eastAsia="IRNazanin"/>
          <w:color w:val="111111"/>
          <w:sz w:val="28"/>
          <w:sz w:val="28"/>
          <w:szCs w:val="28"/>
          <w:rtl w:val="true"/>
          <w:lang w:bidi="fa-IR"/>
        </w:rPr>
        <w:t>أو عدم ظهوره فی العموم الموجب للشکّ فی تقیید المطلقات</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 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الأصل، فیجب الخروج عنه بالإطلاق و عمومات الأدلّة، و أمّا الحدیث فنعمل بموجبه، و أنّ الظاهر بل المتبادر من هذا اللفظ فطام المرتضع دون ولد المرضعة، و الحولین من سنّه؛ لأنّه المبحوث عنه</w:t>
      </w:r>
      <w:bookmarkStart w:id="548" w:name="pg11752_146288"/>
    </w:p>
    <w:p>
      <w:pPr>
        <w:pStyle w:val="BookText"/>
        <w:rPr/>
      </w:pPr>
      <w:bookmarkEnd w:id="548"/>
      <w:r>
        <w:rPr>
          <w:rFonts w:ascii="IRNazanin" w:hAnsi="IRNazanin" w:eastAsia="IRNazanin"/>
          <w:color w:val="111111"/>
          <w:sz w:val="28"/>
          <w:sz w:val="28"/>
          <w:szCs w:val="28"/>
          <w:rtl w:val="true"/>
          <w:lang w:bidi="fa-IR"/>
        </w:rPr>
        <w:t>لا ولد المرضعة؛ لعدم مدخلیته فی البحث لیکون الکلام فیه</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تفسیر ابن بکیر ناشئ عن اجتهاد غیر حجّة لنا و إن کان من أصحاب الإجماع</w:t>
      </w:r>
      <w:r>
        <w:rPr>
          <w:rStyle w:val="FootnoteAnchor"/>
          <w:rtl w:val="true"/>
        </w:rPr>
        <w:footnoteReference w:id="12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معارض بما فسّره ثقة الإسلام الکلینی و الصدوق فی الکافی و الفقیه</w:t>
      </w:r>
      <w:r>
        <w:rPr>
          <w:rStyle w:val="FootnoteAnchor"/>
          <w:rtl w:val="true"/>
        </w:rPr>
        <w:footnoteReference w:id="1225"/>
      </w:r>
      <w:r>
        <w:rPr>
          <w:rFonts w:ascii="IRNazanin" w:hAnsi="IRNazanin" w:eastAsia="IRNazanin"/>
          <w:color w:val="111111"/>
          <w:sz w:val="28"/>
          <w:sz w:val="28"/>
          <w:szCs w:val="28"/>
          <w:rtl w:val="true"/>
          <w:lang w:bidi="fa-IR"/>
        </w:rPr>
        <w:t>، قال فی الکافی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رضاع بعد فطام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الولد إذا شرب لبن المرأة بعد ما یفطم لا یحرّم ذلک الرضاع التناکح</w:t>
      </w:r>
      <w:r>
        <w:rPr>
          <w:rFonts w:eastAsia="IRNazanin" w:cs="IRNazanin"/>
          <w:color w:val="111111"/>
          <w:sz w:val="28"/>
          <w:szCs w:val="28"/>
          <w:rtl w:val="true"/>
          <w:lang w:bidi="fa-IR"/>
        </w:rPr>
        <w:t>»</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ذیل هذا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معناه أنّه إذا أرضع الصبیّ حولین کاملین، ثمّ شرب بعد ذلک من لبن امرأة أخری ما شرب لم یحرّم ذلک الرضاع؛ لأنّه رضاع بعد فطام</w:t>
      </w:r>
      <w:r>
        <w:rPr>
          <w:rFonts w:eastAsia="IRNazanin" w:cs="IRNazanin"/>
          <w:color w:val="111111"/>
          <w:sz w:val="28"/>
          <w:szCs w:val="28"/>
          <w:rtl w:val="true"/>
          <w:lang w:bidi="fa-IR"/>
        </w:rPr>
        <w:t>»</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صاحب الوسائل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رضاع بعد فطام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الولد إذا شرب لبن المرأة بعد ما تفطمه لا یحرّم ذلک الرضاع التناکح</w:t>
      </w:r>
      <w:r>
        <w:rPr>
          <w:rFonts w:eastAsia="IRNazanin" w:cs="IRNazanin"/>
          <w:color w:val="111111"/>
          <w:sz w:val="28"/>
          <w:szCs w:val="28"/>
          <w:rtl w:val="true"/>
          <w:lang w:bidi="fa-IR"/>
        </w:rPr>
        <w:t>»</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9" w:name="__RefHeading___Toc9424190_73709187"/>
      <w:bookmarkStart w:id="550" w:name="_Toc209"/>
      <w:bookmarkEnd w:id="549"/>
      <w:r>
        <w:rPr>
          <w:rtl w:val="true"/>
        </w:rPr>
        <w:t>المطلب الثالث</w:t>
      </w:r>
      <w:r>
        <w:rPr>
          <w:rtl w:val="true"/>
        </w:rPr>
        <w:t xml:space="preserve">: </w:t>
      </w:r>
      <w:r>
        <w:rPr>
          <w:rtl w:val="true"/>
        </w:rPr>
        <w:t>فیما یعتبر فی الرضاع</w:t>
      </w:r>
      <w:bookmarkEnd w:id="550"/>
    </w:p>
    <w:p>
      <w:pPr>
        <w:pStyle w:val="Heading6"/>
        <w:numPr>
          <w:ilvl w:val="5"/>
          <w:numId w:val="1"/>
        </w:numPr>
        <w:rPr/>
      </w:pPr>
      <w:bookmarkStart w:id="551" w:name="__RefHeading___Toc9424192_73709187"/>
      <w:bookmarkStart w:id="552" w:name="_Toc210"/>
      <w:bookmarkEnd w:id="551"/>
      <w:r>
        <w:rPr>
          <w:rtl w:val="true"/>
        </w:rPr>
        <w:t>اشارة</w:t>
      </w:r>
      <w:bookmarkEnd w:id="552"/>
    </w:p>
    <w:p>
      <w:pPr>
        <w:pStyle w:val="BookText"/>
        <w:rPr/>
      </w:pPr>
      <w:r>
        <w:rPr>
          <w:rFonts w:ascii="IRNazanin" w:hAnsi="IRNazanin" w:eastAsia="IRNazanin"/>
          <w:color w:val="111111"/>
          <w:sz w:val="28"/>
          <w:sz w:val="28"/>
          <w:szCs w:val="28"/>
          <w:rtl w:val="true"/>
          <w:lang w:bidi="fa-IR"/>
        </w:rPr>
        <w:t>تشترط فی الرضاع الذی یکون موجباً لنشر الحرمة أمور</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المشهور بین الفقهاء بل ادّعی علیه الإجماع أن یکون الرضاع بلبن فحل واحد، و لو تعدّد الفحل فیه لم ینشر الحرمة، فلو أرضعت واحدة تمام الرضعات المعتبرة بلبن فحل، ثمّ أرضعت بعد ذلک آخر أو أخری بلبن فحل آخر کذلک، لم تنشر الحرمة بین المرتضعین و إن نشرت بین کلّ منهما</w:t>
      </w:r>
    </w:p>
    <w:p>
      <w:pPr>
        <w:pStyle w:val="BookText"/>
        <w:rPr/>
      </w:pPr>
      <w:r>
        <w:rPr>
          <w:rFonts w:ascii="Amiri" w:hAnsi="Amiri" w:eastAsia="Amiri" w:cs="Amiri"/>
          <w:color w:val="111111"/>
          <w:sz w:val="28"/>
          <w:sz w:val="28"/>
          <w:szCs w:val="28"/>
          <w:rtl w:val="true"/>
          <w:lang w:bidi="ar-SA"/>
        </w:rPr>
        <w:t>و المرضعة و صاحب لبنه</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أرضعت بلبن فحل واحد مائة حرم بعضهم علی بعض، و کذا لو نکح الفحل عشراً، و أرضعت کلّ واحدة واحداً أو أکثر حرم التناکح بینهم جمیعاً</w:t>
      </w:r>
      <w:r>
        <w:rPr>
          <w:rFonts w:eastAsia="IRNazanin" w:cs="IRNazanin"/>
          <w:color w:val="111111"/>
          <w:sz w:val="28"/>
          <w:szCs w:val="28"/>
          <w:rtl w:val="true"/>
          <w:lang w:bidi="fa-IR"/>
        </w:rPr>
        <w:t>»</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عبارة المحقّق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إجماعاً و نصوصاً</w:t>
      </w:r>
      <w:r>
        <w:rPr>
          <w:rFonts w:eastAsia="Amiri" w:cs="Amiri" w:ascii="Amiri" w:hAnsi="Amiri"/>
          <w:color w:val="111111"/>
          <w:sz w:val="28"/>
          <w:szCs w:val="28"/>
          <w:rtl w:val="true"/>
          <w:lang w:bidi="ar-SA"/>
        </w:rPr>
        <w:t>»</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تدلّ علی ذلک النصوص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لبن الفحل؟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ما أرضعت امرأتک من لبنک و لبن ولدک ولد امرأة أخری فهو حرام</w:t>
      </w:r>
      <w:r>
        <w:rPr>
          <w:rFonts w:eastAsia="IRNazanin" w:cs="IRNazanin"/>
          <w:color w:val="111111"/>
          <w:sz w:val="28"/>
          <w:szCs w:val="28"/>
          <w:rtl w:val="true"/>
          <w:lang w:bidi="fa-IR"/>
        </w:rPr>
        <w:t>»</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المجلسی فی ذیل هذا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 سؤاله کان عن معنی الفحل، فأجاب علیه السلام بأنّ الفحل من حصل اللبن من وطئه و من ولده، فلو تزوّج رجل امرأةً مرضعةً حصل لبنها من زوج آخر لا یکون الزوج الثانی فحلاً</w:t>
      </w:r>
      <w:r>
        <w:rPr>
          <w:rFonts w:eastAsia="IRNazanin" w:cs="IRNazanin"/>
          <w:color w:val="111111"/>
          <w:sz w:val="28"/>
          <w:szCs w:val="28"/>
          <w:rtl w:val="true"/>
          <w:lang w:bidi="fa-IR"/>
        </w:rPr>
        <w:t>»</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أبی بصیر، عن أبی عبد اللّه علیه السلام فی رجل تزوّج امرأة فولدت منه جاریة، ثمّ ماتت المرأة، فتزوّج أخری فولدت منه ولداً، ثمّ إنّها أرضعت من لبنها غلاماً، أ یحلّ لذلک الغلام الذی أرضعته أن یتزوّج ابنة المرأة التی کانت تحت الرجل قبل المرأة الأخیرة؟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أُحبّ أن یتزوّج ابنة فحل قد رضع من لبنه</w:t>
      </w:r>
      <w:r>
        <w:rPr>
          <w:rFonts w:eastAsia="IRNazanin" w:cs="IRNazanin"/>
          <w:color w:val="111111"/>
          <w:sz w:val="28"/>
          <w:szCs w:val="28"/>
          <w:rtl w:val="true"/>
          <w:lang w:bidi="fa-IR"/>
        </w:rPr>
        <w:t>»</w:t>
      </w:r>
      <w:r>
        <w:rPr>
          <w:rStyle w:val="FootnoteAnchor"/>
          <w:rtl w:val="true"/>
        </w:rPr>
        <w:footnoteReference w:id="12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هذه الصحیحة علی أنّ اتحاد الفحل یکفی فی التحریم و إن تعدّدت المرضعة</w:t>
      </w:r>
      <w:r>
        <w:rPr>
          <w:rFonts w:eastAsia="IRNazanin" w:cs="IRNazanin"/>
          <w:color w:val="111111"/>
          <w:sz w:val="28"/>
          <w:szCs w:val="28"/>
          <w:rtl w:val="true"/>
          <w:lang w:bidi="fa-IR"/>
        </w:rPr>
        <w:t>.</w:t>
      </w:r>
      <w:bookmarkStart w:id="553" w:name="pg11752_146290"/>
    </w:p>
    <w:p>
      <w:pPr>
        <w:pStyle w:val="BookText"/>
        <w:rPr/>
      </w:pPr>
      <w:bookmarkEnd w:id="553"/>
      <w:r>
        <w:rPr>
          <w:rFonts w:ascii="IRNazanin" w:hAnsi="IRNazanin" w:eastAsia="IRNazanin"/>
          <w:color w:val="111111"/>
          <w:sz w:val="28"/>
          <w:sz w:val="28"/>
          <w:szCs w:val="28"/>
          <w:rtl w:val="true"/>
          <w:lang w:bidi="fa-IR"/>
        </w:rPr>
        <w:t>و غیر ذلک من الروایات التی ذکرها الشیخ الحرّ العاملی رحمه الله فی الوسائل، و عقد لذلک باباً،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أنّه یشترط فی نشر الحرمة بالرضاع اتّحاد الفحل و إن اختلفت المرضعة، فتحرم الأخت من الأب و لا تحرم الأخت من الأم رضاعاً</w:t>
      </w:r>
      <w:r>
        <w:rPr>
          <w:rFonts w:eastAsia="IRNazanin" w:cs="IRNazanin"/>
          <w:color w:val="111111"/>
          <w:sz w:val="28"/>
          <w:szCs w:val="28"/>
          <w:rtl w:val="true"/>
          <w:lang w:bidi="fa-IR"/>
        </w:rPr>
        <w:t>...»</w:t>
      </w:r>
      <w:r>
        <w:rPr>
          <w:rStyle w:val="FootnoteAnchor"/>
          <w:rtl w:val="true"/>
        </w:rPr>
        <w:footnoteReference w:id="1235"/>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Heading6"/>
        <w:numPr>
          <w:ilvl w:val="5"/>
          <w:numId w:val="1"/>
        </w:numPr>
        <w:rPr/>
      </w:pPr>
      <w:bookmarkStart w:id="554" w:name="__RefHeading___Toc9424194_73709187"/>
      <w:bookmarkStart w:id="555" w:name="_Toc211"/>
      <w:bookmarkEnd w:id="554"/>
      <w:r>
        <w:rPr>
          <w:rtl w:val="true"/>
        </w:rPr>
        <w:t>عدم انتشار الحرمة بین المرتضعین مع تعدّد الفحل و إن اتّحد المرضعة</w:t>
      </w:r>
      <w:bookmarkEnd w:id="555"/>
    </w:p>
    <w:p>
      <w:pPr>
        <w:pStyle w:val="BookText"/>
        <w:rPr/>
      </w:pPr>
      <w:r>
        <w:rPr>
          <w:rFonts w:ascii="IRNazanin" w:hAnsi="IRNazanin" w:eastAsia="IRNazanin"/>
          <w:color w:val="111111"/>
          <w:sz w:val="28"/>
          <w:sz w:val="28"/>
          <w:szCs w:val="28"/>
          <w:rtl w:val="true"/>
          <w:lang w:bidi="fa-IR"/>
        </w:rPr>
        <w:t>فی أنّه هل یکفی فی تحقّق الرضاع الموجب للتحریم بین المرتضعین اتّحاد المرضعة مع تعدّد الفحل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یکفی، و هو المشهور بین الفقهاء شهرة عظیمة کادت تکون إجماعاً، بل صرّح فی السرائر</w:t>
      </w:r>
      <w:r>
        <w:rPr>
          <w:rStyle w:val="FootnoteAnchor"/>
          <w:rtl w:val="true"/>
        </w:rPr>
        <w:footnoteReference w:id="1236"/>
      </w:r>
      <w:r>
        <w:rPr>
          <w:rFonts w:ascii="IRNazanin" w:hAnsi="IRNazanin" w:eastAsia="IRNazanin"/>
          <w:color w:val="111111"/>
          <w:sz w:val="28"/>
          <w:sz w:val="28"/>
          <w:szCs w:val="28"/>
          <w:rtl w:val="true"/>
          <w:lang w:bidi="fa-IR"/>
        </w:rPr>
        <w:t>و التذکرة</w:t>
      </w:r>
      <w:r>
        <w:rPr>
          <w:rStyle w:val="FootnoteAnchor"/>
          <w:rtl w:val="true"/>
        </w:rPr>
        <w:footnoteReference w:id="1237"/>
      </w:r>
      <w:r>
        <w:rPr>
          <w:rFonts w:ascii="IRNazanin" w:hAnsi="IRNazanin" w:eastAsia="IRNazanin"/>
          <w:color w:val="111111"/>
          <w:sz w:val="28"/>
          <w:sz w:val="28"/>
          <w:szCs w:val="28"/>
          <w:rtl w:val="true"/>
          <w:lang w:bidi="fa-IR"/>
        </w:rPr>
        <w:t>و غیرهما</w:t>
      </w:r>
      <w:r>
        <w:rPr>
          <w:rStyle w:val="FootnoteAnchor"/>
          <w:rtl w:val="true"/>
        </w:rPr>
        <w:footnoteReference w:id="1238"/>
      </w:r>
      <w:r>
        <w:rPr>
          <w:rFonts w:ascii="IRNazanin" w:hAnsi="IRNazanin" w:eastAsia="IRNazanin"/>
          <w:color w:val="111111"/>
          <w:sz w:val="28"/>
          <w:sz w:val="28"/>
          <w:szCs w:val="28"/>
          <w:rtl w:val="true"/>
          <w:lang w:bidi="fa-IR"/>
        </w:rPr>
        <w:t>الإجماع علیه، فلو تعدّد الفحل مع اتّحاد المرضعة لم یحرم أحدهما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حینئذ شرط لخصوص الحرمة بین المتراضعین، لا أصل الرضاع، فإنّه یحرم بالنسبة إلی المرضعة و کلّ من الفحلین بالنسبة إلی لبنه</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الحلبی فی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یرضع من امرأة و هو غلام، أ یحلّ له أن یتزوّج أختها لأمّها من الرضاعة؟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کانت المرأتان رضعتا من امرأة واحدة من لبن فحل واحد فلا یحلّ، فإن کانت المرأتان رضعتا من امرأة واحدة من لبن فحلین فلا بأس بذلک</w:t>
      </w:r>
      <w:r>
        <w:rPr>
          <w:rFonts w:eastAsia="IRNazanin" w:cs="IRNazanin"/>
          <w:color w:val="111111"/>
          <w:sz w:val="28"/>
          <w:szCs w:val="28"/>
          <w:rtl w:val="true"/>
          <w:lang w:bidi="fa-IR"/>
        </w:rPr>
        <w:t>»</w:t>
      </w:r>
      <w:r>
        <w:rPr>
          <w:rStyle w:val="FootnoteAnchor"/>
          <w:rtl w:val="true"/>
        </w:rPr>
        <w:footnoteReference w:id="1240"/>
      </w:r>
    </w:p>
    <w:p>
      <w:pPr>
        <w:pStyle w:val="BookText"/>
        <w:rPr/>
      </w:pPr>
      <w:r>
        <w:rPr>
          <w:rFonts w:ascii="IRNazanin" w:hAnsi="IRNazanin" w:eastAsia="IRNazanin"/>
          <w:color w:val="111111"/>
          <w:sz w:val="28"/>
          <w:sz w:val="28"/>
          <w:szCs w:val="28"/>
          <w:rtl w:val="true"/>
          <w:lang w:bidi="fa-IR"/>
        </w:rPr>
        <w:t>و غیرها من الروایات التی تخصّص عموم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یحرم من الرضاع ما یحرم من النسب</w:t>
      </w:r>
      <w:r>
        <w:rPr>
          <w:rFonts w:eastAsia="IRNazanin" w:cs="IRNazanin"/>
          <w:color w:val="111111"/>
          <w:sz w:val="28"/>
          <w:szCs w:val="28"/>
          <w:rtl w:val="true"/>
          <w:lang w:bidi="fa-IR"/>
        </w:rPr>
        <w:t>»</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و هو قول الطبرسی، فاکتفی فی الحرمة بالقول باتّحاد المرضعة و إن تعدّد الفحل</w:t>
      </w:r>
      <w:r>
        <w:rPr>
          <w:rStyle w:val="FootnoteAnchor"/>
          <w:rtl w:val="true"/>
        </w:rPr>
        <w:footnoteReference w:id="1242"/>
      </w:r>
      <w:r>
        <w:rPr>
          <w:rFonts w:ascii="IRNazanin" w:hAnsi="IRNazanin" w:eastAsia="IRNazanin"/>
          <w:color w:val="111111"/>
          <w:sz w:val="28"/>
          <w:sz w:val="28"/>
          <w:szCs w:val="28"/>
          <w:rtl w:val="true"/>
          <w:lang w:bidi="fa-IR"/>
        </w:rPr>
        <w:t>، و تبعه علیه الفیض فی محکیّ مفاتیحه</w:t>
      </w:r>
      <w:r>
        <w:rPr>
          <w:rStyle w:val="FootnoteAnchor"/>
          <w:rtl w:val="true"/>
        </w:rPr>
        <w:footnoteReference w:id="1243"/>
      </w:r>
      <w:r>
        <w:rPr>
          <w:rFonts w:ascii="IRNazanin" w:hAnsi="IRNazanin" w:eastAsia="IRNazanin"/>
          <w:color w:val="111111"/>
          <w:sz w:val="28"/>
          <w:sz w:val="28"/>
          <w:szCs w:val="28"/>
          <w:rtl w:val="true"/>
          <w:lang w:bidi="fa-IR"/>
        </w:rPr>
        <w:t xml:space="preserve">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أَخَواتُکُمْ مِنَ الرَّضاعَةِ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من الرضاع ما یحرم من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روایة محمد بن عبیدة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یقول أصحابک فی الرضاع؟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اللبن للفحل حتّی جاء تهم الروایة عنک أنّک تحرم من الرضاع ما یحرم من النسب، فرجعوا إلی قولک،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ذاک أنّ أمیر المؤمنین سألنی عنها البارحة،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اشرح لی اللبن للفحل و أنا أکره الکلام،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أنت حتّی أسألک عنها، ما قلت فی رجل کانت له أمّهات أولاد شتّی فأرضعت واحدة منهن بلبنها غلاماً غریباً؟ أ لیس کلّ شیء من ولد ذلک الرجل من أمّهات الأولاد الشتّی محرماً علی ذلک الغلام؟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 الرضاع یحرّم من قبل الفحل و لا یحرم من قبل الأمّهات؟ و إنّما الرضاع من قبل الأمهات، و إن کان لبن الفحل أیضاً یحرّم</w:t>
      </w:r>
      <w:r>
        <w:rPr>
          <w:rFonts w:eastAsia="IRNazanin" w:cs="IRNazanin"/>
          <w:color w:val="111111"/>
          <w:sz w:val="28"/>
          <w:szCs w:val="28"/>
          <w:rtl w:val="true"/>
          <w:lang w:bidi="fa-IR"/>
        </w:rPr>
        <w:t>»</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الأظهر ما علیه الأکثر، بل حکی الإجماع علیه عن بعض الفقهاء ممّن تأخّر عنه</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الروایة، فإنّها ضعیفة و قاصرة عن معارضة ما سمعت من النصوص،</w:t>
      </w:r>
    </w:p>
    <w:p>
      <w:pPr>
        <w:pStyle w:val="BookText"/>
        <w:rPr/>
      </w:pPr>
      <w:r>
        <w:rPr>
          <w:rFonts w:ascii="IRNazanin" w:hAnsi="IRNazanin" w:eastAsia="IRNazanin"/>
          <w:color w:val="111111"/>
          <w:sz w:val="28"/>
          <w:sz w:val="28"/>
          <w:szCs w:val="28"/>
          <w:rtl w:val="true"/>
          <w:lang w:bidi="fa-IR"/>
        </w:rPr>
        <w:t>و الأصحاب قد أعرضوا عنها کما نبّه علیه المحقّق</w:t>
      </w:r>
      <w:r>
        <w:rPr>
          <w:rStyle w:val="FootnoteAnchor"/>
          <w:rtl w:val="true"/>
        </w:rPr>
        <w:footnoteReference w:id="1246"/>
      </w:r>
      <w:r>
        <w:rPr>
          <w:rFonts w:ascii="IRNazanin" w:hAnsi="IRNazanin" w:eastAsia="IRNazanin"/>
          <w:color w:val="111111"/>
          <w:sz w:val="28"/>
          <w:sz w:val="28"/>
          <w:szCs w:val="28"/>
          <w:rtl w:val="true"/>
          <w:lang w:bidi="fa-IR"/>
        </w:rPr>
        <w:t>و صاحب الجواهر</w:t>
      </w:r>
      <w:r>
        <w:rPr>
          <w:rStyle w:val="FootnoteAnchor"/>
          <w:rtl w:val="true"/>
        </w:rPr>
        <w:footnoteReference w:id="1247"/>
      </w:r>
      <w:r>
        <w:rPr>
          <w:rFonts w:ascii="IRNazanin" w:hAnsi="IRNazanin" w:eastAsia="IRNazanin"/>
          <w:color w:val="111111"/>
          <w:sz w:val="28"/>
          <w:sz w:val="28"/>
          <w:szCs w:val="28"/>
          <w:rtl w:val="true"/>
          <w:lang w:bidi="fa-IR"/>
        </w:rPr>
        <w:t>و بحر العلوم فی بلغة الفقیه</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إمکان حملها علی أنّ الرضاع من قبل الأمّ یحرم بالنسبة إلی مَن ینسب إلیها من جهة الولادة دون الرضاع، إذ لا إشکال و لا خلاف فی أنّه یحرم أولاد هذه المرضعة نسباً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المرتضع منها و إن لم یکن بلبن فحلهم؛ لعموم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یحرم من الرضاع ما یحرم من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السالم عن المعارض، و إنّما یشترط اتّحاد الفحل بین المتراضعین الأجنبیین منها، و موافقتها لمذهب العامّة فهی محمولة علی التقیة، حیث کان مذهبهم الفتوی بذلک علی ما حکاه</w:t>
      </w:r>
      <w:r>
        <w:rPr>
          <w:rStyle w:val="FootnoteAnchor"/>
          <w:rtl w:val="true"/>
        </w:rPr>
        <w:footnoteReference w:id="1249"/>
      </w:r>
      <w:r>
        <w:rPr>
          <w:rFonts w:ascii="IRNazanin" w:hAnsi="IRNazanin" w:eastAsia="IRNazanin"/>
          <w:color w:val="111111"/>
          <w:sz w:val="28"/>
          <w:sz w:val="28"/>
          <w:szCs w:val="28"/>
          <w:rtl w:val="true"/>
          <w:lang w:bidi="fa-IR"/>
        </w:rPr>
        <w:t>فی السرائر،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لأمّه من الرضاع بنت من غیر أبیه من الرضاع، فهی أخته لأمّه عند المخالفین من العامّة، لا یجوز له أن یتزوّجها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أصحابنا الإمامیة بأجمعهم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یحلّ له تزویجها؛ لأنّ الفحل غیر الأب، و بهذا فسّروا قول الأئمة علیهم السلام فی ظاهر النصوص و ألفاظ الأخبار المتواترة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اللبن للفحل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یریدون بذلک لبن فحل واحد، فأمّا إذا کان فحلان و لَبَنان، فلا تحریم</w:t>
      </w:r>
      <w:r>
        <w:rPr>
          <w:rFonts w:eastAsia="IRNazanin" w:cs="IRNazanin"/>
          <w:color w:val="111111"/>
          <w:sz w:val="28"/>
          <w:szCs w:val="28"/>
          <w:rtl w:val="true"/>
          <w:lang w:bidi="fa-IR"/>
        </w:rPr>
        <w:t>»</w:t>
      </w:r>
      <w:r>
        <w:rPr>
          <w:rStyle w:val="FootnoteAnchor"/>
          <w:rtl w:val="true"/>
        </w:rPr>
        <w:footnoteReference w:id="12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لعلّ قوله علیه السلام فی الخبر المزبور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کانوا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ظاهر فی معلومیة الحال بین الشیعة</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بعض الفقهاء من أهل السنّة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حلّ بین رضیعی امرأة؛ لکونهما أخوین، أی شقیقین إن کان اللبن الذی شرباه منها لرجل واحد أو لأمّ إن لم یکن</w:t>
      </w:r>
    </w:p>
    <w:p>
      <w:pPr>
        <w:pStyle w:val="BookText"/>
        <w:rPr/>
      </w:pPr>
      <w:r>
        <w:rPr>
          <w:rFonts w:ascii="IRNazanin" w:hAnsi="IRNazanin" w:eastAsia="IRNazanin"/>
          <w:color w:val="111111"/>
          <w:sz w:val="28"/>
          <w:sz w:val="28"/>
          <w:szCs w:val="28"/>
          <w:rtl w:val="true"/>
          <w:lang w:bidi="fa-IR"/>
        </w:rPr>
        <w:t>کذلک، و قد یکونان لأب، کما إذا کان لرجل امرأتان و ولدتا منه فأرضعت کلّ واحدة صغیراً فإنّ الصغیرین أخوان لأب، حتّی لو کان أحدهما أنثی لا یحلّ النکاح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اختلف الزمن و الأب</w:t>
      </w:r>
      <w:r>
        <w:rPr>
          <w:rFonts w:eastAsia="IRNazanin" w:cs="IRNazanin"/>
          <w:color w:val="111111"/>
          <w:sz w:val="28"/>
          <w:szCs w:val="28"/>
          <w:rtl w:val="true"/>
          <w:lang w:bidi="fa-IR"/>
        </w:rPr>
        <w:t>»</w:t>
      </w:r>
      <w:r>
        <w:rPr>
          <w:rStyle w:val="FootnoteAnchor"/>
          <w:rtl w:val="true"/>
        </w:rPr>
        <w:footnoteReference w:id="12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بمثل ذلک قال ابن قدامة فی المغنی</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الرضاع بالامتصاص من الثدی، المشهور بین الفقهاء اعتبار الإرضاع من الثدی</w:t>
      </w:r>
      <w:r>
        <w:rPr>
          <w:rStyle w:val="FootnoteAnchor"/>
          <w:rtl w:val="true"/>
        </w:rPr>
        <w:footnoteReference w:id="1254"/>
      </w:r>
      <w:r>
        <w:rPr>
          <w:rFonts w:ascii="IRNazanin" w:hAnsi="IRNazanin" w:eastAsia="IRNazanin"/>
          <w:color w:val="111111"/>
          <w:sz w:val="28"/>
          <w:sz w:val="28"/>
          <w:szCs w:val="28"/>
          <w:rtl w:val="true"/>
          <w:lang w:bidi="fa-IR"/>
        </w:rPr>
        <w:t>، فلو شرب لبن المرضعة من إناء و نحوه أو جعل جبناً فأکله لم ینشر حرمة؛ لأنّ الارتضاع المنوط به النشر فی الأدلّة من الکتاب و السنّة لا یتحقّق عرفاً إلاّ بالامتصاص، فیقال لمن التقم الثدی و مصّ اللبن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ارتضع، و لا یقال لمن شربه من إناء 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ارتضع، و هذا أمر شائع بین الناس، فإنّهم لشربهم الألبان من الأوانی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ارتضعوا من البهائم، و حینئذٍ فلا یدخل تحت إطلاق الرضاع المذکور فی الآیات و الأخبار، و یدخل المتناول للبن بغیر امتصاص فی عموم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أُحِلَّ لَکُمْ ما وَراءَ ذلِکُمْ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المسالک و الجواهر</w:t>
      </w:r>
      <w:r>
        <w:rPr>
          <w:rStyle w:val="FootnoteAnchor"/>
          <w:rtl w:val="true"/>
        </w:rPr>
        <w:footnoteReference w:id="1255"/>
      </w:r>
      <w:r>
        <w:rPr>
          <w:rFonts w:ascii="IRNazanin" w:hAnsi="IRNazanin" w:eastAsia="IRNazanin"/>
          <w:color w:val="111111"/>
          <w:sz w:val="28"/>
          <w:sz w:val="28"/>
          <w:szCs w:val="28"/>
          <w:rtl w:val="true"/>
          <w:lang w:bidi="fa-IR"/>
        </w:rPr>
        <w:t>و لو فرض تسلیم شمول الارتضاع لغیر الامتصاص فلا مجال لإنکار انصرافه إلیه، فیکون ما عداه باقیاً تحت أصالة الإباحة</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یدلّ علی ذلک أیضاً، قول الصادق علیه السلام فی روایة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الرضاع؟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یحرم من الرضاع إلاّ ما ارتضعا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ثدی واحد حولین</w:t>
      </w:r>
    </w:p>
    <w:p>
      <w:pPr>
        <w:pStyle w:val="BookText"/>
        <w:rPr/>
      </w:pPr>
      <w:r>
        <w:rPr>
          <w:rFonts w:ascii="IRNazanin" w:hAnsi="IRNazanin" w:eastAsia="IRNazanin"/>
          <w:color w:val="111111"/>
          <w:sz w:val="28"/>
          <w:sz w:val="28"/>
          <w:szCs w:val="28"/>
          <w:rtl w:val="true"/>
          <w:lang w:bidi="fa-IR"/>
        </w:rPr>
        <w:t>کاملین</w:t>
      </w:r>
      <w:r>
        <w:rPr>
          <w:rFonts w:eastAsia="IRNazanin" w:cs="IRNazanin"/>
          <w:color w:val="111111"/>
          <w:sz w:val="28"/>
          <w:szCs w:val="28"/>
          <w:rtl w:val="true"/>
          <w:lang w:bidi="fa-IR"/>
        </w:rPr>
        <w:t>»</w:t>
      </w:r>
      <w:r>
        <w:rPr>
          <w:rStyle w:val="FootnoteAnchor"/>
          <w:rtl w:val="true"/>
        </w:rPr>
        <w:footnoteReference w:id="1256"/>
      </w:r>
      <w:r>
        <w:rPr>
          <w:rFonts w:ascii="IRNazanin" w:hAnsi="IRNazanin" w:eastAsia="IRNazanin"/>
          <w:color w:val="111111"/>
          <w:sz w:val="28"/>
          <w:sz w:val="28"/>
          <w:szCs w:val="28"/>
          <w:rtl w:val="true"/>
          <w:lang w:bidi="fa-IR"/>
        </w:rPr>
        <w:t>بناءً علی جعل الحولین ظرفاً لأصل الرضاع لا لقدره حتّی یخالف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نصّ فی المطلوب و إن کان ظاهره غیر مراد</w:t>
      </w:r>
      <w:r>
        <w:rPr>
          <w:rFonts w:eastAsia="IRNazanin" w:cs="IRNazanin"/>
          <w:color w:val="111111"/>
          <w:sz w:val="28"/>
          <w:szCs w:val="28"/>
          <w:rtl w:val="true"/>
          <w:lang w:bidi="fa-IR"/>
        </w:rPr>
        <w:t>»</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العلاء بن رزین،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الرضاع؟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یحرم من الرضاع إلاّ ما ارتضع من ثدی واحدة سنة</w:t>
      </w:r>
      <w:r>
        <w:rPr>
          <w:rFonts w:eastAsia="IRNazanin" w:cs="IRNazanin"/>
          <w:color w:val="111111"/>
          <w:sz w:val="28"/>
          <w:szCs w:val="28"/>
          <w:rtl w:val="true"/>
          <w:lang w:bidi="fa-IR"/>
        </w:rPr>
        <w:t>»</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ینافی ذلک اشتمال الروایتین علی ما هو متروک بالاتّفاق؛ لأنّ طرح بعض الخبر لقیام الدلیل علی خلافه لا ینافی عدم طرح ما لا دلیل علی خلافه</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لأصالة البراءة</w:t>
      </w:r>
      <w:r>
        <w:rPr>
          <w:rStyle w:val="FootnoteAnchor"/>
          <w:rtl w:val="true"/>
        </w:rPr>
        <w:footnoteReference w:id="12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تأمّل فیها فی تفصیل الشریعة</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خلافاً للمحکیّ عن ابن الجنید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ما ملأ بطن الصبیّ بالمصّ أو الوجور</w:t>
      </w:r>
      <w:r>
        <w:rPr>
          <w:rStyle w:val="FootnoteAnchor"/>
          <w:rtl w:val="true"/>
        </w:rPr>
        <w:footnoteReference w:id="1262"/>
      </w:r>
      <w:r>
        <w:rPr>
          <w:rFonts w:ascii="IRNazanin" w:hAnsi="IRNazanin" w:eastAsia="IRNazanin"/>
          <w:color w:val="111111"/>
          <w:sz w:val="28"/>
          <w:sz w:val="28"/>
          <w:szCs w:val="28"/>
          <w:rtl w:val="true"/>
          <w:lang w:bidi="fa-IR"/>
        </w:rPr>
        <w:t>محرم للنکاح</w:t>
      </w:r>
      <w:r>
        <w:rPr>
          <w:rStyle w:val="FootnoteAnchor"/>
          <w:rtl w:val="true"/>
        </w:rPr>
        <w:footnoteReference w:id="1263"/>
      </w:r>
      <w:r>
        <w:rPr>
          <w:rFonts w:ascii="IRNazanin" w:hAnsi="IRNazanin" w:eastAsia="IRNazanin"/>
          <w:color w:val="111111"/>
          <w:sz w:val="28"/>
          <w:sz w:val="28"/>
          <w:szCs w:val="28"/>
          <w:rtl w:val="true"/>
          <w:lang w:bidi="fa-IR"/>
        </w:rPr>
        <w:t>إمّا لدعوی صدق الارتضاع، و إمّا لحصول ما هو المقصود منه من إنبات اللحم و شدّ العظم، و إمّا للمرسل المرویّ فی الفقیه،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جور الصبیّ اللبن بمنزلة الرضاع</w:t>
      </w:r>
      <w:r>
        <w:rPr>
          <w:rFonts w:eastAsia="IRNazanin" w:cs="IRNazanin"/>
          <w:color w:val="111111"/>
          <w:sz w:val="28"/>
          <w:szCs w:val="28"/>
          <w:rtl w:val="true"/>
          <w:lang w:bidi="fa-IR"/>
        </w:rPr>
        <w:t>»</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الکلّ نظر؛ لخلوّ الدعوی المذکورة عن البیّنة، کدعوی کون المناط فی</w:t>
      </w:r>
      <w:bookmarkStart w:id="556" w:name="pg11752_146295"/>
    </w:p>
    <w:p>
      <w:pPr>
        <w:pStyle w:val="BookText"/>
        <w:rPr/>
      </w:pPr>
      <w:bookmarkEnd w:id="556"/>
      <w:r>
        <w:rPr>
          <w:rFonts w:ascii="IRNazanin" w:hAnsi="IRNazanin" w:eastAsia="IRNazanin"/>
          <w:color w:val="111111"/>
          <w:sz w:val="28"/>
          <w:sz w:val="28"/>
          <w:szCs w:val="28"/>
          <w:rtl w:val="true"/>
          <w:lang w:bidi="fa-IR"/>
        </w:rPr>
        <w:t>النشر مجرّد إنبات اللحم و شدّ العظم، و ضعف المرسلة و معارضتها بروایة زرارة</w:t>
      </w:r>
      <w:r>
        <w:rPr>
          <w:rStyle w:val="FootnoteAnchor"/>
          <w:rtl w:val="true"/>
        </w:rPr>
        <w:footnoteReference w:id="1265"/>
      </w:r>
    </w:p>
    <w:p>
      <w:pPr>
        <w:pStyle w:val="BookText"/>
        <w:rPr/>
      </w:pP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یحرم من الرضاع إلاّ ما ارتضع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ارتضعا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ثدی واحد حولین کاملین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جعل الحولین لأصل الرضاع، لا لقدره حتّی یخالف الإجماع مضافاً إلی إعراض المشهور عنها، فالأقوی إذن القول المشهور، إلاّ أنّ الأولی مراعاة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به الشیخ الأعظم رحمه الله</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57" w:name="__RefHeading___Toc9424196_73709187"/>
      <w:bookmarkStart w:id="558" w:name="_Toc212"/>
      <w:bookmarkEnd w:id="557"/>
      <w:r>
        <w:rPr>
          <w:rtl w:val="true"/>
        </w:rPr>
        <w:t>رأی أهل السنّة فی الامتصاص من الثدی</w:t>
      </w:r>
      <w:bookmarkEnd w:id="558"/>
    </w:p>
    <w:p>
      <w:pPr>
        <w:pStyle w:val="BookText"/>
        <w:rPr/>
      </w:pPr>
      <w:r>
        <w:rPr>
          <w:rFonts w:ascii="IRNazanin" w:hAnsi="IRNazanin" w:eastAsia="IRNazanin"/>
          <w:color w:val="111111"/>
          <w:sz w:val="28"/>
          <w:sz w:val="28"/>
          <w:szCs w:val="28"/>
          <w:rtl w:val="true"/>
          <w:lang w:bidi="fa-IR"/>
        </w:rPr>
        <w:t>أکثر أهل السنّة لم یشترطوا فی الرضاع الموجب للتحریم الامتصاص من الثدی، و اکتفوا بأن یصل اللبن إلی جوف الطفل، سواء کان بواسطة مصّ الثدی أو بغیره، فعلی رأیهم إن وصل اللبن إلی الجوف بالصبّ فی الحلق أو بالصبّ فی الأنف ترتّب علیه التحریم، سواءً کان قلیلاً أو کثیراً و لو قطرة واحدة</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الزحیلی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فقد اتّفق أئمّة المذاهب علی أنّ التحریم یحصل بالوجور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صبّ اللبن فی الحلق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لحصول التغذیة به کالارتضاع، و بالسعوط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صبّ اللبن فی الأنف لیصل الدماغ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لحصول التغذّی به؛ لأنّ الدماغ جوف له کالمعدة، بل لا یشترط التغذّی بما وصل من منفذ عالٍ، بل مجرّد وصوله للجوف کافٍ فی التحریم</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قدامة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السعوط کالرضاع و کذلک الوجور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اختلفت الروایة فی التحریم بهما، فأصحّ الروایتین أنّ التحریم یثبت بذلک کما یثبت بالرضاع، و هو</w:t>
      </w:r>
    </w:p>
    <w:p>
      <w:pPr>
        <w:pStyle w:val="BookText"/>
        <w:rPr/>
      </w:pPr>
      <w:r>
        <w:rPr>
          <w:rFonts w:ascii="IRNazanin" w:hAnsi="IRNazanin" w:eastAsia="IRNazanin"/>
          <w:color w:val="111111"/>
          <w:sz w:val="28"/>
          <w:sz w:val="28"/>
          <w:szCs w:val="28"/>
          <w:rtl w:val="true"/>
          <w:lang w:bidi="fa-IR"/>
        </w:rPr>
        <w:t>قول الشعبی و الثوری و أصحاب الرأی، و به قال مالک فی الوجور</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اللبن بحاله غیر ممتزج بشیء، فلو القی فی فم الصبیّ شیء جامد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کالدقیق و فتیت السکّر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کیسیر من الأطعمة المائعة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أرضع بحیث امتزج اللبن حتّی یخرج عن کونه لبناً لم یعتدّ به، و کذا لو جُبّن اللبن، و الوجه فی ذلک عدم صدق الإطلاقات مع الخروج عن اسم اللبن، أو عدم انصرافها إلاّ إلی الخالص</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خلافاً لبعض أهل السنّة، حیث قال ابن قدامة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عمل اللبن جبناً ثمّ أطعمه الصبیّ، ثبت به التحریم، و بهذا قال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یحرم به لزوال الاسم، و کذلک علی الروایة التی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یثبت التحریم بالوجور لا یثبت هاهنا بطریق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واصل من الحلق یحصل به إنبات اللحم و إنشاز العظم، فحصل به التحریم کما لو شربه إلی أن قال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اللبن المشوب کالمحض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المشوب المختلط بغیره، و المحض الخالص الذی لا یخالطه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 عن ابن حامد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الغالب اللبن حرم و إلاّ فلا، و هو قول ابن ثور و المزنی؛ لأنّ الحکم للأغلب</w:t>
      </w:r>
      <w:r>
        <w:rPr>
          <w:rFonts w:eastAsia="IRNazanin" w:cs="IRNazanin"/>
          <w:color w:val="111111"/>
          <w:sz w:val="28"/>
          <w:szCs w:val="28"/>
          <w:rtl w:val="true"/>
          <w:lang w:bidi="fa-IR"/>
        </w:rPr>
        <w:t>»</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الرضاع حدّاً خاصاً، بمعنی أنّه لا یکفی مسمّی الرضاع فی نشر الحرمة عند علمائنا، قال فی تفصیل الشریعة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إشکال فی أنّ مسمّی الرضاع لا یکفی فی الرضاع المحرّم بضرورة الفقه، و کذا لا تکفی الرضعة الکاملة علی المشهور بین الأصحاب شهرة عظیمة محقّقة کادت تکون إجماعاً متحصّلاً</w:t>
      </w:r>
      <w:r>
        <w:rPr>
          <w:rFonts w:eastAsia="IRNazanin" w:cs="IRNazanin"/>
          <w:color w:val="111111"/>
          <w:sz w:val="28"/>
          <w:szCs w:val="28"/>
          <w:rtl w:val="true"/>
          <w:lang w:bidi="fa-IR"/>
        </w:rPr>
        <w:t>»</w:t>
      </w:r>
      <w:r>
        <w:rPr>
          <w:rStyle w:val="FootnoteAnchor"/>
          <w:rtl w:val="true"/>
        </w:rPr>
        <w:footnoteReference w:id="1272"/>
      </w:r>
      <w:r>
        <w:rPr>
          <w:rFonts w:ascii="IRNazanin" w:hAnsi="IRNazanin" w:eastAsia="IRNazanin"/>
          <w:color w:val="111111"/>
          <w:sz w:val="28"/>
          <w:sz w:val="28"/>
          <w:szCs w:val="28"/>
          <w:rtl w:val="true"/>
          <w:lang w:bidi="fa-IR"/>
        </w:rPr>
        <w:t>،</w:t>
      </w:r>
      <w:bookmarkStart w:id="559" w:name="pg11752_146297"/>
    </w:p>
    <w:p>
      <w:pPr>
        <w:pStyle w:val="Heading6"/>
        <w:numPr>
          <w:ilvl w:val="5"/>
          <w:numId w:val="1"/>
        </w:numPr>
        <w:rPr/>
      </w:pPr>
      <w:bookmarkStart w:id="560" w:name="__RefHeading___Toc9424198_73709187"/>
      <w:bookmarkStart w:id="561" w:name="_Toc213"/>
      <w:bookmarkEnd w:id="559"/>
      <w:bookmarkEnd w:id="560"/>
      <w:r>
        <w:rPr>
          <w:rtl w:val="true"/>
        </w:rPr>
        <w:t>ثمّ إنّ للأصحاب فی تحدید الرضاع المحرّم تقدیرات ثلاثة</w:t>
      </w:r>
      <w:bookmarkEnd w:id="561"/>
    </w:p>
    <w:p>
      <w:pPr>
        <w:pStyle w:val="BookText"/>
        <w:rPr/>
      </w:pPr>
      <w:r>
        <w:rPr>
          <w:rFonts w:ascii="IRNazanin" w:hAnsi="IRNazanin" w:eastAsia="IRNazanin"/>
          <w:color w:val="111111"/>
          <w:sz w:val="28"/>
          <w:sz w:val="28"/>
          <w:szCs w:val="28"/>
          <w:rtl w:val="true"/>
          <w:lang w:bidi="fa-IR"/>
        </w:rPr>
        <w:t xml:space="preserve">، بحسب الأثر و الزمان و العدد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المشهور بین الفقهاء ثبوت التحریم بکلّ واحدٍ منها </w:t>
      </w:r>
      <w:r>
        <w:rPr>
          <w:rFonts w:eastAsia="IRNazanin" w:cs="IRNazanin"/>
          <w:color w:val="111111"/>
          <w:sz w:val="28"/>
          <w:szCs w:val="28"/>
          <w:rtl w:val="true"/>
          <w:lang w:bidi="fa-IR"/>
        </w:rPr>
        <w:t>-:</w:t>
      </w:r>
    </w:p>
    <w:p>
      <w:pPr>
        <w:pStyle w:val="Heading6"/>
        <w:numPr>
          <w:ilvl w:val="5"/>
          <w:numId w:val="1"/>
        </w:numPr>
        <w:rPr/>
      </w:pPr>
      <w:bookmarkStart w:id="562" w:name="__RefHeading___Toc9424200_73709187"/>
      <w:bookmarkStart w:id="563" w:name="_Toc214"/>
      <w:bookmarkEnd w:id="562"/>
      <w:r>
        <w:rPr>
          <w:rtl w:val="true"/>
        </w:rPr>
        <w:t>الأوّل</w:t>
      </w:r>
      <w:r>
        <w:rPr>
          <w:rtl w:val="true"/>
        </w:rPr>
        <w:t xml:space="preserve">: </w:t>
      </w:r>
      <w:r>
        <w:rPr>
          <w:rtl w:val="true"/>
        </w:rPr>
        <w:t>التقدیر بالزمان،</w:t>
      </w:r>
      <w:bookmarkEnd w:id="563"/>
    </w:p>
    <w:p>
      <w:pPr>
        <w:pStyle w:val="BookText"/>
        <w:rPr/>
      </w:pPr>
      <w:r>
        <w:rPr>
          <w:rFonts w:ascii="IRNazanin" w:hAnsi="IRNazanin" w:eastAsia="IRNazanin"/>
          <w:color w:val="111111"/>
          <w:sz w:val="28"/>
          <w:sz w:val="28"/>
          <w:szCs w:val="28"/>
          <w:rtl w:val="true"/>
          <w:lang w:bidi="fa-IR"/>
        </w:rPr>
        <w:t>و هو رضاع یوم و لیلة بحیث یرتضع کلّ ما یحتاج إلیه الصبیّ حتّی یرتوی و یصدر بنفسه، بمعنی أنّ غذاءه فی هذه المدّة من اللبن خاصّة لا یداخله شیء من المأکول و المشروب و إن لم یتمّ العدد و لم یحصل الأثر، و لا فرق بین الیوم الطویل و القصیر</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یظهر من التبیان</w:t>
      </w:r>
      <w:r>
        <w:rPr>
          <w:rStyle w:val="FootnoteAnchor"/>
          <w:rtl w:val="true"/>
        </w:rPr>
        <w:footnoteReference w:id="1274"/>
      </w:r>
      <w:r>
        <w:rPr>
          <w:rFonts w:ascii="IRNazanin" w:hAnsi="IRNazanin" w:eastAsia="IRNazanin"/>
          <w:color w:val="111111"/>
          <w:sz w:val="28"/>
          <w:sz w:val="28"/>
          <w:szCs w:val="28"/>
          <w:rtl w:val="true"/>
          <w:lang w:bidi="fa-IR"/>
        </w:rPr>
        <w:t>و مجمع البیان</w:t>
      </w:r>
      <w:r>
        <w:rPr>
          <w:rStyle w:val="FootnoteAnchor"/>
          <w:rtl w:val="true"/>
        </w:rPr>
        <w:footnoteReference w:id="1275"/>
      </w:r>
      <w:r>
        <w:rPr>
          <w:rFonts w:ascii="IRNazanin" w:hAnsi="IRNazanin" w:eastAsia="IRNazanin"/>
          <w:color w:val="111111"/>
          <w:sz w:val="28"/>
          <w:sz w:val="28"/>
          <w:szCs w:val="28"/>
          <w:rtl w:val="true"/>
          <w:lang w:bidi="fa-IR"/>
        </w:rPr>
        <w:t>و الإیضاح</w:t>
      </w:r>
      <w:r>
        <w:rPr>
          <w:rStyle w:val="FootnoteAnchor"/>
          <w:rtl w:val="true"/>
        </w:rPr>
        <w:footnoteReference w:id="1276"/>
      </w:r>
      <w:r>
        <w:rPr>
          <w:rFonts w:ascii="IRNazanin" w:hAnsi="IRNazanin" w:eastAsia="IRNazanin"/>
          <w:color w:val="111111"/>
          <w:sz w:val="28"/>
          <w:sz w:val="28"/>
          <w:szCs w:val="28"/>
          <w:rtl w:val="true"/>
          <w:lang w:bidi="fa-IR"/>
        </w:rPr>
        <w:t>و غیرها</w:t>
      </w:r>
      <w:r>
        <w:rPr>
          <w:rStyle w:val="FootnoteAnchor"/>
          <w:rtl w:val="true"/>
        </w:rPr>
        <w:footnoteReference w:id="1277"/>
      </w:r>
      <w:r>
        <w:rPr>
          <w:rFonts w:ascii="IRNazanin" w:hAnsi="IRNazanin" w:eastAsia="IRNazanin"/>
          <w:color w:val="111111"/>
          <w:sz w:val="28"/>
          <w:sz w:val="28"/>
          <w:szCs w:val="28"/>
          <w:rtl w:val="true"/>
          <w:lang w:bidi="fa-IR"/>
        </w:rPr>
        <w:t>عدم الخلاف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 أیضاً إجماع الفرقة کما فی الخلاف</w:t>
      </w:r>
      <w:r>
        <w:rPr>
          <w:rStyle w:val="FootnoteAnchor"/>
          <w:rtl w:val="true"/>
        </w:rPr>
        <w:footnoteReference w:id="1278"/>
      </w:r>
      <w:r>
        <w:rPr>
          <w:rFonts w:ascii="IRNazanin" w:hAnsi="IRNazanin" w:eastAsia="IRNazanin"/>
          <w:color w:val="111111"/>
          <w:sz w:val="28"/>
          <w:sz w:val="28"/>
          <w:szCs w:val="28"/>
          <w:rtl w:val="true"/>
          <w:lang w:bidi="fa-IR"/>
        </w:rPr>
        <w:t>، و نسبه فی التذکرة إلی علماء الإمامیّة</w:t>
      </w:r>
      <w:r>
        <w:rPr>
          <w:rStyle w:val="FootnoteAnchor"/>
          <w:rtl w:val="true"/>
        </w:rPr>
        <w:footnoteReference w:id="12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ادّعی فی کشف اللثام الاتّفاق علیه</w:t>
      </w:r>
      <w:r>
        <w:rPr>
          <w:rStyle w:val="FootnoteAnchor"/>
          <w:rtl w:val="true"/>
        </w:rPr>
        <w:footnoteReference w:id="12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الروایات الدالّة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زیاد بن سوقة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للرضاع حدّ یؤخذ به؟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یحرم الرضاع أقلّ من یوم و لیلة أو خمس عشرة رضعة متوالیات من امرأة واحدة من لبن فحل واحد لم یفصل بینها رضعة امرأة غیرها</w:t>
      </w:r>
      <w:r>
        <w:rPr>
          <w:rFonts w:eastAsia="IRNazanin" w:cs="IRNazanin"/>
          <w:color w:val="111111"/>
          <w:sz w:val="28"/>
          <w:szCs w:val="28"/>
          <w:rtl w:val="true"/>
          <w:lang w:bidi="fa-IR"/>
        </w:rPr>
        <w:t>»</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 الصدوق فی المقنع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الصادق علیه السلام هل لذلک حدّ؟ فقال</w:t>
      </w:r>
      <w:r>
        <w:rPr>
          <w:rFonts w:eastAsia="IRNazanin" w:cs="IRNazanin"/>
          <w:color w:val="111111"/>
          <w:sz w:val="28"/>
          <w:szCs w:val="28"/>
          <w:rtl w:val="true"/>
          <w:lang w:bidi="fa-IR"/>
        </w:rPr>
        <w:t>:</w:t>
      </w:r>
      <w:bookmarkStart w:id="564" w:name="pg11752_146298"/>
    </w:p>
    <w:p>
      <w:pPr>
        <w:pStyle w:val="BookText"/>
        <w:rPr/>
      </w:pPr>
      <w:bookmarkEnd w:id="5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یحرم من الرضاع إلاّ رضاع یوم و لیلة أو خمس عشرة رضعة متوالیات لا یفصل بینهنّ</w:t>
      </w:r>
      <w:r>
        <w:rPr>
          <w:rFonts w:eastAsia="IRNazanin" w:cs="IRNazanin"/>
          <w:color w:val="111111"/>
          <w:sz w:val="28"/>
          <w:szCs w:val="28"/>
          <w:rtl w:val="true"/>
          <w:lang w:bidi="fa-IR"/>
        </w:rPr>
        <w:t>»</w:t>
      </w:r>
      <w:r>
        <w:rPr>
          <w:rStyle w:val="FootnoteAnchor"/>
          <w:rtl w:val="true"/>
        </w:rPr>
        <w:footnoteReference w:id="1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إرسالها مجبور بعمل الطائفة</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ممّا ذکرنا ظهر ما فی الفقه المنسوب للإمام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الحدّ الذی یحرم به الرضاع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علیه عمل العصابة دون کلّ ما روی، فإنّه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أنبت اللحم و قوی العظم، و هو رضاع ثلاثة أیّام متوالیات، أو عشر رضعات متوالیات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محرزات مرویّات بلبن الفحل</w:t>
      </w:r>
      <w:r>
        <w:rPr>
          <w:rFonts w:eastAsia="IRNazanin" w:cs="IRNazanin"/>
          <w:color w:val="111111"/>
          <w:sz w:val="28"/>
          <w:szCs w:val="28"/>
          <w:rtl w:val="true"/>
          <w:lang w:bidi="fa-IR"/>
        </w:rPr>
        <w:t>)»</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ضرورة أنّه لم نعرف، بل و ما حکی عن أحد من عصابة الحقّ العمل بذلک، بل لم نعثر علی روایة و لو شاذّة توافقه مع کثرة أخبار الباب، علی أنّه لا یخفی علیک بعد ما بین العلامتین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رضاع ثلاثة أیّام متوالیات و عشر رضعات متوالیات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ظهر أیضاً ما فی مرسل الصدوق فی الهدایة،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یحرم من الرضاع إلاّ رضاع خمسة عشر یوماً و لیالیهنّ لیس بینهن رضاع</w:t>
      </w:r>
      <w:r>
        <w:rPr>
          <w:rFonts w:eastAsia="IRNazanin" w:cs="IRNazanin"/>
          <w:color w:val="111111"/>
          <w:sz w:val="28"/>
          <w:szCs w:val="28"/>
          <w:rtl w:val="true"/>
          <w:lang w:bidi="fa-IR"/>
        </w:rPr>
        <w:t>»</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الروایة خبر مرسل غیر منجبر، فلا ینهض لمعارضة ما سبق من النصّ و الإجماع، کما لا ینهض لمعارضتهما صحیح العلاء بن رزین،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الرضاع؟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یحرم من الرضاع إلاّ ما ارتضع من ثدی واحد سنة</w:t>
      </w:r>
      <w:r>
        <w:rPr>
          <w:rFonts w:eastAsia="IRNazanin" w:cs="IRNazanin"/>
          <w:color w:val="111111"/>
          <w:sz w:val="28"/>
          <w:szCs w:val="28"/>
          <w:rtl w:val="true"/>
          <w:lang w:bidi="fa-IR"/>
        </w:rPr>
        <w:t>»</w:t>
      </w:r>
      <w:r>
        <w:rPr>
          <w:rStyle w:val="FootnoteAnchor"/>
          <w:rtl w:val="true"/>
        </w:rPr>
        <w:footnoteReference w:id="12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و إن کان معتبر السند إلاّ أنّ عمل الطائفة بخلافه، و أنّه متروک العمل به معرض عنه فیجب طرحه</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65" w:name="__RefHeading___Toc9424202_73709187"/>
      <w:bookmarkStart w:id="566" w:name="_Toc215"/>
      <w:bookmarkEnd w:id="565"/>
      <w:r>
        <w:rPr>
          <w:rtl w:val="true"/>
        </w:rPr>
        <w:t>الثانی</w:t>
      </w:r>
      <w:r>
        <w:rPr>
          <w:rtl w:val="true"/>
        </w:rPr>
        <w:t xml:space="preserve">: </w:t>
      </w:r>
      <w:r>
        <w:rPr>
          <w:rtl w:val="true"/>
        </w:rPr>
        <w:t>التقدیر بالعدد،</w:t>
      </w:r>
      <w:bookmarkEnd w:id="566"/>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اختلفت کلمات الفقهاء فی هذا علی 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رضعات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عشرة رضعة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العشر إلی المشهور من القدماء،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عقیل</w:t>
      </w:r>
      <w:r>
        <w:rPr>
          <w:rStyle w:val="FootnoteAnchor"/>
          <w:rtl w:val="true"/>
        </w:rPr>
        <w:footnoteReference w:id="1288"/>
      </w:r>
      <w:r>
        <w:rPr>
          <w:rFonts w:ascii="IRNazanin" w:hAnsi="IRNazanin" w:eastAsia="IRNazanin"/>
          <w:color w:val="111111"/>
          <w:sz w:val="28"/>
          <w:sz w:val="28"/>
          <w:szCs w:val="28"/>
          <w:rtl w:val="true"/>
          <w:lang w:bidi="fa-IR"/>
        </w:rPr>
        <w:t>، و المفید</w:t>
      </w:r>
      <w:r>
        <w:rPr>
          <w:rStyle w:val="FootnoteAnchor"/>
          <w:rtl w:val="true"/>
        </w:rPr>
        <w:footnoteReference w:id="1289"/>
      </w:r>
    </w:p>
    <w:p>
      <w:pPr>
        <w:pStyle w:val="BookText"/>
        <w:rPr/>
      </w:pPr>
      <w:r>
        <w:rPr>
          <w:rFonts w:ascii="IRNazanin" w:hAnsi="IRNazanin" w:eastAsia="IRNazanin"/>
          <w:color w:val="111111"/>
          <w:sz w:val="28"/>
          <w:sz w:val="28"/>
          <w:szCs w:val="28"/>
          <w:rtl w:val="true"/>
          <w:lang w:bidi="fa-IR"/>
        </w:rPr>
        <w:t xml:space="preserve">و السید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ذکره فی السرائر</w:t>
      </w:r>
      <w:r>
        <w:rPr>
          <w:rStyle w:val="FootnoteAnchor"/>
          <w:rtl w:val="true"/>
        </w:rPr>
        <w:footnoteReference w:id="1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سلاّر</w:t>
      </w:r>
      <w:r>
        <w:rPr>
          <w:rStyle w:val="FootnoteAnchor"/>
          <w:rtl w:val="true"/>
        </w:rPr>
        <w:footnoteReference w:id="1291"/>
      </w:r>
      <w:r>
        <w:rPr>
          <w:rFonts w:ascii="Amiri" w:hAnsi="Amiri" w:eastAsia="Amiri" w:cs="Amiri"/>
          <w:color w:val="111111"/>
          <w:sz w:val="28"/>
          <w:sz w:val="28"/>
          <w:szCs w:val="28"/>
          <w:rtl w:val="true"/>
          <w:lang w:bidi="ar-SA"/>
        </w:rPr>
        <w:t>و ابن برّاج</w:t>
      </w:r>
      <w:r>
        <w:rPr>
          <w:rStyle w:val="FootnoteAnchor"/>
          <w:rtl w:val="true"/>
        </w:rPr>
        <w:footnoteReference w:id="1292"/>
      </w:r>
    </w:p>
    <w:p>
      <w:pPr>
        <w:pStyle w:val="BookText"/>
        <w:rPr/>
      </w:pPr>
      <w:r>
        <w:rPr>
          <w:rFonts w:ascii="IRNazanin" w:hAnsi="IRNazanin" w:eastAsia="IRNazanin"/>
          <w:color w:val="111111"/>
          <w:sz w:val="28"/>
          <w:sz w:val="28"/>
          <w:szCs w:val="28"/>
          <w:rtl w:val="true"/>
          <w:lang w:bidi="fa-IR"/>
        </w:rPr>
        <w:t>و أبو الصلاح</w:t>
      </w:r>
      <w:r>
        <w:rPr>
          <w:rStyle w:val="FootnoteAnchor"/>
          <w:rtl w:val="true"/>
        </w:rPr>
        <w:footnoteReference w:id="1293"/>
      </w:r>
      <w:r>
        <w:rPr>
          <w:rFonts w:ascii="Amiri" w:hAnsi="Amiri" w:eastAsia="Amiri" w:cs="Amiri"/>
          <w:color w:val="111111"/>
          <w:sz w:val="28"/>
          <w:sz w:val="28"/>
          <w:szCs w:val="28"/>
          <w:rtl w:val="true"/>
          <w:lang w:bidi="ar-SA"/>
        </w:rPr>
        <w:t>و ابن حمزة</w:t>
      </w:r>
      <w:r>
        <w:rPr>
          <w:rStyle w:val="FootnoteAnchor"/>
          <w:rtl w:val="true"/>
        </w:rPr>
        <w:footnoteReference w:id="1294"/>
      </w:r>
      <w:r>
        <w:rPr>
          <w:rFonts w:ascii="IRNazanin" w:hAnsi="IRNazanin" w:eastAsia="IRNazanin"/>
          <w:color w:val="111111"/>
          <w:sz w:val="28"/>
          <w:sz w:val="28"/>
          <w:szCs w:val="28"/>
          <w:rtl w:val="true"/>
          <w:lang w:bidi="fa-IR"/>
        </w:rPr>
        <w:t>، و استقربه فی اللمعة، و فی الروضة نسبه إلی المعظم</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القول بالخمس عشرة، فهو خیرة الشیخ</w:t>
      </w:r>
      <w:r>
        <w:rPr>
          <w:rStyle w:val="FootnoteAnchor"/>
          <w:rtl w:val="true"/>
        </w:rPr>
        <w:footnoteReference w:id="1296"/>
      </w:r>
      <w:r>
        <w:rPr>
          <w:rFonts w:ascii="IRNazanin" w:hAnsi="IRNazanin" w:eastAsia="IRNazanin"/>
          <w:color w:val="111111"/>
          <w:sz w:val="28"/>
          <w:sz w:val="28"/>
          <w:szCs w:val="28"/>
          <w:rtl w:val="true"/>
          <w:lang w:bidi="fa-IR"/>
        </w:rPr>
        <w:t>و العلاّمة فی التبصرة</w:t>
      </w:r>
      <w:r>
        <w:rPr>
          <w:rStyle w:val="FootnoteAnchor"/>
          <w:rtl w:val="true"/>
        </w:rPr>
        <w:footnoteReference w:id="1297"/>
      </w:r>
      <w:r>
        <w:rPr>
          <w:rFonts w:ascii="IRNazanin" w:hAnsi="IRNazanin" w:eastAsia="IRNazanin"/>
          <w:color w:val="111111"/>
          <w:sz w:val="28"/>
          <w:sz w:val="28"/>
          <w:szCs w:val="28"/>
          <w:rtl w:val="true"/>
          <w:lang w:bidi="fa-IR"/>
        </w:rPr>
        <w:t>، و الشرائع</w:t>
      </w:r>
      <w:r>
        <w:rPr>
          <w:rStyle w:val="FootnoteAnchor"/>
          <w:rtl w:val="true"/>
        </w:rPr>
        <w:footnoteReference w:id="1298"/>
      </w:r>
      <w:r>
        <w:rPr>
          <w:rFonts w:ascii="IRNazanin" w:hAnsi="IRNazanin" w:eastAsia="IRNazanin"/>
          <w:color w:val="111111"/>
          <w:sz w:val="28"/>
          <w:sz w:val="28"/>
          <w:szCs w:val="28"/>
          <w:rtl w:val="true"/>
          <w:lang w:bidi="fa-IR"/>
        </w:rPr>
        <w:t>و الحدائق</w:t>
      </w:r>
      <w:r>
        <w:rPr>
          <w:rStyle w:val="FootnoteAnchor"/>
          <w:rtl w:val="true"/>
        </w:rPr>
        <w:footnoteReference w:id="1299"/>
      </w:r>
      <w:r>
        <w:rPr>
          <w:rFonts w:ascii="IRNazanin" w:hAnsi="IRNazanin" w:eastAsia="IRNazanin"/>
          <w:color w:val="111111"/>
          <w:sz w:val="28"/>
          <w:sz w:val="28"/>
          <w:szCs w:val="28"/>
          <w:rtl w:val="true"/>
          <w:lang w:bidi="fa-IR"/>
        </w:rPr>
        <w:t>و الجواهر</w:t>
      </w:r>
      <w:r>
        <w:rPr>
          <w:rStyle w:val="FootnoteAnchor"/>
          <w:rtl w:val="true"/>
        </w:rPr>
        <w:footnoteReference w:id="1300"/>
      </w:r>
      <w:r>
        <w:rPr>
          <w:rFonts w:ascii="IRNazanin" w:hAnsi="IRNazanin" w:eastAsia="IRNazanin"/>
          <w:color w:val="111111"/>
          <w:sz w:val="28"/>
          <w:sz w:val="28"/>
          <w:szCs w:val="28"/>
          <w:rtl w:val="true"/>
          <w:lang w:bidi="fa-IR"/>
        </w:rPr>
        <w:t>و بلغة الفقیه</w:t>
      </w:r>
      <w:r>
        <w:rPr>
          <w:rStyle w:val="FootnoteAnchor"/>
          <w:rtl w:val="true"/>
        </w:rPr>
        <w:footnoteReference w:id="1301"/>
      </w:r>
      <w:r>
        <w:rPr>
          <w:rFonts w:ascii="IRNazanin" w:hAnsi="IRNazanin" w:eastAsia="IRNazanin"/>
          <w:color w:val="111111"/>
          <w:sz w:val="28"/>
          <w:sz w:val="28"/>
          <w:szCs w:val="28"/>
          <w:rtl w:val="true"/>
          <w:lang w:bidi="fa-IR"/>
        </w:rPr>
        <w:t>و مهذّب الأحکام</w:t>
      </w:r>
      <w:r>
        <w:rPr>
          <w:rStyle w:val="FootnoteAnchor"/>
          <w:rtl w:val="true"/>
        </w:rPr>
        <w:footnoteReference w:id="1302"/>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تحریر الوسیلة</w:t>
      </w:r>
      <w:r>
        <w:rPr>
          <w:rStyle w:val="FootnoteAnchor"/>
          <w:rtl w:val="true"/>
        </w:rPr>
        <w:footnoteReference w:id="1303"/>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bookmarkStart w:id="567" w:name="pg11752_146300"/>
    </w:p>
    <w:p>
      <w:pPr>
        <w:pStyle w:val="BookText"/>
        <w:rPr/>
      </w:pPr>
      <w:bookmarkEnd w:id="567"/>
      <w:r>
        <w:rPr>
          <w:rFonts w:ascii="IRNazanin" w:hAnsi="IRNazanin" w:eastAsia="IRNazanin"/>
          <w:color w:val="111111"/>
          <w:sz w:val="28"/>
          <w:sz w:val="28"/>
          <w:szCs w:val="28"/>
          <w:rtl w:val="true"/>
          <w:lang w:bidi="fa-IR"/>
        </w:rPr>
        <w:t>و نقل فی البلغة عن التذکرة</w:t>
      </w:r>
      <w:r>
        <w:rPr>
          <w:rStyle w:val="FootnoteAnchor"/>
          <w:rtl w:val="true"/>
        </w:rPr>
        <w:footnoteReference w:id="1304"/>
      </w:r>
      <w:r>
        <w:rPr>
          <w:rFonts w:ascii="IRNazanin" w:hAnsi="IRNazanin" w:eastAsia="IRNazanin"/>
          <w:color w:val="111111"/>
          <w:sz w:val="28"/>
          <w:sz w:val="28"/>
          <w:szCs w:val="28"/>
          <w:rtl w:val="true"/>
          <w:lang w:bidi="fa-IR"/>
        </w:rPr>
        <w:t>و زبدة البیان</w:t>
      </w:r>
      <w:r>
        <w:rPr>
          <w:rStyle w:val="FootnoteAnchor"/>
          <w:rtl w:val="true"/>
        </w:rPr>
        <w:footnoteReference w:id="1305"/>
      </w:r>
      <w:r>
        <w:rPr>
          <w:rFonts w:ascii="IRNazanin" w:hAnsi="IRNazanin" w:eastAsia="IRNazanin"/>
          <w:color w:val="111111"/>
          <w:sz w:val="28"/>
          <w:sz w:val="28"/>
          <w:szCs w:val="28"/>
          <w:rtl w:val="true"/>
          <w:lang w:bidi="fa-IR"/>
        </w:rPr>
        <w:t>و المفاتیح</w:t>
      </w:r>
      <w:r>
        <w:rPr>
          <w:rStyle w:val="FootnoteAnchor"/>
          <w:rtl w:val="true"/>
        </w:rPr>
        <w:footnoteReference w:id="13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المشهور هو الخمس عشرة، و عزاه فی کنز العرفان إلی الأکثر</w:t>
      </w:r>
      <w:r>
        <w:rPr>
          <w:rStyle w:val="FootnoteAnchor"/>
          <w:rtl w:val="true"/>
        </w:rPr>
        <w:footnoteReference w:id="1307"/>
      </w:r>
      <w:r>
        <w:rPr>
          <w:rFonts w:ascii="IRNazanin" w:hAnsi="IRNazanin" w:eastAsia="IRNazanin"/>
          <w:color w:val="111111"/>
          <w:sz w:val="28"/>
          <w:sz w:val="28"/>
          <w:szCs w:val="28"/>
          <w:rtl w:val="true"/>
          <w:lang w:bidi="fa-IR"/>
        </w:rPr>
        <w:t>، و فی کنز الفوائد إلی عامّة المتأخّرین</w:t>
      </w:r>
      <w:r>
        <w:rPr>
          <w:rStyle w:val="FootnoteAnchor"/>
          <w:rtl w:val="true"/>
        </w:rPr>
        <w:footnoteReference w:id="1308"/>
      </w:r>
      <w:r>
        <w:rPr>
          <w:rFonts w:ascii="IRNazanin" w:hAnsi="IRNazanin" w:eastAsia="IRNazanin"/>
          <w:color w:val="111111"/>
          <w:sz w:val="28"/>
          <w:sz w:val="28"/>
          <w:szCs w:val="28"/>
          <w:rtl w:val="true"/>
          <w:lang w:bidi="fa-IR"/>
        </w:rPr>
        <w:t>، و فی المسالک إلی أکثرهم</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کلّ حالٍ، اختلفت الفتاوی حتّی من المفتی الواحد فی الکتاب الواحد، کابن إدریس، حیث قال فی أوّل کتاب النکاح من السرائر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منها أن یکون ما ینبت اللحم و یشدّ العظم، فإن لم یحصل ذلک فیوماً و لیلة، أو عشر رضعات متوالیات علی الصحیح من المذهب، و ذهب بعض أصحابنا إلی خمس عشرة رضعة معتمداً علی خبر واحد، روایة عمّار بن موسی الساباطی و هو فطحی المذهب مخالف للحقّ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بعد ذلک قال فی أوّل باب الرضاع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یحرّم من الرضاع ما أنبت اللحم و شدّ العظم علی ما قدّمناه، فإن علم ذلک، و إلاّ کان الاعتبار بخمس عشرة رضعة علی الأظهر من الأقوال</w:t>
      </w:r>
      <w:r>
        <w:rPr>
          <w:rFonts w:eastAsia="IRNazanin" w:cs="IRNazanin"/>
          <w:color w:val="111111"/>
          <w:sz w:val="28"/>
          <w:szCs w:val="28"/>
          <w:rtl w:val="true"/>
          <w:lang w:bidi="fa-IR"/>
        </w:rPr>
        <w:t>»</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68" w:name="__RefHeading___Toc9424204_73709187"/>
      <w:bookmarkStart w:id="569" w:name="_Toc216"/>
      <w:bookmarkEnd w:id="568"/>
      <w:r>
        <w:rPr>
          <w:rtl w:val="true"/>
        </w:rPr>
        <w:t>استدلال القائلین بالعشر</w:t>
      </w:r>
      <w:bookmarkEnd w:id="569"/>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استند مَن ذهب إلی عشر رضعات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العلاّمة فی المختلف </w:t>
      </w:r>
      <w:r>
        <w:rPr>
          <w:rStyle w:val="FootnoteAnchor"/>
          <w:rtl w:val="true"/>
        </w:rPr>
        <w:footnoteReference w:id="13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أُمَّهاتُکُمُ اللاّتِی أَرْضَعْنَکُمْ وَ أَخَواتُکُمْ مِنَ الرَّضاعَةِ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هو یصدق علی القلیل و الکثیر، ترک العمل به فیما دون العشر، فیبقی فی العشر علی إطلاقه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یحرم من الرضاع ما یحرم من النسب</w:t>
      </w:r>
      <w:r>
        <w:rPr>
          <w:rFonts w:eastAsia="IRNazanin" w:cs="IRNazanin"/>
          <w:color w:val="111111"/>
          <w:sz w:val="28"/>
          <w:szCs w:val="28"/>
          <w:rtl w:val="true"/>
          <w:lang w:bidi="fa-IR"/>
        </w:rPr>
        <w:t>»</w:t>
      </w:r>
      <w:r>
        <w:rPr>
          <w:rStyle w:val="FootnoteAnchor"/>
          <w:rtl w:val="true"/>
        </w:rPr>
        <w:footnoteReference w:id="1313"/>
      </w:r>
      <w:r>
        <w:rPr>
          <w:rFonts w:ascii="IRNazanin" w:hAnsi="IRNazanin" w:eastAsia="IRNazanin"/>
          <w:color w:val="111111"/>
          <w:sz w:val="28"/>
          <w:sz w:val="28"/>
          <w:szCs w:val="28"/>
          <w:rtl w:val="true"/>
          <w:lang w:bidi="fa-IR"/>
        </w:rPr>
        <w:t>بالتقریب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الدالّة علی العدد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الفضیل بن یسار، عن الباقر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یحرم من الرضاع إلاّ المجبورة أو خادم أو ظئر قد رضع عشر رضعات یروی الصبیّ و ینام</w:t>
      </w:r>
      <w:r>
        <w:rPr>
          <w:rFonts w:eastAsia="IRNazanin" w:cs="IRNazanin"/>
          <w:color w:val="111111"/>
          <w:sz w:val="28"/>
          <w:szCs w:val="28"/>
          <w:rtl w:val="true"/>
          <w:lang w:bidi="fa-IR"/>
        </w:rPr>
        <w:t>»</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بن یزید فی الموثّق،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الغلام یرضع الرضعة و الثنتین،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تحرّم، فعددت علیه حتّی کملت عشر رضعات،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متفرّقة فلا</w:t>
      </w:r>
      <w:r>
        <w:rPr>
          <w:rFonts w:eastAsia="IRNazanin" w:cs="IRNazanin"/>
          <w:color w:val="111111"/>
          <w:sz w:val="28"/>
          <w:szCs w:val="28"/>
          <w:rtl w:val="true"/>
          <w:lang w:bidi="fa-IR"/>
        </w:rPr>
        <w:t>»</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 بمفهومه علی التحریم مع عدم التفریق</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کذلک یدلّ علیه مفهوم خبر هارون بن مسلم، عن مسعدة،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یحرم من الرضاع إلاّ ما شدّ العظم و أنبت اللحم، فأما الرضعة و الرضعات و الثلاث حتّی بلغ عشراً إذا کنّ متفرّقات فلا بأس</w:t>
      </w:r>
      <w:r>
        <w:rPr>
          <w:rFonts w:eastAsia="IRNazanin" w:cs="IRNazanin"/>
          <w:color w:val="111111"/>
          <w:sz w:val="28"/>
          <w:szCs w:val="28"/>
          <w:rtl w:val="true"/>
          <w:lang w:bidi="fa-IR"/>
        </w:rPr>
        <w:t>»</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عن حمّاد بن عثمان، 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یحرم من</w:t>
      </w:r>
      <w:bookmarkStart w:id="570" w:name="pg11752_146302"/>
    </w:p>
    <w:p>
      <w:pPr>
        <w:pStyle w:val="BookText"/>
        <w:rPr/>
      </w:pPr>
      <w:bookmarkEnd w:id="570"/>
      <w:r>
        <w:rPr>
          <w:rFonts w:ascii="IRNazanin" w:hAnsi="IRNazanin" w:eastAsia="IRNazanin"/>
          <w:color w:val="111111"/>
          <w:sz w:val="28"/>
          <w:sz w:val="28"/>
          <w:szCs w:val="28"/>
          <w:rtl w:val="true"/>
          <w:lang w:bidi="fa-IR"/>
        </w:rPr>
        <w:t>الرضاع إلاّ ما أنبت اللحم و الدم</w:t>
      </w:r>
      <w:r>
        <w:rPr>
          <w:rFonts w:eastAsia="IRNazanin" w:cs="IRNazanin"/>
          <w:color w:val="111111"/>
          <w:sz w:val="28"/>
          <w:szCs w:val="28"/>
          <w:rtl w:val="true"/>
          <w:lang w:bidi="fa-IR"/>
        </w:rPr>
        <w:t>»</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نحوه عن عبد اللّه بن سنان، عن الصادق علیه السلام</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الذی ینبت اللحم و العظم عشر رضعات؛ لما رواه عبید بن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الذی یحرم من الرضاع؟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أنبت اللحم و الدم،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الذی ینبت اللحم و الدم؟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یقال عشر رضعات،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یحرم عشر رضعات؟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ذا،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یحرم من النسب فهو یحرم من الرضاع</w:t>
      </w:r>
      <w:r>
        <w:rPr>
          <w:rFonts w:eastAsia="IRNazanin" w:cs="IRNazanin"/>
          <w:color w:val="111111"/>
          <w:sz w:val="28"/>
          <w:szCs w:val="28"/>
          <w:rtl w:val="true"/>
          <w:lang w:bidi="fa-IR"/>
        </w:rPr>
        <w:t>»</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71" w:name="__RefHeading___Toc9424206_73709187"/>
      <w:bookmarkStart w:id="572" w:name="_Toc217"/>
      <w:bookmarkEnd w:id="571"/>
      <w:r>
        <w:rPr>
          <w:rtl w:val="true"/>
        </w:rPr>
        <w:t>التحقیق فی المسألة</w:t>
      </w:r>
      <w:bookmarkEnd w:id="572"/>
    </w:p>
    <w:p>
      <w:pPr>
        <w:pStyle w:val="BookText"/>
        <w:rPr/>
      </w:pPr>
      <w:r>
        <w:rPr>
          <w:rFonts w:ascii="IRNazanin" w:hAnsi="IRNazanin" w:eastAsia="IRNazanin"/>
          <w:color w:val="111111"/>
          <w:sz w:val="28"/>
          <w:sz w:val="28"/>
          <w:szCs w:val="28"/>
          <w:rtl w:val="true"/>
          <w:lang w:bidi="fa-IR"/>
        </w:rPr>
        <w:t>و التحقیق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ذکره العلاّمة فی المختلف من الاستدلال بالآیة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بالتقریب الذی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علی ثبوت التحریم بالعشر من الأخبار، و أمّا علی تقدیر أنّ الثابت منها إنّما هو الخمس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للخصم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العموم فی الآیة یصدق علی القلیل و الکثیر، ترک العمل به فیما دون الخمس عشرة فیبقی الخمس عشرة علی إطلاقه</w:t>
      </w:r>
      <w:r>
        <w:rPr>
          <w:rStyle w:val="FootnoteAnchor"/>
          <w:rtl w:val="true"/>
        </w:rPr>
        <w:footnoteReference w:id="132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الآیة مجملة، فإنّ الکلام فی الآیة موقوف علی تعیین ما یستفاد من أخبار العدد، من أنّ المحرم منه، هل هو العشر أو الخمس عشرة؟</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ذلک عُلِم الکلام فی 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من الرضاع ما</w:t>
      </w:r>
    </w:p>
    <w:p>
      <w:pPr>
        <w:pStyle w:val="BookText"/>
        <w:rPr/>
      </w:pPr>
      <w:r>
        <w:rPr>
          <w:rFonts w:ascii="IRNazanin" w:hAnsi="IRNazanin" w:eastAsia="IRNazanin"/>
          <w:color w:val="111111"/>
          <w:sz w:val="28"/>
          <w:sz w:val="28"/>
          <w:szCs w:val="28"/>
          <w:rtl w:val="true"/>
          <w:lang w:bidi="fa-IR"/>
        </w:rPr>
        <w:t>یحرم من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للاشتراک فی الإجمال</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الأحسن الجمع بین أخبار القولین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أخبار العشر علی التقیة، کما یشعر به بل یومئ إلیه فی صحیحة عبید بن زرارة، فإنّه علیه السلام نسب القول بذلک إلی غیره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رضعات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 قوله علیه السلام بعد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 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الجواب بما لا یطابق سؤاله، ثمّ عدل إلی کلام خارج عن الموضوع،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یحرم من النسب فهو یحرم من الرضاع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فلو کان التحریم بالعشر حقّاً کما یدّعونه لما عدل عن الإفتاء به أوّلاً بل نسبه إلی غیره، و لما أعرض عن جواب السؤال الثانی و عدل إلی موضوع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رضعات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ما نقله أهل السنّة فی صحاحهم عن عائشة</w:t>
      </w:r>
      <w:r>
        <w:rPr>
          <w:rStyle w:val="FootnoteAnchor"/>
          <w:rtl w:val="true"/>
        </w:rPr>
        <w:footnoteReference w:id="1324"/>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فی القرآن عشر رضعات محرمات فنسخت تلاوته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أخری عنها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فیما أنزل فی القرآن عشر رضعات معلومات یحرمن، ثمّ نُسخْنَ بخمسٍ معلومات، فتوفّی رسول اللّه صلی الله علیه و آله و هی ما یقرأ من القرآن</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جملة من روایات العشر صریحة فی نفی التحریم، و معارضة لما دلّ علی التحریم</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ابن رئاب،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یحرم من الرضاع؟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أنبت اللحم و شدّ العظم،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فیحرم عشر رضعات؟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لأنّها لا تنبت اللحم و لا تشدّ العظم عشر رضعات</w:t>
      </w:r>
      <w:r>
        <w:rPr>
          <w:rFonts w:eastAsia="IRNazanin" w:cs="IRNazanin"/>
          <w:color w:val="111111"/>
          <w:sz w:val="28"/>
          <w:szCs w:val="28"/>
          <w:rtl w:val="true"/>
          <w:lang w:bidi="fa-IR"/>
        </w:rPr>
        <w:t>»</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موثّقتا عبید بن زرارة و عبد اللّه بن بکیر،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عشر رضعات لا یحرمن شیئاً</w:t>
      </w:r>
      <w:r>
        <w:rPr>
          <w:rFonts w:eastAsia="IRNazanin" w:cs="IRNazanin"/>
          <w:color w:val="111111"/>
          <w:sz w:val="28"/>
          <w:szCs w:val="28"/>
          <w:rtl w:val="true"/>
          <w:lang w:bidi="fa-IR"/>
        </w:rPr>
        <w:t>»</w:t>
      </w:r>
      <w:r>
        <w:rPr>
          <w:rStyle w:val="FootnoteAnchor"/>
          <w:rtl w:val="true"/>
        </w:rPr>
        <w:footnoteReference w:id="132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 رضعات لا تحرم</w:t>
      </w:r>
      <w:r>
        <w:rPr>
          <w:rFonts w:eastAsia="IRNazanin" w:cs="IRNazanin"/>
          <w:color w:val="111111"/>
          <w:sz w:val="28"/>
          <w:szCs w:val="28"/>
          <w:rtl w:val="true"/>
          <w:lang w:bidi="fa-IR"/>
        </w:rPr>
        <w:t>»</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استدلّ به من روایة الفضیل بن یسار، عن أبی جعفر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یحرم من الرضاع إلاّ المجبورة أو خادم أو ظئر قد رضع عشر رضعات یروی الصبی و ینام</w:t>
      </w:r>
      <w:r>
        <w:rPr>
          <w:rFonts w:eastAsia="IRNazanin" w:cs="IRNazanin"/>
          <w:color w:val="111111"/>
          <w:sz w:val="28"/>
          <w:szCs w:val="28"/>
          <w:rtl w:val="true"/>
          <w:lang w:bidi="fa-IR"/>
        </w:rPr>
        <w:t>»</w:t>
      </w:r>
      <w:r>
        <w:rPr>
          <w:rStyle w:val="FootnoteAnchor"/>
          <w:rtl w:val="true"/>
        </w:rPr>
        <w:footnoteReference w:id="1329"/>
      </w:r>
      <w:r>
        <w:rPr>
          <w:rFonts w:ascii="IRNazanin" w:hAnsi="IRNazanin" w:eastAsia="IRNazanin"/>
          <w:color w:val="111111"/>
          <w:sz w:val="28"/>
          <w:sz w:val="28"/>
          <w:szCs w:val="28"/>
          <w:rtl w:val="true"/>
          <w:lang w:bidi="fa-IR"/>
        </w:rPr>
        <w:t>مردود بالاضطراب فیها متناً و القدح سنداً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ما اشتملت علیه من الحصر لا قائل به، بل فساده ظاهر؛ للإجماع علی عدم انحصار المرضعة فیمن ذکر، لخروج المتبرّعة عن هذا الحصر، مع أن إرضاعها ینشر إجماعاً</w:t>
      </w:r>
      <w:r>
        <w:rPr>
          <w:rStyle w:val="FootnoteAnchor"/>
          <w:rtl w:val="true"/>
        </w:rPr>
        <w:footnoteReference w:id="1330"/>
      </w:r>
      <w:r>
        <w:rPr>
          <w:rFonts w:ascii="IRNazanin" w:hAnsi="IRNazanin" w:eastAsia="IRNazanin"/>
          <w:color w:val="111111"/>
          <w:sz w:val="28"/>
          <w:sz w:val="28"/>
          <w:szCs w:val="28"/>
          <w:rtl w:val="true"/>
          <w:lang w:bidi="fa-IR"/>
        </w:rPr>
        <w:t>، و أمّا أنّها متروکة الظاهر فهو واضح؛ ضرورة عدم اعتبار نوم الصبیّ فی التحریم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أنّها مختلّة المتن، و هو کاف فی فساده؛ إذ لیس فی طریق الفقیه</w:t>
      </w:r>
      <w:r>
        <w:rPr>
          <w:rStyle w:val="FootnoteAnchor"/>
          <w:rtl w:val="true"/>
        </w:rPr>
        <w:footnoteReference w:id="1331"/>
      </w:r>
      <w:r>
        <w:rPr>
          <w:rFonts w:ascii="IRNazanin" w:hAnsi="IRNazanin" w:eastAsia="IRNazanin"/>
          <w:color w:val="111111"/>
          <w:sz w:val="28"/>
          <w:sz w:val="28"/>
          <w:szCs w:val="28"/>
          <w:rtl w:val="true"/>
          <w:lang w:bidi="fa-IR"/>
        </w:rPr>
        <w:t xml:space="preserve">هذه الزیادة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رضع عشر رضعات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فی طریق التهذیب أیضاً</w:t>
      </w:r>
      <w:r>
        <w:rPr>
          <w:rStyle w:val="FootnoteAnchor"/>
          <w:rtl w:val="true"/>
        </w:rPr>
        <w:footnoteReference w:id="1332"/>
      </w:r>
      <w:r>
        <w:rPr>
          <w:rFonts w:ascii="IRNazanin" w:hAnsi="IRNazanin" w:eastAsia="IRNazanin"/>
          <w:color w:val="111111"/>
          <w:sz w:val="28"/>
          <w:sz w:val="28"/>
          <w:szCs w:val="28"/>
          <w:rtl w:val="true"/>
          <w:lang w:bidi="fa-IR"/>
        </w:rPr>
        <w:t>، فیضعف التمسّک بها</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فهذا الخبر أیضاً لا ینافی ما قدّمناه من الأخبار؛ لأنّه متروک الظاهر، لأنّه قد حرم من الرضاع من لا تکون مجبورة و لا خادماً و لا ظئراً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تکون امرأة متبرّعة فأرضعت إنساناً مقدار ما یحرم</w:t>
      </w:r>
      <w:r>
        <w:rPr>
          <w:rFonts w:eastAsia="IRNazanin" w:cs="IRNazanin"/>
          <w:color w:val="111111"/>
          <w:sz w:val="28"/>
          <w:szCs w:val="28"/>
          <w:rtl w:val="true"/>
          <w:lang w:bidi="fa-IR"/>
        </w:rPr>
        <w:t>»</w:t>
      </w:r>
      <w:r>
        <w:rPr>
          <w:rStyle w:val="FootnoteAnchor"/>
          <w:rtl w:val="true"/>
        </w:rPr>
        <w:footnoteReference w:id="1334"/>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طریقها محمد بن سنان و هو ضعیف علی المشهور</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استند إلیه من مفهوم روایة عمر بن یزید، ففیه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قطع النظر عن ضعف هذا المفهوم عند الأصحاب و غیرهم و أنّه لا یصلح لإثبات حکم شرعی </w:t>
      </w:r>
      <w:r>
        <w:rPr>
          <w:rStyle w:val="FootnoteAnchor"/>
          <w:rtl w:val="true"/>
        </w:rPr>
        <w:footnoteReference w:id="13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 لمنطوق موثّقة عبید بن زرارة،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عشر رضعات لا یحرمن شیئاً</w:t>
      </w:r>
      <w:r>
        <w:rPr>
          <w:rFonts w:eastAsia="IRNazanin" w:cs="IRNazanin"/>
          <w:color w:val="111111"/>
          <w:sz w:val="28"/>
          <w:szCs w:val="28"/>
          <w:rtl w:val="true"/>
          <w:lang w:bidi="fa-IR"/>
        </w:rPr>
        <w:t>»</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هکذا صحیحة علیّ بن رئاب</w:t>
      </w:r>
      <w:r>
        <w:rPr>
          <w:rStyle w:val="FootnoteAnchor"/>
          <w:rtl w:val="true"/>
        </w:rPr>
        <w:footnoteReference w:id="1338"/>
      </w:r>
      <w:r>
        <w:rPr>
          <w:rFonts w:ascii="IRNazanin" w:hAnsi="IRNazanin" w:eastAsia="IRNazanin"/>
          <w:color w:val="111111"/>
          <w:sz w:val="28"/>
          <w:sz w:val="28"/>
          <w:szCs w:val="28"/>
          <w:rtl w:val="true"/>
          <w:lang w:bidi="fa-IR"/>
        </w:rPr>
        <w:t>و موثّقة عبد اللّه بن بکیر، فقد ورد فیهما</w:t>
      </w:r>
      <w:r>
        <w:rPr>
          <w:rStyle w:val="FootnoteAnchor"/>
          <w:rtl w:val="true"/>
        </w:rPr>
        <w:footnoteReference w:id="13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 رضعات لا تحرم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أنّ المفهوم لو سلّم صحّة الاستناد إلیه لا یعارض المنطوق، و لأنّ دلالتها بالمفهوم، الذی هو أضعف من المنطوق</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الراوی هارون بن مسلم فضعیف؛ لأنّه کان من أهل الجبر و التشبیه</w:t>
      </w:r>
      <w:r>
        <w:rPr>
          <w:rStyle w:val="FootnoteAnchor"/>
          <w:rtl w:val="true"/>
        </w:rPr>
        <w:footnoteReference w:id="1341"/>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 روایته ما ورد علی روایة عمر بن یزید، و بما ذکرنا فی بطلان القول بالعشر یظهر بطلان ما قاله ابن الجنید،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اختلفت الروایة من الوجهین جمیعاً فی قدر الرضاع المحرّم، إلاّ أنّ الذی أوجبه الفقه عندی و احتیاط المرء لنفسه، أنّ کلّ ما وقع علیه اسم رضعة و هو ما ملأت بطن الصبیّ إمّا بالمصّ أو</w:t>
      </w:r>
      <w:bookmarkStart w:id="573" w:name="pg11752_146306"/>
    </w:p>
    <w:p>
      <w:pPr>
        <w:pStyle w:val="BookText"/>
        <w:rPr/>
      </w:pPr>
      <w:bookmarkEnd w:id="573"/>
      <w:r>
        <w:rPr>
          <w:rFonts w:ascii="IRNazanin" w:hAnsi="IRNazanin" w:eastAsia="IRNazanin"/>
          <w:color w:val="111111"/>
          <w:sz w:val="28"/>
          <w:sz w:val="28"/>
          <w:szCs w:val="28"/>
          <w:rtl w:val="true"/>
          <w:lang w:bidi="fa-IR"/>
        </w:rPr>
        <w:t>بالوجور محرّم للنکاح</w:t>
      </w:r>
      <w:r>
        <w:rPr>
          <w:rStyle w:val="FootnoteAnchor"/>
          <w:rtl w:val="true"/>
        </w:rPr>
        <w:footnoteReference w:id="1342"/>
      </w:r>
      <w:r>
        <w:rPr>
          <w:rFonts w:ascii="Amiri" w:hAnsi="Amiri" w:eastAsia="Amiri" w:cs="Amiri"/>
          <w:color w:val="111111"/>
          <w:sz w:val="28"/>
          <w:sz w:val="28"/>
          <w:szCs w:val="28"/>
          <w:rtl w:val="true"/>
          <w:lang w:bidi="ar-SA"/>
        </w:rPr>
        <w:t>؛ لعموم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أُمَّهاتُکُمُ اللاّتِی أَرْضَعْنَکُمْ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و صحیحة علیّ بن مهزیار، أنّه کتب إلی أبی الحسن یسأله عن الذی یحرم من الرضاع، فکتب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قلیله و کثیره حرام</w:t>
      </w:r>
      <w:r>
        <w:rPr>
          <w:rFonts w:eastAsia="IRNazanin" w:cs="IRNazanin"/>
          <w:color w:val="111111"/>
          <w:sz w:val="28"/>
          <w:szCs w:val="28"/>
          <w:rtl w:val="true"/>
          <w:lang w:bidi="fa-IR"/>
        </w:rPr>
        <w:t>»</w:t>
      </w:r>
      <w:r>
        <w:rPr>
          <w:rStyle w:val="FootnoteAnchor"/>
          <w:rtl w:val="true"/>
        </w:rPr>
        <w:footnoteReference w:id="13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روایة زید بن علیّ‌</w:t>
      </w:r>
      <w:r>
        <w:rPr>
          <w:rStyle w:val="FootnoteAnchor"/>
          <w:rtl w:val="true"/>
        </w:rPr>
        <w:footnoteReference w:id="1344"/>
      </w:r>
      <w:r>
        <w:rPr>
          <w:rFonts w:ascii="IRNazanin" w:hAnsi="IRNazanin" w:eastAsia="IRNazanin"/>
          <w:color w:val="111111"/>
          <w:sz w:val="28"/>
          <w:sz w:val="28"/>
          <w:szCs w:val="28"/>
          <w:rtl w:val="true"/>
          <w:lang w:bidi="fa-IR"/>
        </w:rPr>
        <w:t>و ابن أبی یعفور</w:t>
      </w:r>
      <w:r>
        <w:rPr>
          <w:rStyle w:val="FootnoteAnchor"/>
          <w:rtl w:val="true"/>
        </w:rPr>
        <w:footnoteReference w:id="1345"/>
      </w:r>
      <w:r>
        <w:rPr>
          <w:rFonts w:ascii="IRNazanin" w:hAnsi="IRNazanin" w:eastAsia="IRNazanin"/>
          <w:color w:val="111111"/>
          <w:sz w:val="28"/>
          <w:sz w:val="28"/>
          <w:szCs w:val="28"/>
          <w:rtl w:val="true"/>
          <w:lang w:bidi="fa-IR"/>
        </w:rPr>
        <w:t>؛ إذ الآیة مخصّصة بالأخبار، و الصحیحة و غیرها قاصرة عن معارضتها لروایات الباب من أخبار العدد، و روایات إنبات اللحم و شدّ العظم و روایات الیوم و اللیل؛ فلذا تحمل علی التقیة؛ لأنّها موافقة لمذهب بعض أهل السنّة من الحنفیة و المالکیة، کما حملها الشیخ و غیره</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74" w:name="__RefHeading___Toc9424208_73709187"/>
      <w:bookmarkStart w:id="575" w:name="_Toc218"/>
      <w:bookmarkEnd w:id="574"/>
      <w:r>
        <w:rPr>
          <w:rtl w:val="true"/>
        </w:rPr>
        <w:t>استدلال القائلین بالخمس عشرة</w:t>
      </w:r>
      <w:bookmarkEnd w:id="575"/>
    </w:p>
    <w:p>
      <w:pPr>
        <w:pStyle w:val="BookText"/>
        <w:rPr/>
      </w:pPr>
      <w:r>
        <w:rPr>
          <w:rFonts w:ascii="IRNazanin" w:hAnsi="IRNazanin" w:eastAsia="IRNazanin"/>
          <w:color w:val="111111"/>
          <w:sz w:val="28"/>
          <w:sz w:val="28"/>
          <w:szCs w:val="28"/>
          <w:rtl w:val="true"/>
          <w:lang w:bidi="fa-IR"/>
        </w:rPr>
        <w:t>فمن ذهب إلی الخمس عشرة استدلّ بروایات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زیاد بن سوقه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للرضاع حدّ یؤخذ به؟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یحرّم الرضاع أقلّ من رضاع یوم و لیلة، أو خمس عشرة رضعة متوالیات</w:t>
      </w:r>
      <w:r>
        <w:rPr>
          <w:rFonts w:eastAsia="IRNazanin" w:cs="IRNazanin"/>
          <w:color w:val="111111"/>
          <w:sz w:val="28"/>
          <w:szCs w:val="28"/>
          <w:rtl w:val="true"/>
          <w:lang w:bidi="fa-IR"/>
        </w:rPr>
        <w:t>...»</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الخبر موثّق کما قال صاحب الجواهر</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عبید بن زرارة،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عشر</w:t>
      </w:r>
      <w:bookmarkStart w:id="576" w:name="pg11752_146307"/>
    </w:p>
    <w:p>
      <w:pPr>
        <w:pStyle w:val="BookText"/>
        <w:rPr/>
      </w:pPr>
      <w:bookmarkEnd w:id="576"/>
      <w:r>
        <w:rPr>
          <w:rFonts w:ascii="IRNazanin" w:hAnsi="IRNazanin" w:eastAsia="IRNazanin"/>
          <w:color w:val="111111"/>
          <w:sz w:val="28"/>
          <w:sz w:val="28"/>
          <w:szCs w:val="28"/>
          <w:rtl w:val="true"/>
          <w:lang w:bidi="fa-IR"/>
        </w:rPr>
        <w:t>رضعات لا یحرمن شیئاً</w:t>
      </w:r>
      <w:r>
        <w:rPr>
          <w:rFonts w:eastAsia="IRNazanin" w:cs="IRNazanin"/>
          <w:color w:val="111111"/>
          <w:sz w:val="28"/>
          <w:szCs w:val="28"/>
          <w:rtl w:val="true"/>
          <w:lang w:bidi="fa-IR"/>
        </w:rPr>
        <w:t>»</w:t>
      </w:r>
      <w:r>
        <w:rPr>
          <w:rStyle w:val="FootnoteAnchor"/>
          <w:rtl w:val="true"/>
        </w:rPr>
        <w:footnoteReference w:id="13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 موثّقة ابن بکیر، عن الصادق علیه السلام</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علی بن رئاب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یحرم من الرضاع؟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أنبت اللحم و شدّ العظم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فیحرم عشر رضعات؟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لأنّها لا تنبت اللحم و لا تشدّ العظم عشر رضعات</w:t>
      </w:r>
      <w:r>
        <w:rPr>
          <w:rFonts w:eastAsia="IRNazanin" w:cs="IRNazanin"/>
          <w:color w:val="111111"/>
          <w:sz w:val="28"/>
          <w:szCs w:val="28"/>
          <w:rtl w:val="true"/>
          <w:lang w:bidi="fa-IR"/>
        </w:rPr>
        <w:t>»</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یحرم من الرضاع إلاّ ما أنبت اللحم و شدّ العظم،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سئل الصادق علیه السلام هل لذلک حدّ؟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یحرم من الرضاع إلاّ رضاع یوم و لیلة أو خمس عشرة رضعة متوالیات لا یفصل بینهنّ</w:t>
      </w:r>
      <w:r>
        <w:rPr>
          <w:rFonts w:eastAsia="IRNazanin" w:cs="IRNazanin"/>
          <w:color w:val="111111"/>
          <w:sz w:val="28"/>
          <w:szCs w:val="28"/>
          <w:rtl w:val="true"/>
          <w:lang w:bidi="fa-IR"/>
        </w:rPr>
        <w:t>»</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القول هو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یؤیّده أصالة الإباحة، و الاستصحاب، و عمومات النکاح مع الظنّ بعدم التحریم فی العشر أو الشکّ فیه</w:t>
      </w:r>
      <w:r>
        <w:rPr>
          <w:rFonts w:eastAsia="IRNazanin" w:cs="IRNazanin"/>
          <w:color w:val="111111"/>
          <w:sz w:val="28"/>
          <w:szCs w:val="28"/>
          <w:rtl w:val="true"/>
          <w:lang w:bidi="fa-IR"/>
        </w:rPr>
        <w:t>.</w:t>
      </w:r>
    </w:p>
    <w:p>
      <w:pPr>
        <w:pStyle w:val="Heading6"/>
        <w:numPr>
          <w:ilvl w:val="5"/>
          <w:numId w:val="1"/>
        </w:numPr>
        <w:rPr/>
      </w:pPr>
      <w:bookmarkStart w:id="577" w:name="__RefHeading___Toc9424210_73709187"/>
      <w:bookmarkStart w:id="578" w:name="_Toc219"/>
      <w:bookmarkEnd w:id="577"/>
      <w:r>
        <w:rPr>
          <w:rtl w:val="true"/>
        </w:rPr>
        <w:t>الثالث</w:t>
      </w:r>
      <w:r>
        <w:rPr>
          <w:rtl w:val="true"/>
        </w:rPr>
        <w:t xml:space="preserve">: </w:t>
      </w:r>
      <w:r>
        <w:rPr>
          <w:rtl w:val="true"/>
        </w:rPr>
        <w:t>التقدیر بالأثر</w:t>
      </w:r>
      <w:bookmarkEnd w:id="578"/>
    </w:p>
    <w:p>
      <w:pPr>
        <w:pStyle w:val="BookText"/>
        <w:rPr/>
      </w:pPr>
      <w:r>
        <w:rPr>
          <w:rFonts w:ascii="IRNazanin" w:hAnsi="IRNazanin" w:eastAsia="IRNazanin"/>
          <w:color w:val="111111"/>
          <w:sz w:val="28"/>
          <w:sz w:val="28"/>
          <w:szCs w:val="28"/>
          <w:rtl w:val="true"/>
          <w:lang w:bidi="fa-IR"/>
        </w:rPr>
        <w:t>و المراد بالأثر هو ما أنبت اللحم و شدّ العظم</w:t>
      </w:r>
      <w:r>
        <w:rPr>
          <w:rStyle w:val="FootnoteAnchor"/>
          <w:rtl w:val="true"/>
        </w:rPr>
        <w:footnoteReference w:id="1352"/>
      </w:r>
    </w:p>
    <w:p>
      <w:pPr>
        <w:pStyle w:val="BookText"/>
        <w:rPr/>
      </w:pPr>
      <w:r>
        <w:rPr>
          <w:rFonts w:ascii="IRNazanin" w:hAnsi="IRNazanin" w:eastAsia="IRNazanin"/>
          <w:color w:val="111111"/>
          <w:sz w:val="28"/>
          <w:sz w:val="28"/>
          <w:szCs w:val="28"/>
          <w:rtl w:val="true"/>
          <w:lang w:bidi="fa-IR"/>
        </w:rPr>
        <w:t>و المرجع فی تحقّقه هو أهل الخبرة، و الأقوی أنّه یعتبر فیه ما یعتبر فی الشهادة من العدد و العدالة؛ لاعتبار العلم بذلک، أو ما یقوم مقامه، و لا یکفی الواحد و إن کان عدلاً و أفاد الظنّ؛ لعدم الدلیل علی الاکتفاء به</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أنّ التقدیر بهذا الأثر قلیل الفائدة؛ لأنّ ظهوره للحسّ فی موضع الحاجة أمر لا یکاد یطّلع علیه إلاّ بعض أهل الخبرة، و قلّما یتّفق شهادة عدلین فیهم بذلک</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الدلیل علی اعتبار الرضاع بالأثر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کما نقل عن التذکرة</w:t>
      </w:r>
      <w:r>
        <w:rPr>
          <w:rStyle w:val="FootnoteAnchor"/>
          <w:rtl w:val="true"/>
        </w:rPr>
        <w:footnoteReference w:id="1355"/>
      </w:r>
      <w:r>
        <w:rPr>
          <w:rFonts w:ascii="IRNazanin" w:hAnsi="IRNazanin" w:eastAsia="IRNazanin"/>
          <w:color w:val="111111"/>
          <w:sz w:val="28"/>
          <w:sz w:val="28"/>
          <w:szCs w:val="28"/>
          <w:rtl w:val="true"/>
          <w:lang w:bidi="fa-IR"/>
        </w:rPr>
        <w:t>و الإیضاح</w:t>
      </w:r>
      <w:r>
        <w:rPr>
          <w:rStyle w:val="FootnoteAnchor"/>
          <w:rtl w:val="true"/>
        </w:rPr>
        <w:footnoteReference w:id="1356"/>
      </w:r>
      <w:r>
        <w:rPr>
          <w:rFonts w:ascii="IRNazanin" w:hAnsi="IRNazanin" w:eastAsia="IRNazanin"/>
          <w:color w:val="111111"/>
          <w:sz w:val="28"/>
          <w:sz w:val="28"/>
          <w:szCs w:val="28"/>
          <w:rtl w:val="true"/>
          <w:lang w:bidi="fa-IR"/>
        </w:rPr>
        <w:t>و ریاض المسائل</w:t>
      </w:r>
      <w:r>
        <w:rPr>
          <w:rStyle w:val="FootnoteAnchor"/>
          <w:rtl w:val="true"/>
        </w:rPr>
        <w:footnoteReference w:id="1357"/>
      </w:r>
    </w:p>
    <w:p>
      <w:pPr>
        <w:pStyle w:val="BookText"/>
        <w:rPr/>
      </w:pPr>
      <w:r>
        <w:rPr>
          <w:rFonts w:ascii="IRNazanin" w:hAnsi="IRNazanin" w:eastAsia="IRNazanin"/>
          <w:color w:val="111111"/>
          <w:sz w:val="28"/>
          <w:sz w:val="28"/>
          <w:szCs w:val="28"/>
          <w:rtl w:val="true"/>
          <w:lang w:bidi="fa-IR"/>
        </w:rPr>
        <w:t>و تلخیص الخلاف</w:t>
      </w:r>
      <w:r>
        <w:rPr>
          <w:rStyle w:val="FootnoteAnchor"/>
          <w:rtl w:val="true"/>
        </w:rPr>
        <w:footnoteReference w:id="1358"/>
      </w:r>
      <w:r>
        <w:rPr>
          <w:rFonts w:ascii="IRNazanin" w:hAnsi="IRNazanin" w:eastAsia="IRNazanin"/>
          <w:color w:val="111111"/>
          <w:sz w:val="28"/>
          <w:sz w:val="28"/>
          <w:szCs w:val="28"/>
          <w:rtl w:val="true"/>
          <w:lang w:bidi="fa-IR"/>
        </w:rPr>
        <w:t>و غیرها</w:t>
      </w:r>
      <w:r>
        <w:rPr>
          <w:rStyle w:val="FootnoteAnchor"/>
          <w:rtl w:val="true"/>
        </w:rPr>
        <w:footnoteReference w:id="13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الإجماع مدرکی فلا یصلح أن یکون دلیلاً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النبوی المرویّ فی کتب الشیعة و السنّة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الرضاع ما أنبت اللحم و شدّ العظم</w:t>
      </w:r>
      <w:r>
        <w:rPr>
          <w:rFonts w:eastAsia="IRNazanin" w:cs="IRNazanin"/>
          <w:color w:val="111111"/>
          <w:sz w:val="28"/>
          <w:szCs w:val="28"/>
          <w:rtl w:val="true"/>
          <w:lang w:bidi="fa-IR"/>
        </w:rPr>
        <w:t>»</w:t>
      </w:r>
      <w:r>
        <w:rPr>
          <w:rStyle w:val="FootnoteAnchor"/>
          <w:rtl w:val="true"/>
        </w:rPr>
        <w:footnoteReference w:id="1360"/>
      </w:r>
      <w:r>
        <w:rPr>
          <w:rFonts w:ascii="IRNazanin" w:hAnsi="IRNazanin" w:eastAsia="IRNazanin"/>
          <w:color w:val="111111"/>
          <w:sz w:val="28"/>
          <w:sz w:val="28"/>
          <w:szCs w:val="28"/>
          <w:rtl w:val="true"/>
          <w:lang w:bidi="fa-IR"/>
        </w:rPr>
        <w:t>و ضعفه منجبر بعمل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استفاض عن الصادق علیه السلام من التحدید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صحیحة علیّ بن رئاب،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یحرم من الرضاع؟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أنبت اللحم و شدّ العظم</w:t>
      </w:r>
      <w:r>
        <w:rPr>
          <w:rFonts w:eastAsia="IRNazanin" w:cs="IRNazanin"/>
          <w:color w:val="111111"/>
          <w:sz w:val="28"/>
          <w:szCs w:val="28"/>
          <w:rtl w:val="true"/>
          <w:lang w:bidi="fa-IR"/>
        </w:rPr>
        <w:t>»</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أیضاً فی صحیحة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یحرم من الرضاع إلاّ ما أنبت اللحم و شدّ العظم</w:t>
      </w:r>
      <w:r>
        <w:rPr>
          <w:rFonts w:eastAsia="IRNazanin" w:cs="IRNazanin"/>
          <w:color w:val="111111"/>
          <w:sz w:val="28"/>
          <w:szCs w:val="28"/>
          <w:rtl w:val="true"/>
          <w:lang w:bidi="fa-IR"/>
        </w:rPr>
        <w:t>»</w:t>
      </w:r>
      <w:r>
        <w:rPr>
          <w:rStyle w:val="FootnoteAnchor"/>
          <w:rtl w:val="true"/>
        </w:rPr>
        <w:footnoteReference w:id="1362"/>
      </w:r>
      <w:r>
        <w:rPr>
          <w:rFonts w:ascii="IRNazanin" w:hAnsi="IRNazanin" w:eastAsia="IRNazanin"/>
          <w:color w:val="111111"/>
          <w:sz w:val="28"/>
          <w:sz w:val="28"/>
          <w:szCs w:val="28"/>
          <w:rtl w:val="true"/>
          <w:lang w:bidi="fa-IR"/>
        </w:rPr>
        <w:t>و مثلها موثّقة مسعدة بن صدقة عنه علیه السلام</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کلّ تقدیر فالمراد بإنبات اللحم و شدّ العظم ما کان مسبّباً عن الرضاع التامّ بحیث یستقلّ فی حصول الأمرین، و یتحقّق حصولهما، و یظهر لدی حسّ أهل الخبرة، فلا یتحقّق بالمسمّی و إن کان له تأثیر فی حصولهما</w:t>
      </w:r>
      <w:r>
        <w:rPr>
          <w:rStyle w:val="FootnoteAnchor"/>
          <w:rtl w:val="true"/>
        </w:rPr>
        <w:footnoteReference w:id="1364"/>
      </w:r>
      <w:bookmarkStart w:id="579" w:name="pg11752_146309"/>
    </w:p>
    <w:p>
      <w:pPr>
        <w:pStyle w:val="Heading6"/>
        <w:numPr>
          <w:ilvl w:val="5"/>
          <w:numId w:val="1"/>
        </w:numPr>
        <w:rPr/>
      </w:pPr>
      <w:bookmarkStart w:id="580" w:name="__RefHeading___Toc9424212_73709187"/>
      <w:bookmarkStart w:id="581" w:name="_Toc220"/>
      <w:bookmarkEnd w:id="579"/>
      <w:bookmarkEnd w:id="580"/>
      <w:r>
        <w:rPr>
          <w:rtl w:val="true"/>
        </w:rPr>
        <w:t>آراء أهل السنّة فی تحدید الرضاع</w:t>
      </w:r>
      <w:bookmarkEnd w:id="581"/>
    </w:p>
    <w:p>
      <w:pPr>
        <w:pStyle w:val="BookText"/>
        <w:rPr/>
      </w:pPr>
      <w:r>
        <w:rPr>
          <w:rFonts w:ascii="IRNazanin" w:hAnsi="IRNazanin" w:eastAsia="IRNazanin"/>
          <w:color w:val="111111"/>
          <w:sz w:val="28"/>
          <w:sz w:val="28"/>
          <w:szCs w:val="28"/>
          <w:rtl w:val="true"/>
          <w:lang w:bidi="fa-IR"/>
        </w:rPr>
        <w:t>لهم فی هذه المسألة أقوال أربعة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قلیل الرضاع و کثیره یحرّم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المحرّم ثلاث رضعات فصاعداً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المحرّم خمس رضعات فصاعداً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رضعات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بعضهم بعدم التحدید و لم یشترطوا عدداً، بل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وصل إلی جوف الصبیّ من لبن المرضعة و لو قلیلاً یوجب التحریم، و إنّ قلیل الرضاع و کثیره یحرّم، و به قالت الحنفیّة و المالکیّة و سعید بن المسیّب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قتادة و الأوزاعی و أصحاب الرأی، و زعم اللیث أنّ المسلمین أجمعوا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قالت طائفة بتحدید القدر المحرّم، و هؤلاء انقسموا ثلاث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طائفة کأصحاب الظاهر و أئمّة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تحرّم المصّة و لا المصّتان و تحرّم الثلاث رضعات فما فوقها، و به قال أبو عبیدة و أبو ثور و داود و ابن المنذر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قالت طائفة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یتعلّق به التحریم خمس رضعات فصاعداً، و إن رضع أقلّ من خمس رضعات فلا تحریم، و به قالت الشافعیة و الحنابلة، و روی هذا عن عائشة و ابن مسعود و ابن الزبیر و عطاء و طاووس</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قالت 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رضعات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عائشة فی هذا المعنی أیضاً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فیما نزل من القرآن عشر رضعات معلومات ثمّ نسخن بخمس معلومات، فتوفّی رسول اللّه صلی الله علیه و آله و هنّ ممّا یقرأ من القرآن</w:t>
      </w:r>
      <w:r>
        <w:rPr>
          <w:rStyle w:val="FootnoteAnchor"/>
          <w:rtl w:val="true"/>
        </w:rPr>
        <w:footnoteReference w:id="1365"/>
      </w:r>
      <w:bookmarkStart w:id="582" w:name="pg11752_146310"/>
    </w:p>
    <w:p>
      <w:pPr>
        <w:pStyle w:val="Heading6"/>
        <w:numPr>
          <w:ilvl w:val="5"/>
          <w:numId w:val="1"/>
        </w:numPr>
        <w:rPr/>
      </w:pPr>
      <w:bookmarkStart w:id="583" w:name="__RefHeading___Toc9424214_73709187"/>
      <w:bookmarkStart w:id="584" w:name="_Toc221"/>
      <w:bookmarkEnd w:id="582"/>
      <w:bookmarkEnd w:id="583"/>
      <w:r>
        <w:rPr>
          <w:rtl w:val="true"/>
        </w:rPr>
        <w:t>المعتبر فی الرضعات</w:t>
      </w:r>
      <w:bookmarkEnd w:id="584"/>
    </w:p>
    <w:p>
      <w:pPr>
        <w:pStyle w:val="BookText"/>
        <w:rPr/>
      </w:pPr>
      <w:r>
        <w:rPr>
          <w:rFonts w:ascii="IRNazanin" w:hAnsi="IRNazanin" w:eastAsia="IRNazanin"/>
          <w:color w:val="111111"/>
          <w:sz w:val="28"/>
          <w:sz w:val="28"/>
          <w:szCs w:val="28"/>
          <w:rtl w:val="true"/>
          <w:lang w:bidi="fa-IR"/>
        </w:rPr>
        <w:t>یعتبر فی الرضعات العشر أو الخمس عشرة المحرّمة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الرضعة</w:t>
      </w:r>
      <w:r>
        <w:rPr>
          <w:rStyle w:val="FootnoteAnchor"/>
          <w:rtl w:val="true"/>
        </w:rPr>
        <w:footnoteReference w:id="13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فالرضعة الناقصة لا تعدّ من العدد ما لم یکمل علی وجه لا یقدح فی الاتّحاد، فإذا لفظ الصبیّ الثدی، فإن کان أعرض عنه إعراض میل فهی رضعة کاملة، و إن کان بغیر ذلک، کالتنفّس أو الانتقال من ثدی أو الالتفات إلی ملاعب و نحوه ثمّ عاد فی الحال، فالمجموع رضعة، و لو لم یعدّ إلاّ بعد مدّة، فالظاهر عدم احتساب مجموعهما من العدد، و کذا لو أخرجت الثدی من فیه کرهاً، فلم تلقمها إیّاه إلاّ بعد 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الدلیل علی اعتبار کمال الرضعة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المتبادر من الرضعة الواردة فی الأخبار هی الکاملة؛ لأنّه المحکّم فی أمثاله</w:t>
      </w:r>
      <w:r>
        <w:rPr>
          <w:rStyle w:val="FootnoteAnchor"/>
          <w:rtl w:val="true"/>
        </w:rPr>
        <w:footnoteReference w:id="1367"/>
      </w:r>
      <w:r>
        <w:rPr>
          <w:rFonts w:ascii="IRNazanin" w:hAnsi="IRNazanin" w:eastAsia="IRNazanin"/>
          <w:color w:val="111111"/>
          <w:sz w:val="28"/>
          <w:sz w:val="28"/>
          <w:szCs w:val="28"/>
          <w:rtl w:val="true"/>
          <w:lang w:bidi="fa-IR"/>
        </w:rPr>
        <w:t>و المرجع فی کمالها إلی العرف؛ لأنّ ما لا حدّ له فی الشرع و لا فی اللغة یرجع فیه إلی العرف کالنقل و التفرق و النقد، غیر أنّ بعض أصحابنا خاصة قدّروا الرضع بما یروی الصبیّ منه و یمسک منه</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مرسلة ابن أبی عمیر، عن بعض أصحابه،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الرضاع الذی ینبت اللحم و الدم هو الذی یرضع حتّی یتضلّع و یتملّی و ینتهی نفسه</w:t>
      </w:r>
      <w:r>
        <w:rPr>
          <w:rFonts w:eastAsia="IRNazanin" w:cs="IRNazanin"/>
          <w:color w:val="111111"/>
          <w:sz w:val="28"/>
          <w:szCs w:val="28"/>
          <w:rtl w:val="true"/>
          <w:lang w:bidi="fa-IR"/>
        </w:rPr>
        <w:t>»</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وافق بعض أهل السنّة أیضاً علی هذا، قال ابن قدامة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المرجع فی معرفة الرضعة إلی العرف؛ لأنّ الشرع ورد بها مطلقاً، و لم یحدّها بزمن و لا مقدار، فدلّ</w:t>
      </w:r>
    </w:p>
    <w:p>
      <w:pPr>
        <w:pStyle w:val="BookText"/>
        <w:rPr/>
      </w:pPr>
      <w:r>
        <w:rPr>
          <w:rFonts w:ascii="IRNazanin" w:hAnsi="IRNazanin" w:eastAsia="IRNazanin"/>
          <w:color w:val="111111"/>
          <w:sz w:val="28"/>
          <w:sz w:val="28"/>
          <w:szCs w:val="28"/>
          <w:rtl w:val="true"/>
          <w:lang w:bidi="fa-IR"/>
        </w:rPr>
        <w:t>ذلک علی أنّه ردّهم إلی العرف، فإذا ارتضع الصبیّ و قطع قطعاً بیّناً باختیاره کان ذلک رضعة، فإذا عاد کان رضعة أخری</w:t>
      </w:r>
      <w:r>
        <w:rPr>
          <w:rFonts w:eastAsia="IRNazanin" w:cs="IRNazanin"/>
          <w:color w:val="111111"/>
          <w:sz w:val="28"/>
          <w:szCs w:val="28"/>
          <w:rtl w:val="true"/>
          <w:lang w:bidi="fa-IR"/>
        </w:rPr>
        <w:t>...»</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توالی الرضعات، بأن لا یفصل بینها رضاع امرأة أخری، و الظاهر عدم الخلاف فی اعتباره، کما فی المسالک</w:t>
      </w:r>
      <w:r>
        <w:rPr>
          <w:rStyle w:val="FootnoteAnchor"/>
          <w:rtl w:val="true"/>
        </w:rPr>
        <w:footnoteReference w:id="1371"/>
      </w:r>
      <w:r>
        <w:rPr>
          <w:rFonts w:ascii="IRNazanin" w:hAnsi="IRNazanin" w:eastAsia="IRNazanin"/>
          <w:color w:val="111111"/>
          <w:sz w:val="28"/>
          <w:sz w:val="28"/>
          <w:szCs w:val="28"/>
          <w:rtl w:val="true"/>
          <w:lang w:bidi="fa-IR"/>
        </w:rPr>
        <w:t>و الجواهر</w:t>
      </w:r>
      <w:r>
        <w:rPr>
          <w:rStyle w:val="FootnoteAnchor"/>
          <w:rtl w:val="true"/>
        </w:rPr>
        <w:footnoteReference w:id="1372"/>
      </w:r>
      <w:r>
        <w:rPr>
          <w:rFonts w:ascii="IRNazanin" w:hAnsi="IRNazanin" w:eastAsia="IRNazanin"/>
          <w:color w:val="111111"/>
          <w:sz w:val="28"/>
          <w:sz w:val="28"/>
          <w:szCs w:val="28"/>
          <w:rtl w:val="true"/>
          <w:lang w:bidi="fa-IR"/>
        </w:rPr>
        <w:t>و غیرها</w:t>
      </w:r>
      <w:r>
        <w:rPr>
          <w:rStyle w:val="FootnoteAnchor"/>
          <w:rtl w:val="true"/>
        </w:rPr>
        <w:footnoteReference w:id="13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الاتّفاق علی أنّه لیس المراد به أن لا یفصل بینها بشیء البتّة؛ إذ لو فصل بینها بمأکول أو مشروب لم یقدح فی التوالی قطعاً، و کذا لا یقدح فیه شربه اللبن بغیر رضاع، و إنّما یقطع التوالی إرضاع غیرها؛ لقول علیه السلام فی موثّقة زیاد بن سوقة المتقدّمة،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للرضاع حدّ یؤخذ به؟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یحرّم الرضاع أقلّ من یومٍ و لیلةٍ أو خمس عشر رضعة متوالیات من امرأةٍ واحدة من لبن فحل واحد، لم یفصل بینها رضعة امرأة غیرها</w:t>
      </w:r>
      <w:r>
        <w:rPr>
          <w:rFonts w:eastAsia="IRNazanin" w:cs="IRNazanin"/>
          <w:color w:val="111111"/>
          <w:sz w:val="28"/>
          <w:szCs w:val="28"/>
          <w:rtl w:val="true"/>
          <w:lang w:bidi="fa-IR"/>
        </w:rPr>
        <w:t>...»</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کمال العدد المعتبر من امرأة واحدة، فلو ارتضع بعضها من امرأة و أکملها من امرأة أخری لم ینشر الحرمة، و لم تصر واحدة من المرضعتین أمّاً للرضیع، و لو کانتا لفحل واحد لم یصر الفحل أباً 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عدم الخلاف فی اعتبار ذلک بین من اعتبر تعدّد الرضعات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یدلّ علی اعتبار هذا الشرط أیضاً موثّقة زیاد بن سوقة المتقدّمة</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حصل الشکّ فی بلوغ النصاب من العدد المعتبر، أو فی وصول اللبن إلی الجوف فی بعض المرّات أو نحو ذلک من الشروط المعتبرة فی التحریم لم تثبت</w:t>
      </w:r>
    </w:p>
    <w:p>
      <w:pPr>
        <w:pStyle w:val="BookText"/>
        <w:rPr/>
      </w:pPr>
      <w:r>
        <w:rPr>
          <w:rFonts w:ascii="IRNazanin" w:hAnsi="IRNazanin" w:eastAsia="IRNazanin"/>
          <w:color w:val="111111"/>
          <w:sz w:val="28"/>
          <w:sz w:val="28"/>
          <w:szCs w:val="28"/>
          <w:rtl w:val="true"/>
          <w:lang w:bidi="fa-IR"/>
        </w:rPr>
        <w:t>الحرمة؛ لأنّ الأصل الإباحة و عدم الحرمة، إلاّ أنّ الاحتیاط یقتضی التحریم کما استفاض الأمر به سیّما فی النکاح، محافظة علی النسل الممتدّ إلی یوم القیامة</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بعض الفقهاء من أهل السنّة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وقع الشکّ فی وجود الرضاع أو فی عدد الرضاع المحرّم هل کملا أو لا، لم یثبت التحریم؛ لأنّ الأصل عدمه، فلا نزول عن الیقین بالشکّ، کما لو شک فی وجود الطلاق و عدده</w:t>
      </w:r>
      <w:r>
        <w:rPr>
          <w:rFonts w:eastAsia="IRNazanin" w:cs="IRNazanin"/>
          <w:color w:val="111111"/>
          <w:sz w:val="28"/>
          <w:szCs w:val="28"/>
          <w:rtl w:val="true"/>
          <w:lang w:bidi="fa-IR"/>
        </w:rPr>
        <w:t>»</w:t>
      </w:r>
      <w:r>
        <w:rPr>
          <w:rStyle w:val="FootnoteAnchor"/>
          <w:rtl w:val="true"/>
        </w:rPr>
        <w:footnoteReference w:id="1377"/>
      </w:r>
      <w:bookmarkStart w:id="585" w:name="pg11752_146313"/>
    </w:p>
    <w:p>
      <w:pPr>
        <w:pStyle w:val="Heading2"/>
        <w:numPr>
          <w:ilvl w:val="1"/>
          <w:numId w:val="1"/>
        </w:numPr>
        <w:rPr/>
      </w:pPr>
      <w:bookmarkStart w:id="586" w:name="__RefHeading___Toc9424216_73709187"/>
      <w:bookmarkStart w:id="587" w:name="_Toc222"/>
      <w:bookmarkEnd w:id="585"/>
      <w:bookmarkEnd w:id="586"/>
      <w:r>
        <w:rPr>
          <w:rtl w:val="true"/>
        </w:rPr>
        <w:t>الباب الثانی فی الحضانة</w:t>
      </w:r>
      <w:bookmarkEnd w:id="587"/>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88" w:name="__RefHeading___Toc9424218_73709187"/>
      <w:bookmarkStart w:id="589" w:name="_Toc223"/>
      <w:bookmarkEnd w:id="588"/>
      <w:r>
        <w:rPr>
          <w:rtl w:val="true"/>
        </w:rPr>
        <w:t>اشارة</w:t>
      </w:r>
      <w:bookmarkStart w:id="590" w:name="pg11752_146315"/>
      <w:bookmarkEnd w:id="589"/>
    </w:p>
    <w:p>
      <w:pPr>
        <w:pStyle w:val="Heading3"/>
        <w:numPr>
          <w:ilvl w:val="2"/>
          <w:numId w:val="1"/>
        </w:numPr>
        <w:rPr/>
      </w:pPr>
      <w:bookmarkStart w:id="591" w:name="__RefHeading___Toc9424220_73709187"/>
      <w:bookmarkStart w:id="592" w:name="_Toc224"/>
      <w:bookmarkEnd w:id="590"/>
      <w:bookmarkEnd w:id="591"/>
      <w:r>
        <w:rPr>
          <w:rtl w:val="true"/>
        </w:rPr>
        <w:t>فصل</w:t>
      </w:r>
      <w:bookmarkEnd w:id="592"/>
    </w:p>
    <w:p>
      <w:pPr>
        <w:pStyle w:val="Heading4"/>
        <w:numPr>
          <w:ilvl w:val="3"/>
          <w:numId w:val="1"/>
        </w:numPr>
        <w:rPr/>
      </w:pPr>
      <w:bookmarkStart w:id="593" w:name="__RefHeading___Toc9424222_73709187"/>
      <w:bookmarkStart w:id="594" w:name="_Toc225"/>
      <w:bookmarkEnd w:id="593"/>
      <w:r>
        <w:rPr>
          <w:rtl w:val="true"/>
        </w:rPr>
        <w:t>تمهید</w:t>
      </w:r>
      <w:bookmarkEnd w:id="594"/>
    </w:p>
    <w:p>
      <w:pPr>
        <w:pStyle w:val="BookText"/>
        <w:rPr/>
      </w:pPr>
      <w:r>
        <w:rPr>
          <w:rFonts w:ascii="IRNazanin" w:hAnsi="IRNazanin" w:eastAsia="IRNazanin"/>
          <w:color w:val="111111"/>
          <w:sz w:val="28"/>
          <w:sz w:val="28"/>
          <w:szCs w:val="28"/>
          <w:rtl w:val="true"/>
          <w:lang w:bidi="fa-IR"/>
        </w:rPr>
        <w:t>من المباحث المهمّة التی اهتمّ بها التشریع الإسلامی بخصوص الصغار هی حکم حضانتهم و هل أنّه واجب أم لا؟</w:t>
      </w:r>
    </w:p>
    <w:p>
      <w:pPr>
        <w:pStyle w:val="BookText"/>
        <w:rPr/>
      </w:pPr>
      <w:r>
        <w:rPr>
          <w:rFonts w:ascii="IRNazanin" w:hAnsi="IRNazanin" w:eastAsia="IRNazanin"/>
          <w:color w:val="111111"/>
          <w:sz w:val="28"/>
          <w:sz w:val="28"/>
          <w:szCs w:val="28"/>
          <w:rtl w:val="true"/>
          <w:lang w:bidi="fa-IR"/>
        </w:rPr>
        <w:t>و علی القول بوجوبها، هل الوجوب علی الأب أو الأمّ، أو کلیهما علی سبیل منع الخلوّ؟ و أیضاً هل الوجوب عینیّ أو کفائیّ؟</w:t>
      </w:r>
    </w:p>
    <w:p>
      <w:pPr>
        <w:pStyle w:val="BookText"/>
        <w:rPr/>
      </w:pPr>
      <w:r>
        <w:rPr>
          <w:rFonts w:ascii="IRNazanin" w:hAnsi="IRNazanin" w:eastAsia="IRNazanin"/>
          <w:color w:val="111111"/>
          <w:sz w:val="28"/>
          <w:sz w:val="28"/>
          <w:szCs w:val="28"/>
          <w:rtl w:val="true"/>
          <w:lang w:bidi="fa-IR"/>
        </w:rPr>
        <w:t>و هل هی حکم أو حقّ، و مَن هو مستحقّها؟ و هل فیها ترتّب فی الاستحقاق أم لا؟ و ما هو الشرط فی وجوبها؟ و إلی أیّ زمان تطول مدّتها؟ و هل ینتقل الوجوب إلی باقی الأقارب إذا فقد الأبوان؟ و هل یجوز أخذ الأجرة علی الحضانة أم لا؟</w:t>
      </w:r>
    </w:p>
    <w:p>
      <w:pPr>
        <w:pStyle w:val="BookText"/>
        <w:rPr/>
      </w:pPr>
      <w:r>
        <w:rPr>
          <w:rFonts w:ascii="IRNazanin" w:hAnsi="IRNazanin" w:eastAsia="IRNazanin"/>
          <w:color w:val="111111"/>
          <w:sz w:val="28"/>
          <w:sz w:val="28"/>
          <w:szCs w:val="28"/>
          <w:rtl w:val="true"/>
          <w:lang w:bidi="fa-IR"/>
        </w:rPr>
        <w:t>کلّ ذلک سوف نبحثه فی هذا الباب، و هو یشتمل علی فصل واحد و فیه مباحث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معنی الحضانة لغةً و اصطلاحاً</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الحضانة و أدلّتها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المستحقّین للحضانة و بیان الأولویّة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شروط المستحقّین للحضانة</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أخذ الأجرة فیها</w:t>
      </w:r>
      <w:r>
        <w:rPr>
          <w:rFonts w:eastAsia="IRNazanin" w:cs="IRNazanin"/>
          <w:color w:val="111111"/>
          <w:sz w:val="28"/>
          <w:szCs w:val="28"/>
          <w:rtl w:val="true"/>
          <w:lang w:bidi="fa-IR"/>
        </w:rPr>
        <w:t>.</w:t>
      </w:r>
      <w:bookmarkStart w:id="595" w:name="pg11752_146317"/>
    </w:p>
    <w:p>
      <w:pPr>
        <w:pStyle w:val="Heading4"/>
        <w:numPr>
          <w:ilvl w:val="3"/>
          <w:numId w:val="1"/>
        </w:numPr>
        <w:rPr/>
      </w:pPr>
      <w:bookmarkStart w:id="596" w:name="__RefHeading___Toc9424224_73709187"/>
      <w:bookmarkStart w:id="597" w:name="_Toc226"/>
      <w:bookmarkEnd w:id="595"/>
      <w:bookmarkEnd w:id="596"/>
      <w:r>
        <w:rPr>
          <w:rtl w:val="true"/>
        </w:rPr>
        <w:t>المبحث الأوّل</w:t>
      </w:r>
      <w:r>
        <w:rPr>
          <w:rtl w:val="true"/>
        </w:rPr>
        <w:t xml:space="preserve">: </w:t>
      </w:r>
      <w:r>
        <w:rPr>
          <w:rtl w:val="true"/>
        </w:rPr>
        <w:t>الحضانة لغةً و اصطلاحاً</w:t>
      </w:r>
      <w:bookmarkEnd w:id="597"/>
    </w:p>
    <w:p>
      <w:pPr>
        <w:pStyle w:val="Heading5"/>
        <w:numPr>
          <w:ilvl w:val="4"/>
          <w:numId w:val="1"/>
        </w:numPr>
        <w:rPr/>
      </w:pPr>
      <w:bookmarkStart w:id="598" w:name="__RefHeading___Toc9424226_73709187"/>
      <w:bookmarkStart w:id="599" w:name="_Toc227"/>
      <w:bookmarkEnd w:id="598"/>
      <w:r>
        <w:rPr>
          <w:rtl w:val="true"/>
        </w:rPr>
        <w:t>الحضانة لغةً</w:t>
      </w:r>
      <w:r>
        <w:rPr>
          <w:rtl w:val="true"/>
        </w:rPr>
        <w:t>:</w:t>
      </w:r>
      <w:bookmarkEnd w:id="599"/>
    </w:p>
    <w:p>
      <w:pPr>
        <w:pStyle w:val="BookText"/>
        <w:rPr/>
      </w:pPr>
      <w:r>
        <w:rPr>
          <w:rFonts w:ascii="Amiri" w:hAnsi="Amiri" w:eastAsia="Amiri" w:cs="Amiri"/>
          <w:color w:val="111111"/>
          <w:sz w:val="28"/>
          <w:sz w:val="28"/>
          <w:szCs w:val="28"/>
          <w:rtl w:val="true"/>
          <w:lang w:bidi="ar-SA"/>
        </w:rPr>
        <w:t>قال ابن منظور فی 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حَضن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دون الإبط إلی الکشح،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الصدر و العَضُدان و ما بینهما، و الجمع أحْضانٌ؛ و منه الاحتضان، و هو احتمالُک الشیء و جعلُه فی حِضْنِکَ، کما تحتضنُ المرأةُ ولدها فتحتمله فی أَحد شِقَّیْها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خرج مُحْتَضِناً أحد ابنَی ابْنَتِهِ، أی حامِلاً له فی حِضْنه</w:t>
      </w:r>
      <w:r>
        <w:rPr>
          <w:rFonts w:eastAsia="Amiri" w:cs="Amiri" w:ascii="Amiri" w:hAnsi="Amiri"/>
          <w:color w:val="111111"/>
          <w:sz w:val="28"/>
          <w:szCs w:val="28"/>
          <w:rtl w:val="true"/>
          <w:lang w:bidi="ar-SA"/>
        </w:rPr>
        <w:t>»</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بهذا المضمون جاء فی غیره</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مجمع البحرین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الحِضْنُ کحمل، ما دون الکشح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احْتَضَنتُ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جعلته فی حِضنی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الحضَانَةُ، بالفتح و 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منه، و هی ولایة علی الطفل و المجنون لفائدةِ تربیته، و هو ما یتعلّق بها من مصلحته و حِفظه، و جعله فی سریره، و رفعه، و غَسل ثیابه و بدنه، و مشطه، و جمیع مصالحه، غیر الرَّضاعة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حَاضِنَةُ الصبیّ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تقوم علیه فی تربیته</w:t>
      </w:r>
      <w:r>
        <w:rPr>
          <w:rFonts w:eastAsia="Amiri" w:cs="Amiri" w:ascii="Amiri" w:hAnsi="Amiri"/>
          <w:color w:val="111111"/>
          <w:sz w:val="28"/>
          <w:szCs w:val="28"/>
          <w:rtl w:val="true"/>
          <w:lang w:bidi="ar-SA"/>
        </w:rPr>
        <w:t>»</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0" w:name="__RefHeading___Toc9424228_73709187"/>
      <w:bookmarkStart w:id="601" w:name="_Toc228"/>
      <w:bookmarkEnd w:id="600"/>
      <w:r>
        <w:rPr>
          <w:rtl w:val="true"/>
        </w:rPr>
        <w:t>الحضانة اصطلاحاً</w:t>
      </w:r>
      <w:bookmarkEnd w:id="601"/>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نعثر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حسب تتبّعنا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تعریف للحضانة فی کلمات الفقهاء إلی زمان العلاّمة الحلّی رحمه الله فی القرن السابع حیث عرّفها العلاّمة، و بعده سلک بعض الفقهاء طریقه و عرّفوها فی مباحثهم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فی القواعد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الحضانة ولایة و سلطنة علی تربیة الطفل</w:t>
      </w:r>
      <w:r>
        <w:rPr>
          <w:rFonts w:eastAsia="IRNazanin" w:cs="IRNazanin"/>
          <w:color w:val="111111"/>
          <w:sz w:val="28"/>
          <w:szCs w:val="28"/>
          <w:rtl w:val="true"/>
          <w:lang w:bidi="fa-IR"/>
        </w:rPr>
        <w:t>»</w:t>
      </w:r>
      <w:r>
        <w:rPr>
          <w:rStyle w:val="FootnoteAnchor"/>
          <w:rtl w:val="true"/>
        </w:rPr>
        <w:footnoteReference w:id="13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بمثل هذا قال الشهید فی المسالک</w:t>
      </w:r>
      <w:r>
        <w:rPr>
          <w:rStyle w:val="FootnoteAnchor"/>
          <w:rtl w:val="true"/>
        </w:rPr>
        <w:footnoteReference w:id="1382"/>
      </w:r>
      <w:r>
        <w:rPr>
          <w:rFonts w:ascii="IRNazanin" w:hAnsi="IRNazanin" w:eastAsia="IRNazanin"/>
          <w:color w:val="111111"/>
          <w:sz w:val="28"/>
          <w:sz w:val="28"/>
          <w:szCs w:val="28"/>
          <w:rtl w:val="true"/>
          <w:lang w:bidi="fa-IR"/>
        </w:rPr>
        <w:t>و المحقّق الطباطبائی فی الریاض</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أنّ هذا التعریف یشمل غیرها أیضاً، مثل الولایة علی النکاح و المال و غیرهما، مضافاً إلی أنّه لیس فی شیء من الأدلّة ما یقتضی ذلک؛ و لذا قال فی الجواهر ردّاً علی هذا التعریف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إن کان المراد أنّها ولایة کغیرها من الولایات التی لا تسقط بالإسقاط، و أنّه یجب علی الأم مراعاة ذلک علی وجه لا تستحقّ علیه الأجرة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صرّح به فی المسالک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منهما لیس فی شیء من الأدلّة ما یقتضی ذلک، بل فیها ما یقتضی خلافه، کالتعلیق علی مشیئتها، و التعبیر بالأحقیّة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علی کلّ حال فأصله الحفظ و الصیانة</w:t>
      </w:r>
      <w:r>
        <w:rPr>
          <w:rFonts w:eastAsia="IRNazanin" w:cs="IRNazanin"/>
          <w:color w:val="111111"/>
          <w:sz w:val="28"/>
          <w:szCs w:val="28"/>
          <w:rtl w:val="true"/>
          <w:lang w:bidi="fa-IR"/>
        </w:rPr>
        <w:t>...»</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یستفاد من ظاهر کلامه هذا أنّها حقّ کما هو الظاهر من کلام الفاضل الهندی</w:t>
      </w:r>
      <w:r>
        <w:rPr>
          <w:rStyle w:val="FootnoteAnchor"/>
          <w:rtl w:val="true"/>
        </w:rPr>
        <w:footnoteReference w:id="1385"/>
      </w:r>
      <w:r>
        <w:rPr>
          <w:rFonts w:ascii="IRNazanin" w:hAnsi="IRNazanin" w:eastAsia="IRNazanin"/>
          <w:color w:val="111111"/>
          <w:sz w:val="28"/>
          <w:sz w:val="28"/>
          <w:szCs w:val="28"/>
          <w:rtl w:val="true"/>
          <w:lang w:bidi="fa-IR"/>
        </w:rPr>
        <w:t>و المحقّق البحرانی</w:t>
      </w:r>
      <w:r>
        <w:rPr>
          <w:rStyle w:val="FootnoteAnchor"/>
          <w:rtl w:val="true"/>
        </w:rPr>
        <w:footnoteReference w:id="13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قال فی ذیله کلاماً یظهر منه رجوعه عنه، و أنّها بمنزلة الحکم؛ لأنّه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إجبار الأب واضح الضعف</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الحضانة بمعناها اللغوی و العرفی، و المستفاد من الأدلّة ولایة الأب و الأمّ علیها فی الجملة، و لیس الحضانة نفس الولایة، بل</w:t>
      </w:r>
      <w:bookmarkStart w:id="602" w:name="pg11752_146319"/>
    </w:p>
    <w:p>
      <w:pPr>
        <w:pStyle w:val="BookText"/>
        <w:rPr/>
      </w:pPr>
      <w:bookmarkEnd w:id="602"/>
      <w:r>
        <w:rPr>
          <w:rFonts w:ascii="IRNazanin" w:hAnsi="IRNazanin" w:eastAsia="IRNazanin"/>
          <w:color w:val="111111"/>
          <w:sz w:val="28"/>
          <w:sz w:val="28"/>
          <w:szCs w:val="28"/>
          <w:rtl w:val="true"/>
          <w:lang w:bidi="fa-IR"/>
        </w:rPr>
        <w:t>الولایة ثابتة علی الحضانة، فمع عدم قیام الأمّ لا تسقط ولایتها بل تثبت للأب، کما أنّه مع عدم قیام الأب تکون لغیرهما، و مع عدم قیامهما ثابتةً للحاکم، و مع عدم قیام الحاکم لمانع تثبت لعدول المؤمنین</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الظاهر أنّ مقصوده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المستفاد من الأدلّة وجوبها مطلقاً علی الأمّ أو الأب أو الحاکم أو عدول المؤمنین، کما سنوضّحه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 تقدیر، الحقّ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الحضانة فی اصطلاح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الولایة و السلطنة علی تربیة الطفل و ما یتعلّق بها من مصلحة حفظه و جعله فی سریره و تدبیر شئونه و کحله و تنظیفه و نحو ذلک</w:t>
      </w:r>
      <w:r>
        <w:rPr>
          <w:rFonts w:eastAsia="IRNazanin" w:cs="IRNazanin"/>
          <w:color w:val="111111"/>
          <w:sz w:val="28"/>
          <w:szCs w:val="28"/>
          <w:rtl w:val="true"/>
          <w:lang w:bidi="fa-IR"/>
        </w:rPr>
        <w:t>»</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هی من الأمور الطبیعیة التی جعلها اللّه تعالی فی ذات الإنسان، بمعنی أنّ الآباء و الأمّهات یسعون فی حفظ الأولاد و صیانتهم و تدبیر شئونهم و تربیتهم التربیة الصحیحة، انطلاقاً من حبّهم لهم و مسئولیتهم فی تنشئتهم حتّی نراهم یقدّمونهم علی أنفسهم</w:t>
      </w:r>
      <w:r>
        <w:rPr>
          <w:rFonts w:eastAsia="IRNazanin" w:cs="IRNazanin"/>
          <w:color w:val="111111"/>
          <w:sz w:val="28"/>
          <w:szCs w:val="28"/>
          <w:rtl w:val="true"/>
          <w:lang w:bidi="fa-IR"/>
        </w:rPr>
        <w:t>.</w:t>
      </w:r>
    </w:p>
    <w:p>
      <w:pPr>
        <w:pStyle w:val="Heading5"/>
        <w:numPr>
          <w:ilvl w:val="4"/>
          <w:numId w:val="1"/>
        </w:numPr>
        <w:rPr/>
      </w:pPr>
      <w:bookmarkStart w:id="603" w:name="__RefHeading___Toc9424230_73709187"/>
      <w:bookmarkStart w:id="604" w:name="_Toc229"/>
      <w:bookmarkEnd w:id="603"/>
      <w:r>
        <w:rPr>
          <w:rtl w:val="true"/>
        </w:rPr>
        <w:t>مفهوم الحضانة عند فقهاء أهل السنّة</w:t>
      </w:r>
      <w:bookmarkEnd w:id="604"/>
    </w:p>
    <w:p>
      <w:pPr>
        <w:pStyle w:val="BookText"/>
        <w:rPr/>
      </w:pPr>
      <w:r>
        <w:rPr>
          <w:rFonts w:ascii="IRNazanin" w:hAnsi="IRNazanin" w:eastAsia="IRNazanin"/>
          <w:color w:val="111111"/>
          <w:sz w:val="28"/>
          <w:sz w:val="28"/>
          <w:szCs w:val="28"/>
          <w:rtl w:val="true"/>
          <w:lang w:bidi="fa-IR"/>
        </w:rPr>
        <w:t>قال المالکیّة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الحضانة هی حفظ الولد، أی فی مبیته و ذهابه و مجیئه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القیام بمصالحه، أی من طعامه و لباسه و تنظیف جسمه و موضعه، و حضانة الذکر للبلوغ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بلغ و لو زمناً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سقطت عن الأمّ، و استمرّت نفقته علی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القیام بحقّه</w:t>
      </w:r>
      <w:r>
        <w:rPr>
          <w:rFonts w:eastAsia="IRNazanin" w:cs="IRNazanin"/>
          <w:color w:val="111111"/>
          <w:sz w:val="28"/>
          <w:szCs w:val="28"/>
          <w:rtl w:val="true"/>
          <w:lang w:bidi="fa-IR"/>
        </w:rPr>
        <w:t>»</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الشافعیة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الحضانة شرعاً حفظ من لا یستقل بأمور نفسه عمّا یؤذیه؛</w:t>
      </w:r>
    </w:p>
    <w:p>
      <w:pPr>
        <w:pStyle w:val="BookText"/>
        <w:rPr/>
      </w:pPr>
      <w:r>
        <w:rPr>
          <w:rFonts w:ascii="IRNazanin" w:hAnsi="IRNazanin" w:eastAsia="IRNazanin"/>
          <w:color w:val="111111"/>
          <w:sz w:val="28"/>
          <w:sz w:val="28"/>
          <w:szCs w:val="28"/>
          <w:rtl w:val="true"/>
          <w:lang w:bidi="fa-IR"/>
        </w:rPr>
        <w:t>لعدم تمییزه کطفل و کبیر مجنون</w:t>
      </w:r>
      <w:r>
        <w:rPr>
          <w:rFonts w:eastAsia="IRNazanin" w:cs="IRNazanin"/>
          <w:color w:val="111111"/>
          <w:sz w:val="28"/>
          <w:szCs w:val="28"/>
          <w:rtl w:val="true"/>
          <w:lang w:bidi="fa-IR"/>
        </w:rPr>
        <w:t>»</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الحنابلة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الحضانة حفظ صغیر و مجنون و معتوه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المختلّ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یضرّهم و تربیتهم بعمل مصالحهم، کغسل رأس الطفل و غسل یدیه و غسل ثیابه، و کدهنه و تکحیله و ربطه فی المهد، و تحریکه لینام، و نحو ما ذکر ممّا یتعلّق بمصالحه</w:t>
      </w:r>
      <w:r>
        <w:rPr>
          <w:rFonts w:eastAsia="IRNazanin" w:cs="IRNazanin"/>
          <w:color w:val="111111"/>
          <w:sz w:val="28"/>
          <w:szCs w:val="28"/>
          <w:rtl w:val="true"/>
          <w:lang w:bidi="fa-IR"/>
        </w:rPr>
        <w:t>»</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من کلماتهم فی تعریف الحضانة أنّها بنفس معناها اللغوی و العرفی، و هو مخالف لما یستفاد من الأدلّة من وجوب الحضانة علی الأمّ أو أولویّتها للأنثی إلی أن تبلغ سبع سنین، و مع عدمها فعلی الأب، و مع عدمه فعلی الحاکم و عدول المؤمنین، و سنبیّن دلیلها فیما بعد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فالأولی تعریف الحضانة بما قالته الإمامیة، و اللّه هو العالم</w:t>
      </w:r>
      <w:r>
        <w:rPr>
          <w:rFonts w:eastAsia="IRNazanin" w:cs="IRNazanin"/>
          <w:color w:val="111111"/>
          <w:sz w:val="28"/>
          <w:szCs w:val="28"/>
          <w:rtl w:val="true"/>
          <w:lang w:bidi="fa-IR"/>
        </w:rPr>
        <w:t>.</w:t>
      </w:r>
      <w:bookmarkStart w:id="605" w:name="pg11752_146321"/>
    </w:p>
    <w:p>
      <w:pPr>
        <w:pStyle w:val="Heading4"/>
        <w:numPr>
          <w:ilvl w:val="3"/>
          <w:numId w:val="1"/>
        </w:numPr>
        <w:rPr/>
      </w:pPr>
      <w:bookmarkStart w:id="606" w:name="__RefHeading___Toc9424232_73709187"/>
      <w:bookmarkStart w:id="607" w:name="_Toc230"/>
      <w:bookmarkEnd w:id="605"/>
      <w:bookmarkEnd w:id="606"/>
      <w:r>
        <w:rPr>
          <w:rtl w:val="true"/>
        </w:rPr>
        <w:t>المبحث الثانی</w:t>
      </w:r>
      <w:r>
        <w:rPr>
          <w:rtl w:val="true"/>
        </w:rPr>
        <w:t xml:space="preserve">: </w:t>
      </w:r>
      <w:r>
        <w:rPr>
          <w:rtl w:val="true"/>
        </w:rPr>
        <w:t>حکم الحضانة و أدلّتها</w:t>
      </w:r>
      <w:bookmarkEnd w:id="607"/>
    </w:p>
    <w:p>
      <w:pPr>
        <w:pStyle w:val="Heading5"/>
        <w:numPr>
          <w:ilvl w:val="4"/>
          <w:numId w:val="1"/>
        </w:numPr>
        <w:rPr/>
      </w:pPr>
      <w:bookmarkStart w:id="608" w:name="__RefHeading___Toc9424234_73709187"/>
      <w:bookmarkStart w:id="609" w:name="_Toc231"/>
      <w:bookmarkEnd w:id="608"/>
      <w:r>
        <w:rPr>
          <w:rtl w:val="true"/>
        </w:rPr>
        <w:t>اشارة</w:t>
      </w:r>
      <w:bookmarkEnd w:id="609"/>
    </w:p>
    <w:p>
      <w:pPr>
        <w:pStyle w:val="BookText"/>
        <w:rPr/>
      </w:pPr>
      <w:r>
        <w:rPr>
          <w:rFonts w:ascii="IRNazanin" w:hAnsi="IRNazanin" w:eastAsia="IRNazanin"/>
          <w:color w:val="111111"/>
          <w:sz w:val="28"/>
          <w:sz w:val="28"/>
          <w:szCs w:val="28"/>
          <w:rtl w:val="true"/>
          <w:lang w:bidi="fa-IR"/>
        </w:rPr>
        <w:t>المفهوم من کلمات الفقهاء أنّ الحضانة واجبة،</w:t>
      </w:r>
    </w:p>
    <w:p>
      <w:pPr>
        <w:pStyle w:val="Heading5"/>
        <w:numPr>
          <w:ilvl w:val="4"/>
          <w:numId w:val="1"/>
        </w:numPr>
        <w:rPr/>
      </w:pPr>
      <w:bookmarkStart w:id="610" w:name="__RefHeading___Toc9424236_73709187"/>
      <w:bookmarkStart w:id="611" w:name="_Toc232"/>
      <w:bookmarkEnd w:id="610"/>
      <w:r>
        <w:rPr>
          <w:rtl w:val="true"/>
        </w:rPr>
        <w:t>و یمکن أن یستدلّ علی أصل وجوبها فی الجملة بالأدلّة الأربعة</w:t>
      </w:r>
      <w:r>
        <w:rPr>
          <w:rtl w:val="true"/>
        </w:rPr>
        <w:t>:</w:t>
      </w:r>
      <w:bookmarkEnd w:id="611"/>
    </w:p>
    <w:p>
      <w:pPr>
        <w:pStyle w:val="Heading6"/>
        <w:numPr>
          <w:ilvl w:val="5"/>
          <w:numId w:val="1"/>
        </w:numPr>
        <w:rPr/>
      </w:pPr>
      <w:bookmarkStart w:id="612" w:name="__RefHeading___Toc9424238_73709187"/>
      <w:bookmarkStart w:id="613" w:name="_Toc233"/>
      <w:bookmarkEnd w:id="612"/>
      <w:r>
        <w:rPr>
          <w:rtl w:val="true"/>
        </w:rPr>
        <w:t xml:space="preserve">أ </w:t>
      </w:r>
      <w:r>
        <w:rPr>
          <w:rtl w:val="true"/>
        </w:rPr>
        <w:t xml:space="preserve">- </w:t>
      </w:r>
      <w:r>
        <w:rPr>
          <w:rtl w:val="true"/>
        </w:rPr>
        <w:t>الکتاب</w:t>
      </w:r>
      <w:r>
        <w:rPr>
          <w:rtl w:val="true"/>
        </w:rPr>
        <w:t>:</w:t>
      </w:r>
      <w:bookmarkEnd w:id="613"/>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تُضَارَّ والِدَةٌ بِوَلَدِها وَ لا مَوْلُودٌ لَهُ بِوَلَدِهِ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یستفاد من</w:t>
      </w:r>
      <w:r>
        <w:rPr>
          <w:rStyle w:val="FootnoteAnchor"/>
          <w:rtl w:val="true"/>
        </w:rPr>
        <w:footnoteReference w:id="1393"/>
      </w:r>
      <w:r>
        <w:rPr>
          <w:rFonts w:ascii="IRNazanin" w:hAnsi="IRNazanin" w:eastAsia="IRNazanin"/>
          <w:color w:val="111111"/>
          <w:sz w:val="28"/>
          <w:sz w:val="28"/>
          <w:szCs w:val="28"/>
          <w:rtl w:val="true"/>
          <w:lang w:bidi="fa-IR"/>
        </w:rPr>
        <w:t>هذه الآیة أنّه لا یجوز الضرر علی الولد مطلقاً، سواءً کان من جانب الأب أو الأمّ، و سواء کان من ناحیة الحضانة أو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معلوم أنّ ترک حضانة الطفل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ینجرّ إلی عدم حفظه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علیه، سواء حصل من جانب الأب أو الأمّ أو کلیهما، و هو لا یجوز بمقتضی هذه الآیة، فینتج أنّ الحضانة واجبة و هو المطلوب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الطبرسی فی تفسیر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أی لا تترک الوالدة إرضاع ولدها غیظاً علی أبیه، فتضرّ بولده به؛ لأنّ الوالدة أشفق علیه من الأجنبیة،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مَوْلُودٌ لَهُ بِوَلَدِهِ</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لا یأخذه من امّه طلباً للإضرار بها، فیضرّ بولده، فیکون المضارّة علی هذا بمعنی الإضرار، أی لا تضرّ الوالدة و لا الوالد بالولد</w:t>
      </w:r>
      <w:r>
        <w:rPr>
          <w:rFonts w:eastAsia="IRNazanin" w:cs="IRNazanin"/>
          <w:color w:val="111111"/>
          <w:sz w:val="28"/>
          <w:szCs w:val="28"/>
          <w:rtl w:val="true"/>
          <w:lang w:bidi="fa-IR"/>
        </w:rPr>
        <w:t>»</w:t>
      </w:r>
      <w:r>
        <w:rPr>
          <w:rStyle w:val="FootnoteAnchor"/>
          <w:rtl w:val="true"/>
        </w:rPr>
        <w:footnoteReference w:id="1394"/>
      </w:r>
    </w:p>
    <w:p>
      <w:pPr>
        <w:pStyle w:val="BookText"/>
        <w:rPr/>
      </w:pPr>
      <w:r>
        <w:rPr>
          <w:rFonts w:ascii="IRNazanin" w:hAnsi="IRNazanin" w:eastAsia="IRNazanin"/>
          <w:color w:val="111111"/>
          <w:sz w:val="28"/>
          <w:sz w:val="28"/>
          <w:szCs w:val="28"/>
          <w:rtl w:val="true"/>
          <w:lang w:bidi="fa-IR"/>
        </w:rPr>
        <w:t>و هکذا جاء فی تفسیر المنار بعد التوضیح بأنّ الإضرار عامّ و یشمل إضرار الوالد و الوالدة ولدهما، فالعلّة فی الأحکام السابقة منع الضرار من الجانبین بإعطاء کلّ ذی حقٍّ حقّه بالمعروف، و هو یتناول تحریم کل ما یأتی من أحد الوالدین للإضرار بالآخر، کأن تقصّر هی فی تربیة الولد البدنیة أو النفسیّة لتغیظ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کأن یمنعه هو من أمّه و لو بعد مدّة الرضاع أو الحضانة، فالعبارة نهی عامّ عن المضارّة</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الحاصل أنّ الآیة الکریمة و إن لم یستفاد منها وجوب الحضانة بالمعنی المطابقی، و لکن دلّت علیه بالالتزام؛ لأنّه لا یجوز للأمّ ترک الحضانة غیظاً لأبیه، کما أنّه لا یجوز للأب أیضاً أن یحجب الولد عن أمّه إن تضرّر به، و کذا لا یجوز لهما فعل کلّ ما یتضرّر به الولد، و منه ترک الحضانة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أیضاً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کُنَّ أُولاتِ حَمْلٍ فَأَنْفِقُوا عَلَیْهِنَّ حَتّی یَضَعْنَ حَمْلَهُنَّ فَإِنْ أَرْضَعْنَ لَکُمْ فَآتُوهُنَّ أُجُورَهُنَّ وَ أْتَمِرُوا بَیْنَکُمْ بِمَعْرُوفٍ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وجه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أْتَمِرُوا بَیْنَکُمْ بِمَعْرُوفٍ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یجب علیکم الائتمار و التشاور فی أمر الصبیّ بالمعروف لدفع الضرر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فصدر الآیة الشریفة و إن دلّ علی وجوب النفقة و أجرة الرضاع علی الأزواج، و لکن ذیلها دلّ بالالتزام علی وجوب الحضانة؛ لأنّ الحضانة من الاُمور المعروفة التی یلزم علی الوالدین رعایتها، و یجب علیهم التشاور بشأنها و الإقدام علیها، حتّی لا یتضرّر الولد من ترکها؛ و لذا نقل القرطبی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قیل فی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أْتَمِرُوا</w:t>
      </w:r>
      <w:r>
        <w:rPr>
          <w:rFonts w:eastAsia="IRNazanin" w:cs="IRNazanin"/>
          <w:color w:val="111111"/>
          <w:sz w:val="28"/>
          <w:szCs w:val="28"/>
          <w:rtl w:val="true"/>
          <w:lang w:bidi="fa-IR"/>
        </w:rPr>
        <w:t>...)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ائتمروا فی رضاع الولد فیما بینکم بمعروفٍ حتّی لا یلحق الولد إضرار</w:t>
      </w:r>
      <w:r>
        <w:rPr>
          <w:rFonts w:eastAsia="IRNazanin" w:cs="IRNazanin"/>
          <w:color w:val="111111"/>
          <w:sz w:val="28"/>
          <w:szCs w:val="28"/>
          <w:rtl w:val="true"/>
          <w:lang w:bidi="fa-IR"/>
        </w:rPr>
        <w:t>...»</w:t>
      </w:r>
      <w:r>
        <w:rPr>
          <w:rStyle w:val="FootnoteAnchor"/>
          <w:rtl w:val="true"/>
        </w:rPr>
        <w:footnoteReference w:id="1396"/>
      </w:r>
      <w:bookmarkStart w:id="614" w:name="pg11752_146323"/>
    </w:p>
    <w:p>
      <w:pPr>
        <w:pStyle w:val="BookText"/>
        <w:rPr/>
      </w:pPr>
      <w:bookmarkEnd w:id="614"/>
      <w:r>
        <w:rPr>
          <w:rFonts w:ascii="IRNazanin" w:hAnsi="IRNazanin" w:eastAsia="IRNazanin"/>
          <w:color w:val="111111"/>
          <w:sz w:val="28"/>
          <w:sz w:val="28"/>
          <w:szCs w:val="28"/>
          <w:rtl w:val="true"/>
          <w:lang w:bidi="fa-IR"/>
        </w:rPr>
        <w:t>و قال فی مجمع البیان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الأقوی عندی أن یکون المعنی دبّروا بالمعروف بینکم فی أمر الولد و مراعاة أمّه حتّی لا یفوت الولد شفقتها و غیر ذلک</w:t>
      </w:r>
      <w:r>
        <w:rPr>
          <w:rFonts w:eastAsia="IRNazanin" w:cs="IRNazanin"/>
          <w:color w:val="111111"/>
          <w:sz w:val="28"/>
          <w:szCs w:val="28"/>
          <w:rtl w:val="true"/>
          <w:lang w:bidi="fa-IR"/>
        </w:rPr>
        <w:t>»</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أیضاً یمکن أن یقال فی وجه الاستدلال بالآیة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أوجب اللّه سبحانه و تعالی علی الآباء و الاُمّهات مراعاة الرابطة العاطفیة بینهم و بین أولادهم و الاهتمام بها، فیستکشف منه بطریق أولی وجوب حفظهم و حضانتهم و هو المطلوب</w:t>
      </w:r>
      <w:r>
        <w:rPr>
          <w:rFonts w:eastAsia="IRNazanin" w:cs="IRNazanin"/>
          <w:color w:val="111111"/>
          <w:sz w:val="28"/>
          <w:szCs w:val="28"/>
          <w:rtl w:val="true"/>
          <w:lang w:bidi="fa-IR"/>
        </w:rPr>
        <w:t>.</w:t>
      </w:r>
    </w:p>
    <w:p>
      <w:pPr>
        <w:pStyle w:val="Heading6"/>
        <w:numPr>
          <w:ilvl w:val="5"/>
          <w:numId w:val="1"/>
        </w:numPr>
        <w:rPr/>
      </w:pPr>
      <w:bookmarkStart w:id="615" w:name="__RefHeading___Toc9424240_73709187"/>
      <w:bookmarkStart w:id="616" w:name="_Toc234"/>
      <w:bookmarkEnd w:id="615"/>
      <w:r>
        <w:rPr>
          <w:rtl w:val="true"/>
        </w:rPr>
        <w:t xml:space="preserve">ب </w:t>
      </w:r>
      <w:r>
        <w:rPr>
          <w:rtl w:val="true"/>
        </w:rPr>
        <w:t xml:space="preserve">- </w:t>
      </w:r>
      <w:r>
        <w:rPr>
          <w:rtl w:val="true"/>
        </w:rPr>
        <w:t>السنّة</w:t>
      </w:r>
      <w:r>
        <w:rPr>
          <w:rtl w:val="true"/>
        </w:rPr>
        <w:t>:</w:t>
      </w:r>
      <w:bookmarkEnd w:id="616"/>
    </w:p>
    <w:p>
      <w:pPr>
        <w:pStyle w:val="BookText"/>
        <w:rPr/>
      </w:pPr>
      <w:r>
        <w:rPr>
          <w:rFonts w:ascii="IRNazanin" w:hAnsi="IRNazanin" w:eastAsia="IRNazanin"/>
          <w:color w:val="111111"/>
          <w:sz w:val="28"/>
          <w:sz w:val="28"/>
          <w:szCs w:val="28"/>
          <w:rtl w:val="true"/>
          <w:lang w:bidi="fa-IR"/>
        </w:rPr>
        <w:t xml:space="preserve">لا یوجد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تتبّعنا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صریح دلّ علی وجوب الحضانة، بل الموجود نصوص دالّة علی أصل استحقاق الحضانة، کما قال الشهید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فی الأخبار ما یدلّ علی غیر ثبوت أصل الاستحقاق</w:t>
      </w:r>
      <w:r>
        <w:rPr>
          <w:rFonts w:eastAsia="IRNazanin" w:cs="IRNazanin"/>
          <w:color w:val="111111"/>
          <w:sz w:val="28"/>
          <w:szCs w:val="28"/>
          <w:rtl w:val="true"/>
          <w:lang w:bidi="fa-IR"/>
        </w:rPr>
        <w:t>»</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أیّ تقدیرٍ، الأخبار التی یمکن أن یستفاد منها ثبوت أصل الاستحقاق بالمطابقة، و وجوب الحضانة بالالتزام کثیرة، نذکر الأهمّ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التی هی صحیحة أو معتبرة سنداً و کانت دلالتها ظاهرة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صحیحة أیوب بن نوح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إلیه 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لی امرأة ولی منها ولد و خلّیت سبیلها، فکتب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أحقّ بالولد إلی أن یبلغ سبع سنین، إلاّ أن تشاء المرأة</w:t>
      </w:r>
      <w:r>
        <w:rPr>
          <w:rFonts w:eastAsia="IRNazanin" w:cs="IRNazanin"/>
          <w:color w:val="111111"/>
          <w:sz w:val="28"/>
          <w:szCs w:val="28"/>
          <w:rtl w:val="true"/>
          <w:lang w:bidi="fa-IR"/>
        </w:rPr>
        <w:t>»</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صحیحة داود الرقّی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امرأة حرّة نکحت عبداً فأولدها أولاداً، ثمّ إنّه طلّقها فلم تقم مع ولدها و تزوّجت، فلمّا بلغ العبد أنّها تزوّجت أراد أن یأخذ ولده منها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أحقّ بهم منک إن تزوّجت،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للعبد أن یأخذ منها ولدها و إن تزوّجت حتّی یعتق، هی أحقّ بولدها منه ما دام مملوکاً، فإذا اعتق فهو أحقّ بهم منها</w:t>
      </w:r>
      <w:r>
        <w:rPr>
          <w:rFonts w:eastAsia="IRNazanin" w:cs="IRNazanin"/>
          <w:color w:val="111111"/>
          <w:sz w:val="28"/>
          <w:szCs w:val="28"/>
          <w:rtl w:val="true"/>
          <w:lang w:bidi="fa-IR"/>
        </w:rPr>
        <w:t>»</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روایة أبی الصباح الکنانی،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طلّق الرجل المرأة و هی حبلی أنفق علیها حتّی تضع حملها، و إذا وضعته أعطاها أجرها و لا یضارّها إلاّ أن یجد من هو أرخص أجراً منها، فإن هی رضیت بذلک الأجر فهی أحقّ بابنها حتّی تفطمه</w:t>
      </w:r>
      <w:r>
        <w:rPr>
          <w:rFonts w:eastAsia="IRNazanin" w:cs="IRNazanin"/>
          <w:color w:val="111111"/>
          <w:sz w:val="28"/>
          <w:szCs w:val="28"/>
          <w:rtl w:val="true"/>
          <w:lang w:bidi="fa-IR"/>
        </w:rPr>
        <w:t>»</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صحیحة الحلبی، عن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الحبلی المطلّقة ینفق علیها حتی تضع حملها، و هی أحقّ بولدها حتّی ترضعه بما تقبله امرأة اخری، إنّ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تُضَارَّ والِدَةٌ بِوَلَدِها وَ لا مَوْلُودٌ لَهُ بِوَلَدِهِ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المنقری، عمّن ذکره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 اللّه علیه السلام عن الرجل یطلّق امرأته و بینهما ولد أیّهما أحقّ بالولد؟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أحقّ بالولد ما لم تتزوّج</w:t>
      </w:r>
      <w:r>
        <w:rPr>
          <w:rFonts w:eastAsia="IRNazanin" w:cs="IRNazanin"/>
          <w:color w:val="111111"/>
          <w:sz w:val="28"/>
          <w:szCs w:val="28"/>
          <w:rtl w:val="true"/>
          <w:lang w:bidi="fa-IR"/>
        </w:rPr>
        <w:t>»</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معناها غیرها من الروایات التی اقتصرنا منها علی هذا القدر، و من أراد المزید فلیراجع المصادر الحدیثیّة کالوسائل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الاستدلال بهذه الروایات علی وجوب الحضانة یتوقّف علی بیان أمرین</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الحضانة کانت من الاُمور الطبیعیّة و الفطریّة، بمعنی أنّ الآباء و الأمّهات یحبّون حفظ أولادهم من البلایا و الآفات، و یسعون فی تدبیر شئونهم</w:t>
      </w:r>
    </w:p>
    <w:p>
      <w:pPr>
        <w:pStyle w:val="BookText"/>
        <w:rPr/>
      </w:pPr>
      <w:r>
        <w:rPr>
          <w:rFonts w:ascii="IRNazanin" w:hAnsi="IRNazanin" w:eastAsia="IRNazanin"/>
          <w:color w:val="111111"/>
          <w:sz w:val="28"/>
          <w:sz w:val="28"/>
          <w:szCs w:val="28"/>
          <w:rtl w:val="true"/>
          <w:lang w:bidi="fa-IR"/>
        </w:rPr>
        <w:t>من تنظیفهم و غسل ثیابهم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لا یختصّ بالإنسان فقط، بل الحیوان أیضاً کذلک یسعی فی حفظ أولاده و یهیّئ لهم کلّ ما یحتاجون إلیه من الماء و الغذاء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تدبّرنا فی الروایات الواردة فی الباب و بالالتفات إلی سیاقها و إلی ما یسأله السائل، الذی کانت أسئلته منصّبةً فی الغالب علی حکم انفصال الولد من الأم و خاصّة بعد الزواج الثانی، یعلم أنّ لزوم الحضانة عند الإمام علیه السلام و عند السائل کان أمراً معلوماً و قطعیاً؛ و لذا بیّن الإمام علیه السلام مَن هو الأحقّ فیها، و أیّ الوالدین أکثر استحقاقاً من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الدلیل علی ما قلنا کثرة سؤال السائل عمّن یستحقّ الحضانة هل الأمّ أو الأب بعد أن کان وجوبها واضحاً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یجب علی الإمام بیان هذا الوجوب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دلّت</w:t>
      </w:r>
      <w:r>
        <w:rPr>
          <w:rStyle w:val="FootnoteAnchor"/>
          <w:rtl w:val="true"/>
        </w:rPr>
        <w:footnoteReference w:id="1404"/>
      </w:r>
      <w:r>
        <w:rPr>
          <w:rFonts w:ascii="IRNazanin" w:hAnsi="IRNazanin" w:eastAsia="IRNazanin"/>
          <w:color w:val="111111"/>
          <w:sz w:val="28"/>
          <w:sz w:val="28"/>
          <w:szCs w:val="28"/>
          <w:rtl w:val="true"/>
          <w:lang w:bidi="fa-IR"/>
        </w:rPr>
        <w:t>هذه الروایات بمضمونها و سیاقها علی وجوب الحضانة، و أنّ وجوبها مفروغ عنه عند السائل و الإمام علیه السلام، و قد سئل فیها عمّن یستحقّ الحضانة إذا اختلف الزوجان فی أمرها أو تشاجرا أو طلّق الزوج 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لها منه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یمکن أن یستفاد وجوب الحضانة من صحیحة الحلبی خاصّة</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تقریره أن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حکم الإمام علیه السلام فیها بأحقیّة الزوجة المطلَّقة بإرضاع ولدها إن أخذت الأجرة بما تقبلها غیرها، و علّل هذا الحکم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تُضَارَّ والِدَةٌ بِوَلَدِها وَ لا مَوْلُودٌ لَهُ بِوَلَدِهِ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الآیة تحرّم الإضرار بالولد، سواء کان من جانب الأب أو الأمّ، کما أوضحناه سابقاً، و حرمة الإضرار مطلق یشمل الإضرار من ناحیة ترک الحضانة أیضاً بتعبیر آخر، کما أنّ الآیة تدلّ علی حرمة</w:t>
      </w:r>
      <w:bookmarkStart w:id="617" w:name="pg11752_146326"/>
    </w:p>
    <w:p>
      <w:pPr>
        <w:pStyle w:val="BookText"/>
        <w:rPr/>
      </w:pPr>
      <w:bookmarkEnd w:id="617"/>
      <w:r>
        <w:rPr>
          <w:rFonts w:ascii="IRNazanin" w:hAnsi="IRNazanin" w:eastAsia="IRNazanin"/>
          <w:color w:val="111111"/>
          <w:sz w:val="28"/>
          <w:sz w:val="28"/>
          <w:szCs w:val="28"/>
          <w:rtl w:val="true"/>
          <w:lang w:bidi="fa-IR"/>
        </w:rPr>
        <w:t>الرضاع؛ لأنّه إضرار بالولد، و تدلّ علی حرمة ترک الحضانة أیضاً، و بهذا الدلیل یثبت وجوب الحضانة و هو المطلوب</w:t>
      </w:r>
      <w:r>
        <w:rPr>
          <w:rFonts w:eastAsia="IRNazanin" w:cs="IRNazanin"/>
          <w:color w:val="111111"/>
          <w:sz w:val="28"/>
          <w:szCs w:val="28"/>
          <w:rtl w:val="true"/>
          <w:lang w:bidi="fa-IR"/>
        </w:rPr>
        <w:t>.</w:t>
      </w:r>
    </w:p>
    <w:p>
      <w:pPr>
        <w:pStyle w:val="Heading6"/>
        <w:numPr>
          <w:ilvl w:val="5"/>
          <w:numId w:val="1"/>
        </w:numPr>
        <w:rPr/>
      </w:pPr>
      <w:bookmarkStart w:id="618" w:name="__RefHeading___Toc9424242_73709187"/>
      <w:bookmarkStart w:id="619" w:name="_Toc235"/>
      <w:bookmarkEnd w:id="618"/>
      <w:r>
        <w:rPr>
          <w:rtl w:val="true"/>
        </w:rPr>
        <w:t xml:space="preserve">ج </w:t>
      </w:r>
      <w:r>
        <w:rPr>
          <w:rtl w:val="true"/>
        </w:rPr>
        <w:t xml:space="preserve">- </w:t>
      </w:r>
      <w:r>
        <w:rPr>
          <w:rtl w:val="true"/>
        </w:rPr>
        <w:t>العقل</w:t>
      </w:r>
      <w:r>
        <w:rPr>
          <w:rtl w:val="true"/>
        </w:rPr>
        <w:t>:</w:t>
      </w:r>
      <w:bookmarkEnd w:id="619"/>
    </w:p>
    <w:p>
      <w:pPr>
        <w:pStyle w:val="BookText"/>
        <w:rPr/>
      </w:pPr>
      <w:r>
        <w:rPr>
          <w:rFonts w:ascii="IRNazanin" w:hAnsi="IRNazanin" w:eastAsia="IRNazanin"/>
          <w:color w:val="111111"/>
          <w:sz w:val="28"/>
          <w:sz w:val="28"/>
          <w:szCs w:val="28"/>
          <w:rtl w:val="true"/>
          <w:lang w:bidi="fa-IR"/>
        </w:rPr>
        <w:t>یحکم العقل</w:t>
      </w:r>
      <w:r>
        <w:rPr>
          <w:rStyle w:val="FootnoteAnchor"/>
          <w:rtl w:val="true"/>
        </w:rPr>
        <w:footnoteReference w:id="1405"/>
      </w:r>
      <w:r>
        <w:rPr>
          <w:rFonts w:ascii="IRNazanin" w:hAnsi="IRNazanin" w:eastAsia="IRNazanin"/>
          <w:color w:val="111111"/>
          <w:sz w:val="28"/>
          <w:sz w:val="28"/>
          <w:szCs w:val="28"/>
          <w:rtl w:val="true"/>
          <w:lang w:bidi="fa-IR"/>
        </w:rPr>
        <w:t>بأنّ الطفل فی هذه الفترة من حیاته یکون أکثر احتیاجاً للحضانة من غیرها من الأوقات؛ و لهذا تجب رعایتها و إقامتها من جانب الأبوین اللذین هما أرأف الناس به خصوصاً الأم فی هذه الجهة</w:t>
      </w:r>
      <w:r>
        <w:rPr>
          <w:rStyle w:val="FootnoteAnchor"/>
          <w:rtl w:val="true"/>
        </w:rPr>
        <w:footnoteReference w:id="14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أنّ سیرة العقلاء و دَیْدن المتشرّعة أنّه یلزم علی الأبوین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بعدهما علی سائر الأرحام الأقرب فالأقرب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الصغار و تربیتهم و تدبیر شئونهم، و یذمّون مَن لا یعمل بوظیفته هذه فی هذا المجال، بحیث صار ترک هذا العمل أمراً قبیحاً عند العقلاء</w:t>
      </w:r>
      <w:r>
        <w:rPr>
          <w:rFonts w:eastAsia="IRNazanin" w:cs="IRNazanin"/>
          <w:color w:val="111111"/>
          <w:sz w:val="28"/>
          <w:szCs w:val="28"/>
          <w:rtl w:val="true"/>
          <w:lang w:bidi="fa-IR"/>
        </w:rPr>
        <w:t>.</w:t>
      </w:r>
    </w:p>
    <w:p>
      <w:pPr>
        <w:pStyle w:val="Heading6"/>
        <w:numPr>
          <w:ilvl w:val="5"/>
          <w:numId w:val="1"/>
        </w:numPr>
        <w:rPr/>
      </w:pPr>
      <w:bookmarkStart w:id="620" w:name="__RefHeading___Toc9424244_73709187"/>
      <w:bookmarkStart w:id="621" w:name="_Toc236"/>
      <w:bookmarkEnd w:id="620"/>
      <w:r>
        <w:rPr>
          <w:rtl w:val="true"/>
        </w:rPr>
        <w:t xml:space="preserve">د </w:t>
      </w:r>
      <w:r>
        <w:rPr>
          <w:rtl w:val="true"/>
        </w:rPr>
        <w:t xml:space="preserve">- </w:t>
      </w:r>
      <w:r>
        <w:rPr>
          <w:rtl w:val="true"/>
        </w:rPr>
        <w:t>الإجماع</w:t>
      </w:r>
      <w:bookmarkEnd w:id="621"/>
    </w:p>
    <w:p>
      <w:pPr>
        <w:pStyle w:val="BookText"/>
        <w:rPr/>
      </w:pPr>
      <w:r>
        <w:rPr>
          <w:rFonts w:ascii="IRNazanin" w:hAnsi="IRNazanin" w:eastAsia="IRNazanin"/>
          <w:color w:val="111111"/>
          <w:sz w:val="28"/>
          <w:sz w:val="28"/>
          <w:szCs w:val="28"/>
          <w:rtl w:val="true"/>
          <w:lang w:bidi="fa-IR"/>
        </w:rPr>
        <w:t>عند ملاحظة کلمات الفقهاء و التدبّر فیها یعلم اتّفاقهم علی وجوب الحضانة، و أنّه أمر متسالم علیه عندهم، و لأجل هذا فإنّ أکثرهم لم یتعرّضوا لحکمها، بل بحثوا عمّن هو مستحقّ للحضانة و الشرائط اللازمة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الشهید رحمه الله فی الروضة نقلاً عن القواعد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امتنعت الأم من الحضانة صار الأب أولی به، و لو امتنعا معاً فالظاهر إجبار الأب</w:t>
      </w:r>
      <w:r>
        <w:rPr>
          <w:rFonts w:eastAsia="IRNazanin" w:cs="IRNazanin"/>
          <w:color w:val="111111"/>
          <w:sz w:val="28"/>
          <w:szCs w:val="28"/>
          <w:rtl w:val="true"/>
          <w:lang w:bidi="fa-IR"/>
        </w:rPr>
        <w:t>»</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نقل عن بعض الأصحاب وجوبها، و هو حسن حیث یستلزم ترکها تضییع</w:t>
      </w:r>
      <w:bookmarkStart w:id="622" w:name="pg11752_146327"/>
    </w:p>
    <w:p>
      <w:pPr>
        <w:pStyle w:val="BookText"/>
        <w:rPr/>
      </w:pPr>
      <w:bookmarkEnd w:id="622"/>
      <w:r>
        <w:rPr>
          <w:rFonts w:ascii="IRNazanin" w:hAnsi="IRNazanin" w:eastAsia="IRNazanin"/>
          <w:color w:val="111111"/>
          <w:sz w:val="28"/>
          <w:sz w:val="28"/>
          <w:szCs w:val="28"/>
          <w:rtl w:val="true"/>
          <w:lang w:bidi="fa-IR"/>
        </w:rPr>
        <w:t>الولد إلاّ أنّ حضانته حینئذٍ تجب کفایةً کغیره من المضطرّین، و فی اختصاص الوجوب بذی الحقّ نظر</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صاحب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إشکال فی أمرها کما فی کشف اللثام</w:t>
      </w:r>
      <w:r>
        <w:rPr>
          <w:rFonts w:eastAsia="IRNazanin" w:cs="IRNazanin"/>
          <w:color w:val="111111"/>
          <w:sz w:val="28"/>
          <w:szCs w:val="28"/>
          <w:rtl w:val="true"/>
          <w:lang w:bidi="fa-IR"/>
        </w:rPr>
        <w:t>»</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فی مهذّب الأحکام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الإجماع فظاهرهم التسالم علی أصل الحکم فی الجملة و إن تشتّت کلماتهم</w:t>
      </w:r>
      <w:r>
        <w:rPr>
          <w:rFonts w:eastAsia="IRNazanin" w:cs="IRNazanin"/>
          <w:color w:val="111111"/>
          <w:sz w:val="28"/>
          <w:szCs w:val="28"/>
          <w:rtl w:val="true"/>
          <w:lang w:bidi="fa-IR"/>
        </w:rPr>
        <w:t>»</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مع ذلک کلّه لم یثبت إجماع فی المسألة؛ لأنّ بعضهم لم یتعرّضوا لحکمها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الإجماع الذی ادّعی فی کلمات بعضهم کان مستنداً، و هو لیس بدلیل آخر غیر الروایات، فالأولی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اشتهرت فتوی الفقهاء علی وجوب الحضانة فی الجملة، و لا یکون فی المسألة إجماع</w:t>
      </w:r>
      <w:r>
        <w:rPr>
          <w:rFonts w:eastAsia="IRNazanin" w:cs="IRNazanin"/>
          <w:color w:val="111111"/>
          <w:sz w:val="28"/>
          <w:szCs w:val="28"/>
          <w:rtl w:val="true"/>
          <w:lang w:bidi="fa-IR"/>
        </w:rPr>
        <w:t>.</w:t>
      </w:r>
    </w:p>
    <w:p>
      <w:pPr>
        <w:pStyle w:val="Heading5"/>
        <w:numPr>
          <w:ilvl w:val="4"/>
          <w:numId w:val="1"/>
        </w:numPr>
        <w:rPr/>
      </w:pPr>
      <w:bookmarkStart w:id="623" w:name="__RefHeading___Toc9424246_73709187"/>
      <w:bookmarkStart w:id="624" w:name="_Toc237"/>
      <w:bookmarkEnd w:id="623"/>
      <w:r>
        <w:rPr>
          <w:rtl w:val="true"/>
        </w:rPr>
        <w:t>هل وجوب الحضانة عینی أم کفائی؟</w:t>
      </w:r>
      <w:bookmarkEnd w:id="624"/>
    </w:p>
    <w:p>
      <w:pPr>
        <w:pStyle w:val="BookText"/>
        <w:rPr/>
      </w:pPr>
      <w:r>
        <w:rPr>
          <w:rFonts w:ascii="IRNazanin" w:hAnsi="IRNazanin" w:eastAsia="IRNazanin"/>
          <w:color w:val="111111"/>
          <w:sz w:val="28"/>
          <w:sz w:val="28"/>
          <w:szCs w:val="28"/>
          <w:rtl w:val="true"/>
          <w:lang w:bidi="fa-IR"/>
        </w:rPr>
        <w:t>ثبت مما ذکرنا أنّ وجوب الحضانة فی الجملة متّفق علیه عند الفقهاء من المتقدّمین و المتأخّرین و المعاصرین، و لعلّ عدم ذکره فی کلمات بعضهم؛ لبداهته، و لأنّه متسالم عندهم، و هکذا یظهر من الأدلّة أنّ وجوبه کفائی، بمعنی أنّ الشارع لا یرضی أن تختلّ أمور الطفل من تنظیفه و تدبیر شئونه و حفظه و ما یتعلّق بذلک، فإذا قام بها أحد الأبوین سقط عن الآخر</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کان الأبوان موجودین و کانا واجدین لشرائط الحضانة، فالوجوب فی حقّهما فعلیّ، و إن کانت الأمّ أحقّ بالحضانة فإذا اختارتها سقطت عن الأب؛ لقوله علیه السلام فی صحیحة أیّوب بن نوح المتقدّمة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أحقّ</w:t>
      </w:r>
      <w:bookmarkStart w:id="625" w:name="pg11752_146328"/>
    </w:p>
    <w:p>
      <w:pPr>
        <w:pStyle w:val="BookText"/>
        <w:rPr/>
      </w:pPr>
      <w:bookmarkEnd w:id="625"/>
      <w:r>
        <w:rPr>
          <w:rFonts w:ascii="IRNazanin" w:hAnsi="IRNazanin" w:eastAsia="IRNazanin"/>
          <w:color w:val="111111"/>
          <w:sz w:val="28"/>
          <w:sz w:val="28"/>
          <w:szCs w:val="28"/>
          <w:rtl w:val="true"/>
          <w:lang w:bidi="fa-IR"/>
        </w:rPr>
        <w:t>بالولد إلی أن یبلغ سبع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ما جاء فی الخبرین المتقدّمین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أبی الصباح الکنانی و المنقری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أحقّ بابنها حتّی تفطمه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أحقّ بالولد ما لم تتزوج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جاء فی حدیث عبد اللّه بن عمر أنّ امرأة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ابنی هذا کان بطنی له وعاء و ثدیی له سقاء، و حجری له حواء، و أنّ أباه طلّقنی و أراد أن ینتزعه منّی، فقال لها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أحقّ به ما لم تنکحی</w:t>
      </w:r>
      <w:r>
        <w:rPr>
          <w:rFonts w:eastAsia="IRNazanin" w:cs="IRNazanin"/>
          <w:color w:val="111111"/>
          <w:sz w:val="28"/>
          <w:szCs w:val="28"/>
          <w:rtl w:val="true"/>
          <w:lang w:bidi="fa-IR"/>
        </w:rPr>
        <w:t>»</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فعلی هذا إذا فطم الولد أو بلغ سبع سنین إن کان أنثی، أو امتنعت الأمّ من الحضانة، أو فقدت شرائطها فیختصّ الوجوب بالأب؛ لأنّ الولد منتسب إلیه و هو أصله؛ لقوله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حقّ أبیک فإن تعلم أنّه أصلک فإنّک لولاه لم تکن، فمهما رأیت فی نفسک ما یعجبک فاعلم أنّ أباک أصل النعمة علیک فیه</w:t>
      </w:r>
      <w:r>
        <w:rPr>
          <w:rFonts w:eastAsia="IRNazanin" w:cs="IRNazanin"/>
          <w:color w:val="111111"/>
          <w:sz w:val="28"/>
          <w:szCs w:val="28"/>
          <w:rtl w:val="true"/>
          <w:lang w:bidi="fa-IR"/>
        </w:rPr>
        <w:t>»</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فی بعض الموارد اختصّ الوجوب بالأمّ، مثل أن مات الأب أو ارتدّ أو لم یقدر علی الحضانة و لم یکن للولد جدّ، فی هذه الأحوال وجب علی الأم حضانة الطفل و کفالته عیناً، و لو امتنعت فعلی الحاکم إجبارها؛ حفظاً لرعایة مصالح الطفل، و دفعاً لتضییع حقوقه، کما أنّه کان للحاکم إجبار الأب بحضانة ولده إذا لم تحضنه امّه لمانع، من امتناعها أو فقد شرائطها أو ارتدادها أو عدم القدرة علیها و نحو ذلک، کما تقدّم عن الشهید رحمه الله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امتنعت الأمّ من الحضانة صار الأب أولی، و لو امتنعا معاً فالظاهر إجبار الأب</w:t>
      </w:r>
      <w:r>
        <w:rPr>
          <w:rFonts w:eastAsia="IRNazanin" w:cs="IRNazanin"/>
          <w:color w:val="111111"/>
          <w:sz w:val="28"/>
          <w:szCs w:val="28"/>
          <w:rtl w:val="true"/>
          <w:lang w:bidi="fa-IR"/>
        </w:rPr>
        <w:t>».</w:t>
      </w:r>
    </w:p>
    <w:p>
      <w:pPr>
        <w:pStyle w:val="Heading5"/>
        <w:numPr>
          <w:ilvl w:val="4"/>
          <w:numId w:val="1"/>
        </w:numPr>
        <w:rPr/>
      </w:pPr>
      <w:bookmarkStart w:id="626" w:name="__RefHeading___Toc9424248_73709187"/>
      <w:bookmarkStart w:id="627" w:name="_Toc238"/>
      <w:bookmarkEnd w:id="626"/>
      <w:r>
        <w:rPr>
          <w:rtl w:val="true"/>
        </w:rPr>
        <w:t>هل الحضانة حکم أو حقّ؟</w:t>
      </w:r>
      <w:bookmarkEnd w:id="627"/>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ظهر ممّا ذکرنا من الأدلّة و کلمات الفقهاء أن الحضانة 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عرّف بعض الفقهاء الحکم بأنّه جعل بالتکلیف أو بالوضع متعلّق بفعل الإنسان من حیث المنع عنه و الرخصة فیه أو ترتّب الأثر علیه</w:t>
      </w:r>
      <w:r>
        <w:rPr>
          <w:rFonts w:eastAsia="IRNazanin" w:cs="IRNazanin"/>
          <w:color w:val="111111"/>
          <w:sz w:val="28"/>
          <w:szCs w:val="28"/>
          <w:rtl w:val="true"/>
          <w:lang w:bidi="fa-IR"/>
        </w:rPr>
        <w:t>»</w:t>
      </w:r>
      <w:r>
        <w:rPr>
          <w:rStyle w:val="FootnoteAnchor"/>
          <w:rtl w:val="true"/>
        </w:rPr>
        <w:footnoteReference w:id="1413"/>
      </w:r>
      <w:r>
        <w:rPr>
          <w:rFonts w:ascii="IRNazanin" w:hAnsi="IRNazanin" w:eastAsia="IRNazanin"/>
          <w:color w:val="111111"/>
          <w:sz w:val="28"/>
          <w:sz w:val="28"/>
          <w:szCs w:val="28"/>
          <w:rtl w:val="true"/>
          <w:lang w:bidi="fa-IR"/>
        </w:rPr>
        <w:t>، و قال بعض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الحکم هو الاعتبار المتعلّق بأفعال العباد، و أمّا الحقّ فهو علاقة اختصاصیّة یثبت بها الشرع سلطة علی شیء فی حدود معیّنة و تسقط بالإسقاط</w:t>
      </w:r>
      <w:r>
        <w:rPr>
          <w:rFonts w:eastAsia="IRNazanin" w:cs="IRNazanin"/>
          <w:color w:val="111111"/>
          <w:sz w:val="28"/>
          <w:szCs w:val="28"/>
          <w:rtl w:val="true"/>
          <w:lang w:bidi="fa-IR"/>
        </w:rPr>
        <w:t>»</w:t>
      </w:r>
      <w:r>
        <w:rPr>
          <w:rStyle w:val="FootnoteAnchor"/>
          <w:rtl w:val="true"/>
        </w:rPr>
        <w:footnoteReference w:id="1414"/>
      </w:r>
      <w:r>
        <w:rPr>
          <w:rFonts w:ascii="IRNazanin" w:hAnsi="IRNazanin" w:eastAsia="IRNazanin"/>
          <w:color w:val="111111"/>
          <w:sz w:val="28"/>
          <w:sz w:val="28"/>
          <w:szCs w:val="28"/>
          <w:rtl w:val="true"/>
          <w:lang w:bidi="fa-IR"/>
        </w:rPr>
        <w:t xml:space="preserve">، و عرّف المحقّق الأصفهانی الحقوق بأنّها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اعتبارات خاصّة فی موارد مخصوصة</w:t>
      </w:r>
      <w:r>
        <w:rPr>
          <w:rFonts w:eastAsia="IRNazanin" w:cs="IRNazanin"/>
          <w:color w:val="111111"/>
          <w:sz w:val="28"/>
          <w:szCs w:val="28"/>
          <w:rtl w:val="true"/>
          <w:lang w:bidi="fa-IR"/>
        </w:rPr>
        <w:t>»</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 للبحث عن الحکم و الحقّ بمعناهما المصطلح عند الفقهاء و تعریفهما الجامع و کذا البحث عن تفاوتهما مجال</w:t>
      </w:r>
      <w:r>
        <w:rPr>
          <w:rStyle w:val="FootnoteAnchor"/>
          <w:rtl w:val="true"/>
        </w:rPr>
        <w:footnoteReference w:id="1416"/>
      </w:r>
      <w:r>
        <w:rPr>
          <w:rFonts w:ascii="IRNazanin" w:hAnsi="IRNazanin" w:eastAsia="IRNazanin"/>
          <w:color w:val="111111"/>
          <w:sz w:val="28"/>
          <w:sz w:val="28"/>
          <w:szCs w:val="28"/>
          <w:rtl w:val="true"/>
          <w:lang w:bidi="fa-IR"/>
        </w:rPr>
        <w:t>واسع لسنا الآن فی صدد بیانها، و لهما آثار و أهمّها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کون اختیار الحکم للحاکم، و لکن الحقّ یکون بید من له الحقّ‌</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الحقّ فی نفسه یقبل الإسقاط‌</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بعض الموارد یسقط الحکم بدلیل تعلّقه بموضوعٍ خاصّ، و هو غیر الإسقاط، و بتعبیر آخر ینتفی الحکم بانتفاء موضوعه</w:t>
      </w:r>
      <w:r>
        <w:rPr>
          <w:rStyle w:val="FootnoteAnchor"/>
          <w:rtl w:val="true"/>
        </w:rPr>
        <w:footnoteReference w:id="141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شُکّ فی أنّه هل یقبل الإسقاط أم لا؟ فالأصل یقتضی عدم سقوطه و یحمل علیه آثار الحکم</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لیُعلم أنّ المقصود من الحقّ هو الحقّ الذی بمعنی سلطنة مجعولة للإنسان علی غیره، الذی هو فی مقابل الحکم لا مطلق الحقّ حتّی یشمل الحقّ المسامحی العرفی، مثل حقّ الجار و ما شابه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ذکر هذا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یستفاد من الأدلّة أنّ الحضانة حکم، بمعنی أنّه یجب علی الآباء و الأمّهات حضانة أولادهم علی التفصیل الذی ذکرناه، و ملخّصه أنّ فی ترک الحضانة ضرر علی الطفل، و هو منهیّ عنه بحکم الآیات و الروایات و السیرة و الإجماع، فالحضانة واجبة، و لذا لا یکون قابلاً للإسقاط من جانب الأبوین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عبّر عنه فی الروایات بالحقّ مع أنّه حکم؟</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التعبیر بالحقّ إمّا من باب التسامح العرفی، و إمّا من جهة أنّه کان بالنسبة الیهما ذا جهتین، أی حکم من جهةٍ و حقّ من جهةٍ أخری، مثلاً إذا کان الأب واجداً لشرائط الحضانة و اختارها فللأمّ إسقاط حقّها و إن کانت واجبة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لم یکن کذلک مثل أن یکون الأب قد ارتدّ أو فقد شرائط الحضانة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امتنعا معاً یجبر الحاکم الشرعی الأب بإقامتها إن وجد المصلحة فی ذلک، قال فی الریاض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امتنعت الاُمّ من الحضانة صار الأب أولی به، و لو امتنعا معاً فالظاهر إجبار الأب، و نقل عن بعض الأصحاب وجوبها، و هو حسن؛ حیث یستلزم ترکها تضییع الولد إلاّ أنّ حضانته تجب کفایةً کغیره من المضطرّین</w:t>
      </w:r>
      <w:r>
        <w:rPr>
          <w:rFonts w:eastAsia="IRNazanin" w:cs="IRNazanin"/>
          <w:color w:val="111111"/>
          <w:sz w:val="28"/>
          <w:szCs w:val="28"/>
          <w:rtl w:val="true"/>
          <w:lang w:bidi="fa-IR"/>
        </w:rPr>
        <w:t>»</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المهذّب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امتنعا معاً یجبر الحاکم الشرعی الأب بها إن وجد</w:t>
      </w:r>
      <w:bookmarkStart w:id="628" w:name="pg11752_146331"/>
    </w:p>
    <w:p>
      <w:pPr>
        <w:pStyle w:val="BookText"/>
        <w:rPr/>
      </w:pPr>
      <w:bookmarkEnd w:id="628"/>
      <w:r>
        <w:rPr>
          <w:rFonts w:ascii="IRNazanin" w:hAnsi="IRNazanin" w:eastAsia="IRNazanin"/>
          <w:color w:val="111111"/>
          <w:sz w:val="28"/>
          <w:sz w:val="28"/>
          <w:szCs w:val="28"/>
          <w:rtl w:val="true"/>
          <w:lang w:bidi="fa-IR"/>
        </w:rPr>
        <w:t>المصلحة فی ذلک؛ لأنّه حینئذٍ من الأمور الحسبیّة، و لا ریب فی ثبوت ولایته فیهما</w:t>
      </w:r>
      <w:r>
        <w:rPr>
          <w:rFonts w:eastAsia="IRNazanin" w:cs="IRNazanin"/>
          <w:color w:val="111111"/>
          <w:sz w:val="28"/>
          <w:szCs w:val="28"/>
          <w:rtl w:val="true"/>
          <w:lang w:bidi="fa-IR"/>
        </w:rPr>
        <w:t>»</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9" w:name="__RefHeading___Toc9424250_73709187"/>
      <w:bookmarkStart w:id="630" w:name="_Toc239"/>
      <w:bookmarkEnd w:id="629"/>
      <w:r>
        <w:rPr>
          <w:rtl w:val="true"/>
        </w:rPr>
        <w:t>رأی فقهاء أهل السنّة فی وجوب الحضانة</w:t>
      </w:r>
      <w:bookmarkEnd w:id="630"/>
    </w:p>
    <w:p>
      <w:pPr>
        <w:pStyle w:val="BookText"/>
        <w:rPr/>
      </w:pPr>
      <w:r>
        <w:rPr>
          <w:rFonts w:ascii="IRNazanin" w:hAnsi="IRNazanin" w:eastAsia="IRNazanin"/>
          <w:color w:val="111111"/>
          <w:sz w:val="28"/>
          <w:sz w:val="28"/>
          <w:szCs w:val="28"/>
          <w:rtl w:val="true"/>
          <w:lang w:bidi="fa-IR"/>
        </w:rPr>
        <w:t xml:space="preserve">المفهوم من کلمات فقهاء المذاهب الأربعة من أهل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الحضانة کما ذهب لذلک فقهاؤنا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الحنابلة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المغنی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کفالة الطفل و حضانته واجبة؛ لأنّه یهلک بترکه، فیجب حفظه عن الهلاک کما یجب الإنفاق علیه و إنجاؤه من المهالک، و یتعلّق بها حقّ لقرابته؛ لأنّ فیها ولایة علی الطفل</w:t>
      </w:r>
      <w:r>
        <w:rPr>
          <w:rFonts w:eastAsia="IRNazanin" w:cs="IRNazanin"/>
          <w:color w:val="111111"/>
          <w:sz w:val="28"/>
          <w:szCs w:val="28"/>
          <w:rtl w:val="true"/>
          <w:lang w:bidi="fa-IR"/>
        </w:rPr>
        <w:t>»</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الشافعیّة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جاء فی مغنی المحتاج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عدم إجبار الأمّ عند الامتناع هو مقید بما إذا لم تجب النفقة علیها للولد المحضون، فإن وجبت کأن لم یکن له أب و لا مال، أجبرت کما قال ابن الرفعة؛ لأنّها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الحضانة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جملة النفقة، فهی حینئذٍ کالأب</w:t>
      </w:r>
      <w:r>
        <w:rPr>
          <w:rFonts w:eastAsia="IRNazanin" w:cs="IRNazanin"/>
          <w:color w:val="111111"/>
          <w:sz w:val="28"/>
          <w:szCs w:val="28"/>
          <w:rtl w:val="true"/>
          <w:lang w:bidi="fa-IR"/>
        </w:rPr>
        <w:t>»</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 الشرح الکبیر للدردیر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أسقطت الحاضنة حقّها منها بغیر عذرٍ بعد وجوبها لها، ثُمّ أرادت العود لها فلا تعود، بناءً علی أنّها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الحضانة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الحاضن و هو المشهور،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تعود بناءً علی أنّها حقّ للمحضون</w:t>
      </w:r>
      <w:r>
        <w:rPr>
          <w:rFonts w:eastAsia="IRNazanin" w:cs="IRNazanin"/>
          <w:color w:val="111111"/>
          <w:sz w:val="28"/>
          <w:szCs w:val="28"/>
          <w:rtl w:val="true"/>
          <w:lang w:bidi="fa-IR"/>
        </w:rPr>
        <w:t>»</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فی ردّ المحتار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 فی الحضانة هل هی حقّ الحاضنة أو</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الولد؟ فقیل بالأوّل، فلا تجبر إذا امتنعت، و رجّحه غیر واحد، و علیه الفتوی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بالثانی فتجبر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حقّ الحاضنة فلا تجبر محمولٌ علی ما إذا لم تتعیّن لها، و اقتصر علی أنّها حقّها؛ لأنّ المحضون حینئذٍ لا یضیع حقّه لوجود من یحضنه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حقّ المحضون فتجبر محمولٌ علی ما إذا تعیّنت و اقتصر علی أنّها حقّه؛ لعدم من یحضنه غیرها</w:t>
      </w:r>
      <w:r>
        <w:rPr>
          <w:rFonts w:eastAsia="IRNazanin" w:cs="IRNazanin"/>
          <w:color w:val="111111"/>
          <w:sz w:val="28"/>
          <w:szCs w:val="28"/>
          <w:rtl w:val="true"/>
          <w:lang w:bidi="fa-IR"/>
        </w:rPr>
        <w:t>»</w:t>
      </w:r>
      <w:r>
        <w:rPr>
          <w:rStyle w:val="FootnoteAnchor"/>
          <w:rtl w:val="true"/>
        </w:rPr>
        <w:footnoteReference w:id="1426"/>
      </w:r>
      <w:bookmarkStart w:id="631" w:name="pg11752_146333"/>
    </w:p>
    <w:p>
      <w:pPr>
        <w:pStyle w:val="Heading4"/>
        <w:numPr>
          <w:ilvl w:val="3"/>
          <w:numId w:val="1"/>
        </w:numPr>
        <w:rPr/>
      </w:pPr>
      <w:bookmarkStart w:id="632" w:name="__RefHeading___Toc9424252_73709187"/>
      <w:bookmarkStart w:id="633" w:name="_Toc240"/>
      <w:bookmarkEnd w:id="631"/>
      <w:bookmarkEnd w:id="632"/>
      <w:r>
        <w:rPr>
          <w:rtl w:val="true"/>
        </w:rPr>
        <w:t>المبحث الثالث</w:t>
      </w:r>
      <w:r>
        <w:rPr>
          <w:rtl w:val="true"/>
        </w:rPr>
        <w:t xml:space="preserve">: </w:t>
      </w:r>
      <w:r>
        <w:rPr>
          <w:rtl w:val="true"/>
        </w:rPr>
        <w:t>المستحقّون للحضانة و مراتبهم</w:t>
      </w:r>
      <w:bookmarkEnd w:id="633"/>
    </w:p>
    <w:p>
      <w:pPr>
        <w:pStyle w:val="Heading5"/>
        <w:numPr>
          <w:ilvl w:val="4"/>
          <w:numId w:val="1"/>
        </w:numPr>
        <w:rPr/>
      </w:pPr>
      <w:bookmarkStart w:id="634" w:name="__RefHeading___Toc9424254_73709187"/>
      <w:bookmarkStart w:id="635" w:name="_Toc241"/>
      <w:bookmarkEnd w:id="634"/>
      <w:r>
        <w:rPr>
          <w:rtl w:val="true"/>
        </w:rPr>
        <w:t>اشارة</w:t>
      </w:r>
      <w:bookmarkEnd w:id="635"/>
    </w:p>
    <w:p>
      <w:pPr>
        <w:pStyle w:val="BookText"/>
        <w:rPr/>
      </w:pPr>
      <w:r>
        <w:rPr>
          <w:rFonts w:ascii="IRNazanin" w:hAnsi="IRNazanin" w:eastAsia="IRNazanin"/>
          <w:color w:val="111111"/>
          <w:sz w:val="28"/>
          <w:sz w:val="28"/>
          <w:szCs w:val="28"/>
          <w:rtl w:val="true"/>
          <w:lang w:bidi="fa-IR"/>
        </w:rPr>
        <w:t>إنّ المستحقّین للحضانة لیسوا فی مرتبة واحدة، بل إنّهم فی مراتب متعدّدة من حیث الاستحقاق؛ و لهذا یقدّم فیها الأحقّ فالأحقّ حسب ترتیبهم فی استحقاق الحضانة، فنذکر فی المقام أوّلاً</w:t>
      </w:r>
    </w:p>
    <w:p>
      <w:pPr>
        <w:pStyle w:val="Heading5"/>
        <w:numPr>
          <w:ilvl w:val="4"/>
          <w:numId w:val="1"/>
        </w:numPr>
        <w:rPr/>
      </w:pPr>
      <w:bookmarkStart w:id="636" w:name="__RefHeading___Toc9424256_73709187"/>
      <w:bookmarkStart w:id="637" w:name="_Toc242"/>
      <w:bookmarkEnd w:id="636"/>
      <w:r>
        <w:rPr>
          <w:rtl w:val="true"/>
        </w:rPr>
        <w:t>مراتب الاستحقاق فی الفقه الإمامی</w:t>
      </w:r>
      <w:bookmarkEnd w:id="637"/>
    </w:p>
    <w:p>
      <w:pPr>
        <w:pStyle w:val="Heading6"/>
        <w:numPr>
          <w:ilvl w:val="5"/>
          <w:numId w:val="1"/>
        </w:numPr>
        <w:rPr/>
      </w:pPr>
      <w:bookmarkStart w:id="638" w:name="__RefHeading___Toc9424258_73709187"/>
      <w:bookmarkStart w:id="639" w:name="_Toc243"/>
      <w:bookmarkEnd w:id="638"/>
      <w:r>
        <w:rPr>
          <w:rtl w:val="true"/>
        </w:rPr>
        <w:t>اشارة</w:t>
      </w:r>
      <w:bookmarkEnd w:id="639"/>
    </w:p>
    <w:p>
      <w:pPr>
        <w:pStyle w:val="BookText"/>
        <w:rPr/>
      </w:pPr>
      <w:r>
        <w:rPr>
          <w:rFonts w:ascii="IRNazanin" w:hAnsi="IRNazanin" w:eastAsia="IRNazanin"/>
          <w:color w:val="111111"/>
          <w:sz w:val="28"/>
          <w:sz w:val="28"/>
          <w:szCs w:val="28"/>
          <w:rtl w:val="true"/>
          <w:lang w:bidi="fa-IR"/>
        </w:rPr>
        <w:t>مع الإشارة إلی آراء الفقهاء من أهل السنّة إن کان لهم رأی، ثمّ نذکر مراتب الاستحقاق فی فقه أهل السنّة علی الترتیب التالی</w:t>
      </w:r>
      <w:r>
        <w:rPr>
          <w:rFonts w:eastAsia="IRNazanin" w:cs="IRNazanin"/>
          <w:color w:val="111111"/>
          <w:sz w:val="28"/>
          <w:szCs w:val="28"/>
          <w:rtl w:val="true"/>
          <w:lang w:bidi="fa-IR"/>
        </w:rPr>
        <w:t>:</w:t>
      </w:r>
    </w:p>
    <w:p>
      <w:pPr>
        <w:pStyle w:val="Heading6"/>
        <w:numPr>
          <w:ilvl w:val="5"/>
          <w:numId w:val="1"/>
        </w:numPr>
        <w:rPr/>
      </w:pPr>
      <w:bookmarkStart w:id="640" w:name="__RefHeading___Toc9424260_73709187"/>
      <w:bookmarkStart w:id="641" w:name="_Toc244"/>
      <w:bookmarkEnd w:id="640"/>
      <w:r>
        <w:rPr>
          <w:rtl w:val="true"/>
        </w:rPr>
        <w:t xml:space="preserve">أ </w:t>
      </w:r>
      <w:r>
        <w:rPr>
          <w:rtl w:val="true"/>
        </w:rPr>
        <w:t xml:space="preserve">- </w:t>
      </w:r>
      <w:r>
        <w:rPr>
          <w:rtl w:val="true"/>
        </w:rPr>
        <w:t>تقدّم الأمّ فی الحضانة مدّة الرضاع</w:t>
      </w:r>
      <w:bookmarkEnd w:id="641"/>
    </w:p>
    <w:p>
      <w:pPr>
        <w:pStyle w:val="BookText"/>
        <w:rPr/>
      </w:pPr>
      <w:r>
        <w:rPr>
          <w:rFonts w:ascii="IRNazanin" w:hAnsi="IRNazanin" w:eastAsia="IRNazanin"/>
          <w:color w:val="111111"/>
          <w:sz w:val="28"/>
          <w:sz w:val="28"/>
          <w:szCs w:val="28"/>
          <w:rtl w:val="true"/>
          <w:lang w:bidi="fa-IR"/>
        </w:rPr>
        <w:t>البحث فی تقدّم الأم مدّة الرضاع، و هی حولان، ذکراً کان الولید أو أنثی، 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اشتهر بین الفقهاء و 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 أحقّ بحضانة الولد قبل الفطام، أی مدّة الرضاع فی الحولین مطلقاً حتّی مع انفصال الوالدین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ذهب إلیه ابن فهد من القول باشتراک الأمّ فی الحضانة مع الأب مدّة الرضاع</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42" w:name="__RefHeading___Toc9424262_73709187"/>
      <w:bookmarkStart w:id="643" w:name="_Toc245"/>
      <w:bookmarkEnd w:id="642"/>
      <w:r>
        <w:rPr>
          <w:rtl w:val="true"/>
        </w:rPr>
        <w:t>أمّا مختار المشهور</w:t>
      </w:r>
      <w:bookmarkEnd w:id="643"/>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یستفاد من التقریرات و الاستدلالات التی بیّنوها فی هذه المسألة أنّ الأُمّ مقدّمة فی الحضانة علی الأب فی أیّام الرضاع، و هی حولان کاملان، و هی مسئولة عن تدبیر شئون الولد و حفظه و تکحیله و تنظیفه و ما یتعلّق بذلک، سواء کانا</w:t>
      </w:r>
      <w:bookmarkStart w:id="644" w:name="pg11752_146334"/>
    </w:p>
    <w:p>
      <w:pPr>
        <w:pStyle w:val="BookText"/>
        <w:rPr/>
      </w:pPr>
      <w:bookmarkEnd w:id="644"/>
      <w:r>
        <w:rPr>
          <w:rFonts w:ascii="IRNazanin" w:hAnsi="IRNazanin" w:eastAsia="IRNazanin"/>
          <w:color w:val="111111"/>
          <w:sz w:val="28"/>
          <w:sz w:val="28"/>
          <w:szCs w:val="28"/>
          <w:rtl w:val="true"/>
          <w:lang w:bidi="fa-IR"/>
        </w:rPr>
        <w:t>متوافقین فی هذا الأمر أم مختلفین، حیث ادّعی بعضهم أنّه لا خلاف فی المسألة، قال الشهید فی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خلاف فی أنّ الأمّ أحقّ بالولد مطلقاً مدّة الرضاع</w:t>
      </w:r>
      <w:r>
        <w:rPr>
          <w:rFonts w:eastAsia="IRNazanin" w:cs="IRNazanin"/>
          <w:color w:val="111111"/>
          <w:sz w:val="28"/>
          <w:szCs w:val="28"/>
          <w:rtl w:val="true"/>
          <w:lang w:bidi="fa-IR"/>
        </w:rPr>
        <w:t>»</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الریاض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فالأمّ أحقّ بالولد و تربیته مدّة الرضاع مطلقاً، ذکراً کان أو أنثی أو غیرهما، إجماعاً فتوی و نصّاً</w:t>
      </w:r>
      <w:r>
        <w:rPr>
          <w:rFonts w:eastAsia="IRNazanin" w:cs="IRNazanin"/>
          <w:color w:val="111111"/>
          <w:sz w:val="28"/>
          <w:szCs w:val="28"/>
          <w:rtl w:val="true"/>
          <w:lang w:bidi="fa-IR"/>
        </w:rPr>
        <w:t>»</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المحقّق فی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فالأمّ أحقّ بالولد مدّة الرضاع، و هی حولان، ذکراً کان أو أنثی</w:t>
      </w:r>
      <w:r>
        <w:rPr>
          <w:rFonts w:eastAsia="IRNazanin" w:cs="IRNazanin"/>
          <w:color w:val="111111"/>
          <w:sz w:val="28"/>
          <w:szCs w:val="28"/>
          <w:rtl w:val="true"/>
          <w:lang w:bidi="fa-IR"/>
        </w:rPr>
        <w:t>»</w:t>
      </w:r>
      <w:r>
        <w:rPr>
          <w:rStyle w:val="FootnoteAnchor"/>
          <w:rtl w:val="true"/>
        </w:rPr>
        <w:footnoteReference w:id="1430"/>
      </w:r>
      <w:r>
        <w:rPr>
          <w:rFonts w:ascii="IRNazanin" w:hAnsi="IRNazanin" w:eastAsia="IRNazanin"/>
          <w:color w:val="111111"/>
          <w:sz w:val="28"/>
          <w:sz w:val="28"/>
          <w:szCs w:val="28"/>
          <w:rtl w:val="true"/>
          <w:lang w:bidi="fa-IR"/>
        </w:rPr>
        <w:t>و هذا مختار المفید رحمه الله فی المقنعة</w:t>
      </w:r>
      <w:r>
        <w:rPr>
          <w:rStyle w:val="FootnoteAnchor"/>
          <w:rtl w:val="true"/>
        </w:rPr>
        <w:footnoteReference w:id="1431"/>
      </w:r>
      <w:r>
        <w:rPr>
          <w:rFonts w:ascii="IRNazanin" w:hAnsi="IRNazanin" w:eastAsia="IRNazanin"/>
          <w:color w:val="111111"/>
          <w:sz w:val="28"/>
          <w:sz w:val="28"/>
          <w:szCs w:val="28"/>
          <w:rtl w:val="true"/>
          <w:lang w:bidi="fa-IR"/>
        </w:rPr>
        <w:t>و الشیخ رحمه الله فی النهایة</w:t>
      </w:r>
      <w:r>
        <w:rPr>
          <w:rStyle w:val="FootnoteAnchor"/>
          <w:rtl w:val="true"/>
        </w:rPr>
        <w:footnoteReference w:id="1432"/>
      </w:r>
    </w:p>
    <w:p>
      <w:pPr>
        <w:pStyle w:val="BookText"/>
        <w:rPr/>
      </w:pPr>
      <w:r>
        <w:rPr>
          <w:rFonts w:ascii="IRNazanin" w:hAnsi="IRNazanin" w:eastAsia="IRNazanin"/>
          <w:color w:val="111111"/>
          <w:sz w:val="28"/>
          <w:sz w:val="28"/>
          <w:szCs w:val="28"/>
          <w:rtl w:val="true"/>
          <w:lang w:bidi="fa-IR"/>
        </w:rPr>
        <w:t>و العلاّمة رحمه الله فی القواعد</w:t>
      </w:r>
      <w:r>
        <w:rPr>
          <w:rStyle w:val="FootnoteAnchor"/>
          <w:rtl w:val="true"/>
        </w:rPr>
        <w:footnoteReference w:id="1433"/>
      </w:r>
      <w:r>
        <w:rPr>
          <w:rFonts w:ascii="IRNazanin" w:hAnsi="IRNazanin" w:eastAsia="IRNazanin"/>
          <w:color w:val="111111"/>
          <w:sz w:val="28"/>
          <w:sz w:val="28"/>
          <w:szCs w:val="28"/>
          <w:rtl w:val="true"/>
          <w:lang w:bidi="fa-IR"/>
        </w:rPr>
        <w:t>و صاحب الجواهر</w:t>
      </w:r>
      <w:r>
        <w:rPr>
          <w:rStyle w:val="FootnoteAnchor"/>
          <w:rtl w:val="true"/>
        </w:rPr>
        <w:footnoteReference w:id="1434"/>
      </w:r>
      <w:r>
        <w:rPr>
          <w:rFonts w:ascii="IRNazanin" w:hAnsi="IRNazanin" w:eastAsia="IRNazanin"/>
          <w:color w:val="111111"/>
          <w:sz w:val="28"/>
          <w:sz w:val="28"/>
          <w:szCs w:val="28"/>
          <w:rtl w:val="true"/>
          <w:lang w:bidi="fa-IR"/>
        </w:rPr>
        <w:t>و غیرهم</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45" w:name="__RefHeading___Toc9424264_73709187"/>
      <w:bookmarkStart w:id="646" w:name="_Toc246"/>
      <w:bookmarkEnd w:id="645"/>
      <w:r>
        <w:rPr>
          <w:rtl w:val="true"/>
        </w:rPr>
        <w:t>و المستند لقول المشهور دلیلان</w:t>
      </w:r>
      <w:r>
        <w:rPr>
          <w:rtl w:val="true"/>
        </w:rPr>
        <w:t>:</w:t>
      </w:r>
      <w:bookmarkEnd w:id="646"/>
    </w:p>
    <w:p>
      <w:pPr>
        <w:pStyle w:val="Heading6"/>
        <w:numPr>
          <w:ilvl w:val="5"/>
          <w:numId w:val="1"/>
        </w:numPr>
        <w:rPr/>
      </w:pPr>
      <w:bookmarkStart w:id="647" w:name="__RefHeading___Toc9424266_73709187"/>
      <w:bookmarkStart w:id="648" w:name="_Toc247"/>
      <w:bookmarkEnd w:id="647"/>
      <w:r>
        <w:rPr>
          <w:rtl w:val="true"/>
        </w:rPr>
        <w:t>الأوّل</w:t>
      </w:r>
      <w:r>
        <w:rPr>
          <w:rtl w:val="true"/>
        </w:rPr>
        <w:t xml:space="preserve">: </w:t>
      </w:r>
      <w:r>
        <w:rPr>
          <w:rtl w:val="true"/>
        </w:rPr>
        <w:t>الروایات التی تقدّم ذکرها</w:t>
      </w:r>
      <w:bookmarkEnd w:id="648"/>
    </w:p>
    <w:p>
      <w:pPr>
        <w:pStyle w:val="BookText"/>
        <w:rPr/>
      </w:pPr>
      <w:r>
        <w:rPr>
          <w:rFonts w:ascii="IRNazanin" w:hAnsi="IRNazanin" w:eastAsia="IRNazanin"/>
          <w:color w:val="111111"/>
          <w:sz w:val="28"/>
          <w:sz w:val="28"/>
          <w:szCs w:val="28"/>
          <w:rtl w:val="true"/>
          <w:lang w:bidi="fa-IR"/>
        </w:rPr>
        <w:t>، مثل ما جاء فی صحیحة أیّوب بن نوح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أحقّ بالولد إلی أن یبلغ سبع سنین إلاّ أن تشاء المرأة</w:t>
      </w:r>
      <w:r>
        <w:rPr>
          <w:rFonts w:eastAsia="IRNazanin" w:cs="IRNazanin"/>
          <w:color w:val="111111"/>
          <w:sz w:val="28"/>
          <w:szCs w:val="28"/>
          <w:rtl w:val="true"/>
          <w:lang w:bidi="fa-IR"/>
        </w:rPr>
        <w:t>»</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ما جاء فی روایة أبی الصباح الکنانی و المنقری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فهی أحقّ بابنها حتی تفطمه</w:t>
      </w:r>
      <w:r>
        <w:rPr>
          <w:rFonts w:eastAsia="IRNazanin" w:cs="IRNazanin"/>
          <w:color w:val="111111"/>
          <w:sz w:val="28"/>
          <w:szCs w:val="28"/>
          <w:rtl w:val="true"/>
          <w:lang w:bidi="fa-IR"/>
        </w:rPr>
        <w:t>»</w:t>
      </w:r>
      <w:r>
        <w:rPr>
          <w:rStyle w:val="FootnoteAnchor"/>
          <w:rtl w:val="true"/>
        </w:rPr>
        <w:footnoteReference w:id="143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أحقّ بالولد ما لم تتزوّج</w:t>
      </w:r>
      <w:r>
        <w:rPr>
          <w:rFonts w:eastAsia="Amiri" w:cs="Amiri" w:ascii="Amiri" w:hAnsi="Amiri"/>
          <w:color w:val="111111"/>
          <w:sz w:val="28"/>
          <w:szCs w:val="28"/>
          <w:rtl w:val="true"/>
          <w:lang w:bidi="ar-SA"/>
        </w:rPr>
        <w:t>»</w:t>
      </w:r>
      <w:r>
        <w:rPr>
          <w:rStyle w:val="FootnoteAnchor"/>
          <w:rtl w:val="true"/>
        </w:rPr>
        <w:footnoteReference w:id="1438"/>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النصوص و ما یشابهها صریحة بأنّ الأمّ فی أیّام الرضاع و قبل فطام الولد إن لم تتزوّج مقدّمة فی الحضانة علی الأب، و لا یجوز للأب أن یأخذ الولد منها، و هذا هو المطلوب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بعض المفسّرین فی ذیل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عَلَی الْمَوْلُودِ لَهُ رِزْقُهُنَّ وَ کِسْوَتُهُنَّ بِالْمَعْرُوفِ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فرّع علیه حکمین آخرین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الحضانة و الإرضاع الذی للزوجة و ما أشبهه، فلا یحقّ للزوج أن یحول بین الوالدة و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بمنعها عن حضانته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ذلک مضارّة و حرج علیها</w:t>
      </w:r>
      <w:r>
        <w:rPr>
          <w:rFonts w:eastAsia="Amiri" w:cs="Amiri" w:ascii="Amiri" w:hAnsi="Amiri"/>
          <w:color w:val="111111"/>
          <w:sz w:val="28"/>
          <w:szCs w:val="28"/>
          <w:rtl w:val="true"/>
          <w:lang w:bidi="ar-SA"/>
        </w:rPr>
        <w:t>»</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هکذا قال فی مجمع البیان فی ذیل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بِالْمَعْرُوفِ</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جعل حقّ الحضانة للأمّ و النفقة علی الأب علی قدر الیسار</w:t>
      </w:r>
      <w:r>
        <w:rPr>
          <w:rFonts w:eastAsia="IRNazanin" w:cs="IRNazanin"/>
          <w:color w:val="111111"/>
          <w:sz w:val="28"/>
          <w:szCs w:val="28"/>
          <w:rtl w:val="true"/>
          <w:lang w:bidi="fa-IR"/>
        </w:rPr>
        <w:t>»</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الکریمة لا تدلّ علی أحقّیّة الأمّ للحضانة صریحاً، و لکن یمکن استفادة هذا الحکم منها بالالتزام، و الوجه فی ذلک أنّ الآیة صریحة فی عدم جواز أیّ ضرر، و هو فی أیّام الرضاع یحتاج إلی حضانة الأمّ أکثر من الأب، فمنع الأمّ عن الحضانة ضرر علیه، و الآیة تنهی عنه، فیستفاد منها أحقیّة الأمّ للحضانة بضمیمة هذه المقدّمة، و اللّه هو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یُستفاد من بعض الأخبار تقدّم الأب فی الحضانة علی الأمّ، مثل ما جاء فی روایة داود الرقّی،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أحقّ بولدها منه ما دام مملوکاً، فإذا أُعتق فهو أحقّ بهم منها</w:t>
      </w:r>
      <w:r>
        <w:rPr>
          <w:rFonts w:eastAsia="IRNazanin" w:cs="IRNazanin"/>
          <w:color w:val="111111"/>
          <w:sz w:val="28"/>
          <w:szCs w:val="28"/>
          <w:rtl w:val="true"/>
          <w:lang w:bidi="fa-IR"/>
        </w:rPr>
        <w:t>»</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ما جاء فی خبر فضیل بن یسار،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أیّما امرأة</w:t>
      </w:r>
      <w:bookmarkStart w:id="649" w:name="pg11752_146336"/>
    </w:p>
    <w:p>
      <w:pPr>
        <w:pStyle w:val="BookText"/>
        <w:rPr/>
      </w:pPr>
      <w:bookmarkEnd w:id="649"/>
      <w:r>
        <w:rPr>
          <w:rFonts w:ascii="IRNazanin" w:hAnsi="IRNazanin" w:eastAsia="IRNazanin"/>
          <w:color w:val="111111"/>
          <w:sz w:val="28"/>
          <w:sz w:val="28"/>
          <w:szCs w:val="28"/>
          <w:rtl w:val="true"/>
          <w:lang w:bidi="fa-IR"/>
        </w:rPr>
        <w:t>حرّة تزوّجت عبداً فولدت منه أولاداً فهی أحقّ بولدها منه و هم أحرار، فإذا أعتق الرجل فهو أحقّ بولده منها لموضع الأب</w:t>
      </w:r>
      <w:r>
        <w:rPr>
          <w:rFonts w:eastAsia="IRNazanin" w:cs="IRNazanin"/>
          <w:color w:val="111111"/>
          <w:sz w:val="28"/>
          <w:szCs w:val="28"/>
          <w:rtl w:val="true"/>
          <w:lang w:bidi="fa-IR"/>
        </w:rPr>
        <w:t>»</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الجمع بین الطائفتین بحمل هاتین الروایتین علی أحقّیة الأب بعد مدّة الرضاع، و التی تدلّ علی أحقّیة الأمّ علی زمان الرضاع، 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یستفاد من التعلیل الوارد فی الروایتین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أُعتق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أعتق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الرقّیة مانعة للحضانة سواء کان فی الأب أو الاُمّ، بمعنی أنّه إذا کان الأب رقّاً لم یکن فیه شرط الحضانة و الأمّ أحقّ بها إن کانت حرّةً کما هو فرض صدر الروایتین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منهما أیضاً أنّه إذا کانت الاُمّ رقّاً و أعتق الأب کان هو أحقّ بالحضانة، و یدلّ علیه ما ورد فی موثّقة جمیل و ابن بکیر بأنّ الولد من الحرّ و المملوکة یذهب إلی الحرّ منهما</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لذا استند بعض الفقهاء</w:t>
      </w:r>
      <w:r>
        <w:rPr>
          <w:rStyle w:val="FootnoteAnchor"/>
          <w:rtl w:val="true"/>
        </w:rPr>
        <w:footnoteReference w:id="1444"/>
      </w:r>
      <w:r>
        <w:rPr>
          <w:rFonts w:ascii="IRNazanin" w:hAnsi="IRNazanin" w:eastAsia="IRNazanin"/>
          <w:color w:val="111111"/>
          <w:sz w:val="28"/>
          <w:sz w:val="28"/>
          <w:szCs w:val="28"/>
          <w:rtl w:val="true"/>
          <w:lang w:bidi="fa-IR"/>
        </w:rPr>
        <w:t>باشتراط الحرّیة للحضانة إلی هذه النصوص</w:t>
      </w:r>
      <w:r>
        <w:rPr>
          <w:rFonts w:eastAsia="IRNazanin" w:cs="IRNazanin"/>
          <w:color w:val="111111"/>
          <w:sz w:val="28"/>
          <w:szCs w:val="28"/>
          <w:rtl w:val="true"/>
          <w:lang w:bidi="fa-IR"/>
        </w:rPr>
        <w:t>.</w:t>
      </w:r>
    </w:p>
    <w:p>
      <w:pPr>
        <w:pStyle w:val="Heading6"/>
        <w:numPr>
          <w:ilvl w:val="5"/>
          <w:numId w:val="1"/>
        </w:numPr>
        <w:rPr/>
      </w:pPr>
      <w:bookmarkStart w:id="650" w:name="__RefHeading___Toc9424268_73709187"/>
      <w:bookmarkStart w:id="651" w:name="_Toc248"/>
      <w:bookmarkEnd w:id="650"/>
      <w:r>
        <w:rPr>
          <w:rtl w:val="true"/>
        </w:rPr>
        <w:t>الثانی</w:t>
      </w:r>
      <w:r>
        <w:rPr>
          <w:rtl w:val="true"/>
        </w:rPr>
        <w:t xml:space="preserve">: </w:t>
      </w:r>
      <w:r>
        <w:rPr>
          <w:rtl w:val="true"/>
        </w:rPr>
        <w:t>السیرة</w:t>
      </w:r>
      <w:bookmarkEnd w:id="651"/>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ثبت فی سیرة المتشرّعة</w:t>
      </w:r>
      <w:r>
        <w:rPr>
          <w:rStyle w:val="FootnoteAnchor"/>
          <w:rtl w:val="true"/>
        </w:rPr>
        <w:footnoteReference w:id="1445"/>
      </w:r>
      <w:r>
        <w:rPr>
          <w:rFonts w:ascii="IRNazanin" w:hAnsi="IRNazanin" w:eastAsia="IRNazanin"/>
          <w:color w:val="111111"/>
          <w:sz w:val="28"/>
          <w:sz w:val="28"/>
          <w:szCs w:val="28"/>
          <w:rtl w:val="true"/>
          <w:lang w:bidi="fa-IR"/>
        </w:rPr>
        <w:t>و العقلاء من زمان الأئمّة المعصومین علیهم السلام إلی زماننا هذا أنّ من بدایة ولادة الولد حتّی انتهاء مدّة رضاعه، کانت و ما زالت الأمّ أحقّ بحضانته من الأب و سائر ذوی الأرحام، و إن منع الأب الأمّ من حقّها یذمّونه،</w:t>
      </w:r>
      <w:bookmarkStart w:id="652" w:name="pg11752_146337"/>
    </w:p>
    <w:p>
      <w:pPr>
        <w:pStyle w:val="BookText"/>
        <w:rPr/>
      </w:pPr>
      <w:bookmarkEnd w:id="652"/>
      <w:r>
        <w:rPr>
          <w:rFonts w:ascii="IRNazanin" w:hAnsi="IRNazanin" w:eastAsia="IRNazanin"/>
          <w:color w:val="111111"/>
          <w:sz w:val="28"/>
          <w:sz w:val="28"/>
          <w:szCs w:val="28"/>
          <w:rtl w:val="true"/>
          <w:lang w:bidi="fa-IR"/>
        </w:rPr>
        <w:t>کما أنّه إن امتنعت الأمّ من حضانة الولد لتغیظ أباه یذمّونها أیضاً و یقبّحون عملها</w:t>
      </w:r>
      <w:r>
        <w:rPr>
          <w:rFonts w:eastAsia="IRNazanin" w:cs="IRNazanin"/>
          <w:color w:val="111111"/>
          <w:sz w:val="28"/>
          <w:szCs w:val="28"/>
          <w:rtl w:val="true"/>
          <w:lang w:bidi="fa-IR"/>
        </w:rPr>
        <w:t>.</w:t>
      </w:r>
    </w:p>
    <w:p>
      <w:pPr>
        <w:pStyle w:val="Heading6"/>
        <w:numPr>
          <w:ilvl w:val="5"/>
          <w:numId w:val="1"/>
        </w:numPr>
        <w:rPr/>
      </w:pPr>
      <w:bookmarkStart w:id="653" w:name="__RefHeading___Toc9424270_73709187"/>
      <w:bookmarkStart w:id="654" w:name="_Toc249"/>
      <w:bookmarkEnd w:id="653"/>
      <w:r>
        <w:rPr>
          <w:rtl w:val="true"/>
        </w:rPr>
        <w:t>مستند القول الثانی</w:t>
      </w:r>
      <w:bookmarkEnd w:id="654"/>
    </w:p>
    <w:p>
      <w:pPr>
        <w:pStyle w:val="BookText"/>
        <w:rPr/>
      </w:pPr>
      <w:r>
        <w:rPr>
          <w:rFonts w:ascii="IRNazanin" w:hAnsi="IRNazanin" w:eastAsia="IRNazanin"/>
          <w:color w:val="111111"/>
          <w:sz w:val="28"/>
          <w:sz w:val="28"/>
          <w:szCs w:val="28"/>
          <w:rtl w:val="true"/>
          <w:lang w:bidi="fa-IR"/>
        </w:rPr>
        <w:t>قال فی المهذّب البارع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وقع الإجماع علی اشتراک الحضانة بین الأبوین مدّة الحولین</w:t>
      </w:r>
      <w:r>
        <w:rPr>
          <w:rFonts w:eastAsia="IRNazanin" w:cs="IRNazanin"/>
          <w:color w:val="111111"/>
          <w:sz w:val="28"/>
          <w:szCs w:val="28"/>
          <w:rtl w:val="true"/>
          <w:lang w:bidi="fa-IR"/>
        </w:rPr>
        <w:t>»</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الجواهر</w:t>
      </w:r>
      <w:r>
        <w:rPr>
          <w:rStyle w:val="FootnoteAnchor"/>
          <w:rtl w:val="true"/>
        </w:rPr>
        <w:footnoteReference w:id="144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ربّما کانت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تُضَارَّ والِدَةٌ بِوَلَدِها وَ لا مَوْلُودٌ لَهُ بِوَلَدِهِ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خبر داود بن الحصین</w:t>
      </w:r>
      <w:r>
        <w:rPr>
          <w:rStyle w:val="FootnoteAnchor"/>
          <w:rtl w:val="true"/>
        </w:rPr>
        <w:footnoteReference w:id="1448"/>
      </w:r>
      <w:r>
        <w:rPr>
          <w:rFonts w:ascii="IRNazanin" w:hAnsi="IRNazanin" w:eastAsia="IRNazanin"/>
          <w:color w:val="111111"/>
          <w:sz w:val="28"/>
          <w:sz w:val="28"/>
          <w:szCs w:val="28"/>
          <w:rtl w:val="true"/>
          <w:lang w:bidi="fa-IR"/>
        </w:rPr>
        <w:t>ظاهر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بعض الفقهاء مثل صاحب الریاض</w:t>
      </w:r>
      <w:r>
        <w:rPr>
          <w:rStyle w:val="FootnoteAnchor"/>
          <w:rtl w:val="true"/>
        </w:rPr>
        <w:footnoteReference w:id="1449"/>
      </w:r>
      <w:r>
        <w:rPr>
          <w:rFonts w:ascii="IRNazanin" w:hAnsi="IRNazanin" w:eastAsia="IRNazanin"/>
          <w:color w:val="111111"/>
          <w:sz w:val="28"/>
          <w:sz w:val="28"/>
          <w:szCs w:val="28"/>
          <w:rtl w:val="true"/>
          <w:lang w:bidi="fa-IR"/>
        </w:rPr>
        <w:t>و الشهید</w:t>
      </w:r>
      <w:r>
        <w:rPr>
          <w:rStyle w:val="FootnoteAnchor"/>
          <w:rtl w:val="true"/>
        </w:rPr>
        <w:footnoteReference w:id="1450"/>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الإجماع، أو عدم وجدان الخلاف فی تقدّم الأمّ علی الأب فی الحضانة، فإنّ الإجماع الذی ادّعاه ابن فهد بالاشتراک موهون لا اعتبار به، و تقدّم بأنّ الآیة الکریمة دالّة علی تقدّم الأمّ علی خلاف ما استفاده ابن فهد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روایة داود بن الحصین فصدرها و ذیلها متعارضان، و الأصحاب أعرضوا عنها، مع أنّها معارضة مع صحیحة الحلبی و روایة أیّوب بن نوح المتقدّمتین، اللتین کانتا صریحتین فی تقدّم الأم علی الأب فی الحضانة قبل فطام الولد و قبل بلوغه سبع سنین</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أنّه یمکن أن یکون مقصود الإمام علیه السلام من قوله فی روایة داود بن الحصین</w:t>
      </w:r>
      <w:r>
        <w:rPr>
          <w:rFonts w:eastAsia="IRNazanin" w:cs="IRNazanin"/>
          <w:color w:val="111111"/>
          <w:sz w:val="28"/>
          <w:szCs w:val="28"/>
          <w:rtl w:val="true"/>
          <w:lang w:bidi="fa-IR"/>
        </w:rPr>
        <w:t>:</w:t>
      </w:r>
      <w:bookmarkStart w:id="655" w:name="pg11752_146338"/>
    </w:p>
    <w:p>
      <w:pPr>
        <w:pStyle w:val="BookText"/>
        <w:rPr/>
      </w:pPr>
      <w:bookmarkEnd w:id="6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دام الولد فی الرضاع فهو بین الأبوین بالسویّة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الرضاع، کما احتمله صاحب الجواهر عند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یمکن إرادة ذلک من جهة أنّ علی الأم الرضاعة و علی الأب الأجرة، فتربیته بینهما بالسّویة من هذه الحیثیّة</w:t>
      </w:r>
      <w:r>
        <w:rPr>
          <w:rFonts w:eastAsia="IRNazanin" w:cs="IRNazanin"/>
          <w:color w:val="111111"/>
          <w:sz w:val="28"/>
          <w:szCs w:val="28"/>
          <w:rtl w:val="true"/>
          <w:lang w:bidi="fa-IR"/>
        </w:rPr>
        <w:t>»</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56" w:name="__RefHeading___Toc9424272_73709187"/>
      <w:bookmarkStart w:id="657" w:name="_Toc250"/>
      <w:bookmarkEnd w:id="656"/>
      <w:r>
        <w:rPr>
          <w:rtl w:val="true"/>
        </w:rPr>
        <w:t>آراء المذاهب الأربعة فی تقدّم الأمّ للحضانة</w:t>
      </w:r>
      <w:bookmarkEnd w:id="657"/>
    </w:p>
    <w:p>
      <w:pPr>
        <w:pStyle w:val="BookText"/>
        <w:rPr/>
      </w:pPr>
      <w:r>
        <w:rPr>
          <w:rFonts w:ascii="IRNazanin" w:hAnsi="IRNazanin" w:eastAsia="IRNazanin"/>
          <w:color w:val="111111"/>
          <w:sz w:val="28"/>
          <w:sz w:val="28"/>
          <w:szCs w:val="28"/>
          <w:rtl w:val="true"/>
          <w:lang w:bidi="fa-IR"/>
        </w:rPr>
        <w:t>اعلم أنّ فقهاء المذاهب من أهل السنة أیضاً اعتقدوا بتقدّم الأم للحضانة علی الأب، کما اعتقد به مشهور فقهائنا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قدامة من فقهاء الحنابلة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الأمّ أولی الناس بکفالته إذا کملت الشرائط فیها ذکراً کان أو أنثی، و هذا قول یحیی الأنصاری و الزهری و الثوری و مالک و الشافعی و أبی ثور و إسحاق و أصحاب الرأی، و لا نعلم أحداً خالفهم</w:t>
      </w:r>
      <w:r>
        <w:rPr>
          <w:rFonts w:eastAsia="IRNazanin" w:cs="IRNazanin"/>
          <w:color w:val="111111"/>
          <w:sz w:val="28"/>
          <w:szCs w:val="28"/>
          <w:rtl w:val="true"/>
          <w:lang w:bidi="fa-IR"/>
        </w:rPr>
        <w:t>»</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الکاسانی من فقهاء الحنفیة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الأصل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الحضانة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 لأنهنّ أشفق و أرفق و أهدی إلی تربیة الصغار،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فأحقّ النساء من ذوات الرحم المحرم بالحضانة الأمّ؛ لأنّه لا أقرب منها</w:t>
      </w:r>
      <w:r>
        <w:rPr>
          <w:rFonts w:eastAsia="IRNazanin" w:cs="IRNazanin"/>
          <w:color w:val="111111"/>
          <w:sz w:val="28"/>
          <w:szCs w:val="28"/>
          <w:rtl w:val="true"/>
          <w:lang w:bidi="fa-IR"/>
        </w:rPr>
        <w:t>»</w:t>
      </w:r>
      <w:r>
        <w:rPr>
          <w:rStyle w:val="FootnoteAnchor"/>
          <w:rtl w:val="true"/>
        </w:rPr>
        <w:footnoteReference w:id="14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بمثل هذا فقهاء المالکیة</w:t>
      </w:r>
      <w:r>
        <w:rPr>
          <w:rStyle w:val="FootnoteAnchor"/>
          <w:rtl w:val="true"/>
        </w:rPr>
        <w:footnoteReference w:id="1454"/>
      </w:r>
    </w:p>
    <w:p>
      <w:pPr>
        <w:pStyle w:val="BookText"/>
        <w:rPr/>
      </w:pPr>
      <w:r>
        <w:rPr>
          <w:rFonts w:ascii="Amiri" w:hAnsi="Amiri" w:eastAsia="Amiri" w:cs="Amiri"/>
          <w:color w:val="111111"/>
          <w:sz w:val="28"/>
          <w:sz w:val="28"/>
          <w:szCs w:val="28"/>
          <w:rtl w:val="true"/>
          <w:lang w:bidi="ar-SA"/>
        </w:rPr>
        <w:t>و الشافعیّة</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58" w:name="__RefHeading___Toc9424274_73709187"/>
      <w:bookmarkStart w:id="659" w:name="_Toc251"/>
      <w:bookmarkEnd w:id="658"/>
      <w:r>
        <w:rPr>
          <w:rtl w:val="true"/>
        </w:rPr>
        <w:t>مدّة استحقاق الأمّ فی الحضانة</w:t>
      </w:r>
      <w:bookmarkEnd w:id="659"/>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خلاف بین فقهائنا فی تقدّم الأم أیّام الرضاع و قبل الفطام فی حضانة الولد،</w:t>
      </w:r>
    </w:p>
    <w:p>
      <w:pPr>
        <w:pStyle w:val="BookText"/>
        <w:rPr/>
      </w:pPr>
      <w:r>
        <w:rPr>
          <w:rFonts w:ascii="IRNazanin" w:hAnsi="IRNazanin" w:eastAsia="IRNazanin"/>
          <w:color w:val="111111"/>
          <w:sz w:val="28"/>
          <w:sz w:val="28"/>
          <w:szCs w:val="28"/>
          <w:rtl w:val="true"/>
          <w:lang w:bidi="fa-IR"/>
        </w:rPr>
        <w:t>سواء کان الولد ذکراً أو أنثی، کما أثبتناه فی مبحث المستحقّین للحضانة و مراتبهم، و لکن اختلفوا فی استحقاق الأمّ لحضانة الصغیر و الصغیرة بعد الفطام و إتمام الرضاع علی أقوال 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قول المفید رحمه الله فی المقنعة،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الأمّ أحقّ بکفالة البنت حتی تبلغ تسع سنین</w:t>
      </w:r>
      <w:r>
        <w:rPr>
          <w:rFonts w:eastAsia="IRNazanin" w:cs="IRNazanin"/>
          <w:color w:val="111111"/>
          <w:sz w:val="28"/>
          <w:szCs w:val="28"/>
          <w:rtl w:val="true"/>
          <w:lang w:bidi="fa-IR"/>
        </w:rPr>
        <w:t>»</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نجد دلیلاً یمکن إثباته به، و لعلّ المفید وصل إلیه خبر فی ما ذکره و لم یصل إلینا، و بحسب تتبّعنا لم یقل به فقیه من فقهاء الشیعة إلاّ المفید فی المقنعة، و الدیلمی فی المراسم</w:t>
      </w:r>
      <w:r>
        <w:rPr>
          <w:rStyle w:val="FootnoteAnchor"/>
          <w:rtl w:val="true"/>
        </w:rPr>
        <w:footnoteReference w:id="14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نسبه فی المهذّب إلی القیل</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مدّة استحقاق الأمّ فی حضانة الصغیر سبع سنین و الصغیرة ما لم تتزوّج، و به قال شیخ الطائفة فی الخلاف</w:t>
      </w:r>
      <w:r>
        <w:rPr>
          <w:rStyle w:val="FootnoteAnchor"/>
          <w:rtl w:val="true"/>
        </w:rPr>
        <w:footnoteReference w:id="1459"/>
      </w:r>
      <w:r>
        <w:rPr>
          <w:rFonts w:ascii="IRNazanin" w:hAnsi="IRNazanin" w:eastAsia="IRNazanin"/>
          <w:color w:val="111111"/>
          <w:sz w:val="28"/>
          <w:sz w:val="28"/>
          <w:szCs w:val="28"/>
          <w:rtl w:val="true"/>
          <w:lang w:bidi="fa-IR"/>
        </w:rPr>
        <w:t>، و ادّعی أنّ علی هذا إجماع الفرقة و أخبارهم</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کان قول بعض أهل السنّة، و هو مخالف لما اشتهر بین فقهائنا؛ و لذا قال ابن إدریس ردّاً علی هذا 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ذکره شیخنا فی مسائل خلافه، بعضه قول بعض المخالفین، و ما اخترنا هو الصحیح؛ لأنّه لا خلاف أنّ الأب أحقّ بالولد فی جمیع الأحوال، و هو الوالی علیه و القیّم بأموره، فأخرجنا بالإجماع الحولین فی الذکر، و فی الأنثی السبع، فمن ادّعی أکثر من ذلک یحتاج فیه إلی دلیل قاطع، و هو مذهب شیخنا فی نهایته، و العجب قوله فی آخر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دلیلنا إجماع الفرقة و أخبارهم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ممّا یضحک الثکلی، من أجمع منهم معه؟ و أیّ أخبارٍ لهم فی ذلک؟ بل أخبارنا بخلافه واردة، و إجماعنا بضدّ ما قاله رحمه اللّه</w:t>
      </w:r>
      <w:r>
        <w:rPr>
          <w:rFonts w:eastAsia="IRNazanin" w:cs="IRNazanin"/>
          <w:color w:val="111111"/>
          <w:sz w:val="28"/>
          <w:szCs w:val="28"/>
          <w:rtl w:val="true"/>
          <w:lang w:bidi="fa-IR"/>
        </w:rPr>
        <w:t>»</w:t>
      </w:r>
      <w:r>
        <w:rPr>
          <w:rStyle w:val="FootnoteAnchor"/>
          <w:rtl w:val="true"/>
        </w:rPr>
        <w:footnoteReference w:id="1460"/>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 أحق بالولد ما لم تتزوّج، قال الصدوق رحمه الله فی المقنع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طلّق الرجل امرأته و بینهما ولد، فالمرأة أحقّ بالولد ما لم تتزوّج</w:t>
      </w:r>
      <w:r>
        <w:rPr>
          <w:rFonts w:eastAsia="IRNazanin" w:cs="IRNazanin"/>
          <w:color w:val="111111"/>
          <w:sz w:val="28"/>
          <w:szCs w:val="28"/>
          <w:rtl w:val="true"/>
          <w:lang w:bidi="fa-IR"/>
        </w:rPr>
        <w:t>»</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الدلیل لهذا القول منحصر بمرسلة المنقری التی جاء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أحقّ بالولد ما لم تتزوّج</w:t>
      </w:r>
      <w:r>
        <w:rPr>
          <w:rFonts w:eastAsia="IRNazanin" w:cs="IRNazanin"/>
          <w:color w:val="111111"/>
          <w:sz w:val="28"/>
          <w:szCs w:val="28"/>
          <w:rtl w:val="true"/>
          <w:lang w:bidi="fa-IR"/>
        </w:rPr>
        <w:t>»</w:t>
      </w:r>
      <w:r>
        <w:rPr>
          <w:rStyle w:val="FootnoteAnchor"/>
          <w:rtl w:val="true"/>
        </w:rPr>
        <w:footnoteReference w:id="14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بإرسالها ضعیفة، مع أنّها معارضة لصحیحة أیّوب بن نوح التی صرّح فیها بأحقیّة الأمّ للحضانة إلی سبع سنین،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أحقّ بالولد إلی أن یبلغ سبع سنین إلاّ أن تشاء المرأة</w:t>
      </w:r>
      <w:r>
        <w:rPr>
          <w:rFonts w:eastAsia="IRNazanin" w:cs="IRNazanin"/>
          <w:color w:val="111111"/>
          <w:sz w:val="28"/>
          <w:szCs w:val="28"/>
          <w:rtl w:val="true"/>
          <w:lang w:bidi="fa-IR"/>
        </w:rPr>
        <w:t>»</w:t>
      </w:r>
      <w:r>
        <w:rPr>
          <w:rStyle w:val="FootnoteAnchor"/>
          <w:rtl w:val="true"/>
        </w:rPr>
        <w:footnoteReference w:id="14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الترجیح مع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الأمّ بحضانة الطفل سنتین، و بعدها یترک الأمر إلی اجتهاد القاضی، قال بعض المعاصرین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غیر بعید أن تختصّ الأمّ بحضانة الطفل سنتین ذکراً کان أو أنثی، و بعدها یترک الأمر إلی اجتهاد القاضی و نظره، فهو الذی یقرّر انضمام الطفل إلی الأمّ أو الأب بعد السنتین علی أساس مصلحة الطفل دیناً و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کان من الوجهة النظریة</w:t>
      </w:r>
      <w:r>
        <w:rPr>
          <w:rFonts w:eastAsia="IRNazanin" w:cs="IRNazanin"/>
          <w:color w:val="111111"/>
          <w:sz w:val="28"/>
          <w:szCs w:val="28"/>
          <w:rtl w:val="true"/>
          <w:lang w:bidi="fa-IR"/>
        </w:rPr>
        <w:t>»</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نجد دلیلاً یمکن إثبات هذا القول به، و لم یقل به فقیه، و لم یذکر هو نفسه أیضاً دلیلاً علیه، و ما ذکره من أنّ هذا کان من الوجهة النظریة نوع استحسان، و لا اعتبار به فی فقهنا، مع أنّ مفاد القول بأنّ القاضی ینظر بعد سنتین یؤثِّر فی تعیین مَن له استحقاق الحضانة، و هو الذی یقرّر انضمام الطفل إلی الأمّ أو الأب علی أساس المصلحة، و السؤال أنّ هذا فی مورد اختلاف الأب و الأمّ فی أمر الحضانة و رجوعهما إلی القاضی، أمّا إذا لم یکن کذلک، بل أراد کلّ من الأب و الأمّ أن یعلما وظیفتهما، ما هو الحکم الشرعی؟ فلا یمکن لهذا القول أن یکون جواباً لهذه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هو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مدّة استحقاق الأمّ فی حضانة البنت سبع سنین، و هذا هو المشهور بین الفقهاء</w:t>
      </w:r>
      <w:r>
        <w:rPr>
          <w:rStyle w:val="FootnoteAnchor"/>
          <w:rtl w:val="true"/>
        </w:rPr>
        <w:footnoteReference w:id="14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ادّعی ابن إدریس الإجماع</w:t>
      </w:r>
      <w:r>
        <w:rPr>
          <w:rStyle w:val="FootnoteAnchor"/>
          <w:rtl w:val="true"/>
        </w:rPr>
        <w:footnoteReference w:id="14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اختاره الشیخ فی النهایة</w:t>
      </w:r>
      <w:r>
        <w:rPr>
          <w:rStyle w:val="FootnoteAnchor"/>
          <w:rtl w:val="true"/>
        </w:rPr>
        <w:footnoteReference w:id="1467"/>
      </w:r>
      <w:r>
        <w:rPr>
          <w:rFonts w:ascii="IRNazanin" w:hAnsi="IRNazanin" w:eastAsia="IRNazanin"/>
          <w:color w:val="111111"/>
          <w:sz w:val="28"/>
          <w:sz w:val="28"/>
          <w:szCs w:val="28"/>
          <w:rtl w:val="true"/>
          <w:lang w:bidi="fa-IR"/>
        </w:rPr>
        <w:t>و المحقّق فی الشرائع</w:t>
      </w:r>
      <w:r>
        <w:rPr>
          <w:rStyle w:val="FootnoteAnchor"/>
          <w:rtl w:val="true"/>
        </w:rPr>
        <w:footnoteReference w:id="1468"/>
      </w:r>
      <w:r>
        <w:rPr>
          <w:rFonts w:ascii="IRNazanin" w:hAnsi="IRNazanin" w:eastAsia="IRNazanin"/>
          <w:color w:val="111111"/>
          <w:sz w:val="28"/>
          <w:sz w:val="28"/>
          <w:szCs w:val="28"/>
          <w:rtl w:val="true"/>
          <w:lang w:bidi="fa-IR"/>
        </w:rPr>
        <w:t>و ابن حمزة فی الوسیلة</w:t>
      </w:r>
      <w:r>
        <w:rPr>
          <w:rStyle w:val="FootnoteAnchor"/>
          <w:rtl w:val="true"/>
        </w:rPr>
        <w:footnoteReference w:id="1469"/>
      </w:r>
      <w:r>
        <w:rPr>
          <w:rFonts w:ascii="Amiri" w:hAnsi="Amiri" w:eastAsia="Amiri" w:cs="Amiri"/>
          <w:color w:val="111111"/>
          <w:sz w:val="28"/>
          <w:sz w:val="28"/>
          <w:szCs w:val="28"/>
          <w:rtl w:val="true"/>
          <w:lang w:bidi="ar-SA"/>
        </w:rPr>
        <w:t>و ابن برّاج فی المهذّب</w:t>
      </w:r>
      <w:r>
        <w:rPr>
          <w:rStyle w:val="FootnoteAnchor"/>
          <w:rtl w:val="true"/>
        </w:rPr>
        <w:footnoteReference w:id="1470"/>
      </w:r>
      <w:r>
        <w:rPr>
          <w:rFonts w:ascii="IRNazanin" w:hAnsi="IRNazanin" w:eastAsia="IRNazanin"/>
          <w:color w:val="111111"/>
          <w:sz w:val="28"/>
          <w:sz w:val="28"/>
          <w:szCs w:val="28"/>
          <w:rtl w:val="true"/>
          <w:lang w:bidi="fa-IR"/>
        </w:rPr>
        <w:t>و ابن فهد الحلّی فی المهذّب البارع</w:t>
      </w:r>
      <w:r>
        <w:rPr>
          <w:rStyle w:val="FootnoteAnchor"/>
          <w:rtl w:val="true"/>
        </w:rPr>
        <w:footnoteReference w:id="1471"/>
      </w:r>
      <w:r>
        <w:rPr>
          <w:rFonts w:ascii="IRNazanin" w:hAnsi="IRNazanin" w:eastAsia="IRNazanin"/>
          <w:color w:val="111111"/>
          <w:sz w:val="28"/>
          <w:sz w:val="28"/>
          <w:szCs w:val="28"/>
          <w:rtl w:val="true"/>
          <w:lang w:bidi="fa-IR"/>
        </w:rPr>
        <w:t>و الشیخ محمد حسن النجفی فی الجواهر</w:t>
      </w:r>
      <w:r>
        <w:rPr>
          <w:rStyle w:val="FootnoteAnchor"/>
          <w:rtl w:val="true"/>
        </w:rPr>
        <w:footnoteReference w:id="1472"/>
      </w:r>
      <w:r>
        <w:rPr>
          <w:rFonts w:ascii="IRNazanin" w:hAnsi="IRNazanin" w:eastAsia="IRNazanin"/>
          <w:color w:val="111111"/>
          <w:sz w:val="28"/>
          <w:sz w:val="28"/>
          <w:szCs w:val="28"/>
          <w:rtl w:val="true"/>
          <w:lang w:bidi="fa-IR"/>
        </w:rPr>
        <w:t>و غیرهم</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المستند لهذا القول صحیحة أیّوب بن نوح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إلیه بعض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لی امرأة ولی منها ولد و خلّیت سبیلها، فکتب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أحقّ بالولد إلی أن یبلغ سبع سنین إلاّ أن تشاء المرأة</w:t>
      </w:r>
      <w:r>
        <w:rPr>
          <w:rFonts w:eastAsia="IRNazanin" w:cs="IRNazanin"/>
          <w:color w:val="111111"/>
          <w:sz w:val="28"/>
          <w:szCs w:val="28"/>
          <w:rtl w:val="true"/>
          <w:lang w:bidi="fa-IR"/>
        </w:rPr>
        <w:t>»</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الشیخ الحرّ العاملی بعد نقل الروایة فی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جماعة من الأصحاب علی الأنثی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صحیحة أخری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إلیه مع بشر بن بشّار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تزوّج امرأة فولدت منه ثمّ فارقها متی یجب له أن یأخذ ولده؟ فکتب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صار له سبع سنین فإن أخذه فله، و إن ترکه فله</w:t>
      </w:r>
      <w:r>
        <w:rPr>
          <w:rFonts w:eastAsia="IRNazanin" w:cs="IRNazanin"/>
          <w:color w:val="111111"/>
          <w:sz w:val="28"/>
          <w:szCs w:val="28"/>
          <w:rtl w:val="true"/>
          <w:lang w:bidi="fa-IR"/>
        </w:rPr>
        <w:t>»</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الدلالة واضحة، و لکن الاستدلال بهما یتوقّف علی أن یحمل الولد علی</w:t>
      </w:r>
      <w:bookmarkStart w:id="660" w:name="pg11752_146342"/>
    </w:p>
    <w:p>
      <w:pPr>
        <w:pStyle w:val="BookText"/>
        <w:rPr/>
      </w:pPr>
      <w:bookmarkEnd w:id="660"/>
      <w:r>
        <w:rPr>
          <w:rFonts w:ascii="IRNazanin" w:hAnsi="IRNazanin" w:eastAsia="IRNazanin"/>
          <w:color w:val="111111"/>
          <w:sz w:val="28"/>
          <w:sz w:val="28"/>
          <w:szCs w:val="28"/>
          <w:rtl w:val="true"/>
          <w:lang w:bidi="fa-IR"/>
        </w:rPr>
        <w:t>الأنثی، کما نقل فی الوسائل عن جماعة</w:t>
      </w:r>
      <w:r>
        <w:rPr>
          <w:rFonts w:eastAsia="IRNazanin" w:cs="IRNazanin"/>
          <w:color w:val="111111"/>
          <w:sz w:val="28"/>
          <w:szCs w:val="28"/>
          <w:rtl w:val="true"/>
          <w:lang w:bidi="fa-IR"/>
        </w:rPr>
        <w:t>.</w:t>
      </w:r>
    </w:p>
    <w:p>
      <w:pPr>
        <w:pStyle w:val="Heading6"/>
        <w:numPr>
          <w:ilvl w:val="5"/>
          <w:numId w:val="1"/>
        </w:numPr>
        <w:rPr/>
      </w:pPr>
      <w:bookmarkStart w:id="661" w:name="__RefHeading___Toc9424276_73709187"/>
      <w:bookmarkStart w:id="662" w:name="_Toc252"/>
      <w:bookmarkEnd w:id="661"/>
      <w:r>
        <w:rPr>
          <w:rtl w:val="true"/>
        </w:rPr>
        <w:t>رفع التعارض بین الأخبار</w:t>
      </w:r>
      <w:bookmarkEnd w:id="662"/>
    </w:p>
    <w:p>
      <w:pPr>
        <w:pStyle w:val="BookText"/>
        <w:rPr/>
      </w:pPr>
      <w:r>
        <w:rPr>
          <w:rFonts w:ascii="IRNazanin" w:hAnsi="IRNazanin" w:eastAsia="IRNazanin"/>
          <w:color w:val="111111"/>
          <w:sz w:val="28"/>
          <w:sz w:val="28"/>
          <w:szCs w:val="28"/>
          <w:rtl w:val="true"/>
          <w:lang w:bidi="fa-IR"/>
        </w:rPr>
        <w:t>إن الروایات التی دلّت علی استحقاق الأمّ للحضانة و تقدّمها علی الأب ثلاث طوائف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علی أحقّیّة الأمّ للحضانة أیّام الرضاع، مثل صحیحة الحلبی المتقدّمة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طائفة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تحکم بأحقیّة الأمّ للحضانة ما لم تتزوّج، مثل خبر المنقری المتقدّم أیضاً أو تحکم بأحقیّة الأب، مثل خبر فضل أبی العباس عن أبی عبد اللّه علیه السلام</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تحکم بأحقیّة الأمّ للحضانة إلی أن یبلغ الولد سبع سنین،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صحیحتی أیّوب بن نوح اللتین ذکرناهما أخیراً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فإنّ الطائفة الثالثة دلّت علی أحقیّة الأمّ للحضانة إلی سبع سنین و إن تزوّجت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الحال أنّ الطائفة الثانیة تحکم بأحقّیة الأب للحضانة، أو استحقاق الأمّ ما لم تتزوّج، فإذا تزوّجت زال حقّها، و هکذا الطائفة الأولی دلّت علی أحقیّة الأمّ أیّام الرضاع فقط و هی حولان، فما هو وجه الجمع فی الروایات حتّی یرفع التعارض؟</w:t>
      </w:r>
    </w:p>
    <w:p>
      <w:pPr>
        <w:pStyle w:val="BookText"/>
        <w:rPr/>
      </w:pPr>
      <w:r>
        <w:rPr>
          <w:rFonts w:ascii="IRNazanin" w:hAnsi="IRNazanin" w:eastAsia="IRNazanin"/>
          <w:color w:val="111111"/>
          <w:sz w:val="28"/>
          <w:sz w:val="28"/>
          <w:szCs w:val="28"/>
          <w:rtl w:val="true"/>
          <w:lang w:bidi="fa-IR"/>
        </w:rPr>
        <w:t>قال بعض المحقّقین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الأقرب عندی فی الجمع بین أخبار المسألة هو أن یقال</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 بعد الطلاق إن وقع التشاجر و النزاع بین الأبوین فی الحضانة، فالظاهر أنّ الأب أحقّ به إلاّ فی مدّة الحولین إذا رضیت بما یرضی به غیرها، أو تبرّعت، فإنّها تصیر</w:t>
      </w:r>
    </w:p>
    <w:p>
      <w:pPr>
        <w:pStyle w:val="BookText"/>
        <w:rPr/>
      </w:pPr>
      <w:r>
        <w:rPr>
          <w:rFonts w:ascii="IRNazanin" w:hAnsi="IRNazanin" w:eastAsia="IRNazanin"/>
          <w:color w:val="111111"/>
          <w:sz w:val="28"/>
          <w:sz w:val="28"/>
          <w:szCs w:val="28"/>
          <w:rtl w:val="true"/>
          <w:lang w:bidi="fa-IR"/>
        </w:rPr>
        <w:t>حینئذٍ أحقّ، و إلی ما ذکرنا من أحقیّة الأب یشیر قوله علیه السلام فی روایة البقباق،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أحقّ بالولد أم المرأة؟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قالت المرأة لزوجها الذی طلّقها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أرضع ابنی بمثل من یرضعه فهی أحقّ به</w:t>
      </w:r>
      <w:r>
        <w:rPr>
          <w:rStyle w:val="FootnoteAnchor"/>
          <w:rtl w:val="true"/>
        </w:rPr>
        <w:footnoteReference w:id="14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یکن هناک تنازع بینهما فالأم أحقّ به إلی السبع ما لم تتزوّج</w:t>
      </w:r>
      <w:r>
        <w:rPr>
          <w:rFonts w:eastAsia="IRNazanin" w:cs="IRNazanin"/>
          <w:color w:val="111111"/>
          <w:sz w:val="28"/>
          <w:szCs w:val="28"/>
          <w:rtl w:val="true"/>
          <w:lang w:bidi="fa-IR"/>
        </w:rPr>
        <w:t>»</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هذا الجمع لا دلیل علیه؛ لأنّه لیس فی الصحیحتین قرینة تدلّ علی أنّ أحقیّة الأمّ إلی سبع سنین مشروطة بعدم التشاجر و النزاع بین الأبوین، بل هما مطلقتان تشملان مورد النزاع و عدمه، و هذا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المحقّق الخوانساری فی وجه الجمع بین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نعم 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 الجمع العرفی و هو</w:t>
      </w:r>
      <w:r>
        <w:rPr>
          <w:rStyle w:val="FootnoteAnchor"/>
          <w:rtl w:val="true"/>
        </w:rPr>
        <w:footnoteReference w:id="1479"/>
      </w:r>
      <w:r>
        <w:rPr>
          <w:rFonts w:ascii="IRNazanin" w:hAnsi="IRNazanin" w:eastAsia="IRNazanin"/>
          <w:color w:val="111111"/>
          <w:sz w:val="28"/>
          <w:sz w:val="28"/>
          <w:szCs w:val="28"/>
          <w:rtl w:val="true"/>
          <w:lang w:bidi="fa-IR"/>
        </w:rPr>
        <w:t>حمل الظاهر علی النصّ، و الأظهر هو حمل ما دلّ علی استحباب وضع الولد عند الأمّ إلی سبع، و کراهة أخذه منها قبله؛ لصراحة</w:t>
      </w:r>
      <w:r>
        <w:rPr>
          <w:rStyle w:val="FootnoteAnchor"/>
          <w:rtl w:val="true"/>
        </w:rPr>
        <w:footnoteReference w:id="1480"/>
      </w:r>
      <w:r>
        <w:rPr>
          <w:rFonts w:ascii="IRNazanin" w:hAnsi="IRNazanin" w:eastAsia="IRNazanin"/>
          <w:color w:val="111111"/>
          <w:sz w:val="28"/>
          <w:sz w:val="28"/>
          <w:szCs w:val="28"/>
          <w:rtl w:val="true"/>
          <w:lang w:bidi="fa-IR"/>
        </w:rPr>
        <w:t>ما دلّ علی الحولین فی جواز أخذه منها بعد الحولین، بخلاف ما دلّ علی السبع، فإنّه ظاهر فی حرمة أخذه منها</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الجمع یوجب الجمع بین الوجوب و الاستحباب، حیث إنّ السبع بعضها، أعنی الحولین یجب وضع الولد فیهما عند الأمّ، و السنین الباقیة یستحبّ وضع الولد عندها فیها، و الجمع بهذا النحو لیس بعزیز</w:t>
      </w:r>
      <w:r>
        <w:rPr>
          <w:rFonts w:eastAsia="IRNazanin" w:cs="IRNazanin"/>
          <w:color w:val="111111"/>
          <w:sz w:val="28"/>
          <w:szCs w:val="28"/>
          <w:rtl w:val="true"/>
          <w:lang w:bidi="fa-IR"/>
        </w:rPr>
        <w:t>»</w:t>
      </w:r>
      <w:r>
        <w:rPr>
          <w:rStyle w:val="FootnoteAnchor"/>
          <w:rtl w:val="true"/>
        </w:rPr>
        <w:footnoteReference w:id="14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تفصیل الشریعة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فمقتضی روایتی الکنانی و داود بن</w:t>
      </w:r>
      <w:bookmarkStart w:id="663" w:name="pg11752_146344"/>
    </w:p>
    <w:p>
      <w:pPr>
        <w:pStyle w:val="BookText"/>
        <w:rPr/>
      </w:pPr>
      <w:bookmarkEnd w:id="663"/>
      <w:r>
        <w:rPr>
          <w:rFonts w:ascii="IRNazanin" w:hAnsi="IRNazanin" w:eastAsia="IRNazanin"/>
          <w:color w:val="111111"/>
          <w:sz w:val="28"/>
          <w:sz w:val="28"/>
          <w:szCs w:val="28"/>
          <w:rtl w:val="true"/>
          <w:lang w:bidi="fa-IR"/>
        </w:rPr>
        <w:t>الحصین المتقدِّمتین انقطاع حضانتها بالفطام مطلقاً من غیر فرق بین الذکر و الاُنثی، و مقتضی روایة أیّوب بن نوح المتقدِّمة أیضاً هو بقاء حضانتها إلی أن تبلغ سبع سنین کذلک، فتحمل الأُولیان علی الذکر و الثانیة علی الاُنثی؛ للإجماع و الاعتبار، نظراً إلی أنّ الوالد أنسب بتربیة الذکر و تأدیبه، و الوالدة أنسب بتربیة الأُنثی و تأدیبها</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64" w:name="__RefHeading___Toc9424278_73709187"/>
      <w:bookmarkStart w:id="665" w:name="_Toc253"/>
      <w:bookmarkEnd w:id="664"/>
      <w:r>
        <w:rPr>
          <w:rtl w:val="true"/>
        </w:rPr>
        <w:t>مدّة استحقاق الأمّ الحضانة عند فقهاء المذاهب الأربعة</w:t>
      </w:r>
      <w:bookmarkEnd w:id="665"/>
    </w:p>
    <w:p>
      <w:pPr>
        <w:pStyle w:val="BookText"/>
        <w:rPr/>
      </w:pPr>
      <w:r>
        <w:rPr>
          <w:rFonts w:ascii="IRNazanin" w:hAnsi="IRNazanin" w:eastAsia="IRNazanin"/>
          <w:color w:val="111111"/>
          <w:sz w:val="28"/>
          <w:sz w:val="28"/>
          <w:szCs w:val="28"/>
          <w:rtl w:val="true"/>
          <w:lang w:bidi="fa-IR"/>
        </w:rPr>
        <w:t xml:space="preserve">فقهاء أهل السنّة اختلفوا فی مدّة حضانة الطفل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الصغیر و الصغیرة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فبعضهم قالوا بأنّ الأم أحقّ بحضانة الأنثی حتّی تبلغ سبع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 آخر قال بأنّها أحقّ بها حتّی تحیض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الآخرون خیّروا الطفل الممیّز ذکراً کان أو أُنثی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نذکر شطراً من کلماتهم علی الترتیب التالی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الحنفیّة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جاء فی الدر المختار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الحاضنة أمّاً أو 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بالغلام حتّی یستغنی عن النساء، و قدّر بسبعٍ و به یفتی؛ لأنّه الغالب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الأمّ و الجدة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 أو لأب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أحقّ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بالصغیرة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تبلغ فی ظاهر الروایة، و لو اختلفا فی حیضها فالقول للأمّ</w:t>
      </w:r>
      <w:r>
        <w:rPr>
          <w:rFonts w:eastAsia="IRNazanin" w:cs="IRNazanin"/>
          <w:color w:val="111111"/>
          <w:sz w:val="28"/>
          <w:szCs w:val="28"/>
          <w:rtl w:val="true"/>
          <w:lang w:bidi="fa-IR"/>
        </w:rPr>
        <w:t>»</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الحنابلة</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جاء فی المغنی لابن قدامة و نذکره ملخّصاً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الزوجین إذا افترقا و لهما ولد 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فأمّه أولی الناس بکفالته إذا کملت الشرائط فیها ذکراً کان أو</w:t>
      </w:r>
    </w:p>
    <w:p>
      <w:pPr>
        <w:pStyle w:val="BookText"/>
        <w:rPr/>
      </w:pPr>
      <w:r>
        <w:rPr>
          <w:rFonts w:ascii="IRNazanin" w:hAnsi="IRNazanin" w:eastAsia="IRNazanin"/>
          <w:color w:val="111111"/>
          <w:sz w:val="28"/>
          <w:sz w:val="28"/>
          <w:szCs w:val="28"/>
          <w:rtl w:val="true"/>
          <w:lang w:bidi="fa-IR"/>
        </w:rPr>
        <w:t>أنثی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بلغ الغلام سبع سنین خیّر بین أبویه إذا تنازعا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لنا ما روی أبو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آله خیّر غلاماً بین أبیه و أمّه</w:t>
      </w:r>
      <w:r>
        <w:rPr>
          <w:rStyle w:val="FootnoteAnchor"/>
          <w:rtl w:val="true"/>
        </w:rPr>
        <w:footnoteReference w:id="148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امرأة إلی النبیّ صلی الله علیه و آله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زوجی یرید أن یذهب بابنی و قد سقانی من بئر أبی عتبة و قد نفعنی، فقال له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أبوک و هذه أمّک فخذ بید أیّهما شئت</w:t>
      </w:r>
      <w:r>
        <w:rPr>
          <w:rStyle w:val="FootnoteAnchor"/>
          <w:rtl w:val="true"/>
        </w:rPr>
        <w:footnoteReference w:id="14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بلغت الجاریة سبع سنین فالأب أحقّ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 الغرض بالحضانة الحفظ و الحفظ للجاریة بعد السبع فی الکون عند أبیها؛ لأنّها تحتاج إلی حفظ و الأب أولی بذلک</w:t>
      </w:r>
      <w:r>
        <w:rPr>
          <w:rFonts w:eastAsia="IRNazanin" w:cs="IRNazanin"/>
          <w:color w:val="111111"/>
          <w:sz w:val="28"/>
          <w:szCs w:val="28"/>
          <w:rtl w:val="true"/>
          <w:lang w:bidi="fa-IR"/>
        </w:rPr>
        <w:t>»</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الشافعیة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الفقیه الشافعی فی مغنی المحتاج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الإناث ألیق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بالحضانة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لأنّهنّ أشفق و أهدی إلی التربیة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کلّه فی غیر الممیّز، و الممیّز الصادق بالذکر و الأنثی إن افترق أبواه کان عند من اختار منهما؛ لأنّه صلی الله علیه و آله خیّر غلاماً بین أبیه و أمّه</w:t>
      </w:r>
      <w:r>
        <w:rPr>
          <w:rStyle w:val="FootnoteAnchor"/>
          <w:rtl w:val="true"/>
        </w:rPr>
        <w:footnoteReference w:id="14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الترمذی و حسّنه، و الغلامة کالغلام فی الانتساب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 التمیّز غالباً سبع سنین أو ثمان تقریباً</w:t>
      </w:r>
      <w:r>
        <w:rPr>
          <w:rFonts w:eastAsia="IRNazanin" w:cs="IRNazanin"/>
          <w:color w:val="111111"/>
          <w:sz w:val="28"/>
          <w:szCs w:val="28"/>
          <w:rtl w:val="true"/>
          <w:lang w:bidi="fa-IR"/>
        </w:rPr>
        <w:t>»</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المالکیة</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فی عقد الجواهر الثمینة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 أولی بالصغیر الذکر إلی حیث یبلغ الاحتلام،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حیث یثغر</w:t>
      </w:r>
      <w:r>
        <w:rPr>
          <w:rStyle w:val="FootnoteAnchor"/>
          <w:rtl w:val="true"/>
        </w:rPr>
        <w:footnoteReference w:id="1489"/>
      </w:r>
      <w:r>
        <w:rPr>
          <w:rFonts w:ascii="IRNazanin" w:hAnsi="IRNazanin" w:eastAsia="IRNazanin"/>
          <w:color w:val="111111"/>
          <w:sz w:val="28"/>
          <w:sz w:val="28"/>
          <w:szCs w:val="28"/>
          <w:rtl w:val="true"/>
          <w:lang w:bidi="fa-IR"/>
        </w:rPr>
        <w:t>، و قال ابن الماجشون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استغلظ أو قارب الاحتلام أو أنبت و اسودّ إنباته فللأب ضمّه إلی نفسه، و فی الصغیرة حتی تتزوّج</w:t>
      </w:r>
      <w:bookmarkStart w:id="666" w:name="pg11752_146346"/>
    </w:p>
    <w:p>
      <w:pPr>
        <w:pStyle w:val="BookText"/>
        <w:rPr/>
      </w:pPr>
      <w:bookmarkEnd w:id="666"/>
      <w:r>
        <w:rPr>
          <w:rFonts w:ascii="IRNazanin" w:hAnsi="IRNazanin" w:eastAsia="IRNazanin"/>
          <w:color w:val="111111"/>
          <w:sz w:val="28"/>
          <w:sz w:val="28"/>
          <w:szCs w:val="28"/>
          <w:rtl w:val="true"/>
          <w:lang w:bidi="fa-IR"/>
        </w:rPr>
        <w:t>و یدخل بها زوجها</w:t>
      </w:r>
      <w:r>
        <w:rPr>
          <w:rFonts w:eastAsia="IRNazanin" w:cs="IRNazanin"/>
          <w:color w:val="111111"/>
          <w:sz w:val="28"/>
          <w:szCs w:val="28"/>
          <w:rtl w:val="true"/>
          <w:lang w:bidi="fa-IR"/>
        </w:rPr>
        <w:t>»</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67" w:name="__RefHeading___Toc9424280_73709187"/>
      <w:bookmarkStart w:id="668" w:name="_Toc254"/>
      <w:bookmarkEnd w:id="667"/>
      <w:r>
        <w:rPr>
          <w:rtl w:val="true"/>
        </w:rPr>
        <w:t>ب</w:t>
      </w:r>
      <w:r>
        <w:rPr>
          <w:rtl w:val="true"/>
        </w:rPr>
        <w:t xml:space="preserve">: </w:t>
      </w:r>
      <w:r>
        <w:rPr>
          <w:rtl w:val="true"/>
        </w:rPr>
        <w:t>تقدّم أحد الأبوین علی سائر الأرحام</w:t>
      </w:r>
      <w:bookmarkEnd w:id="668"/>
    </w:p>
    <w:p>
      <w:pPr>
        <w:pStyle w:val="BookText"/>
        <w:rPr/>
      </w:pPr>
      <w:r>
        <w:rPr>
          <w:rFonts w:ascii="IRNazanin" w:hAnsi="IRNazanin" w:eastAsia="IRNazanin"/>
          <w:color w:val="111111"/>
          <w:sz w:val="28"/>
          <w:sz w:val="28"/>
          <w:szCs w:val="28"/>
          <w:rtl w:val="true"/>
          <w:lang w:bidi="fa-IR"/>
        </w:rPr>
        <w:t xml:space="preserve">لو مات الأب أو ارتدّ أو فقدت فیه بعض شرائط الحضانة بعد انتقال الحضانة إلیه أو قبله کانت الأمّ أحقّ بحضانة الولد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کانت متزوّجة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وصی أبیه، و کذا باقی الأقارب حتی جدّه و جدّته فضلاً عن غیرهما، کما أنّه لو ماتت الأمّ فی زمان حضانتها کان الأب أحقّ بها من وصیّها و من باقی الأقارب مطلقاً، حتّی من أبیها و أمّها، و لم نجد فی المسألة مخالف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الشهید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مات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انتقلت الحضانة إلی الأم، و کانت أحقّ بها من وصیّ الأب و غیره من الأقارب، و ظاهر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عبارة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الفرق بین کون الأمّ حینئذٍ متزوّجة و عدمه، و أنّ مانع التزویج إنّما یؤثّر مع وجود الأب کما یقتضیه النصّ، حیث إنّ المنازعة وقعت بینها و بین الأب، فجعلها أحقّ به ما لم تتزوّج</w:t>
      </w:r>
      <w:r>
        <w:rPr>
          <w:rFonts w:eastAsia="IRNazanin" w:cs="IRNazanin"/>
          <w:color w:val="111111"/>
          <w:sz w:val="28"/>
          <w:szCs w:val="28"/>
          <w:rtl w:val="true"/>
          <w:lang w:bidi="fa-IR"/>
        </w:rPr>
        <w:t>»</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مقصوده رحمه الله من النصّ مرسلة المنقری التی سئل فیها أبو عبد اللّه علیه السلام عن الرجل یطلّق امرأته و بینهما ولد أیّهما أحقّ بالولد؟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أحقّ بالولد ما لم تتزوّج</w:t>
      </w:r>
      <w:r>
        <w:rPr>
          <w:rFonts w:eastAsia="IRNazanin" w:cs="IRNazanin"/>
          <w:color w:val="111111"/>
          <w:sz w:val="28"/>
          <w:szCs w:val="28"/>
          <w:rtl w:val="true"/>
          <w:lang w:bidi="fa-IR"/>
        </w:rPr>
        <w:t>»</w:t>
      </w:r>
      <w:r>
        <w:rPr>
          <w:rStyle w:val="FootnoteAnchor"/>
          <w:rtl w:val="true"/>
        </w:rPr>
        <w:footnoteReference w:id="1492"/>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قال بعد کلامه 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المتحقّق من مانعیّة التزویج ما کان منها مع وجود الأب لا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حال هذا القول مختار الشیخ</w:t>
      </w:r>
      <w:r>
        <w:rPr>
          <w:rStyle w:val="FootnoteAnchor"/>
          <w:rtl w:val="true"/>
        </w:rPr>
        <w:footnoteReference w:id="1493"/>
      </w:r>
      <w:r>
        <w:rPr>
          <w:rFonts w:ascii="IRNazanin" w:hAnsi="IRNazanin" w:eastAsia="IRNazanin"/>
          <w:color w:val="111111"/>
          <w:sz w:val="28"/>
          <w:sz w:val="28"/>
          <w:szCs w:val="28"/>
          <w:rtl w:val="true"/>
          <w:lang w:bidi="fa-IR"/>
        </w:rPr>
        <w:t>و المفید</w:t>
      </w:r>
      <w:r>
        <w:rPr>
          <w:rStyle w:val="FootnoteAnchor"/>
          <w:rtl w:val="true"/>
        </w:rPr>
        <w:footnoteReference w:id="1494"/>
      </w:r>
      <w:r>
        <w:rPr>
          <w:rFonts w:ascii="Amiri" w:hAnsi="Amiri" w:eastAsia="Amiri" w:cs="Amiri"/>
          <w:color w:val="111111"/>
          <w:sz w:val="28"/>
          <w:sz w:val="28"/>
          <w:szCs w:val="28"/>
          <w:rtl w:val="true"/>
          <w:lang w:bidi="ar-SA"/>
        </w:rPr>
        <w:t>و المحقّق</w:t>
      </w:r>
      <w:r>
        <w:rPr>
          <w:rStyle w:val="FootnoteAnchor"/>
          <w:rtl w:val="true"/>
        </w:rPr>
        <w:footnoteReference w:id="1495"/>
      </w:r>
      <w:r>
        <w:rPr>
          <w:rFonts w:ascii="Amiri" w:hAnsi="Amiri" w:eastAsia="Amiri" w:cs="Amiri"/>
          <w:color w:val="111111"/>
          <w:sz w:val="28"/>
          <w:sz w:val="28"/>
          <w:szCs w:val="28"/>
          <w:rtl w:val="true"/>
          <w:lang w:bidi="ar-SA"/>
        </w:rPr>
        <w:t>و العلاّمة</w:t>
      </w:r>
      <w:r>
        <w:rPr>
          <w:rStyle w:val="FootnoteAnchor"/>
          <w:rtl w:val="true"/>
        </w:rPr>
        <w:footnoteReference w:id="1496"/>
      </w:r>
    </w:p>
    <w:p>
      <w:pPr>
        <w:pStyle w:val="BookText"/>
        <w:rPr/>
      </w:pPr>
      <w:r>
        <w:rPr>
          <w:rFonts w:ascii="IRNazanin" w:hAnsi="IRNazanin" w:eastAsia="IRNazanin"/>
          <w:color w:val="111111"/>
          <w:sz w:val="28"/>
          <w:sz w:val="28"/>
          <w:szCs w:val="28"/>
          <w:rtl w:val="true"/>
          <w:lang w:bidi="fa-IR"/>
        </w:rPr>
        <w:t>و صاحب الجواهر</w:t>
      </w:r>
      <w:r>
        <w:rPr>
          <w:rStyle w:val="FootnoteAnchor"/>
          <w:rtl w:val="true"/>
        </w:rPr>
        <w:footnoteReference w:id="1497"/>
      </w:r>
      <w:r>
        <w:rPr>
          <w:rFonts w:ascii="IRNazanin" w:hAnsi="IRNazanin" w:eastAsia="IRNazanin"/>
          <w:color w:val="111111"/>
          <w:sz w:val="28"/>
          <w:sz w:val="28"/>
          <w:szCs w:val="28"/>
          <w:rtl w:val="true"/>
          <w:lang w:bidi="fa-IR"/>
        </w:rPr>
        <w:t>و غیرهم</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الدلیل علی هذا الرأی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تُضَارَّ والِدَةٌ بِوَلَدِها وَ لا مَوْلُودٌ لَهُ بِوَلَدِهِ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تقریب</w:t>
      </w:r>
      <w:r>
        <w:rPr>
          <w:rStyle w:val="FootnoteAnchor"/>
          <w:rtl w:val="true"/>
        </w:rPr>
        <w:footnoteReference w:id="1499"/>
      </w:r>
      <w:r>
        <w:rPr>
          <w:rFonts w:ascii="IRNazanin" w:hAnsi="IRNazanin" w:eastAsia="IRNazanin"/>
          <w:color w:val="111111"/>
          <w:sz w:val="28"/>
          <w:sz w:val="28"/>
          <w:szCs w:val="28"/>
          <w:rtl w:val="true"/>
          <w:lang w:bidi="fa-IR"/>
        </w:rPr>
        <w:t>الاستدلال بها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حقّ الحضانة لهما دون غیرهما، إلاّ أنّ مع وجودهما یکون تفصیل الأمر بینهما شرعاً، علی ما ذکرناه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مع موت أحدهما أو فقد الشرائط فیه یبقی الآخر بلا معارض، فلا یجوز أخذ الولد منه؛ إذ لا ریب أنّ أخذه من الأب أو الأمّ إذا انحصرت الحضانة فی أحدهما إضرار بالولد، و الآیة تنهی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أُولُوا الْأَرْحامِ بَعْضُهُمْ أَوْلی بِبَعْضٍ فِی کِتابِ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شک فی أنّ الأولویة تشمل الإرث و الحضانة و غیرهما، و بتعبیر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یفتقر إلی التربیة و الحضانة، فلا بدّ مَن أن یکون له من یقوم بذلک، و القریب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أعنی الأب أو الأمّ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أولی من البعید</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بعضهم فی وجه الاستدلال بالآیة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کان الوالد قد مات کانت الأم أحقّ بحضانته من الوصیّ إلی أن یبلغ، ذکراً کان أو أنثی، تزوّجت أم لم تتزوّج؛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أُولُوا الْأَرْحامِ بَعْضُهُمْ أَوْلی بِبَعْضٍ فِی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خلاف أن الأمّ أقرب إلیه بعد الأب من کلّ أحد</w:t>
      </w:r>
      <w:r>
        <w:rPr>
          <w:rFonts w:eastAsia="Amiri" w:cs="Amiri" w:ascii="Amiri" w:hAnsi="Amiri"/>
          <w:color w:val="111111"/>
          <w:sz w:val="28"/>
          <w:szCs w:val="28"/>
          <w:rtl w:val="true"/>
          <w:lang w:bidi="ar-SA"/>
        </w:rPr>
        <w:t>»</w:t>
      </w:r>
      <w:r>
        <w:rPr>
          <w:rStyle w:val="FootnoteAnchor"/>
          <w:rtl w:val="true"/>
        </w:rPr>
        <w:footnoteReference w:id="1500"/>
      </w:r>
      <w:bookmarkStart w:id="669" w:name="pg11752_146348"/>
    </w:p>
    <w:p>
      <w:pPr>
        <w:pStyle w:val="BookText"/>
        <w:rPr/>
      </w:pPr>
      <w:bookmarkEnd w:id="669"/>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دلّت علیه أیضاً موثّقة داود بن الحصین، عن الصادق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الوالدات یرضعن أولادهنّ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مات الأب فالأمّ أحقّ به من العصبة</w:t>
      </w:r>
      <w:r>
        <w:rPr>
          <w:rFonts w:eastAsia="IRNazanin" w:cs="IRNazanin"/>
          <w:color w:val="111111"/>
          <w:sz w:val="28"/>
          <w:szCs w:val="28"/>
          <w:rtl w:val="true"/>
          <w:lang w:bidi="fa-IR"/>
        </w:rPr>
        <w:t>»</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الدلالة واضحة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دلّت علیه أیضاً مرسلة ابن عمیر، عن بعض أصحابنا، عن زرارة، عن الباقر علیه السلام، فقد جاء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للوصیّ أن یخرجه من حجرها حتّی یدرک و یدفع إلیه ماله</w:t>
      </w:r>
      <w:r>
        <w:rPr>
          <w:rFonts w:eastAsia="IRNazanin" w:cs="IRNazanin"/>
          <w:color w:val="111111"/>
          <w:sz w:val="28"/>
          <w:szCs w:val="28"/>
          <w:rtl w:val="true"/>
          <w:lang w:bidi="fa-IR"/>
        </w:rPr>
        <w:t>»</w:t>
      </w:r>
      <w:r>
        <w:rPr>
          <w:rStyle w:val="FootnoteAnchor"/>
          <w:rtl w:val="true"/>
        </w:rPr>
        <w:footnoteReference w:id="1502"/>
      </w:r>
      <w:r>
        <w:rPr>
          <w:rFonts w:ascii="IRNazanin" w:hAnsi="IRNazanin" w:eastAsia="IRNazanin"/>
          <w:color w:val="111111"/>
          <w:sz w:val="28"/>
          <w:sz w:val="28"/>
          <w:szCs w:val="28"/>
          <w:rtl w:val="true"/>
          <w:lang w:bidi="fa-IR"/>
        </w:rPr>
        <w:t>أی لیس لوصیّ الأب أن یخرج الولد من حجر أمّه حتّی یدرک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بما أنّ الروایة ضعیفة سنداً فهی تصلح أن تکون مؤیّداً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صاحب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مقتضی الأصل فی بعض الصور یقتضی ذلک و یتمّ فی غیره بعدم القول بالفصل</w:t>
      </w:r>
      <w:r>
        <w:rPr>
          <w:rFonts w:eastAsia="IRNazanin" w:cs="IRNazanin"/>
          <w:color w:val="111111"/>
          <w:sz w:val="28"/>
          <w:szCs w:val="28"/>
          <w:rtl w:val="true"/>
          <w:lang w:bidi="fa-IR"/>
        </w:rPr>
        <w:t>»</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 بعضهم الإجماع علی ذلک</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الأب و الأمّ أشفق و أرفق بالولد من غیرهما، فالحضانة التی نشأت من طبیعتهما کانت لهما فقط ما دام أحدهما أو کلاهما موجودین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أشیر فی ذیل موثّقة داود بن الحصین المتقدّمة إلی هذا الوجه؛ لأنّه قال علیه السلام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ذلک خیر له و أرفق به أن یترک مع أمّه</w:t>
      </w:r>
      <w:r>
        <w:rPr>
          <w:rFonts w:eastAsia="IRNazanin" w:cs="IRNazanin"/>
          <w:color w:val="111111"/>
          <w:sz w:val="28"/>
          <w:szCs w:val="28"/>
          <w:rtl w:val="true"/>
          <w:lang w:bidi="fa-IR"/>
        </w:rPr>
        <w:t>».</w:t>
      </w:r>
    </w:p>
    <w:p>
      <w:pPr>
        <w:pStyle w:val="Heading6"/>
        <w:numPr>
          <w:ilvl w:val="5"/>
          <w:numId w:val="1"/>
        </w:numPr>
        <w:rPr/>
      </w:pPr>
      <w:bookmarkStart w:id="670" w:name="__RefHeading___Toc9424282_73709187"/>
      <w:bookmarkStart w:id="671" w:name="_Toc255"/>
      <w:bookmarkEnd w:id="670"/>
      <w:r>
        <w:rPr>
          <w:rtl w:val="true"/>
        </w:rPr>
        <w:t xml:space="preserve">ج </w:t>
      </w:r>
      <w:r>
        <w:rPr>
          <w:rtl w:val="true"/>
        </w:rPr>
        <w:t xml:space="preserve">- </w:t>
      </w:r>
      <w:r>
        <w:rPr>
          <w:rtl w:val="true"/>
        </w:rPr>
        <w:t>تقدّم الجدّ من جهة الأب علی سائر الأرحام</w:t>
      </w:r>
      <w:bookmarkEnd w:id="671"/>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أنّه لا نصّ فی حکم الحضانة علی الخصوص إلاّ فی الأبوین دون من</w:t>
      </w:r>
      <w:bookmarkStart w:id="672" w:name="pg11752_146349"/>
    </w:p>
    <w:p>
      <w:pPr>
        <w:pStyle w:val="BookText"/>
        <w:rPr/>
      </w:pPr>
      <w:bookmarkEnd w:id="672"/>
      <w:r>
        <w:rPr>
          <w:rFonts w:ascii="IRNazanin" w:hAnsi="IRNazanin" w:eastAsia="IRNazanin"/>
          <w:color w:val="111111"/>
          <w:sz w:val="28"/>
          <w:sz w:val="28"/>
          <w:szCs w:val="28"/>
          <w:rtl w:val="true"/>
          <w:lang w:bidi="fa-IR"/>
        </w:rPr>
        <w:t>عداهما من بقیة الأجداد و الجدّات و الأقارب؛ فلذلک اختلف الأصحاب فیمن له استحقاق الحضانة و یجب علیه القیام بها بعد الأبوین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الجدّ للأب، أو الأمّ للأب، و سائر الأقارب بحسب مراتبهم فی الإرث، أو تکون الحضانة لوصیّ الأب و الجدّ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أقوال کثیرة نشیر إلیها علی نحو الاختصار، و نذکر القول المختار و دلیله إن شاء اللّه تعالی</w:t>
      </w:r>
      <w:r>
        <w:rPr>
          <w:rFonts w:eastAsia="IRNazanin" w:cs="IRNazanin"/>
          <w:color w:val="111111"/>
          <w:sz w:val="28"/>
          <w:szCs w:val="28"/>
          <w:rtl w:val="true"/>
          <w:lang w:bidi="fa-IR"/>
        </w:rPr>
        <w:t>.</w:t>
      </w:r>
    </w:p>
    <w:p>
      <w:pPr>
        <w:pStyle w:val="Heading6"/>
        <w:numPr>
          <w:ilvl w:val="5"/>
          <w:numId w:val="1"/>
        </w:numPr>
        <w:rPr/>
      </w:pPr>
      <w:bookmarkStart w:id="673" w:name="__RefHeading___Toc9424284_73709187"/>
      <w:bookmarkStart w:id="674" w:name="_Toc256"/>
      <w:bookmarkEnd w:id="673"/>
      <w:r>
        <w:rPr>
          <w:rtl w:val="true"/>
        </w:rPr>
        <w:t>القول الأوّل</w:t>
      </w:r>
      <w:r>
        <w:rPr>
          <w:rtl w:val="true"/>
        </w:rPr>
        <w:t>:</w:t>
      </w:r>
      <w:bookmarkEnd w:id="674"/>
    </w:p>
    <w:p>
      <w:pPr>
        <w:pStyle w:val="BookText"/>
        <w:rPr/>
      </w:pPr>
      <w:r>
        <w:rPr>
          <w:rFonts w:ascii="IRNazanin" w:hAnsi="IRNazanin" w:eastAsia="IRNazanin"/>
          <w:color w:val="111111"/>
          <w:sz w:val="28"/>
          <w:sz w:val="28"/>
          <w:szCs w:val="28"/>
          <w:rtl w:val="true"/>
          <w:lang w:bidi="fa-IR"/>
        </w:rPr>
        <w:t>إنّ الحضانة تکون بعد الأبوین لأمّ الأب</w:t>
      </w:r>
    </w:p>
    <w:p>
      <w:pPr>
        <w:pStyle w:val="BookText"/>
        <w:rPr/>
      </w:pPr>
      <w:r>
        <w:rPr>
          <w:rFonts w:ascii="IRNazanin" w:hAnsi="IRNazanin" w:eastAsia="IRNazanin"/>
          <w:color w:val="111111"/>
          <w:sz w:val="28"/>
          <w:sz w:val="28"/>
          <w:szCs w:val="28"/>
          <w:rtl w:val="true"/>
          <w:lang w:bidi="fa-IR"/>
        </w:rPr>
        <w:t>، فإن لم تکن فلأبیه، فإن لم یکونا فلأمّ الأمّ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قول المفید رحمه الله فی المقنعة</w:t>
      </w:r>
      <w:r>
        <w:rPr>
          <w:rStyle w:val="FootnoteAnchor"/>
          <w:rtl w:val="true"/>
        </w:rPr>
        <w:footnoteReference w:id="1505"/>
      </w:r>
      <w:r>
        <w:rPr>
          <w:rFonts w:ascii="IRNazanin" w:hAnsi="IRNazanin" w:eastAsia="IRNazanin"/>
          <w:color w:val="111111"/>
          <w:sz w:val="28"/>
          <w:sz w:val="28"/>
          <w:szCs w:val="28"/>
          <w:rtl w:val="true"/>
          <w:lang w:bidi="fa-IR"/>
        </w:rPr>
        <w:t>و لم یذکر له دلیلاً</w:t>
      </w:r>
      <w:r>
        <w:rPr>
          <w:rFonts w:eastAsia="IRNazanin" w:cs="IRNazanin"/>
          <w:color w:val="111111"/>
          <w:sz w:val="28"/>
          <w:szCs w:val="28"/>
          <w:rtl w:val="true"/>
          <w:lang w:bidi="fa-IR"/>
        </w:rPr>
        <w:t>.</w:t>
      </w:r>
    </w:p>
    <w:p>
      <w:pPr>
        <w:pStyle w:val="Heading6"/>
        <w:numPr>
          <w:ilvl w:val="5"/>
          <w:numId w:val="1"/>
        </w:numPr>
        <w:rPr/>
      </w:pPr>
      <w:bookmarkStart w:id="675" w:name="__RefHeading___Toc9424286_73709187"/>
      <w:bookmarkStart w:id="676" w:name="_Toc257"/>
      <w:bookmarkEnd w:id="675"/>
      <w:r>
        <w:rPr>
          <w:rtl w:val="true"/>
        </w:rPr>
        <w:t>القول الثانی</w:t>
      </w:r>
      <w:r>
        <w:rPr>
          <w:rtl w:val="true"/>
        </w:rPr>
        <w:t>:</w:t>
      </w:r>
      <w:bookmarkEnd w:id="676"/>
    </w:p>
    <w:p>
      <w:pPr>
        <w:pStyle w:val="BookText"/>
        <w:rPr/>
      </w:pPr>
      <w:r>
        <w:rPr>
          <w:rFonts w:ascii="IRNazanin" w:hAnsi="IRNazanin" w:eastAsia="IRNazanin"/>
          <w:color w:val="111111"/>
          <w:sz w:val="28"/>
          <w:sz w:val="28"/>
          <w:szCs w:val="28"/>
          <w:rtl w:val="true"/>
          <w:lang w:bidi="fa-IR"/>
        </w:rPr>
        <w:t>إنّه من مات من الأبوین کان الباقی أحقّ به من قرابة المیّت</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إلاّ أن یکون المستحقّ له غیر رشید، فیکون من قرب إلیه أَولی به، فإن تساوت القرابات قامت القرابات مقام من هی له قرابة فی ولایته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نسبه فی الجواهر إلی ابن الجنید</w:t>
      </w:r>
      <w:r>
        <w:rPr>
          <w:rStyle w:val="FootnoteAnchor"/>
          <w:rtl w:val="true"/>
        </w:rPr>
        <w:footnoteReference w:id="1506"/>
      </w:r>
      <w:r>
        <w:rPr>
          <w:rFonts w:ascii="IRNazanin" w:hAnsi="IRNazanin" w:eastAsia="IRNazanin"/>
          <w:color w:val="111111"/>
          <w:sz w:val="28"/>
          <w:sz w:val="28"/>
          <w:szCs w:val="28"/>
          <w:rtl w:val="true"/>
          <w:lang w:bidi="fa-IR"/>
        </w:rPr>
        <w:t>و ذکر العلاّمة فی المختلف نقلاً عنه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الجنید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قرابة الأمّ أحقّ بالأنثی من قرابة الأب؛ لحکم النبیّ صلی الله علیه و آله بابنة حمزة لخالتها دون أمیر المؤمنین علیه السلام و جعفر، و قد طالبا بها؛ لأنّها ابنة عمّهما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عندی ابنة رسول اللّه صلی الله علیه و آله و هی أحقّ بها، فقال النبیّ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ادفعوها إلی خالتها فإنّ الخالة</w:t>
      </w:r>
      <w:r>
        <w:rPr>
          <w:rStyle w:val="FootnoteAnchor"/>
          <w:rtl w:val="true"/>
        </w:rPr>
        <w:footnoteReference w:id="1507"/>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w:t>
      </w:r>
      <w:r>
        <w:rPr>
          <w:rStyle w:val="FootnoteAnchor"/>
          <w:rtl w:val="true"/>
        </w:rPr>
        <w:footnoteReference w:id="1508"/>
      </w:r>
      <w:bookmarkStart w:id="677" w:name="pg11752_146350"/>
    </w:p>
    <w:p>
      <w:pPr>
        <w:pStyle w:val="Heading6"/>
        <w:numPr>
          <w:ilvl w:val="5"/>
          <w:numId w:val="1"/>
        </w:numPr>
        <w:rPr/>
      </w:pPr>
      <w:bookmarkStart w:id="678" w:name="__RefHeading___Toc9424288_73709187"/>
      <w:bookmarkStart w:id="679" w:name="_Toc258"/>
      <w:bookmarkEnd w:id="677"/>
      <w:bookmarkEnd w:id="678"/>
      <w:r>
        <w:rPr>
          <w:rtl w:val="true"/>
        </w:rPr>
        <w:t>القول الثالث</w:t>
      </w:r>
      <w:r>
        <w:rPr>
          <w:rtl w:val="true"/>
        </w:rPr>
        <w:t>:</w:t>
      </w:r>
      <w:bookmarkEnd w:id="679"/>
    </w:p>
    <w:p>
      <w:pPr>
        <w:pStyle w:val="BookText"/>
        <w:rPr/>
      </w:pPr>
      <w:r>
        <w:rPr>
          <w:rFonts w:ascii="IRNazanin" w:hAnsi="IRNazanin" w:eastAsia="IRNazanin"/>
          <w:color w:val="111111"/>
          <w:sz w:val="28"/>
          <w:sz w:val="28"/>
          <w:szCs w:val="28"/>
          <w:rtl w:val="true"/>
          <w:lang w:bidi="fa-IR"/>
        </w:rPr>
        <w:t>لو عُدم الأبوان فللأجداد، فإن عدموا فأقرب النسب کالإرث</w:t>
      </w:r>
    </w:p>
    <w:p>
      <w:pPr>
        <w:pStyle w:val="BookText"/>
        <w:rPr/>
      </w:pPr>
      <w:r>
        <w:rPr>
          <w:rFonts w:ascii="IRNazanin" w:hAnsi="IRNazanin" w:eastAsia="IRNazanin"/>
          <w:color w:val="111111"/>
          <w:sz w:val="28"/>
          <w:sz w:val="28"/>
          <w:szCs w:val="28"/>
          <w:rtl w:val="true"/>
          <w:lang w:bidi="fa-IR"/>
        </w:rPr>
        <w:t>، و لو تعدّدوا أقرع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مذهب العلاّمة فی إرشاد الأذهان</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80" w:name="__RefHeading___Toc9424290_73709187"/>
      <w:bookmarkStart w:id="681" w:name="_Toc259"/>
      <w:bookmarkEnd w:id="680"/>
      <w:r>
        <w:rPr>
          <w:rtl w:val="true"/>
        </w:rPr>
        <w:t>القول الرابع</w:t>
      </w:r>
      <w:r>
        <w:rPr>
          <w:rtl w:val="true"/>
        </w:rPr>
        <w:t>:</w:t>
      </w:r>
      <w:bookmarkEnd w:id="681"/>
    </w:p>
    <w:p>
      <w:pPr>
        <w:pStyle w:val="BookText"/>
        <w:rPr/>
      </w:pPr>
      <w:r>
        <w:rPr>
          <w:rFonts w:ascii="IRNazanin" w:hAnsi="IRNazanin" w:eastAsia="IRNazanin"/>
          <w:color w:val="111111"/>
          <w:sz w:val="28"/>
          <w:sz w:val="28"/>
          <w:szCs w:val="28"/>
          <w:rtl w:val="true"/>
          <w:lang w:bidi="fa-IR"/>
        </w:rPr>
        <w:t>أنّها للجدّ من الأب مع فقد الأبوین</w:t>
      </w:r>
    </w:p>
    <w:p>
      <w:pPr>
        <w:pStyle w:val="BookText"/>
        <w:rPr/>
      </w:pPr>
      <w:r>
        <w:rPr>
          <w:rFonts w:ascii="IRNazanin" w:hAnsi="IRNazanin" w:eastAsia="IRNazanin"/>
          <w:color w:val="111111"/>
          <w:sz w:val="28"/>
          <w:sz w:val="28"/>
          <w:szCs w:val="28"/>
          <w:rtl w:val="true"/>
          <w:lang w:bidi="fa-IR"/>
        </w:rPr>
        <w:t>، و مع عدمه، فإن کان للولد مال استأجر الحاکم من یحضنه، و إلاّ کانت حکم حضانته حکم الإنفاق، تجب علی الناس کفایة، نسب هذا القول فی الجواهر</w:t>
      </w:r>
      <w:r>
        <w:rPr>
          <w:rStyle w:val="FootnoteAnchor"/>
          <w:rtl w:val="true"/>
        </w:rPr>
        <w:footnoteReference w:id="1510"/>
      </w:r>
      <w:r>
        <w:rPr>
          <w:rFonts w:ascii="IRNazanin" w:hAnsi="IRNazanin" w:eastAsia="IRNazanin"/>
          <w:color w:val="111111"/>
          <w:sz w:val="28"/>
          <w:sz w:val="28"/>
          <w:szCs w:val="28"/>
          <w:rtl w:val="true"/>
          <w:lang w:bidi="fa-IR"/>
        </w:rPr>
        <w:t>إلی ابن إدریس، و الذی جاء فی السرائر أنّه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حضانة عندنا إلاّ للأمّ نفسها و للأب، فأمّا غیرهما فلیس لأحدٍ ولایة علیه سوی الجدّ من قبل الأب خاصّة</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82" w:name="__RefHeading___Toc9424292_73709187"/>
      <w:bookmarkStart w:id="683" w:name="_Toc260"/>
      <w:bookmarkEnd w:id="682"/>
      <w:r>
        <w:rPr>
          <w:rtl w:val="true"/>
        </w:rPr>
        <w:t>القول الخامس</w:t>
      </w:r>
      <w:r>
        <w:rPr>
          <w:rtl w:val="true"/>
        </w:rPr>
        <w:t>:</w:t>
      </w:r>
      <w:bookmarkEnd w:id="683"/>
    </w:p>
    <w:p>
      <w:pPr>
        <w:pStyle w:val="BookText"/>
        <w:rPr/>
      </w:pPr>
      <w:r>
        <w:rPr>
          <w:rFonts w:ascii="IRNazanin" w:hAnsi="IRNazanin" w:eastAsia="IRNazanin"/>
          <w:color w:val="111111"/>
          <w:sz w:val="28"/>
          <w:sz w:val="28"/>
          <w:szCs w:val="28"/>
          <w:rtl w:val="true"/>
          <w:lang w:bidi="fa-IR"/>
        </w:rPr>
        <w:t>إذا فقد الأبوان انتقلت الحضانة إلی باقی الأقارب و الأرحام علی ترتیب الإرث</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تمسّکاً بظهور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أُولُوا الْأَرْحامِ بَعْضُهُمْ أَوْلی بِبَعْضٍ فِی کِتابِ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الأولویة تشمل الإرث و الحضانة و غیرهما، و لأنّ الولد مفتقر إلی التربیة و الحضانة، فمن الحکمة نصب قیّم بها، و القریب أولی بها من البعید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هذا، مع فقد الأبوین ینظر فی الموجود من الأقارب و یحکم له بحقّ الحضانة، ثمّ إن</w:t>
      </w:r>
      <w:bookmarkStart w:id="684" w:name="pg11752_146351"/>
    </w:p>
    <w:p>
      <w:pPr>
        <w:pStyle w:val="BookText"/>
        <w:rPr/>
      </w:pPr>
      <w:bookmarkEnd w:id="684"/>
      <w:r>
        <w:rPr>
          <w:rFonts w:ascii="IRNazanin" w:hAnsi="IRNazanin" w:eastAsia="IRNazanin"/>
          <w:color w:val="111111"/>
          <w:sz w:val="28"/>
          <w:sz w:val="28"/>
          <w:szCs w:val="28"/>
          <w:rtl w:val="true"/>
          <w:lang w:bidi="fa-IR"/>
        </w:rPr>
        <w:t>اتّحد اختصّ، و إن تعدّد اقرع بینهم؛ لما فی اشتراکها من الإضرار بالولد، و هذا مختار الشهید فی المسالک</w:t>
      </w:r>
      <w:r>
        <w:rPr>
          <w:rStyle w:val="FootnoteAnchor"/>
          <w:rtl w:val="true"/>
        </w:rPr>
        <w:footnoteReference w:id="1512"/>
      </w:r>
      <w:r>
        <w:rPr>
          <w:rFonts w:ascii="IRNazanin" w:hAnsi="IRNazanin" w:eastAsia="IRNazanin"/>
          <w:color w:val="111111"/>
          <w:sz w:val="28"/>
          <w:sz w:val="28"/>
          <w:szCs w:val="28"/>
          <w:rtl w:val="true"/>
          <w:lang w:bidi="fa-IR"/>
        </w:rPr>
        <w:t>و الروضة البهیّة</w:t>
      </w:r>
      <w:r>
        <w:rPr>
          <w:rStyle w:val="FootnoteAnchor"/>
          <w:rtl w:val="true"/>
        </w:rPr>
        <w:footnoteReference w:id="1513"/>
      </w:r>
      <w:r>
        <w:rPr>
          <w:rFonts w:ascii="IRNazanin" w:hAnsi="IRNazanin" w:eastAsia="IRNazanin"/>
          <w:color w:val="111111"/>
          <w:sz w:val="28"/>
          <w:sz w:val="28"/>
          <w:szCs w:val="28"/>
          <w:rtl w:val="true"/>
          <w:lang w:bidi="fa-IR"/>
        </w:rPr>
        <w:t>و العلاّمة فی المختلف</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85" w:name="__RefHeading___Toc9424294_73709187"/>
      <w:bookmarkStart w:id="686" w:name="_Toc261"/>
      <w:bookmarkEnd w:id="685"/>
      <w:r>
        <w:rPr>
          <w:rtl w:val="true"/>
        </w:rPr>
        <w:t>القول السادس</w:t>
      </w:r>
      <w:r>
        <w:rPr>
          <w:rtl w:val="true"/>
        </w:rPr>
        <w:t>:</w:t>
      </w:r>
      <w:bookmarkEnd w:id="686"/>
    </w:p>
    <w:p>
      <w:pPr>
        <w:pStyle w:val="BookText"/>
        <w:rPr/>
      </w:pPr>
      <w:r>
        <w:rPr>
          <w:rFonts w:ascii="IRNazanin" w:hAnsi="IRNazanin" w:eastAsia="IRNazanin"/>
          <w:color w:val="111111"/>
          <w:sz w:val="28"/>
          <w:sz w:val="28"/>
          <w:szCs w:val="28"/>
          <w:rtl w:val="true"/>
          <w:lang w:bidi="fa-IR"/>
        </w:rPr>
        <w:t>و هو الحقّ، فبعد فقد الأبوین تکون الحضانة للجدّ من قبل الأب</w:t>
      </w:r>
    </w:p>
    <w:p>
      <w:pPr>
        <w:pStyle w:val="BookText"/>
        <w:rPr/>
      </w:pPr>
      <w:r>
        <w:rPr>
          <w:rFonts w:ascii="IRNazanin" w:hAnsi="IRNazanin" w:eastAsia="IRNazanin"/>
          <w:color w:val="111111"/>
          <w:sz w:val="28"/>
          <w:sz w:val="28"/>
          <w:szCs w:val="28"/>
          <w:rtl w:val="true"/>
          <w:lang w:bidi="fa-IR"/>
        </w:rPr>
        <w:t>، ثمّ للوصیّ المتأخّر موته منهما، ثمّ للأرحام علی مراتبهم فی الإرث، ثمّ للحاکم، ثمّ للعدول من المؤمنین، ثمّ للمسلمین 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قول صاحب الجواهر</w:t>
      </w:r>
      <w:r>
        <w:rPr>
          <w:rStyle w:val="FootnoteAnchor"/>
          <w:rtl w:val="true"/>
        </w:rPr>
        <w:footnoteReference w:id="1515"/>
      </w:r>
      <w:r>
        <w:rPr>
          <w:rFonts w:ascii="IRNazanin" w:hAnsi="IRNazanin" w:eastAsia="IRNazanin"/>
          <w:color w:val="111111"/>
          <w:sz w:val="28"/>
          <w:sz w:val="28"/>
          <w:szCs w:val="28"/>
          <w:rtl w:val="true"/>
          <w:lang w:bidi="fa-IR"/>
        </w:rPr>
        <w:t>و الإمام الخمینی</w:t>
      </w:r>
      <w:r>
        <w:rPr>
          <w:rStyle w:val="FootnoteAnchor"/>
          <w:rtl w:val="true"/>
        </w:rPr>
        <w:footnoteReference w:id="1516"/>
      </w:r>
      <w:r>
        <w:rPr>
          <w:rFonts w:ascii="IRNazanin" w:hAnsi="IRNazanin" w:eastAsia="IRNazanin"/>
          <w:color w:val="111111"/>
          <w:sz w:val="28"/>
          <w:sz w:val="28"/>
          <w:szCs w:val="28"/>
          <w:rtl w:val="true"/>
          <w:lang w:bidi="fa-IR"/>
        </w:rPr>
        <w:t>و السیّد عبد الأعلی الموسوی السبزواری</w:t>
      </w:r>
      <w:r>
        <w:rPr>
          <w:rStyle w:val="FootnoteAnchor"/>
          <w:rtl w:val="true"/>
        </w:rPr>
        <w:footnoteReference w:id="1517"/>
      </w:r>
      <w:r>
        <w:rPr>
          <w:rFonts w:ascii="IRNazanin" w:hAnsi="IRNazanin" w:eastAsia="IRNazanin"/>
          <w:color w:val="111111"/>
          <w:sz w:val="28"/>
          <w:sz w:val="28"/>
          <w:szCs w:val="28"/>
          <w:rtl w:val="true"/>
          <w:lang w:bidi="fa-IR"/>
        </w:rPr>
        <w:t>و هکذا یستفاد من کلمات الشیخ</w:t>
      </w:r>
      <w:r>
        <w:rPr>
          <w:rStyle w:val="FootnoteAnchor"/>
          <w:rtl w:val="true"/>
        </w:rPr>
        <w:footnoteReference w:id="1518"/>
      </w:r>
      <w:r>
        <w:rPr>
          <w:rFonts w:ascii="Amiri" w:hAnsi="Amiri" w:eastAsia="Amiri" w:cs="Amiri"/>
          <w:color w:val="111111"/>
          <w:sz w:val="28"/>
          <w:sz w:val="28"/>
          <w:szCs w:val="28"/>
          <w:rtl w:val="true"/>
          <w:lang w:bidi="ar-SA"/>
        </w:rPr>
        <w:t>و المحقّق</w:t>
      </w:r>
      <w:r>
        <w:rPr>
          <w:rStyle w:val="FootnoteAnchor"/>
          <w:rtl w:val="true"/>
        </w:rPr>
        <w:footnoteReference w:id="1519"/>
      </w:r>
    </w:p>
    <w:p>
      <w:pPr>
        <w:pStyle w:val="BookText"/>
        <w:rPr/>
      </w:pPr>
      <w:r>
        <w:rPr>
          <w:rFonts w:ascii="Amiri" w:hAnsi="Amiri" w:eastAsia="Amiri" w:cs="Amiri"/>
          <w:color w:val="111111"/>
          <w:sz w:val="28"/>
          <w:sz w:val="28"/>
          <w:szCs w:val="28"/>
          <w:rtl w:val="true"/>
          <w:lang w:bidi="ar-SA"/>
        </w:rPr>
        <w:t>و العلاّمة</w:t>
      </w:r>
      <w:r>
        <w:rPr>
          <w:rStyle w:val="FootnoteAnchor"/>
          <w:rtl w:val="true"/>
        </w:rPr>
        <w:footnoteReference w:id="1520"/>
      </w:r>
      <w:r>
        <w:rPr>
          <w:rFonts w:ascii="IRNazanin" w:hAnsi="IRNazanin" w:eastAsia="IRNazanin"/>
          <w:color w:val="111111"/>
          <w:sz w:val="28"/>
          <w:sz w:val="28"/>
          <w:szCs w:val="28"/>
          <w:rtl w:val="true"/>
          <w:lang w:bidi="fa-IR"/>
        </w:rPr>
        <w:t>و غیرهم</w:t>
      </w:r>
      <w:r>
        <w:rPr>
          <w:rStyle w:val="FootnoteAnchor"/>
          <w:rtl w:val="true"/>
        </w:rPr>
        <w:footnoteReference w:id="15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بعضهم لم یتعرّضوا صریحاً لحکمها بعد الجدّ للأب، و بعض آخر لم یذکروا حکمها بعد الأقارب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الدلیل علی هذا القول</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الإذعان بأنّه لیس فیما عثرنا علیه فی المقام ما یصلح مدرکاً لهذه الأقوال إلاّ الآیة و خبر بنت حمزة المتقدّم و ولایة الجدّ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أصل الحضانة للأب؛</w:t>
      </w:r>
    </w:p>
    <w:p>
      <w:pPr>
        <w:pStyle w:val="BookText"/>
        <w:rPr/>
      </w:pPr>
      <w:r>
        <w:rPr>
          <w:rFonts w:ascii="IRNazanin" w:hAnsi="IRNazanin" w:eastAsia="IRNazanin"/>
          <w:color w:val="111111"/>
          <w:sz w:val="28"/>
          <w:sz w:val="28"/>
          <w:szCs w:val="28"/>
          <w:rtl w:val="true"/>
          <w:lang w:bidi="fa-IR"/>
        </w:rPr>
        <w:t>لأنّ له الولد، انتقلت عنه إلی الأمّ مع وجودها بالنصّ و الإجماع، فإذا انتفیا انتقلت إلی أب الأب؛ لأنّه أب و مشارک للأب فی کون الولد له، و له الولایة علیه فی المال و غیره و کذا فی الحضانة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یرد أنّ أمّ الأمّ و أمّ الأب یسمّیان بالأمّ فیشملهما ما دلّ علی حضانة الأمّ؛ لأنّها لما خالفت الأصل اقتصر فیها علی المتیقّن، و هو حضانة الجدّ من جهة الأب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الدلیل علی تقدّم وصیّ الأب أو وصیّ الجدّ علی سائر الأرحام؛ لأنّهما نائبین و قائمین مقامهما، و بما أنّ الحضانة کانت للأب أو الجدّ فبعد فقدهما تکون لوصیّهما؛ لأنّ ولایة الوصیّ المنصوب من قبل الموصی قیّماً علی أولاد الصغار ثبتت بالنص و الإجماع، و من النصوص ما جاء فی خبر علیّ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أبو جعفر علیه السلام إلی جعفر و موسی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فیما أمرتکما من الإشهاد بکذا و کذا نجاة لکما فی آخرتکما، و إنفاذ لما أوصی به أبواکما و برّ منکما لهما، و احذرا أن لا تکونا بدّلتما وصیّتهما و لا غیّرتما علی حالها؛ لأنّهما قد خرجا عن ذلک رضی اللّه عنهما و صار ذلک فی رقابکما</w:t>
      </w:r>
      <w:r>
        <w:rPr>
          <w:rFonts w:eastAsia="IRNazanin" w:cs="IRNazanin"/>
          <w:color w:val="111111"/>
          <w:sz w:val="28"/>
          <w:szCs w:val="28"/>
          <w:rtl w:val="true"/>
          <w:lang w:bidi="fa-IR"/>
        </w:rPr>
        <w:t>...»</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بعد الوصی للأب و الجدّ فللأرحام علی ترتیب الإرث، و إن تساووا و حصل التشاحّ و النزاع فبحکم القرعة؛ تمسّکاً بظهور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أُولُوا الْأَرْحامِ بَعْضُهُمْ أَوْلی بِبَعْضٍ فِی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الأولویة تشمل الإرث و الحضانة، و القریب أَولی بها من البعید، و إذا فقد الأرحام أو لم یوجد فیهم مَن کان واجداً لشرائطها، فالحضانة للحاکم، تمسّکاً بأدلّة ولایته، و مع عدمه فلعدول المؤمنین، أو للمؤمنین و المسلمین کفایةً، و اللّه هو العالم</w:t>
      </w:r>
      <w:r>
        <w:rPr>
          <w:rFonts w:eastAsia="Amiri" w:cs="Amiri" w:ascii="Amiri" w:hAnsi="Amiri"/>
          <w:color w:val="111111"/>
          <w:sz w:val="28"/>
          <w:szCs w:val="28"/>
          <w:rtl w:val="true"/>
          <w:lang w:bidi="ar-SA"/>
        </w:rPr>
        <w:t>.</w:t>
      </w:r>
      <w:bookmarkStart w:id="687" w:name="pg11752_146353"/>
    </w:p>
    <w:p>
      <w:pPr>
        <w:pStyle w:val="Heading5"/>
        <w:numPr>
          <w:ilvl w:val="4"/>
          <w:numId w:val="1"/>
        </w:numPr>
        <w:rPr/>
      </w:pPr>
      <w:bookmarkStart w:id="688" w:name="__RefHeading___Toc9424296_73709187"/>
      <w:bookmarkStart w:id="689" w:name="_Toc262"/>
      <w:bookmarkEnd w:id="687"/>
      <w:bookmarkEnd w:id="688"/>
      <w:r>
        <w:rPr>
          <w:rtl w:val="true"/>
        </w:rPr>
        <w:t>مذهب أهل السنّة فی المستحقّین للحضانة</w:t>
      </w:r>
      <w:bookmarkEnd w:id="689"/>
    </w:p>
    <w:p>
      <w:pPr>
        <w:pStyle w:val="Heading6"/>
        <w:numPr>
          <w:ilvl w:val="5"/>
          <w:numId w:val="1"/>
        </w:numPr>
        <w:rPr/>
      </w:pPr>
      <w:bookmarkStart w:id="690" w:name="__RefHeading___Toc9424298_73709187"/>
      <w:bookmarkStart w:id="691" w:name="_Toc263"/>
      <w:bookmarkEnd w:id="690"/>
      <w:r>
        <w:rPr>
          <w:rtl w:val="true"/>
        </w:rPr>
        <w:t>اشارة</w:t>
      </w:r>
      <w:bookmarkEnd w:id="691"/>
    </w:p>
    <w:p>
      <w:pPr>
        <w:pStyle w:val="BookText"/>
        <w:rPr/>
      </w:pPr>
      <w:r>
        <w:rPr>
          <w:rFonts w:ascii="IRNazanin" w:hAnsi="IRNazanin" w:eastAsia="IRNazanin"/>
          <w:color w:val="111111"/>
          <w:sz w:val="28"/>
          <w:sz w:val="28"/>
          <w:szCs w:val="28"/>
          <w:rtl w:val="true"/>
          <w:lang w:bidi="fa-IR"/>
        </w:rPr>
        <w:t>اتّفقت المذاهب الأربعة علی أنّه مع وجود الرجال و النساء، النساء متقدّمة فی الحضانة و إن کان الرجال مقدّمین فی الإرث و القرابة، مثلاً أمّ الأب أو أخت للأب متقدّمة علی الأب، و إن کان الأب مقدّماً علیهما فی الإرث و القرابة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اختلفوا فی کیفیة هذه التقدّم علی نحو نذکر شطراً من آرائهم علی الترتیب التالی</w:t>
      </w:r>
      <w:r>
        <w:rPr>
          <w:rFonts w:eastAsia="IRNazanin" w:cs="IRNazanin"/>
          <w:color w:val="111111"/>
          <w:sz w:val="28"/>
          <w:szCs w:val="28"/>
          <w:rtl w:val="true"/>
          <w:lang w:bidi="fa-IR"/>
        </w:rPr>
        <w:t>:</w:t>
      </w:r>
    </w:p>
    <w:p>
      <w:pPr>
        <w:pStyle w:val="Heading6"/>
        <w:numPr>
          <w:ilvl w:val="5"/>
          <w:numId w:val="1"/>
        </w:numPr>
        <w:rPr/>
      </w:pPr>
      <w:bookmarkStart w:id="692" w:name="__RefHeading___Toc9424300_73709187"/>
      <w:bookmarkStart w:id="693" w:name="_Toc264"/>
      <w:bookmarkEnd w:id="692"/>
      <w:r>
        <w:rPr>
          <w:rtl w:val="true"/>
        </w:rPr>
        <w:t xml:space="preserve">أ </w:t>
      </w:r>
      <w:r>
        <w:rPr>
          <w:rtl w:val="true"/>
        </w:rPr>
        <w:t xml:space="preserve">- </w:t>
      </w:r>
      <w:r>
        <w:rPr>
          <w:rtl w:val="true"/>
        </w:rPr>
        <w:t>الحنفیّة</w:t>
      </w:r>
      <w:bookmarkEnd w:id="693"/>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الأصل فیها النساء؛ لأنّهنّ أشفق و أرفق و أهدی إلی تربیة الصغار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فأحقّ النساء من ذوات الرحم المحرم بالحضانة الأمّ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 الأمّ، ثمّ أمّ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من یدلی بقرابة الأمّ کان أولی؛ لأنّها تکون أشفق، ثمّ الأخوات، فأمّ الأب أولی من الأخت؛ لأنّ لها ولاداً فکانت أدخل فی الولایة، و کذا هی أشفق، و أولی الأخوات الأخت لأب و أمّ، ثمّ الأخت لأمّ، ثمّ الأخت لأب؛ لأنّ الأخت لأب و أمّ تدلی بقرابتین فترجّح علی الأخت لأمّ بقرابة الأب، و ترجّح الأخت لأمّ؛ لأنّها تدلی بقرابة الأمّ، فکانت أولی من الأخت لأب</w:t>
      </w:r>
      <w:r>
        <w:rPr>
          <w:rFonts w:eastAsia="IRNazanin" w:cs="IRNazanin"/>
          <w:color w:val="111111"/>
          <w:sz w:val="28"/>
          <w:szCs w:val="28"/>
          <w:rtl w:val="true"/>
          <w:lang w:bidi="fa-IR"/>
        </w:rPr>
        <w:t>»</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94" w:name="__RefHeading___Toc9424302_73709187"/>
      <w:bookmarkStart w:id="695" w:name="_Toc265"/>
      <w:bookmarkEnd w:id="694"/>
      <w:r>
        <w:rPr>
          <w:rtl w:val="true"/>
        </w:rPr>
        <w:t xml:space="preserve">ب </w:t>
      </w:r>
      <w:r>
        <w:rPr>
          <w:rtl w:val="true"/>
        </w:rPr>
        <w:t xml:space="preserve">- </w:t>
      </w:r>
      <w:r>
        <w:rPr>
          <w:rtl w:val="true"/>
        </w:rPr>
        <w:t>الشافعیة</w:t>
      </w:r>
      <w:r>
        <w:rPr>
          <w:rtl w:val="true"/>
        </w:rPr>
        <w:t>:</w:t>
      </w:r>
      <w:bookmarkEnd w:id="695"/>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اجتمع القرابة من النساء فتنازعن عن الولد فالأمّ أولی ثمّ أمّها، ثمّ أمّ أمّها، ثمّ أمّهات أمّها و إن بعدن، ثمّ الجدّة أمّ الأب، ثمّ أمّها، ثمّ أمّهاتها، ثمّ</w:t>
      </w:r>
      <w:bookmarkStart w:id="696" w:name="pg11752_146354"/>
    </w:p>
    <w:p>
      <w:pPr>
        <w:pStyle w:val="BookText"/>
        <w:rPr/>
      </w:pPr>
      <w:bookmarkEnd w:id="696"/>
      <w:r>
        <w:rPr>
          <w:rFonts w:ascii="Amiri" w:hAnsi="Amiri" w:eastAsia="Amiri" w:cs="Amiri"/>
          <w:color w:val="111111"/>
          <w:sz w:val="28"/>
          <w:sz w:val="28"/>
          <w:szCs w:val="28"/>
          <w:rtl w:val="true"/>
          <w:lang w:bidi="ar-SA"/>
        </w:rPr>
        <w:t>الجدّة أمّ الجدّ أبی الأب ثمّ أمّها، ثمّ أمّهاتها، ثمّ الأخت للأب و الأمّ، ثمّ الأخت للأب، ثمّ الأخت للأم، ثمّ الخالة، ثمّ العمّة</w:t>
      </w:r>
      <w:r>
        <w:rPr>
          <w:rFonts w:eastAsia="Amiri" w:cs="Amiri" w:ascii="Amiri" w:hAnsi="Amiri"/>
          <w:color w:val="111111"/>
          <w:sz w:val="28"/>
          <w:szCs w:val="28"/>
          <w:rtl w:val="true"/>
          <w:lang w:bidi="ar-SA"/>
        </w:rPr>
        <w:t>»</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97" w:name="__RefHeading___Toc9424304_73709187"/>
      <w:bookmarkStart w:id="698" w:name="_Toc266"/>
      <w:bookmarkEnd w:id="697"/>
      <w:r>
        <w:rPr>
          <w:rtl w:val="true"/>
        </w:rPr>
        <w:t xml:space="preserve">ج </w:t>
      </w:r>
      <w:r>
        <w:rPr>
          <w:rtl w:val="true"/>
        </w:rPr>
        <w:t xml:space="preserve">- </w:t>
      </w:r>
      <w:r>
        <w:rPr>
          <w:rtl w:val="true"/>
        </w:rPr>
        <w:t>الحنابلة</w:t>
      </w:r>
      <w:r>
        <w:rPr>
          <w:rtl w:val="true"/>
        </w:rPr>
        <w:t>:</w:t>
      </w:r>
      <w:bookmarkEnd w:id="698"/>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أولی الکلّ بها الأم، ثمّ امّهاتها و إن 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الأب ثمّ أمّهاته، ثمّ الجدّة، ثمّ أمّهاته ثمّ جدّ الأب، ثمّ أمّهاته و إن کنّ غیر وارثاتٍ؛ لأنّهنّ یدلین بعصبة من أهل الحضانة</w:t>
      </w:r>
      <w:r>
        <w:rPr>
          <w:rFonts w:eastAsia="Amiri" w:cs="Amiri" w:ascii="Amiri" w:hAnsi="Amiri"/>
          <w:color w:val="111111"/>
          <w:sz w:val="28"/>
          <w:szCs w:val="28"/>
          <w:rtl w:val="true"/>
          <w:lang w:bidi="ar-SA"/>
        </w:rPr>
        <w:t>»</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من کلامهم أنّه یقدّم أب الولد و الجدّ و جدّ الأب علی الأخوات و الخالة و العمّة إذا اجتمعوا، بخلاف مذهب الحنفیّة و الشافعیّة و المالکیّة، حیث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اجتمع القرابة من النساء و الرجال فالأصل فی الحضانة النساء؛ لأنّهنّ أشفق و أرفق و أهدی إلی تربیة الصغار فی الحضانة</w:t>
      </w:r>
      <w:r>
        <w:rPr>
          <w:rFonts w:eastAsia="IRNazanin" w:cs="IRNazanin"/>
          <w:color w:val="111111"/>
          <w:sz w:val="28"/>
          <w:szCs w:val="28"/>
          <w:rtl w:val="true"/>
          <w:lang w:bidi="fa-IR"/>
        </w:rPr>
        <w:t>.</w:t>
      </w:r>
    </w:p>
    <w:p>
      <w:pPr>
        <w:pStyle w:val="Heading6"/>
        <w:numPr>
          <w:ilvl w:val="5"/>
          <w:numId w:val="1"/>
        </w:numPr>
        <w:rPr/>
      </w:pPr>
      <w:bookmarkStart w:id="699" w:name="__RefHeading___Toc9424306_73709187"/>
      <w:bookmarkStart w:id="700" w:name="_Toc267"/>
      <w:bookmarkEnd w:id="699"/>
      <w:r>
        <w:rPr>
          <w:rtl w:val="true"/>
        </w:rPr>
        <w:t xml:space="preserve">د </w:t>
      </w:r>
      <w:r>
        <w:rPr>
          <w:rtl w:val="true"/>
        </w:rPr>
        <w:t xml:space="preserve">- </w:t>
      </w:r>
      <w:r>
        <w:rPr>
          <w:rtl w:val="true"/>
        </w:rPr>
        <w:t>المالکیّة</w:t>
      </w:r>
      <w:r>
        <w:rPr>
          <w:rtl w:val="true"/>
        </w:rPr>
        <w:t>:</w:t>
      </w:r>
      <w:bookmarkEnd w:id="700"/>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تقدّم الاُمّ فی الحضانة علی غیرها، فإن لم توجد الأم فهی لأمّ الأمّ، فإن لم توجد فجدّة الأم و إن علت، ثمّ الخالة، ثمّ العمّة ثمّ الجدّة للأب و إن علت، ثمّ الأخت للولد، ثمّ عمّة الولد، ثمّ ابنة الأخ ثمّ الوصیّ ثمّ للأفضل من العصبة</w:t>
      </w:r>
      <w:r>
        <w:rPr>
          <w:rFonts w:eastAsia="IRNazanin" w:cs="IRNazanin"/>
          <w:color w:val="111111"/>
          <w:sz w:val="28"/>
          <w:szCs w:val="28"/>
          <w:rtl w:val="true"/>
          <w:lang w:bidi="fa-IR"/>
        </w:rPr>
        <w:t>»</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جاء فی المدوّنة الکبری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 رأیت إن طلّقها فتزوّجت و له منها أولاد صغار، و قد مات الأب و لهم جدّة لأبیهم أو عمّة أو خالة أو أخت، من أولی بالصبیان؟ أ هؤلاء الذین ذکرت أم الأولیاء الجدّ و العمّ و ابن العمّ و العصبة و ما أشبههم فی قول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سمعت من قول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الجدّة و العمّة</w:t>
      </w:r>
    </w:p>
    <w:p>
      <w:pPr>
        <w:pStyle w:val="BookText"/>
        <w:rPr/>
      </w:pPr>
      <w:r>
        <w:rPr>
          <w:rFonts w:ascii="IRNazanin" w:hAnsi="IRNazanin" w:eastAsia="IRNazanin"/>
          <w:color w:val="111111"/>
          <w:sz w:val="28"/>
          <w:sz w:val="28"/>
          <w:szCs w:val="28"/>
          <w:rtl w:val="true"/>
          <w:lang w:bidi="fa-IR"/>
        </w:rPr>
        <w:t>و الأخت إذا کنّ فی کفایة کنّ أحقّ من الأولیاء، و الجدّة أولی من الأخت، و الأخت أولی من العمّة، و العمّة أولی من الأولیاء</w:t>
      </w:r>
      <w:r>
        <w:rPr>
          <w:rFonts w:eastAsia="IRNazanin" w:cs="IRNazanin"/>
          <w:color w:val="111111"/>
          <w:sz w:val="28"/>
          <w:szCs w:val="28"/>
          <w:rtl w:val="true"/>
          <w:lang w:bidi="fa-IR"/>
        </w:rPr>
        <w:t>»</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یقول الدکتور الزحیلی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یکن للمحضون أحد من النساء المذکورات انتقلت الحضانة إلی الرجال علی ترتیب العصبات الوارثین المحارم، الآباء و الأجداد و إن علوا، ثمّ الإخوة و أبناؤهم و إن نزلوا، فالأعمام ثمّ بنوهم عند الحنفیّة و غیرهم علی الصحیح عند الشافعیّة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لکن قال المالکیّة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یکن واحد من الإناث السابقات تنتقل الحضانة للوصیّ ثمّ للأخ الشقیق أو لأمّ أو لأب ثمّ للجدّ لأب الأقرب فالأقرب، ثمّ ابن الأخ المحضون، ثمّ العمّة فابنه</w:t>
      </w:r>
      <w:r>
        <w:rPr>
          <w:rFonts w:eastAsia="IRNazanin" w:cs="IRNazanin"/>
          <w:color w:val="111111"/>
          <w:sz w:val="28"/>
          <w:szCs w:val="28"/>
          <w:rtl w:val="true"/>
          <w:lang w:bidi="fa-IR"/>
        </w:rPr>
        <w:t>..»</w:t>
      </w:r>
      <w:r>
        <w:rPr>
          <w:rStyle w:val="FootnoteAnchor"/>
          <w:rtl w:val="true"/>
        </w:rPr>
        <w:footnoteReference w:id="1528"/>
      </w:r>
      <w:bookmarkStart w:id="701" w:name="pg11752_146356"/>
    </w:p>
    <w:p>
      <w:pPr>
        <w:pStyle w:val="Heading4"/>
        <w:numPr>
          <w:ilvl w:val="3"/>
          <w:numId w:val="1"/>
        </w:numPr>
        <w:rPr/>
      </w:pPr>
      <w:bookmarkStart w:id="702" w:name="__RefHeading___Toc9424308_73709187"/>
      <w:bookmarkStart w:id="703" w:name="_Toc268"/>
      <w:bookmarkEnd w:id="701"/>
      <w:bookmarkEnd w:id="702"/>
      <w:r>
        <w:rPr>
          <w:rtl w:val="true"/>
        </w:rPr>
        <w:t>المبحث الرابع</w:t>
      </w:r>
      <w:r>
        <w:rPr>
          <w:rtl w:val="true"/>
        </w:rPr>
        <w:t xml:space="preserve">: </w:t>
      </w:r>
      <w:r>
        <w:rPr>
          <w:rtl w:val="true"/>
        </w:rPr>
        <w:t>فی شروط المستحقّین للحضانة</w:t>
      </w:r>
      <w:bookmarkEnd w:id="703"/>
    </w:p>
    <w:p>
      <w:pPr>
        <w:pStyle w:val="Heading5"/>
        <w:numPr>
          <w:ilvl w:val="4"/>
          <w:numId w:val="1"/>
        </w:numPr>
        <w:rPr/>
      </w:pPr>
      <w:bookmarkStart w:id="704" w:name="__RefHeading___Toc9424310_73709187"/>
      <w:bookmarkStart w:id="705" w:name="_Toc269"/>
      <w:bookmarkEnd w:id="704"/>
      <w:r>
        <w:rPr>
          <w:rtl w:val="true"/>
        </w:rPr>
        <w:t>اشارة</w:t>
      </w:r>
      <w:bookmarkEnd w:id="705"/>
    </w:p>
    <w:p>
      <w:pPr>
        <w:pStyle w:val="BookText"/>
        <w:rPr/>
      </w:pPr>
      <w:r>
        <w:rPr>
          <w:rFonts w:ascii="IRNazanin" w:hAnsi="IRNazanin" w:eastAsia="IRNazanin"/>
          <w:color w:val="111111"/>
          <w:sz w:val="28"/>
          <w:sz w:val="28"/>
          <w:szCs w:val="28"/>
          <w:rtl w:val="true"/>
          <w:lang w:bidi="fa-IR"/>
        </w:rPr>
        <w:t>ذکرنا المستحقّین للحضانة و هم من لهم صلة قرابة مع الولد المحضون و بیّنا ترتیبهم فی هذا الاستحقاق، و نبیّن فی هذا المبحث الشروط الواجب توافرها فیمن ثبتت له الحضانة من المستحقّین مع ذکر الخلاف فی بعضها</w:t>
      </w:r>
      <w:r>
        <w:rPr>
          <w:rFonts w:eastAsia="IRNazanin" w:cs="IRNazanin"/>
          <w:color w:val="111111"/>
          <w:sz w:val="28"/>
          <w:szCs w:val="28"/>
          <w:rtl w:val="true"/>
          <w:lang w:bidi="fa-IR"/>
        </w:rPr>
        <w:t>:</w:t>
      </w:r>
    </w:p>
    <w:p>
      <w:pPr>
        <w:pStyle w:val="Heading5"/>
        <w:numPr>
          <w:ilvl w:val="4"/>
          <w:numId w:val="1"/>
        </w:numPr>
        <w:rPr/>
      </w:pPr>
      <w:bookmarkStart w:id="706" w:name="__RefHeading___Toc9424312_73709187"/>
      <w:bookmarkStart w:id="707" w:name="_Toc270"/>
      <w:bookmarkEnd w:id="706"/>
      <w:r>
        <w:rPr>
          <w:rtl w:val="true"/>
        </w:rPr>
        <w:t>الشرط الاوّل</w:t>
      </w:r>
      <w:r>
        <w:rPr>
          <w:rtl w:val="true"/>
        </w:rPr>
        <w:t xml:space="preserve">: </w:t>
      </w:r>
      <w:r>
        <w:rPr>
          <w:rtl w:val="true"/>
        </w:rPr>
        <w:t>الإسلام</w:t>
      </w:r>
      <w:bookmarkEnd w:id="707"/>
    </w:p>
    <w:p>
      <w:pPr>
        <w:pStyle w:val="Heading6"/>
        <w:numPr>
          <w:ilvl w:val="5"/>
          <w:numId w:val="1"/>
        </w:numPr>
        <w:rPr/>
      </w:pPr>
      <w:bookmarkStart w:id="708" w:name="__RefHeading___Toc9424314_73709187"/>
      <w:bookmarkStart w:id="709" w:name="_Toc271"/>
      <w:bookmarkEnd w:id="708"/>
      <w:r>
        <w:rPr>
          <w:rtl w:val="true"/>
        </w:rPr>
        <w:t>اشارة</w:t>
      </w:r>
      <w:bookmarkEnd w:id="709"/>
    </w:p>
    <w:p>
      <w:pPr>
        <w:pStyle w:val="BookText"/>
        <w:rPr/>
      </w:pPr>
      <w:r>
        <w:rPr>
          <w:rFonts w:ascii="IRNazanin" w:hAnsi="IRNazanin" w:eastAsia="IRNazanin"/>
          <w:color w:val="111111"/>
          <w:sz w:val="28"/>
          <w:sz w:val="28"/>
          <w:szCs w:val="28"/>
          <w:rtl w:val="true"/>
          <w:lang w:bidi="fa-IR"/>
        </w:rPr>
        <w:t>اشترطوا أن یکون الحاضن أو الحاضنة مسلماً أو مسلمة إذا کان الولد مسلماً، و هو إجماعیّ عند علمائنا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رحمه الله فی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أحدهما مسلماً فالمسلم أحقّ به عندنا و عند أکثرهم</w:t>
      </w:r>
      <w:r>
        <w:rPr>
          <w:rFonts w:eastAsia="IRNazanin" w:cs="IRNazanin"/>
          <w:color w:val="111111"/>
          <w:sz w:val="28"/>
          <w:szCs w:val="28"/>
          <w:rtl w:val="true"/>
          <w:lang w:bidi="fa-IR"/>
        </w:rPr>
        <w:t>»</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فالأمّ أحقّ بالولد مدّة الرضاع، إذا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حضانة للکافرة مع المسلم</w:t>
      </w:r>
      <w:r>
        <w:rPr>
          <w:rFonts w:eastAsia="IRNazanin" w:cs="IRNazanin"/>
          <w:color w:val="111111"/>
          <w:sz w:val="28"/>
          <w:szCs w:val="28"/>
          <w:rtl w:val="true"/>
          <w:lang w:bidi="fa-IR"/>
        </w:rPr>
        <w:t>»</w:t>
      </w:r>
      <w:r>
        <w:rPr>
          <w:rStyle w:val="FootnoteAnchor"/>
          <w:rtl w:val="true"/>
        </w:rPr>
        <w:footnoteReference w:id="15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قال صاحب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الکافر فإنّه و إن لم یکن فیه نصّ إلا أنّ من المعلوم عدم ولایته علی المسلم</w:t>
      </w:r>
      <w:r>
        <w:rPr>
          <w:rFonts w:eastAsia="IRNazanin" w:cs="IRNazanin"/>
          <w:color w:val="111111"/>
          <w:sz w:val="28"/>
          <w:szCs w:val="28"/>
          <w:rtl w:val="true"/>
          <w:lang w:bidi="fa-IR"/>
        </w:rPr>
        <w:t>»</w:t>
      </w:r>
      <w:r>
        <w:rPr>
          <w:rStyle w:val="FootnoteAnchor"/>
          <w:rtl w:val="true"/>
        </w:rPr>
        <w:footnoteReference w:id="15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بمثل هذا قال الشهید</w:t>
      </w:r>
      <w:r>
        <w:rPr>
          <w:rStyle w:val="FootnoteAnchor"/>
          <w:rtl w:val="true"/>
        </w:rPr>
        <w:footnoteReference w:id="1532"/>
      </w:r>
      <w:r>
        <w:rPr>
          <w:rFonts w:ascii="IRNazanin" w:hAnsi="IRNazanin" w:eastAsia="IRNazanin"/>
          <w:color w:val="111111"/>
          <w:sz w:val="28"/>
          <w:sz w:val="28"/>
          <w:szCs w:val="28"/>
          <w:rtl w:val="true"/>
          <w:lang w:bidi="fa-IR"/>
        </w:rPr>
        <w:t>و صاحب الحدائق</w:t>
      </w:r>
      <w:r>
        <w:rPr>
          <w:rStyle w:val="FootnoteAnchor"/>
          <w:rtl w:val="true"/>
        </w:rPr>
        <w:footnoteReference w:id="1533"/>
      </w:r>
      <w:r>
        <w:rPr>
          <w:rFonts w:ascii="IRNazanin" w:hAnsi="IRNazanin" w:eastAsia="IRNazanin"/>
          <w:color w:val="111111"/>
          <w:sz w:val="28"/>
          <w:sz w:val="28"/>
          <w:szCs w:val="28"/>
          <w:rtl w:val="true"/>
          <w:lang w:bidi="fa-IR"/>
        </w:rPr>
        <w:t>و غیرهم</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هذا، لو کانت الأمّ کافرة کان الأب أحقّ به إذا کان مسلماً کما صرّح</w:t>
      </w:r>
    </w:p>
    <w:p>
      <w:pPr>
        <w:pStyle w:val="BookText"/>
        <w:rPr/>
      </w:pPr>
      <w:r>
        <w:rPr>
          <w:rFonts w:ascii="IRNazanin" w:hAnsi="IRNazanin" w:eastAsia="IRNazanin"/>
          <w:color w:val="111111"/>
          <w:sz w:val="28"/>
          <w:sz w:val="28"/>
          <w:szCs w:val="28"/>
          <w:rtl w:val="true"/>
          <w:lang w:bidi="fa-IR"/>
        </w:rPr>
        <w:t>بذلک فی القواعد</w:t>
      </w:r>
      <w:r>
        <w:rPr>
          <w:rStyle w:val="FootnoteAnchor"/>
          <w:rtl w:val="true"/>
        </w:rPr>
        <w:footnoteReference w:id="15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کان الأب کافراً کانت الأمّ أحقّ به لو کانت مسلمة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دلیل هذا الحکم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 یَجْعَلَ اللّهُ لِلْکافِرِینَ عَلَی الْمُؤْمِنِینَ سَبِیلاً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لن یجعل اللّه فی عالم التشریع حکماً یکون موجباً لتسلّط الکافرین علی المؤمنین، و تشریع جواز حضانة الکافر علی الولد المسلم موجب لعلوّ الکافر علی المسلم، و هذا منفیّ بحکم الآیة، فیستفاد منها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هی عدم جواز علوّ الکافرین علی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حاکمة علی الأدلّة، و منها الأدلّة المتکفّلة لبیان الأحکام الأوّلیة، التی منها حکم الحضانة للولد الصغیر المسلم، و یؤیّد هذا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الْعِزَّةُ وَ لِرَسُولِهِ وَ لِلْمُؤْمِنِینَ وَ لکِنَّ الْمُنافِقِینَ لا یَعْلَمُونَ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تبارک و تعالی العزّة لنفسه و لرسوله و للمؤمنین، فإذا کانت العزّة للمؤمن لا المنافق، کیف یمکن أن یجعل اللّه تعالی حکماً و یشرّعه، فیکون سبباً لعلوّ الکافر علی المسلم، و یلزم المسلم الامتثال لذلک الحکم، فیکون الکفّار هم الأعزّة و المسلم من الأذلّة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المشهور الذی ورد عن النبیّ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الإسلام یعلو و لا یعلی علیه</w:t>
      </w:r>
      <w:r>
        <w:rPr>
          <w:rFonts w:eastAsia="IRNazanin" w:cs="IRNazanin"/>
          <w:color w:val="111111"/>
          <w:sz w:val="28"/>
          <w:szCs w:val="28"/>
          <w:rtl w:val="true"/>
          <w:lang w:bidi="fa-IR"/>
        </w:rPr>
        <w:t>»</w:t>
      </w:r>
      <w:r>
        <w:rPr>
          <w:rStyle w:val="FootnoteAnchor"/>
          <w:rtl w:val="true"/>
        </w:rPr>
        <w:footnoteReference w:id="15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الخبر مشهور معروف موثوق الصدور؛ لاشتهاره بین الفقهاء و عملهم به علی کلّ حالٍ، و الظاهر من الحدیث الشریف أنّه لا یمکن أن یکون حکم الإسلام و تشریعه سبباً و موجباً لعلوّ الکافر علی المسلم</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الحدیث مرکّب من جملتین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موجبة، و الأخری</w:t>
      </w:r>
      <w:bookmarkStart w:id="710" w:name="pg11752_146358"/>
    </w:p>
    <w:p>
      <w:pPr>
        <w:pStyle w:val="BookText"/>
        <w:rPr/>
      </w:pPr>
      <w:bookmarkEnd w:id="710"/>
      <w:r>
        <w:rPr>
          <w:rFonts w:ascii="IRNazanin" w:hAnsi="IRNazanin" w:eastAsia="IRNazanin"/>
          <w:color w:val="111111"/>
          <w:sz w:val="28"/>
          <w:sz w:val="28"/>
          <w:szCs w:val="28"/>
          <w:rtl w:val="true"/>
          <w:lang w:bidi="fa-IR"/>
        </w:rPr>
        <w:t>سالبة، مفاد الجملة الموجبة هو أنّ الاحکام الشرعیّة فی الإسلام فیما یرجع إلی الاُمور التی بین المسلمین و الکفار، روعی فیها علوّ المسلمین علی الکافرین، و مفاد الجملة السالبة عدم علوّ الکافر علی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نفی السبیل للکافرین علی المسلمین، اعلم أنّ الفقهاء رحمهم الله أخذوا من مضمون الآیات المذکورة و الحدیث النبویّ و غیرها قاعدة فقهیّة یسمّونها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السبیل للکافرین علی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عملوا بها فی موارد کثیرة من العبادات و المعاملات و السیاسات، و بما أنّا بیّنا فی تعریف الحضانة أنّها نوع ولایة علی تربیة الطفل، فلا یجوز للکافر أن یتولّی حضانة الطفل المسلم بمفاد هذه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الإنصاف أنّ مدرک القاعدة کان الآیات و الروایة التی ذکرنا الاستدلال بها، فلا یکون غیرها دلیلاً مستقلاًّ</w:t>
      </w:r>
      <w:r>
        <w:rPr>
          <w:rFonts w:eastAsia="IRNazanin" w:cs="IRNazanin"/>
          <w:color w:val="111111"/>
          <w:sz w:val="28"/>
          <w:szCs w:val="28"/>
          <w:rtl w:val="true"/>
          <w:lang w:bidi="fa-IR"/>
        </w:rPr>
        <w:t>.</w:t>
      </w:r>
    </w:p>
    <w:p>
      <w:pPr>
        <w:pStyle w:val="Heading6"/>
        <w:numPr>
          <w:ilvl w:val="5"/>
          <w:numId w:val="1"/>
        </w:numPr>
        <w:rPr/>
      </w:pPr>
      <w:bookmarkStart w:id="711" w:name="__RefHeading___Toc9424316_73709187"/>
      <w:bookmarkStart w:id="712" w:name="_Toc272"/>
      <w:bookmarkEnd w:id="711"/>
      <w:r>
        <w:rPr>
          <w:rtl w:val="true"/>
        </w:rPr>
        <w:t>رأی أهل السنّة</w:t>
      </w:r>
      <w:bookmarkEnd w:id="712"/>
    </w:p>
    <w:p>
      <w:pPr>
        <w:pStyle w:val="BookText"/>
        <w:rPr/>
      </w:pPr>
      <w:r>
        <w:rPr>
          <w:rFonts w:ascii="IRNazanin" w:hAnsi="IRNazanin" w:eastAsia="IRNazanin"/>
          <w:color w:val="111111"/>
          <w:sz w:val="28"/>
          <w:sz w:val="28"/>
          <w:szCs w:val="28"/>
          <w:rtl w:val="true"/>
          <w:lang w:bidi="fa-IR"/>
        </w:rPr>
        <w:t>المذاهب الأربعة من أهل السنّة اختلفوا فی وجوب إسلام الحاضن و الحاضنة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الحنابلة و الشافعیة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الحضانة ولایة، فلا تثبت لکافرٍ علی مسلم؛ إذ لا ولایة علیه</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الظاهریّة و المالکیّة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الأمّ الکافرة أحقّ بالصغیرین مدّة الرضاع، فإذا بلغا من السنّ و الاستغناء و مبلغ الفهم فلا حضانة للکافرة</w:t>
      </w:r>
      <w:r>
        <w:rPr>
          <w:rFonts w:eastAsia="IRNazanin" w:cs="IRNazanin"/>
          <w:color w:val="111111"/>
          <w:sz w:val="28"/>
          <w:szCs w:val="28"/>
          <w:rtl w:val="true"/>
          <w:lang w:bidi="fa-IR"/>
        </w:rPr>
        <w:t>»</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یشترط الحنفیة إسلام الحاضنة، فیصحّ کون الحاضنة کتابیة أو غیر کتابیة، سواء أ کانت أمّاً أو غیرها</w:t>
      </w:r>
      <w:r>
        <w:rPr>
          <w:rStyle w:val="FootnoteAnchor"/>
          <w:rtl w:val="true"/>
        </w:rPr>
        <w:footnoteReference w:id="15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نسب إلی أبی حنیفة هذا 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w:t>
      </w:r>
      <w:bookmarkStart w:id="713" w:name="pg11752_146359"/>
    </w:p>
    <w:p>
      <w:pPr>
        <w:pStyle w:val="BookText"/>
        <w:rPr/>
      </w:pPr>
      <w:bookmarkEnd w:id="713"/>
      <w:r>
        <w:rPr>
          <w:rFonts w:ascii="IRNazanin" w:hAnsi="IRNazanin" w:eastAsia="IRNazanin"/>
          <w:color w:val="111111"/>
          <w:sz w:val="28"/>
          <w:sz w:val="28"/>
          <w:szCs w:val="28"/>
          <w:rtl w:val="true"/>
          <w:lang w:bidi="fa-IR"/>
        </w:rPr>
        <w:t>کانت الحضانة للعصبة اشترط اتّحاد الدین بین الحاضن و المحضون، فلا حقّ للعصبة إلاّ أن یکون علی دینه</w:t>
      </w:r>
      <w:r>
        <w:rPr>
          <w:rFonts w:eastAsia="IRNazanin" w:cs="IRNazanin"/>
          <w:color w:val="111111"/>
          <w:sz w:val="28"/>
          <w:szCs w:val="28"/>
          <w:rtl w:val="true"/>
          <w:lang w:bidi="fa-IR"/>
        </w:rPr>
        <w:t>»</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4" w:name="__RefHeading___Toc9424318_73709187"/>
      <w:bookmarkStart w:id="715" w:name="_Toc273"/>
      <w:bookmarkEnd w:id="714"/>
      <w:r>
        <w:rPr>
          <w:rtl w:val="true"/>
        </w:rPr>
        <w:t>الشرط الثانی</w:t>
      </w:r>
      <w:r>
        <w:rPr>
          <w:rtl w:val="true"/>
        </w:rPr>
        <w:t xml:space="preserve">: </w:t>
      </w:r>
      <w:r>
        <w:rPr>
          <w:rtl w:val="true"/>
        </w:rPr>
        <w:t>الحرّیة</w:t>
      </w:r>
      <w:bookmarkEnd w:id="715"/>
    </w:p>
    <w:p>
      <w:pPr>
        <w:pStyle w:val="BookText"/>
        <w:rPr/>
      </w:pPr>
      <w:r>
        <w:rPr>
          <w:rFonts w:ascii="IRNazanin" w:hAnsi="IRNazanin" w:eastAsia="IRNazanin"/>
          <w:color w:val="111111"/>
          <w:sz w:val="28"/>
          <w:sz w:val="28"/>
          <w:szCs w:val="28"/>
          <w:rtl w:val="true"/>
          <w:lang w:bidi="fa-IR"/>
        </w:rPr>
        <w:t>اشترطوا أن یکون الحاضن أو الحاضنة حرّاً أو حرّةً إن کان الولد حرّاً، فلا حضانة لهما لو کانا مملوکین؛ لأنّ منافعهما للمولی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اتّفق الفقهاء فی هذا الشرط کما فی النهایة</w:t>
      </w:r>
      <w:r>
        <w:rPr>
          <w:rStyle w:val="FootnoteAnchor"/>
          <w:rtl w:val="true"/>
        </w:rPr>
        <w:footnoteReference w:id="1541"/>
      </w:r>
      <w:r>
        <w:rPr>
          <w:rFonts w:ascii="IRNazanin" w:hAnsi="IRNazanin" w:eastAsia="IRNazanin"/>
          <w:color w:val="111111"/>
          <w:sz w:val="28"/>
          <w:sz w:val="28"/>
          <w:szCs w:val="28"/>
          <w:rtl w:val="true"/>
          <w:lang w:bidi="fa-IR"/>
        </w:rPr>
        <w:t>و السرائر</w:t>
      </w:r>
      <w:r>
        <w:rPr>
          <w:rStyle w:val="FootnoteAnchor"/>
          <w:rtl w:val="true"/>
        </w:rPr>
        <w:footnoteReference w:id="1542"/>
      </w:r>
      <w:r>
        <w:rPr>
          <w:rFonts w:ascii="IRNazanin" w:hAnsi="IRNazanin" w:eastAsia="IRNazanin"/>
          <w:color w:val="111111"/>
          <w:sz w:val="28"/>
          <w:sz w:val="28"/>
          <w:szCs w:val="28"/>
          <w:rtl w:val="true"/>
          <w:lang w:bidi="fa-IR"/>
        </w:rPr>
        <w:t>و الشرائع</w:t>
      </w:r>
      <w:r>
        <w:rPr>
          <w:rStyle w:val="FootnoteAnchor"/>
          <w:rtl w:val="true"/>
        </w:rPr>
        <w:footnoteReference w:id="1543"/>
      </w:r>
    </w:p>
    <w:p>
      <w:pPr>
        <w:pStyle w:val="BookText"/>
        <w:rPr/>
      </w:pPr>
      <w:r>
        <w:rPr>
          <w:rFonts w:ascii="IRNazanin" w:hAnsi="IRNazanin" w:eastAsia="IRNazanin"/>
          <w:color w:val="111111"/>
          <w:sz w:val="28"/>
          <w:sz w:val="28"/>
          <w:szCs w:val="28"/>
          <w:rtl w:val="true"/>
          <w:lang w:bidi="fa-IR"/>
        </w:rPr>
        <w:t>و الحدائق</w:t>
      </w:r>
      <w:r>
        <w:rPr>
          <w:rStyle w:val="FootnoteAnchor"/>
          <w:rtl w:val="true"/>
        </w:rPr>
        <w:footnoteReference w:id="1544"/>
      </w:r>
      <w:r>
        <w:rPr>
          <w:rFonts w:ascii="IRNazanin" w:hAnsi="IRNazanin" w:eastAsia="IRNazanin"/>
          <w:color w:val="111111"/>
          <w:sz w:val="28"/>
          <w:sz w:val="28"/>
          <w:szCs w:val="28"/>
          <w:rtl w:val="true"/>
          <w:lang w:bidi="fa-IR"/>
        </w:rPr>
        <w:t>و الجواهر</w:t>
      </w:r>
      <w:r>
        <w:rPr>
          <w:rStyle w:val="FootnoteAnchor"/>
          <w:rtl w:val="true"/>
        </w:rPr>
        <w:footnoteReference w:id="1545"/>
      </w:r>
      <w:r>
        <w:rPr>
          <w:rFonts w:ascii="IRNazanin" w:hAnsi="IRNazanin" w:eastAsia="IRNazanin"/>
          <w:color w:val="111111"/>
          <w:sz w:val="28"/>
          <w:sz w:val="28"/>
          <w:szCs w:val="28"/>
          <w:rtl w:val="true"/>
          <w:lang w:bidi="fa-IR"/>
        </w:rPr>
        <w:t>و غیرها</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العلاّمة فی القواعد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الحرة أولی من الأب المملوک أو الکافرة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تزوّجت إلی أن یبلغا فإن أعتق الأب أو أسلم فکالحرّ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کانت الأمّ کافرةً أو مملوکة فالأب المسلم أو الحرّ أولی</w:t>
      </w:r>
      <w:r>
        <w:rPr>
          <w:rFonts w:eastAsia="IRNazanin" w:cs="IRNazanin"/>
          <w:color w:val="111111"/>
          <w:sz w:val="28"/>
          <w:szCs w:val="28"/>
          <w:rtl w:val="true"/>
          <w:lang w:bidi="fa-IR"/>
        </w:rPr>
        <w:t>»</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الشهید فی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الحضانة نوع ولایة و احتکام بالحفظ و التربیة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الرقیق لا ولایة لهم و إن أذن السیّد</w:t>
      </w:r>
      <w:r>
        <w:rPr>
          <w:rFonts w:eastAsia="IRNazanin" w:cs="IRNazanin"/>
          <w:color w:val="111111"/>
          <w:sz w:val="28"/>
          <w:szCs w:val="28"/>
          <w:rtl w:val="true"/>
          <w:lang w:bidi="fa-IR"/>
        </w:rPr>
        <w:t>»</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تدلّ علی هذا الشرط</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صحیحة داود الرقّی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امرأة حرّةٍ نکحت عبداً</w:t>
      </w:r>
    </w:p>
    <w:p>
      <w:pPr>
        <w:pStyle w:val="BookText"/>
        <w:rPr/>
      </w:pPr>
      <w:r>
        <w:rPr>
          <w:rFonts w:ascii="IRNazanin" w:hAnsi="IRNazanin" w:eastAsia="IRNazanin"/>
          <w:color w:val="111111"/>
          <w:sz w:val="28"/>
          <w:sz w:val="28"/>
          <w:szCs w:val="28"/>
          <w:rtl w:val="true"/>
          <w:lang w:bidi="fa-IR"/>
        </w:rPr>
        <w:t>فأولدها أولاداً، ثمّ إنّه طلّقها فلم تقم مع ولدها و تزوّجت، فلمّا بلغ العبد أنّها تزوّجت أراد أن یأخذ ولده منها،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أحقّ بهم منک إن تزوّجت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للعبد أن یأخذ منها ولدها و إن تزوّجت حتّی یعتق، هی أحقّ بولدها منه ما دام مملوکاً، فإذا أعتق فهو أحقّ بهم منها</w:t>
      </w:r>
      <w:r>
        <w:rPr>
          <w:rFonts w:eastAsia="IRNazanin" w:cs="IRNazanin"/>
          <w:color w:val="111111"/>
          <w:sz w:val="28"/>
          <w:szCs w:val="28"/>
          <w:rtl w:val="true"/>
          <w:lang w:bidi="fa-IR"/>
        </w:rPr>
        <w:t>»</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هکذا روایة فضیل بن یسار،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أیّما امرأة حرّة تزوّجت عبداً فولدت منه أولاداً فهی أحقّ بولدها منه و هم أحرار، فإذا أعتق الرجل فهو أحقّ بولده منها لموضع الأب</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الروایتان صریحتان فی تقدّم الأمّ الحرّة علی الأب المملوک و إن کانت متزوّجة؛ لوجود المانع من حضانة الأب و هو الرقّیة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تدلّ علی هذا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جمیل و ابن بکیر فی الولد من الحرّ و المملوکة،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یذهب إلی الحرّ منهما</w:t>
      </w:r>
      <w:r>
        <w:rPr>
          <w:rFonts w:eastAsia="IRNazanin" w:cs="IRNazanin"/>
          <w:color w:val="111111"/>
          <w:sz w:val="28"/>
          <w:szCs w:val="28"/>
          <w:rtl w:val="true"/>
          <w:lang w:bidi="fa-IR"/>
        </w:rPr>
        <w:t>»</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تمام الکلام، إذا کان تمام الولد حرّاً، و أمّا إن کان نصفه حرّاً و نصفه الآخر رقیقاً، فنصف حضانته للسیّد و نصفها الآخر للأمّ أو مَن یلی حضانة الحرّ من الأقارب، و أمّا اذا کان الولد رقیقاً فحضانته علی السیّد و إن کانت الأم حرّة کما لو أسلمت أو قبلت الذمّة لفقد الشرط و هو حرّیة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الذی اخترناه فی الشرط الثانی قد اختاره الشافعیة</w:t>
      </w:r>
      <w:r>
        <w:rPr>
          <w:rStyle w:val="FootnoteAnchor"/>
          <w:rtl w:val="true"/>
        </w:rPr>
        <w:footnoteReference w:id="1552"/>
      </w:r>
      <w:r>
        <w:rPr>
          <w:rFonts w:ascii="Amiri" w:hAnsi="Amiri" w:eastAsia="Amiri" w:cs="Amiri"/>
          <w:color w:val="111111"/>
          <w:sz w:val="28"/>
          <w:sz w:val="28"/>
          <w:szCs w:val="28"/>
          <w:rtl w:val="true"/>
          <w:lang w:bidi="ar-SA"/>
        </w:rPr>
        <w:t>و الحنابلة</w:t>
      </w:r>
      <w:r>
        <w:rPr>
          <w:rStyle w:val="FootnoteAnchor"/>
          <w:rtl w:val="true"/>
        </w:rPr>
        <w:footnoteReference w:id="1553"/>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الحنفیة</w:t>
      </w:r>
      <w:r>
        <w:rPr>
          <w:rStyle w:val="FootnoteAnchor"/>
          <w:rtl w:val="true"/>
        </w:rPr>
        <w:footnoteReference w:id="1554"/>
      </w:r>
      <w:r>
        <w:rPr>
          <w:rFonts w:ascii="IRNazanin" w:hAnsi="IRNazanin" w:eastAsia="IRNazanin"/>
          <w:color w:val="111111"/>
          <w:sz w:val="28"/>
          <w:sz w:val="28"/>
          <w:szCs w:val="28"/>
          <w:rtl w:val="true"/>
          <w:lang w:bidi="fa-IR"/>
        </w:rPr>
        <w:t>من المذاهب الأربعة، و لکن خالف المالکیة فی ذلک، فقال أحد فقهائهم</w:t>
      </w:r>
      <w:r>
        <w:rPr>
          <w:rFonts w:eastAsia="IRNazanin" w:cs="IRNazanin"/>
          <w:color w:val="111111"/>
          <w:sz w:val="28"/>
          <w:szCs w:val="28"/>
          <w:rtl w:val="true"/>
          <w:lang w:bidi="fa-IR"/>
        </w:rPr>
        <w:t>:</w:t>
      </w:r>
      <w:bookmarkStart w:id="716" w:name="pg11752_146361"/>
    </w:p>
    <w:p>
      <w:pPr>
        <w:pStyle w:val="BookText"/>
        <w:rPr/>
      </w:pPr>
      <w:bookmarkEnd w:id="7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تشترط الحرّیة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للأَمة حضانة ولدها من زوجها عبداً کان أو حرّاً</w:t>
      </w:r>
      <w:r>
        <w:rPr>
          <w:rFonts w:eastAsia="IRNazanin" w:cs="IRNazanin"/>
          <w:color w:val="111111"/>
          <w:sz w:val="28"/>
          <w:szCs w:val="28"/>
          <w:rtl w:val="true"/>
          <w:lang w:bidi="fa-IR"/>
        </w:rPr>
        <w:t>»</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7" w:name="__RefHeading___Toc9424320_73709187"/>
      <w:bookmarkStart w:id="718" w:name="_Toc274"/>
      <w:bookmarkEnd w:id="717"/>
      <w:r>
        <w:rPr>
          <w:rtl w:val="true"/>
        </w:rPr>
        <w:t>الشرط الثالث</w:t>
      </w:r>
      <w:r>
        <w:rPr>
          <w:rtl w:val="true"/>
        </w:rPr>
        <w:t xml:space="preserve">: </w:t>
      </w:r>
      <w:r>
        <w:rPr>
          <w:rtl w:val="true"/>
        </w:rPr>
        <w:t>القدرة</w:t>
      </w:r>
      <w:bookmarkEnd w:id="718"/>
    </w:p>
    <w:p>
      <w:pPr>
        <w:pStyle w:val="BookText"/>
        <w:rPr/>
      </w:pPr>
      <w:r>
        <w:rPr>
          <w:rFonts w:ascii="IRNazanin" w:hAnsi="IRNazanin" w:eastAsia="IRNazanin"/>
          <w:color w:val="111111"/>
          <w:sz w:val="28"/>
          <w:sz w:val="28"/>
          <w:szCs w:val="28"/>
          <w:rtl w:val="true"/>
          <w:lang w:bidi="fa-IR"/>
        </w:rPr>
        <w:t>المقصود بالقدرة هنا معناها الأعمّ، أی الشرعیّة و العقلیة، أعنی القیام بشئون الطفل و العنایة به حفظاً و تربیةً، سواء کان الحاضن ذکراً أو أنثی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إن کان عاجزاً عن ذلک فلا حضانة له، سواء کان عجزه لکبر سنّه أو مرضه أو إصابته بعاهةٍ کالفالج و العمی و نحو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البدیهی أنّ العقل یحکم باشتراط القدرة فی الحضانة، و کذا النقل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یُکَلِّفُ اللّهُ نَفْساً إِلاّ وُسْعَها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موثّقة حریز،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عن أمّتی تسعة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الخطأ و 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لا یطیقون</w:t>
      </w:r>
      <w:r>
        <w:rPr>
          <w:rFonts w:eastAsia="IRNazanin" w:cs="IRNazanin"/>
          <w:color w:val="111111"/>
          <w:sz w:val="28"/>
          <w:szCs w:val="28"/>
          <w:rtl w:val="true"/>
          <w:lang w:bidi="fa-IR"/>
        </w:rPr>
        <w:t>»</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یستفاد من</w:t>
      </w:r>
      <w:r>
        <w:rPr>
          <w:rStyle w:val="FootnoteAnchor"/>
          <w:rtl w:val="true"/>
        </w:rPr>
        <w:footnoteReference w:id="1557"/>
      </w:r>
      <w:r>
        <w:rPr>
          <w:rFonts w:ascii="IRNazanin" w:hAnsi="IRNazanin" w:eastAsia="IRNazanin"/>
          <w:color w:val="111111"/>
          <w:sz w:val="28"/>
          <w:sz w:val="28"/>
          <w:szCs w:val="28"/>
          <w:rtl w:val="true"/>
          <w:lang w:bidi="fa-IR"/>
        </w:rPr>
        <w:t>هذا الحدیث الشریف أنّ کلّ عملٍ لا یقدر المکلّف علی إتیانه مرفوع عنه، و منه الحضانة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یؤیّد ذلک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تَحْمِلْ عَلَیْنا إِصْراً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لا تحمل علینا عملاً نعجز عن القیام به</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فقهاء الشیعة لم یتعرّضوا للزوم هذا الشرط، و الظاهر أنّه لبداهته أو لاندراجه فی بعض آخر، و لکن فقهاء أهل السنّة صرّحوا بذلک، قال أحد فقهاء</w:t>
      </w:r>
      <w:bookmarkStart w:id="719" w:name="pg11752_146362"/>
    </w:p>
    <w:p>
      <w:pPr>
        <w:pStyle w:val="BookText"/>
        <w:rPr/>
      </w:pPr>
      <w:bookmarkEnd w:id="719"/>
      <w:r>
        <w:rPr>
          <w:rFonts w:ascii="IRNazanin" w:hAnsi="IRNazanin" w:eastAsia="IRNazanin"/>
          <w:color w:val="111111"/>
          <w:sz w:val="28"/>
          <w:sz w:val="28"/>
          <w:szCs w:val="28"/>
          <w:rtl w:val="true"/>
          <w:lang w:bidi="fa-IR"/>
        </w:rPr>
        <w:t>الشافعیّة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شروط من له الحضانة أن لا یکون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الحاضن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الحاضنة مرض 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یشغله ألمه عن کفالته و تدبیر أمره، أو عن حرکة من یباشر الحضانة</w:t>
      </w:r>
      <w:r>
        <w:rPr>
          <w:rFonts w:eastAsia="IRNazanin" w:cs="IRNazanin"/>
          <w:color w:val="111111"/>
          <w:sz w:val="28"/>
          <w:szCs w:val="28"/>
          <w:rtl w:val="true"/>
          <w:lang w:bidi="fa-IR"/>
        </w:rPr>
        <w:t>...»</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نقل الدکتور عبد الکریم زیدان عن الفقیه المالکی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الکفایة أی القدرة علی القیام بشئون المحضون، فلا حضانة لعاجز عن ذلک</w:t>
      </w:r>
      <w:r>
        <w:rPr>
          <w:rFonts w:eastAsia="IRNazanin" w:cs="IRNazanin"/>
          <w:color w:val="111111"/>
          <w:sz w:val="28"/>
          <w:szCs w:val="28"/>
          <w:rtl w:val="true"/>
          <w:lang w:bidi="fa-IR"/>
        </w:rPr>
        <w:t>»</w:t>
      </w:r>
      <w:r>
        <w:rPr>
          <w:rStyle w:val="FootnoteAnchor"/>
          <w:rtl w:val="true"/>
        </w:rPr>
        <w:footnoteReference w:id="1559"/>
      </w:r>
      <w:r>
        <w:rPr>
          <w:rFonts w:ascii="IRNazanin" w:hAnsi="IRNazanin" w:eastAsia="IRNazanin"/>
          <w:color w:val="111111"/>
          <w:sz w:val="28"/>
          <w:sz w:val="28"/>
          <w:szCs w:val="28"/>
          <w:rtl w:val="true"/>
          <w:lang w:bidi="fa-IR"/>
        </w:rPr>
        <w:t>و هکذا الحنابلة</w:t>
      </w:r>
      <w:r>
        <w:rPr>
          <w:rStyle w:val="FootnoteAnchor"/>
          <w:rtl w:val="true"/>
        </w:rPr>
        <w:footnoteReference w:id="1560"/>
      </w:r>
      <w:r>
        <w:rPr>
          <w:rFonts w:ascii="IRNazanin" w:hAnsi="IRNazanin" w:eastAsia="IRNazanin"/>
          <w:color w:val="111111"/>
          <w:sz w:val="28"/>
          <w:sz w:val="28"/>
          <w:szCs w:val="28"/>
          <w:rtl w:val="true"/>
          <w:lang w:bidi="fa-IR"/>
        </w:rPr>
        <w:t>و الحنفیة</w:t>
      </w:r>
      <w:r>
        <w:rPr>
          <w:rStyle w:val="FootnoteAnchor"/>
          <w:rtl w:val="true"/>
        </w:rPr>
        <w:footnoteReference w:id="1561"/>
      </w:r>
      <w:r>
        <w:rPr>
          <w:rFonts w:ascii="IRNazanin" w:hAnsi="IRNazanin" w:eastAsia="IRNazanin"/>
          <w:color w:val="111111"/>
          <w:sz w:val="28"/>
          <w:sz w:val="28"/>
          <w:szCs w:val="28"/>
          <w:rtl w:val="true"/>
          <w:lang w:bidi="fa-IR"/>
        </w:rPr>
        <w:t>قائلون بلزومه</w:t>
      </w:r>
      <w:r>
        <w:rPr>
          <w:rFonts w:eastAsia="IRNazanin" w:cs="IRNazanin"/>
          <w:color w:val="111111"/>
          <w:sz w:val="28"/>
          <w:szCs w:val="28"/>
          <w:rtl w:val="true"/>
          <w:lang w:bidi="fa-IR"/>
        </w:rPr>
        <w:t>.</w:t>
      </w:r>
    </w:p>
    <w:p>
      <w:pPr>
        <w:pStyle w:val="Heading5"/>
        <w:numPr>
          <w:ilvl w:val="4"/>
          <w:numId w:val="1"/>
        </w:numPr>
        <w:rPr/>
      </w:pPr>
      <w:bookmarkStart w:id="720" w:name="__RefHeading___Toc9424322_73709187"/>
      <w:bookmarkStart w:id="721" w:name="_Toc275"/>
      <w:bookmarkEnd w:id="720"/>
      <w:r>
        <w:rPr>
          <w:rtl w:val="true"/>
        </w:rPr>
        <w:t>الشرط الرابع</w:t>
      </w:r>
      <w:r>
        <w:rPr>
          <w:rtl w:val="true"/>
        </w:rPr>
        <w:t xml:space="preserve">: </w:t>
      </w:r>
      <w:r>
        <w:rPr>
          <w:rtl w:val="true"/>
        </w:rPr>
        <w:t>الصحّة</w:t>
      </w:r>
      <w:bookmarkEnd w:id="721"/>
    </w:p>
    <w:p>
      <w:pPr>
        <w:pStyle w:val="Heading6"/>
        <w:numPr>
          <w:ilvl w:val="5"/>
          <w:numId w:val="1"/>
        </w:numPr>
        <w:rPr/>
      </w:pPr>
      <w:bookmarkStart w:id="722" w:name="__RefHeading___Toc9424324_73709187"/>
      <w:bookmarkStart w:id="723" w:name="_Toc276"/>
      <w:bookmarkEnd w:id="722"/>
      <w:r>
        <w:rPr>
          <w:rtl w:val="true"/>
        </w:rPr>
        <w:t>اشارة</w:t>
      </w:r>
      <w:bookmarkEnd w:id="723"/>
    </w:p>
    <w:p>
      <w:pPr>
        <w:pStyle w:val="BookText"/>
        <w:rPr/>
      </w:pPr>
      <w:r>
        <w:rPr>
          <w:rStyle w:val="FootnoteAnchor"/>
          <w:rtl w:val="true"/>
        </w:rPr>
        <w:footnoteReference w:id="15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المفهوم من کلمات الفقهاء أنّه یشترط فی الحاضن أو الحاضنة خلوّهما من المرض المعدی للمحضون، بحیث یضرّ به أو یکون مفوّتاً لحقّه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الشهید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بها جذام أو برص و خیف العدوی أمکن کون الأب أولی</w:t>
      </w:r>
      <w:r>
        <w:rPr>
          <w:rFonts w:eastAsia="IRNazanin" w:cs="IRNazanin"/>
          <w:color w:val="111111"/>
          <w:sz w:val="28"/>
          <w:szCs w:val="28"/>
          <w:rtl w:val="true"/>
          <w:lang w:bidi="fa-IR"/>
        </w:rPr>
        <w:t>..»</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 فی الحدائق قولاً 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المرض ممّا یعدّی کالجذام و البرص، فالأظهر سقوط حضانتها بذلک؛ تحرّزاً من تعدّی الضرر إلی الولد</w:t>
      </w:r>
      <w:r>
        <w:rPr>
          <w:rFonts w:eastAsia="IRNazanin" w:cs="IRNazanin"/>
          <w:color w:val="111111"/>
          <w:sz w:val="28"/>
          <w:szCs w:val="28"/>
          <w:rtl w:val="true"/>
          <w:lang w:bidi="fa-IR"/>
        </w:rPr>
        <w:t>»</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یؤیّد ذلک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تُضَارَّ والِدَةٌ بِوَلَدِها وَ لا مَوْلُودٌ لَهُ بِوَلَدِهِ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أشرنا فی البحث عن وجوب الحضانة بأنّ الآیة تدلّ علی حرمة الإضرار</w:t>
      </w:r>
      <w:bookmarkStart w:id="724" w:name="pg11752_146363"/>
    </w:p>
    <w:p>
      <w:pPr>
        <w:pStyle w:val="BookText"/>
        <w:rPr/>
      </w:pPr>
      <w:bookmarkEnd w:id="724"/>
      <w:r>
        <w:rPr>
          <w:rFonts w:ascii="IRNazanin" w:hAnsi="IRNazanin" w:eastAsia="IRNazanin"/>
          <w:color w:val="111111"/>
          <w:sz w:val="28"/>
          <w:sz w:val="28"/>
          <w:szCs w:val="28"/>
          <w:rtl w:val="true"/>
          <w:lang w:bidi="fa-IR"/>
        </w:rPr>
        <w:t>بالولد من أیّ سببٍ و طریق کان، و ذکرنا بأنّ الإمام علیه السلام أیضاً استدلّ بهذه الآیة لعدم جواز أخذ الولد من الأم و تقدّمها فی أیّام الرضاع علی الأب</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یؤیّد ذلک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 من المجذوم فرارک من الأسد</w:t>
      </w:r>
      <w:r>
        <w:rPr>
          <w:rFonts w:eastAsia="IRNazanin" w:cs="IRNazanin"/>
          <w:color w:val="111111"/>
          <w:sz w:val="28"/>
          <w:szCs w:val="28"/>
          <w:rtl w:val="true"/>
          <w:lang w:bidi="fa-IR"/>
        </w:rPr>
        <w:t>»</w:t>
      </w:r>
      <w:r>
        <w:rPr>
          <w:rStyle w:val="FootnoteAnchor"/>
          <w:rtl w:val="true"/>
        </w:rPr>
        <w:footnoteReference w:id="15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قوله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یُورد مُمرض علی مُصحٍّ</w:t>
      </w:r>
      <w:r>
        <w:rPr>
          <w:rFonts w:eastAsia="Amiri" w:cs="Amiri" w:ascii="Amiri" w:hAnsi="Amiri"/>
          <w:color w:val="111111"/>
          <w:sz w:val="28"/>
          <w:szCs w:val="28"/>
          <w:rtl w:val="true"/>
          <w:lang w:bidi="ar-SA"/>
        </w:rPr>
        <w:t>»</w:t>
      </w:r>
      <w:r>
        <w:rPr>
          <w:rStyle w:val="FootnoteAnchor"/>
          <w:rtl w:val="true"/>
        </w:rPr>
        <w:footnoteReference w:id="1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مع ذلک کلّه سقوط الاستحقاق بالمرض مناف لإطلاق الأدلّة، فیمکن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 للمریض أن یستنیب لأمر الحضانة بحیث یرفع الضرر عن المحضون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فی إلحاق المرض المزمن الذی لا یرجی زواله کالسلّ و الفالج، بحیث یشغله الألم عن کفالته و تدبیر أمره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اشتراکهما فی المعنی المانع من مباشرة الحفظ، و أصالة عدم سقوط الولایة، مع إمکان تحصیلها بالاستنابة، و به یفرّق بینه و بین الجنون، ضرورة أنّ السقوط منافٍ لإطلاق الأدلّة علی کلّ تقدیر</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إذا لم یمکن الاستنابة و کان المرض ممّا یترتّب فیه الضرر علی الولد، لا یجوز للمریض الحضانة حینئذٍ</w:t>
      </w:r>
      <w:r>
        <w:rPr>
          <w:rFonts w:eastAsia="IRNazanin" w:cs="IRNazanin"/>
          <w:color w:val="111111"/>
          <w:sz w:val="28"/>
          <w:szCs w:val="28"/>
          <w:rtl w:val="true"/>
          <w:lang w:bidi="fa-IR"/>
        </w:rPr>
        <w:t>.</w:t>
      </w:r>
    </w:p>
    <w:p>
      <w:pPr>
        <w:pStyle w:val="Heading6"/>
        <w:numPr>
          <w:ilvl w:val="5"/>
          <w:numId w:val="1"/>
        </w:numPr>
        <w:rPr/>
      </w:pPr>
      <w:bookmarkStart w:id="725" w:name="__RefHeading___Toc9424326_73709187"/>
      <w:bookmarkStart w:id="726" w:name="_Toc277"/>
      <w:bookmarkEnd w:id="725"/>
      <w:r>
        <w:rPr>
          <w:rtl w:val="true"/>
        </w:rPr>
        <w:t>رأی بعض فقهاء أهل السنّة</w:t>
      </w:r>
      <w:bookmarkEnd w:id="726"/>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المفصّل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فی کشاف القناع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کان بالأمّ برص أو جذام سقط حقّها من الحضانة، کما أفتی به المجد بن تیمیّة، و صرّح بذلک العلائی الشافعی فی قواعده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یخشی علی الولد من لبنها و مخالطتها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به فی الإنصاف من</w:t>
      </w:r>
      <w:bookmarkStart w:id="727" w:name="pg11752_146364"/>
    </w:p>
    <w:p>
      <w:pPr>
        <w:pStyle w:val="BookText"/>
        <w:rPr/>
      </w:pPr>
      <w:bookmarkEnd w:id="727"/>
      <w:r>
        <w:rPr>
          <w:rFonts w:ascii="IRNazanin" w:hAnsi="IRNazanin" w:eastAsia="IRNazanin"/>
          <w:color w:val="111111"/>
          <w:sz w:val="28"/>
          <w:sz w:val="28"/>
          <w:szCs w:val="28"/>
          <w:rtl w:val="true"/>
          <w:lang w:bidi="fa-IR"/>
        </w:rPr>
        <w:t>کتب الحنابلة، و قال غیر واحدٍ، و هو واضح فی کلّ عیبٍ متعدّ ضرره إلی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فالجذامی ممنوعون من مخالطة الأصحّاء، فمنعهم من حضانتهم أولی، و أضاف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المالکیة من شروط الحاضن أو الحاضنة خلوّهما من العاهة أو المرض المضرّ بالمحضون</w:t>
      </w:r>
      <w:r>
        <w:rPr>
          <w:rFonts w:eastAsia="IRNazanin" w:cs="IRNazanin"/>
          <w:color w:val="111111"/>
          <w:sz w:val="28"/>
          <w:szCs w:val="28"/>
          <w:rtl w:val="true"/>
          <w:lang w:bidi="fa-IR"/>
        </w:rPr>
        <w:t>»</w:t>
      </w:r>
      <w:r>
        <w:rPr>
          <w:rStyle w:val="FootnoteAnchor"/>
          <w:rtl w:val="true"/>
        </w:rPr>
        <w:footnoteReference w:id="15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8" w:name="__RefHeading___Toc9424328_73709187"/>
      <w:bookmarkStart w:id="729" w:name="_Toc278"/>
      <w:bookmarkEnd w:id="728"/>
      <w:r>
        <w:rPr>
          <w:rtl w:val="true"/>
        </w:rPr>
        <w:t>الشرط الخامس</w:t>
      </w:r>
      <w:r>
        <w:rPr>
          <w:rtl w:val="true"/>
        </w:rPr>
        <w:t xml:space="preserve">: </w:t>
      </w:r>
      <w:r>
        <w:rPr>
          <w:rtl w:val="true"/>
        </w:rPr>
        <w:t>أن تکون عاقلة</w:t>
      </w:r>
      <w:bookmarkEnd w:id="729"/>
    </w:p>
    <w:p>
      <w:pPr>
        <w:pStyle w:val="BookText"/>
        <w:rPr/>
      </w:pPr>
      <w:r>
        <w:rPr>
          <w:rStyle w:val="FootnoteAnchor"/>
          <w:rtl w:val="true"/>
        </w:rPr>
        <w:footnoteReference w:id="15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حضانة للمجنون؛ لأنّ المجنون لا یتأتّی منه الحفظ و التربیة، بل هو فی نفسه محتاج إلی من تحضنه، و لا فرق بین أن یکون الجنون مطبقاً أو أدواریاً، إلاّ إذا وقع نادراً و لا تطول مدّته فلا یبطل الحقّ‌</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المجنون فاقد للتکلیف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ما علمت أنّ القلم یرفع عن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الصبیّ حتّی یحتلم، و عن المجنون حتی یفیق، و عن النائم حتی یستیقظ؟</w:t>
      </w:r>
      <w:r>
        <w:rPr>
          <w:rFonts w:eastAsia="IRNazanin" w:cs="IRNazanin"/>
          <w:color w:val="111111"/>
          <w:sz w:val="28"/>
          <w:szCs w:val="28"/>
          <w:rtl w:val="true"/>
          <w:lang w:bidi="fa-IR"/>
        </w:rPr>
        <w:t>!»</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تفویض أمر الحضانة بالمجنون موجب لتضییع حقوق الطفل، و تضییع حقوقه إضرار به، و هو منهیّ بحکم العقل و النقل؛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تُضَارَّ والِدَةٌ بِوَلَدِها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الحضانة نوع ولایة لتربیة الطفل و تدبیر شئونه، و لا ولایة للمجنون، و قد أفتی کثیر من الفقهاء</w:t>
      </w:r>
      <w:r>
        <w:rPr>
          <w:rStyle w:val="FootnoteAnchor"/>
          <w:rtl w:val="true"/>
        </w:rPr>
        <w:footnoteReference w:id="1573"/>
      </w:r>
      <w:r>
        <w:rPr>
          <w:rFonts w:ascii="Amiri" w:hAnsi="Amiri" w:eastAsia="Amiri" w:cs="Amiri"/>
          <w:color w:val="111111"/>
          <w:sz w:val="28"/>
          <w:sz w:val="28"/>
          <w:szCs w:val="28"/>
          <w:rtl w:val="true"/>
          <w:lang w:bidi="ar-SA"/>
        </w:rPr>
        <w:t>بلزوم هذا الشرط للحضانة</w:t>
      </w:r>
      <w:r>
        <w:rPr>
          <w:rFonts w:eastAsia="Amiri" w:cs="Amiri" w:ascii="Amiri" w:hAnsi="Amiri"/>
          <w:color w:val="111111"/>
          <w:sz w:val="28"/>
          <w:szCs w:val="28"/>
          <w:rtl w:val="true"/>
          <w:lang w:bidi="ar-SA"/>
        </w:rPr>
        <w:t>.</w:t>
      </w:r>
      <w:bookmarkStart w:id="730" w:name="pg11752_146365"/>
    </w:p>
    <w:p>
      <w:pPr>
        <w:pStyle w:val="BookText"/>
        <w:rPr/>
      </w:pPr>
      <w:bookmarkEnd w:id="730"/>
      <w:r>
        <w:rPr>
          <w:rFonts w:ascii="IRNazanin" w:hAnsi="IRNazanin" w:eastAsia="IRNazanin"/>
          <w:color w:val="111111"/>
          <w:sz w:val="28"/>
          <w:sz w:val="28"/>
          <w:szCs w:val="28"/>
          <w:rtl w:val="true"/>
          <w:lang w:bidi="fa-IR"/>
        </w:rPr>
        <w:t>بل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 الفقهاء من الشیعة و السنّة</w:t>
      </w:r>
      <w:r>
        <w:rPr>
          <w:rStyle w:val="FootnoteAnchor"/>
          <w:rtl w:val="true"/>
        </w:rPr>
        <w:footnoteReference w:id="1574"/>
      </w:r>
      <w:r>
        <w:rPr>
          <w:rFonts w:ascii="IRNazanin" w:hAnsi="IRNazanin" w:eastAsia="IRNazanin"/>
          <w:color w:val="111111"/>
          <w:sz w:val="28"/>
          <w:sz w:val="28"/>
          <w:szCs w:val="28"/>
          <w:rtl w:val="true"/>
          <w:lang w:bidi="fa-IR"/>
        </w:rPr>
        <w:t>علی لزومه، و لذا لا نطیل الکلام فیه</w:t>
      </w:r>
      <w:r>
        <w:rPr>
          <w:rFonts w:eastAsia="IRNazanin" w:cs="IRNazanin"/>
          <w:color w:val="111111"/>
          <w:sz w:val="28"/>
          <w:szCs w:val="28"/>
          <w:rtl w:val="true"/>
          <w:lang w:bidi="fa-IR"/>
        </w:rPr>
        <w:t>.</w:t>
      </w:r>
    </w:p>
    <w:p>
      <w:pPr>
        <w:pStyle w:val="Heading5"/>
        <w:numPr>
          <w:ilvl w:val="4"/>
          <w:numId w:val="1"/>
        </w:numPr>
        <w:rPr/>
      </w:pPr>
      <w:bookmarkStart w:id="731" w:name="__RefHeading___Toc9424330_73709187"/>
      <w:bookmarkStart w:id="732" w:name="_Toc279"/>
      <w:bookmarkEnd w:id="731"/>
      <w:r>
        <w:rPr>
          <w:rtl w:val="true"/>
        </w:rPr>
        <w:t>الشرط السادس</w:t>
      </w:r>
      <w:r>
        <w:rPr>
          <w:rtl w:val="true"/>
        </w:rPr>
        <w:t xml:space="preserve">: </w:t>
      </w:r>
      <w:r>
        <w:rPr>
          <w:rtl w:val="true"/>
        </w:rPr>
        <w:t>أن لا تکون الحاضنة متزوّجة من أجنبی</w:t>
      </w:r>
      <w:bookmarkEnd w:id="732"/>
    </w:p>
    <w:p>
      <w:pPr>
        <w:pStyle w:val="Heading6"/>
        <w:numPr>
          <w:ilvl w:val="5"/>
          <w:numId w:val="1"/>
        </w:numPr>
        <w:rPr/>
      </w:pPr>
      <w:bookmarkStart w:id="733" w:name="__RefHeading___Toc9424332_73709187"/>
      <w:bookmarkStart w:id="734" w:name="_Toc280"/>
      <w:bookmarkEnd w:id="733"/>
      <w:r>
        <w:rPr>
          <w:rtl w:val="true"/>
        </w:rPr>
        <w:t>اشارة</w:t>
      </w:r>
      <w:bookmarkEnd w:id="734"/>
    </w:p>
    <w:p>
      <w:pPr>
        <w:pStyle w:val="BookText"/>
        <w:rPr/>
      </w:pPr>
      <w:r>
        <w:rPr>
          <w:rFonts w:ascii="IRNazanin" w:hAnsi="IRNazanin" w:eastAsia="IRNazanin"/>
          <w:color w:val="111111"/>
          <w:sz w:val="28"/>
          <w:sz w:val="28"/>
          <w:szCs w:val="28"/>
          <w:rtl w:val="true"/>
          <w:lang w:bidi="fa-IR"/>
        </w:rPr>
        <w:t>فلو تزوّجت بغیر الأب سقط حقّها من الحضانة إذا کان الأب حرّاً مسلماً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رقّاً أو کافراً فلا یسقط حقّ حضانة الأمّ مع التزویج إذا کانت حرّة، و لا فرق فی سقوط حقّها بالتزویج بین دخول الزوج و عدمه؛ لإطلاق النصّ، نحو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أحقّ بالولد ما لم تتزوّج</w:t>
      </w:r>
      <w:r>
        <w:rPr>
          <w:rFonts w:eastAsia="IRNazanin" w:cs="IRNazanin"/>
          <w:color w:val="111111"/>
          <w:sz w:val="28"/>
          <w:szCs w:val="28"/>
          <w:rtl w:val="true"/>
          <w:lang w:bidi="fa-IR"/>
        </w:rPr>
        <w:t>»</w:t>
      </w:r>
      <w:r>
        <w:rPr>
          <w:rStyle w:val="FootnoteAnchor"/>
          <w:rtl w:val="true"/>
        </w:rPr>
        <w:footnoteReference w:id="1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یدلّ أیضاً علی هذا الشرط روایتا فضیل بن یسار و داود الرقّی المتقدّمتان</w:t>
      </w:r>
      <w:r>
        <w:rPr>
          <w:rStyle w:val="FootnoteAnchor"/>
          <w:rtl w:val="true"/>
        </w:rPr>
        <w:footnoteReference w:id="1576"/>
      </w:r>
    </w:p>
    <w:p>
      <w:pPr>
        <w:pStyle w:val="BookText"/>
        <w:rPr/>
      </w:pPr>
      <w:r>
        <w:rPr>
          <w:rFonts w:ascii="IRNazanin" w:hAnsi="IRNazanin" w:eastAsia="IRNazanin"/>
          <w:color w:val="111111"/>
          <w:sz w:val="28"/>
          <w:sz w:val="28"/>
          <w:szCs w:val="28"/>
          <w:rtl w:val="true"/>
          <w:lang w:bidi="fa-IR"/>
        </w:rPr>
        <w:t>الدالّتان علی تقدّم الأمّ بالولد بعد التزویج إذا کان الأب رقّاً، و صرّحتا بتقدّم الأب إذا أعتق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کلّ حالٍ، صرّح بلزوم هذا الشرط کثیر من الفقهاء، مثل الشیخ فی النهایة</w:t>
      </w:r>
      <w:r>
        <w:rPr>
          <w:rStyle w:val="FootnoteAnchor"/>
          <w:rtl w:val="true"/>
        </w:rPr>
        <w:footnoteReference w:id="1577"/>
      </w:r>
      <w:r>
        <w:rPr>
          <w:rFonts w:ascii="IRNazanin" w:hAnsi="IRNazanin" w:eastAsia="IRNazanin"/>
          <w:color w:val="111111"/>
          <w:sz w:val="28"/>
          <w:sz w:val="28"/>
          <w:szCs w:val="28"/>
          <w:rtl w:val="true"/>
          <w:lang w:bidi="fa-IR"/>
        </w:rPr>
        <w:t>و المفید فی المقنعة</w:t>
      </w:r>
      <w:r>
        <w:rPr>
          <w:rStyle w:val="FootnoteAnchor"/>
          <w:rtl w:val="true"/>
        </w:rPr>
        <w:footnoteReference w:id="1578"/>
      </w:r>
      <w:r>
        <w:rPr>
          <w:rFonts w:ascii="Amiri" w:hAnsi="Amiri" w:eastAsia="Amiri" w:cs="Amiri"/>
          <w:color w:val="111111"/>
          <w:sz w:val="28"/>
          <w:sz w:val="28"/>
          <w:szCs w:val="28"/>
          <w:rtl w:val="true"/>
          <w:lang w:bidi="ar-SA"/>
        </w:rPr>
        <w:t>و العلاّمة</w:t>
      </w:r>
      <w:r>
        <w:rPr>
          <w:rStyle w:val="FootnoteAnchor"/>
          <w:rtl w:val="true"/>
        </w:rPr>
        <w:footnoteReference w:id="1579"/>
      </w:r>
      <w:r>
        <w:rPr>
          <w:rFonts w:ascii="IRNazanin" w:hAnsi="IRNazanin" w:eastAsia="IRNazanin"/>
          <w:color w:val="111111"/>
          <w:sz w:val="28"/>
          <w:sz w:val="28"/>
          <w:szCs w:val="28"/>
          <w:rtl w:val="true"/>
          <w:lang w:bidi="fa-IR"/>
        </w:rPr>
        <w:t>و صاحب الحدائق</w:t>
      </w:r>
      <w:r>
        <w:rPr>
          <w:rStyle w:val="FootnoteAnchor"/>
          <w:rtl w:val="true"/>
        </w:rPr>
        <w:footnoteReference w:id="1580"/>
      </w:r>
      <w:r>
        <w:rPr>
          <w:rFonts w:ascii="IRNazanin" w:hAnsi="IRNazanin" w:eastAsia="IRNazanin"/>
          <w:color w:val="111111"/>
          <w:sz w:val="28"/>
          <w:sz w:val="28"/>
          <w:szCs w:val="28"/>
          <w:rtl w:val="true"/>
          <w:lang w:bidi="fa-IR"/>
        </w:rPr>
        <w:t>و صاحب الجواهر</w:t>
      </w:r>
      <w:r>
        <w:rPr>
          <w:rStyle w:val="FootnoteAnchor"/>
          <w:rtl w:val="true"/>
        </w:rPr>
        <w:footnoteReference w:id="1581"/>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غیرهم</w:t>
      </w:r>
      <w:r>
        <w:rPr>
          <w:rStyle w:val="FootnoteAnchor"/>
          <w:rtl w:val="true"/>
        </w:rPr>
        <w:footnoteReference w:id="1582"/>
      </w:r>
      <w:r>
        <w:rPr>
          <w:rFonts w:ascii="IRNazanin" w:hAnsi="IRNazanin" w:eastAsia="IRNazanin"/>
          <w:color w:val="111111"/>
          <w:sz w:val="28"/>
          <w:sz w:val="28"/>
          <w:szCs w:val="28"/>
          <w:rtl w:val="true"/>
          <w:lang w:bidi="fa-IR"/>
        </w:rPr>
        <w:t>و ادّعی الشهید الإجماع علیه</w:t>
      </w:r>
      <w:r>
        <w:rPr>
          <w:rStyle w:val="FootnoteAnchor"/>
          <w:rtl w:val="true"/>
        </w:rPr>
        <w:footnoteReference w:id="15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علّل فی المسالک سقوط حقّ</w:t>
      </w:r>
    </w:p>
    <w:p>
      <w:pPr>
        <w:pStyle w:val="BookText"/>
        <w:rPr/>
      </w:pPr>
      <w:r>
        <w:rPr>
          <w:rFonts w:ascii="IRNazanin" w:hAnsi="IRNazanin" w:eastAsia="IRNazanin"/>
          <w:color w:val="111111"/>
          <w:sz w:val="28"/>
          <w:sz w:val="28"/>
          <w:szCs w:val="28"/>
          <w:rtl w:val="true"/>
          <w:lang w:bidi="fa-IR"/>
        </w:rPr>
        <w:t>الحضانة بالتزویج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لأنّ النکاح یشغلها بحقّ الزوج و یمنعها من الکفالة</w:t>
      </w:r>
      <w:r>
        <w:rPr>
          <w:rFonts w:eastAsia="IRNazanin" w:cs="IRNazanin"/>
          <w:color w:val="111111"/>
          <w:sz w:val="28"/>
          <w:szCs w:val="28"/>
          <w:rtl w:val="true"/>
          <w:lang w:bidi="fa-IR"/>
        </w:rPr>
        <w:t>»</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فقهاء المذاهب الأربعة</w:t>
      </w:r>
      <w:r>
        <w:rPr>
          <w:rStyle w:val="FootnoteAnchor"/>
          <w:rtl w:val="true"/>
        </w:rPr>
        <w:footnoteReference w:id="1585"/>
      </w:r>
      <w:r>
        <w:rPr>
          <w:rFonts w:ascii="IRNazanin" w:hAnsi="IRNazanin" w:eastAsia="IRNazanin"/>
          <w:color w:val="111111"/>
          <w:sz w:val="28"/>
          <w:sz w:val="28"/>
          <w:szCs w:val="28"/>
          <w:rtl w:val="true"/>
          <w:lang w:bidi="fa-IR"/>
        </w:rPr>
        <w:t>من أهل السنّة أیضاً قائلون بلزوم هذا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یعود حقّ الحضانة بعد الانفصال من أجنبی؟ 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الحقّ، یعود حقّ الحضانة بعد الانفصال و زوال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طلّقها الزوج طلقة رجعیة لم یعدّ حقّها، و إن طلّقها بائناً عاد؛ لأنّ الإمام علیه السلام</w:t>
      </w:r>
      <w:r>
        <w:rPr>
          <w:rStyle w:val="FootnoteAnchor"/>
          <w:rtl w:val="true"/>
        </w:rPr>
        <w:footnoteReference w:id="1586"/>
      </w:r>
      <w:r>
        <w:rPr>
          <w:rFonts w:ascii="IRNazanin" w:hAnsi="IRNazanin" w:eastAsia="IRNazanin"/>
          <w:color w:val="111111"/>
          <w:sz w:val="28"/>
          <w:sz w:val="28"/>
          <w:szCs w:val="28"/>
          <w:rtl w:val="true"/>
          <w:lang w:bidi="fa-IR"/>
        </w:rPr>
        <w:t>جعل التزویج مانعاً لاستیفاء الحقّ، فإذا زال فالحقّ باقٍ علی 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مختار الشیخ فی الخلاف</w:t>
      </w:r>
      <w:r>
        <w:rPr>
          <w:rStyle w:val="FootnoteAnchor"/>
          <w:rtl w:val="true"/>
        </w:rPr>
        <w:footnoteReference w:id="1587"/>
      </w:r>
      <w:r>
        <w:rPr>
          <w:rFonts w:ascii="IRNazanin" w:hAnsi="IRNazanin" w:eastAsia="IRNazanin"/>
          <w:color w:val="111111"/>
          <w:sz w:val="28"/>
          <w:sz w:val="28"/>
          <w:szCs w:val="28"/>
          <w:rtl w:val="true"/>
          <w:lang w:bidi="fa-IR"/>
        </w:rPr>
        <w:t>و المبسوط‌</w:t>
      </w:r>
      <w:r>
        <w:rPr>
          <w:rStyle w:val="FootnoteAnchor"/>
          <w:rtl w:val="true"/>
        </w:rPr>
        <w:footnoteReference w:id="1588"/>
      </w:r>
      <w:r>
        <w:rPr>
          <w:rFonts w:ascii="IRNazanin" w:hAnsi="IRNazanin" w:eastAsia="IRNazanin"/>
          <w:color w:val="111111"/>
          <w:sz w:val="28"/>
          <w:sz w:val="28"/>
          <w:szCs w:val="28"/>
          <w:rtl w:val="true"/>
          <w:lang w:bidi="fa-IR"/>
        </w:rPr>
        <w:t>و بعض فقهاء المعاصرین</w:t>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طلّقها من تزوّج بها طلاقاً رجعیاً لم یعدّ حقّها من الحضانة، و إن کان بائناً فالأولی أنّه لا یعود؛ لأنّ عوده یحتاج إلی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علیه السلام غایة الاستحقاق للحضانة التی تستحقّها الأم تزویجها، و هذه قد تزوّجت فخرج الحقّ منها، و یحتاج فی عوده إلیها إلی شرع</w:t>
      </w:r>
      <w:r>
        <w:rPr>
          <w:rStyle w:val="FootnoteAnchor"/>
          <w:rtl w:val="true"/>
        </w:rPr>
        <w:footnoteReference w:id="1590"/>
      </w:r>
      <w:bookmarkStart w:id="735" w:name="pg11752_146367"/>
    </w:p>
    <w:p>
      <w:pPr>
        <w:pStyle w:val="BookText"/>
        <w:rPr/>
      </w:pPr>
      <w:bookmarkEnd w:id="735"/>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یستفاد من الأدلّة أنّ التزویج مانع، فإذا ارتفع تمکّنت الأمّ من استیفاء حقّها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الفرض أنّ الأمّ لم یسقط حقّها، بل حصل المانع من استیفائها، و هو التزویج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 ما دامت الأم متزوّجة من أجنبیّ لم یمکن لها استیفاء حقّها لمانع التزویج، فإذا ارتفع المانع لما ذا لا تستحقّ الحضانة، مع أنّها أمّ الولد و أرأف و أشفق به من غیرها؟ هذا تمام الکلام إذا سقط حقّها بالتزویج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أسقطت</w:t>
      </w:r>
      <w:r>
        <w:rPr>
          <w:rStyle w:val="FootnoteAnchor"/>
          <w:rtl w:val="true"/>
        </w:rPr>
        <w:footnoteReference w:id="1591"/>
      </w:r>
      <w:r>
        <w:rPr>
          <w:rFonts w:ascii="Amiri" w:hAnsi="Amiri" w:eastAsia="Amiri" w:cs="Amiri"/>
          <w:color w:val="111111"/>
          <w:sz w:val="28"/>
          <w:sz w:val="28"/>
          <w:szCs w:val="28"/>
          <w:rtl w:val="true"/>
          <w:lang w:bidi="ar-SA"/>
        </w:rPr>
        <w:t>الأمّ حقّها، فهل یعود حقّها ثانیاً؟ فیه وجهان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أنّه من سنخ إعادة المعدوم فلا یعود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هذا النحو من السقوط لیس دائمیاً بل مؤقّتاً، فحینئذٍ یمکن عوده و یجوز الرجوع إلیه، و هذا هو الحقّ؛ لأنّها أمّ الولد علی کلّ حالٍ، و لیس فی استیفاء حقّها مانع علی الفرض، فلم لا یجوز لها الرجوع؟</w:t>
      </w:r>
    </w:p>
    <w:p>
      <w:pPr>
        <w:pStyle w:val="Heading6"/>
        <w:numPr>
          <w:ilvl w:val="5"/>
          <w:numId w:val="1"/>
        </w:numPr>
        <w:rPr/>
      </w:pPr>
      <w:bookmarkStart w:id="736" w:name="__RefHeading___Toc9424334_73709187"/>
      <w:bookmarkStart w:id="737" w:name="_Toc281"/>
      <w:bookmarkEnd w:id="736"/>
      <w:r>
        <w:rPr>
          <w:rtl w:val="true"/>
        </w:rPr>
        <w:t>آراء المذاهب الأربعة</w:t>
      </w:r>
      <w:bookmarkEnd w:id="737"/>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الحنفیّة</w:t>
      </w:r>
      <w:r>
        <w:rPr>
          <w:rStyle w:val="FootnoteAnchor"/>
          <w:rtl w:val="true"/>
        </w:rPr>
        <w:footnoteReference w:id="1592"/>
      </w:r>
      <w:r>
        <w:rPr>
          <w:rFonts w:ascii="Amiri" w:hAnsi="Amiri" w:eastAsia="Amiri" w:cs="Amiri"/>
          <w:color w:val="111111"/>
          <w:sz w:val="28"/>
          <w:sz w:val="28"/>
          <w:szCs w:val="28"/>
          <w:rtl w:val="true"/>
          <w:lang w:bidi="ar-SA"/>
        </w:rPr>
        <w:t>و الشافعیّة</w:t>
      </w:r>
      <w:r>
        <w:rPr>
          <w:rStyle w:val="FootnoteAnchor"/>
          <w:rtl w:val="true"/>
        </w:rPr>
        <w:footnoteReference w:id="1593"/>
      </w:r>
      <w:r>
        <w:rPr>
          <w:rFonts w:ascii="Amiri" w:hAnsi="Amiri" w:eastAsia="Amiri" w:cs="Amiri"/>
          <w:color w:val="111111"/>
          <w:sz w:val="28"/>
          <w:sz w:val="28"/>
          <w:szCs w:val="28"/>
          <w:rtl w:val="true"/>
          <w:lang w:bidi="ar-SA"/>
        </w:rPr>
        <w:t>و الحنابلة</w:t>
      </w:r>
      <w:r>
        <w:rPr>
          <w:rStyle w:val="FootnoteAnchor"/>
          <w:rtl w:val="true"/>
        </w:rPr>
        <w:footnoteReference w:id="1594"/>
      </w:r>
      <w:r>
        <w:rPr>
          <w:rFonts w:ascii="IRNazanin" w:hAnsi="IRNazanin" w:eastAsia="IRNazanin"/>
          <w:color w:val="111111"/>
          <w:sz w:val="28"/>
          <w:sz w:val="28"/>
          <w:szCs w:val="28"/>
          <w:rtl w:val="true"/>
          <w:lang w:bidi="fa-IR"/>
        </w:rPr>
        <w:t>قالوا بإعادة حقّ الحضانة للأمّ بعد أن طلّقها الأجنبی و زال التزویج، و أمّا المالکیة فقد قالوا بعدم إعادتها</w:t>
      </w:r>
      <w:r>
        <w:rPr>
          <w:rStyle w:val="FootnoteAnchor"/>
          <w:rtl w:val="true"/>
        </w:rPr>
        <w:footnoteReference w:id="1595"/>
      </w:r>
      <w:bookmarkStart w:id="738" w:name="pg11752_146368"/>
    </w:p>
    <w:p>
      <w:pPr>
        <w:pStyle w:val="Heading5"/>
        <w:numPr>
          <w:ilvl w:val="4"/>
          <w:numId w:val="1"/>
        </w:numPr>
        <w:rPr/>
      </w:pPr>
      <w:bookmarkStart w:id="739" w:name="__RefHeading___Toc9424336_73709187"/>
      <w:bookmarkStart w:id="740" w:name="_Toc282"/>
      <w:bookmarkEnd w:id="738"/>
      <w:bookmarkEnd w:id="739"/>
      <w:r>
        <w:rPr>
          <w:rtl w:val="true"/>
        </w:rPr>
        <w:t>الشرط السابع</w:t>
      </w:r>
      <w:r>
        <w:rPr>
          <w:rtl w:val="true"/>
        </w:rPr>
        <w:t xml:space="preserve">: </w:t>
      </w:r>
      <w:r>
        <w:rPr>
          <w:rtl w:val="true"/>
        </w:rPr>
        <w:t>أن تکون مُقیمة</w:t>
      </w:r>
      <w:bookmarkEnd w:id="740"/>
    </w:p>
    <w:p>
      <w:pPr>
        <w:pStyle w:val="Heading6"/>
        <w:numPr>
          <w:ilvl w:val="5"/>
          <w:numId w:val="1"/>
        </w:numPr>
        <w:rPr/>
      </w:pPr>
      <w:bookmarkStart w:id="741" w:name="__RefHeading___Toc9424338_73709187"/>
      <w:bookmarkStart w:id="742" w:name="_Toc283"/>
      <w:bookmarkEnd w:id="741"/>
      <w:r>
        <w:rPr>
          <w:rtl w:val="true"/>
        </w:rPr>
        <w:t>اشارة</w:t>
      </w:r>
      <w:bookmarkEnd w:id="742"/>
    </w:p>
    <w:p>
      <w:pPr>
        <w:pStyle w:val="BookText"/>
        <w:rPr/>
      </w:pPr>
      <w:r>
        <w:rPr>
          <w:rStyle w:val="FootnoteAnchor"/>
          <w:rtl w:val="true"/>
        </w:rPr>
        <w:footnoteReference w:id="15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بالمقیم أن لا یصدق علی مَن له استحقاق الحضانة المسافر شرعاً، قال الشیخ فی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أحدهما مقیماً و الآخر منتقلاً، فلا تخلو المسافة من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یقصّر فیها الصلاة أو لا یقصّر، فإن لم یقصر فالحکم فیها کالإقامة، و إن کان یقصّر فیها فالأب أحقّ به بکلّ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المنتقل هو الأب فالأمّ أحقّ به، و إن کانت الأمّ منتقلة، فإن انتقلت من قریة إلی بلدٍ فهی أحقّ به، و إن انتقلت من بلدٍ إلی قریة فالأب أحقّ به؛ لأنّه فی السواد یسقط تعلیمه و تخریجه و هو قویّ</w:t>
      </w:r>
      <w:r>
        <w:rPr>
          <w:rFonts w:eastAsia="IRNazanin" w:cs="IRNazanin"/>
          <w:color w:val="111111"/>
          <w:sz w:val="28"/>
          <w:szCs w:val="28"/>
          <w:rtl w:val="true"/>
          <w:lang w:bidi="fa-IR"/>
        </w:rPr>
        <w:t>»</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 الشهید فی القواعد قولاً بأنّه لو سافر الأب له استصحاب الولد و تسقط حضانة الأمّ‌</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 فی المسالک</w:t>
      </w:r>
      <w:r>
        <w:rPr>
          <w:rStyle w:val="FootnoteAnchor"/>
          <w:rtl w:val="true"/>
        </w:rPr>
        <w:footnoteReference w:id="1599"/>
      </w:r>
      <w:r>
        <w:rPr>
          <w:rFonts w:ascii="IRNazanin" w:hAnsi="IRNazanin" w:eastAsia="IRNazanin"/>
          <w:color w:val="111111"/>
          <w:sz w:val="28"/>
          <w:sz w:val="28"/>
          <w:szCs w:val="28"/>
          <w:rtl w:val="true"/>
          <w:lang w:bidi="fa-IR"/>
        </w:rPr>
        <w:t>قول الشیخ رحمه الله فی المبسوط و لم یقل فیه شیئاً، و الظاهر أنّه توقّف فیه</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أنّه لا دلیل علی لزوم هذا الشرط؛ لأنّ دلیل استحقاق الحضانة مطلق یشمل حال السفر و عدمه؛ و لذا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ذکر حکایة هذا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الجمیع کما تری تهجّس لا یجوز الخروج به</w:t>
      </w:r>
      <w:bookmarkStart w:id="743" w:name="pg11752_146369"/>
    </w:p>
    <w:p>
      <w:pPr>
        <w:pStyle w:val="BookText"/>
        <w:rPr/>
      </w:pPr>
      <w:bookmarkEnd w:id="743"/>
      <w:r>
        <w:rPr>
          <w:rFonts w:ascii="Amiri" w:hAnsi="Amiri" w:eastAsia="Amiri" w:cs="Amiri"/>
          <w:color w:val="111111"/>
          <w:sz w:val="28"/>
          <w:sz w:val="28"/>
          <w:szCs w:val="28"/>
          <w:rtl w:val="true"/>
          <w:lang w:bidi="ar-SA"/>
        </w:rPr>
        <w:t>عن إطلاق الأدلّة</w:t>
      </w:r>
      <w:r>
        <w:rPr>
          <w:rFonts w:eastAsia="Amiri" w:cs="Amiri" w:ascii="Amiri" w:hAnsi="Amiri"/>
          <w:color w:val="111111"/>
          <w:sz w:val="28"/>
          <w:szCs w:val="28"/>
          <w:rtl w:val="true"/>
          <w:lang w:bidi="ar-SA"/>
        </w:rPr>
        <w:t>»</w:t>
      </w:r>
      <w:r>
        <w:rPr>
          <w:rStyle w:val="FootnoteAnchor"/>
          <w:rtl w:val="true"/>
        </w:rPr>
        <w:footnoteReference w:id="1600"/>
      </w:r>
      <w:r>
        <w:rPr>
          <w:rFonts w:ascii="IRNazanin" w:hAnsi="IRNazanin" w:eastAsia="IRNazanin"/>
          <w:color w:val="111111"/>
          <w:sz w:val="28"/>
          <w:sz w:val="28"/>
          <w:szCs w:val="28"/>
          <w:rtl w:val="true"/>
          <w:lang w:bidi="fa-IR"/>
        </w:rPr>
        <w:t>و لعلّه لذلک لم یتعرّض أکثر الفقهاء للبحث عن هذا الشرط</w:t>
      </w:r>
      <w:r>
        <w:rPr>
          <w:rFonts w:eastAsia="IRNazanin" w:cs="IRNazanin"/>
          <w:color w:val="111111"/>
          <w:sz w:val="28"/>
          <w:szCs w:val="28"/>
          <w:rtl w:val="true"/>
          <w:lang w:bidi="fa-IR"/>
        </w:rPr>
        <w:t>.</w:t>
      </w:r>
    </w:p>
    <w:p>
      <w:pPr>
        <w:pStyle w:val="Heading6"/>
        <w:numPr>
          <w:ilvl w:val="5"/>
          <w:numId w:val="1"/>
        </w:numPr>
        <w:rPr/>
      </w:pPr>
      <w:bookmarkStart w:id="744" w:name="__RefHeading___Toc9424340_73709187"/>
      <w:bookmarkStart w:id="745" w:name="_Toc284"/>
      <w:bookmarkEnd w:id="744"/>
      <w:r>
        <w:rPr>
          <w:rtl w:val="true"/>
        </w:rPr>
        <w:t>رأی أهل السنّة</w:t>
      </w:r>
      <w:bookmarkEnd w:id="745"/>
    </w:p>
    <w:p>
      <w:pPr>
        <w:pStyle w:val="BookText"/>
        <w:rPr/>
      </w:pPr>
      <w:r>
        <w:rPr>
          <w:rFonts w:ascii="IRNazanin" w:hAnsi="IRNazanin" w:eastAsia="IRNazanin"/>
          <w:color w:val="111111"/>
          <w:sz w:val="28"/>
          <w:sz w:val="28"/>
          <w:szCs w:val="28"/>
          <w:rtl w:val="true"/>
          <w:lang w:bidi="fa-IR"/>
        </w:rPr>
        <w:t>المالکیة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للأمّ أن ترحل بالولد عن مکان ولیّه إلاّ إلی المکان القریب الذی یمنع</w:t>
      </w:r>
      <w:r>
        <w:rPr>
          <w:rStyle w:val="FootnoteAnchor"/>
          <w:rtl w:val="true"/>
        </w:rPr>
        <w:footnoteReference w:id="1601"/>
      </w:r>
      <w:r>
        <w:rPr>
          <w:rFonts w:ascii="IRNazanin" w:hAnsi="IRNazanin" w:eastAsia="IRNazanin"/>
          <w:color w:val="111111"/>
          <w:sz w:val="28"/>
          <w:sz w:val="28"/>
          <w:szCs w:val="28"/>
          <w:rtl w:val="true"/>
          <w:lang w:bidi="fa-IR"/>
        </w:rPr>
        <w:t>الأب من خروج الولد معه إلیه لقربه و إن قصد استیطانه</w:t>
      </w:r>
      <w:r>
        <w:rPr>
          <w:rFonts w:eastAsia="IRNazanin" w:cs="IRNazanin"/>
          <w:color w:val="111111"/>
          <w:sz w:val="28"/>
          <w:szCs w:val="28"/>
          <w:rtl w:val="true"/>
          <w:lang w:bidi="fa-IR"/>
        </w:rPr>
        <w:t>»</w:t>
      </w:r>
      <w:r>
        <w:rPr>
          <w:rStyle w:val="FootnoteAnchor"/>
          <w:rtl w:val="true"/>
        </w:rPr>
        <w:footnoteReference w:id="16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رأی الحنفیّة</w:t>
      </w:r>
      <w:r>
        <w:rPr>
          <w:rStyle w:val="FootnoteAnchor"/>
          <w:rtl w:val="true"/>
        </w:rPr>
        <w:footnoteReference w:id="1603"/>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الشافعیّة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 مغنی المحتاج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 أراد أحدهما سفر نقلة فالأب أولی من الأمّ بالحضانة، سواء انتقل الأب أم الأمّ أو کلّ واحدٍ إلی بلدٍ؛ حفظاً للنسب فإنه یحفظه الآباء، أو رعایة لمصلحة التأدیب و التعلیم و سهولة الإنفاق</w:t>
      </w:r>
      <w:r>
        <w:rPr>
          <w:rFonts w:eastAsia="IRNazanin" w:cs="IRNazanin"/>
          <w:color w:val="111111"/>
          <w:sz w:val="28"/>
          <w:szCs w:val="28"/>
          <w:rtl w:val="true"/>
          <w:lang w:bidi="fa-IR"/>
        </w:rPr>
        <w:t>»</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الحنابلة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قدامة فی المغنی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منتقلاً إلی بلدٍ لیقیم به، و کان الطریق مخوفاً أو البلد الذی ینتقل إلیه مخوفاً فالمقیم أولی بالحضانة؛ لأنّ فی السفر به خطراً به</w:t>
      </w:r>
      <w:r>
        <w:rPr>
          <w:rFonts w:eastAsia="IRNazanin" w:cs="IRNazanin"/>
          <w:color w:val="111111"/>
          <w:sz w:val="28"/>
          <w:szCs w:val="28"/>
          <w:rtl w:val="true"/>
          <w:lang w:bidi="fa-IR"/>
        </w:rPr>
        <w:t>»</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یستفاد من کلام الحنابلة أنّ السفر إذا کان فیه الخطر و الضرر للولد یوجب سقوط الحضانة، بخلاف الشافعیة و المالکیّة و الحنابلة، الذین یستفاد من کلامهم أنّ السفر یوجب سقوط الحضانة من الأمّ مطلقاً</w:t>
      </w:r>
      <w:r>
        <w:rPr>
          <w:rFonts w:eastAsia="IRNazanin" w:cs="IRNazanin"/>
          <w:color w:val="111111"/>
          <w:sz w:val="28"/>
          <w:szCs w:val="28"/>
          <w:rtl w:val="true"/>
          <w:lang w:bidi="fa-IR"/>
        </w:rPr>
        <w:t>.</w:t>
      </w:r>
      <w:bookmarkStart w:id="746" w:name="pg11752_146370"/>
    </w:p>
    <w:p>
      <w:pPr>
        <w:pStyle w:val="Heading6"/>
        <w:numPr>
          <w:ilvl w:val="5"/>
          <w:numId w:val="1"/>
        </w:numPr>
        <w:rPr/>
      </w:pPr>
      <w:bookmarkStart w:id="747" w:name="__RefHeading___Toc9424342_73709187"/>
      <w:bookmarkStart w:id="748" w:name="_Toc285"/>
      <w:bookmarkEnd w:id="746"/>
      <w:bookmarkEnd w:id="747"/>
      <w:r>
        <w:rPr>
          <w:rtl w:val="true"/>
        </w:rPr>
        <w:t>فرع</w:t>
      </w:r>
      <w:bookmarkEnd w:id="748"/>
    </w:p>
    <w:p>
      <w:pPr>
        <w:pStyle w:val="BookText"/>
        <w:rPr/>
      </w:pPr>
      <w:r>
        <w:rPr>
          <w:rFonts w:ascii="IRNazanin" w:hAnsi="IRNazanin" w:eastAsia="IRNazanin"/>
          <w:color w:val="111111"/>
          <w:sz w:val="28"/>
          <w:sz w:val="28"/>
          <w:szCs w:val="28"/>
          <w:rtl w:val="true"/>
          <w:lang w:bidi="fa-IR"/>
        </w:rPr>
        <w:t xml:space="preserve">ذکر بعض الفقهاء فی المقام مسألة لا یخلو ذکرها من الفائدة، و هی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للأمّ الحاضنة أن تسافر بالولد إلی بلد بغیر رضاء أبیه؛ لأنّ الأب ولیّه الشرعی، فلا یجوز السفر بالولد بدون رضاه، و کذا لیس للأب أن یسافر به ما دام فی حضانة أمّه إن استلزم الضرر علی الطفل أو علی الأمّ، فحینئذٍ لا یجوز بلا إشکال؛ لحدیث نفی الضرر، و إن لم یکن ضرر بالنسبة إلی کلّ واحد منهما فمقتضی الأصل الجواز</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و إن لم یکن الضرر بالنسبة إلی کلّ واحدٍ منهما أیضاً لا یجوز السفر بالولد إلاّ بإذن ولیّه الشرعی</w:t>
      </w:r>
      <w:r>
        <w:rPr>
          <w:rFonts w:eastAsia="IRNazanin" w:cs="IRNazanin"/>
          <w:color w:val="111111"/>
          <w:sz w:val="28"/>
          <w:szCs w:val="28"/>
          <w:rtl w:val="true"/>
          <w:lang w:bidi="fa-IR"/>
        </w:rPr>
        <w:t>.</w:t>
      </w:r>
    </w:p>
    <w:p>
      <w:pPr>
        <w:pStyle w:val="Heading5"/>
        <w:numPr>
          <w:ilvl w:val="4"/>
          <w:numId w:val="1"/>
        </w:numPr>
        <w:rPr/>
      </w:pPr>
      <w:bookmarkStart w:id="749" w:name="__RefHeading___Toc9424344_73709187"/>
      <w:bookmarkStart w:id="750" w:name="_Toc286"/>
      <w:bookmarkEnd w:id="749"/>
      <w:r>
        <w:rPr>
          <w:rtl w:val="true"/>
        </w:rPr>
        <w:t>الشرط الثامن</w:t>
      </w:r>
      <w:r>
        <w:rPr>
          <w:rtl w:val="true"/>
        </w:rPr>
        <w:t xml:space="preserve">: </w:t>
      </w:r>
      <w:r>
        <w:rPr>
          <w:rtl w:val="true"/>
        </w:rPr>
        <w:t>أن تکون أمینة</w:t>
      </w:r>
      <w:bookmarkEnd w:id="750"/>
    </w:p>
    <w:p>
      <w:pPr>
        <w:pStyle w:val="Heading6"/>
        <w:numPr>
          <w:ilvl w:val="5"/>
          <w:numId w:val="1"/>
        </w:numPr>
        <w:rPr/>
      </w:pPr>
      <w:bookmarkStart w:id="751" w:name="__RefHeading___Toc9424346_73709187"/>
      <w:bookmarkStart w:id="752" w:name="_Toc287"/>
      <w:bookmarkEnd w:id="751"/>
      <w:r>
        <w:rPr>
          <w:rtl w:val="true"/>
        </w:rPr>
        <w:t>اشارة</w:t>
      </w:r>
      <w:bookmarkEnd w:id="752"/>
    </w:p>
    <w:p>
      <w:pPr>
        <w:pStyle w:val="BookText"/>
        <w:rPr/>
      </w:pPr>
      <w:r>
        <w:rPr>
          <w:rFonts w:ascii="IRNazanin" w:hAnsi="IRNazanin" w:eastAsia="IRNazanin"/>
          <w:color w:val="111111"/>
          <w:sz w:val="28"/>
          <w:sz w:val="28"/>
          <w:szCs w:val="28"/>
          <w:rtl w:val="true"/>
          <w:lang w:bidi="fa-IR"/>
        </w:rPr>
        <w:t>قد صرّح بلزوم هذا الشرط بعض الفقهاء من الشیعة؛ لأنّها إن لم تکن أمینةً ربّما کانت سبباً فی عدم حفظ الولد و فی عدم تربیته تربیةً صالحة، و لا ولایة لفاسق، یقول الشهید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حضانة للفاسقة؛ لأنّ الفاسق لا یَلی، و لأنّها لا تؤمن أن تخون فی حفظه، و لأنّه لا حظّ له فی حضانتها، لأنّه ینشأ علی طریقتها، فنفس الولد کالأرض الخالیة ما ألقی فیها من شیء قبلته</w:t>
      </w:r>
      <w:r>
        <w:rPr>
          <w:rFonts w:eastAsia="IRNazanin" w:cs="IRNazanin"/>
          <w:color w:val="111111"/>
          <w:sz w:val="28"/>
          <w:szCs w:val="28"/>
          <w:rtl w:val="true"/>
          <w:lang w:bidi="fa-IR"/>
        </w:rPr>
        <w:t>»</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فی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أحدهما عدلاً و الآخر فاسقاً فالعدل أحقّ به بکلّ حال؛ لأنّ الفاسق ربما فتنة عن دینه</w:t>
      </w:r>
      <w:r>
        <w:rPr>
          <w:rFonts w:eastAsia="IRNazanin" w:cs="IRNazanin"/>
          <w:color w:val="111111"/>
          <w:sz w:val="28"/>
          <w:szCs w:val="28"/>
          <w:rtl w:val="true"/>
          <w:lang w:bidi="fa-IR"/>
        </w:rPr>
        <w:t>»</w:t>
      </w:r>
      <w:r>
        <w:rPr>
          <w:rStyle w:val="FootnoteAnchor"/>
          <w:rtl w:val="true"/>
        </w:rPr>
        <w:footnoteReference w:id="16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بمثل هذا قال الشهید</w:t>
      </w:r>
    </w:p>
    <w:p>
      <w:pPr>
        <w:pStyle w:val="BookText"/>
        <w:rPr/>
      </w:pPr>
      <w:r>
        <w:rPr>
          <w:rFonts w:ascii="IRNazanin" w:hAnsi="IRNazanin" w:eastAsia="IRNazanin"/>
          <w:color w:val="111111"/>
          <w:sz w:val="28"/>
          <w:sz w:val="28"/>
          <w:szCs w:val="28"/>
          <w:rtl w:val="true"/>
          <w:lang w:bidi="fa-IR"/>
        </w:rPr>
        <w:t>فی القواعد</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أحدهما فاسقاً فالآخر أولی به</w:t>
      </w:r>
      <w:r>
        <w:rPr>
          <w:rStyle w:val="FootnoteAnchor"/>
          <w:rtl w:val="true"/>
        </w:rPr>
        <w:footnoteReference w:id="1610"/>
      </w:r>
      <w:r>
        <w:rPr>
          <w:rFonts w:ascii="IRNazanin" w:hAnsi="IRNazanin" w:eastAsia="IRNazanin"/>
          <w:color w:val="111111"/>
          <w:sz w:val="28"/>
          <w:sz w:val="28"/>
          <w:szCs w:val="28"/>
          <w:rtl w:val="true"/>
          <w:lang w:bidi="fa-IR"/>
        </w:rPr>
        <w:t>و قال بعض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إن تزوّجت الاُمّ أو فسقت و کان الأب غیر فاسق کان أولی بالحضانة</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المفهوم من کلماتهم أنّ رعایة هذا الشرط لا یکون مطلقاً لازماً، بل إذا کان أحد الأبوین عادلاً و الآخر فاسقاً فالعادل أولی بالحضانة، و أمّا إذا لم یکونا کذلک لا یلزم رعایة هذا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الشهید فی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یمکن الجمع بین عدم اشتراط العدالة مع اشتراط عدم الفسق؛ لثبوت الواسطة عند الأکثر، و یجعل المانع ظهور الفسق؛ لما یترتّب علیه من الأخطار السابقة، بخلاف غیره من المستورین و إن لم تظهر عدالته بالمعنی الذی اعتبره المتأخّرون</w:t>
      </w:r>
      <w:r>
        <w:rPr>
          <w:rFonts w:eastAsia="IRNazanin" w:cs="IRNazanin"/>
          <w:color w:val="111111"/>
          <w:sz w:val="28"/>
          <w:szCs w:val="28"/>
          <w:rtl w:val="true"/>
          <w:lang w:bidi="fa-IR"/>
        </w:rPr>
        <w:t>»</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الأقرب عدم اشتراط العدالة للحاضن و للحاضنة؛ لعموم أدلّتها، و لم یمنع النبیّ صلی الله علیه و آله و لا أحد الأئمّة علیهم السلام فاسقاً من تربیة ولده و حضانته له، و لو کان الفاسق مسلوب الحضانة لکان بیان هذا للأمّة من أهمّ الأمور، و اعتناء الأمة بنقله و توارث العمل به مقدّماً علی کثیر ممّا نقلوه، فالخروج ممّا ثبت شرعاً له من حقّ الحضانة بمثل التعلیلات المذکورة لا یخلو من مجازفة، مع أنّ منشأ الحضانة الشفقة التی هی من لوازم طبیعة کلّ حیوان فضلاً عن الإنسان</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ملخّص ما ذهب إلیه الفاضل الهندی</w:t>
      </w:r>
      <w:r>
        <w:rPr>
          <w:rStyle w:val="FootnoteAnchor"/>
          <w:rtl w:val="true"/>
        </w:rPr>
        <w:footnoteReference w:id="1613"/>
      </w:r>
      <w:r>
        <w:rPr>
          <w:rFonts w:ascii="IRNazanin" w:hAnsi="IRNazanin" w:eastAsia="IRNazanin"/>
          <w:color w:val="111111"/>
          <w:sz w:val="28"/>
          <w:sz w:val="28"/>
          <w:szCs w:val="28"/>
          <w:rtl w:val="true"/>
          <w:lang w:bidi="fa-IR"/>
        </w:rPr>
        <w:t>، و صاحب الجواهر</w:t>
      </w:r>
      <w:r>
        <w:rPr>
          <w:rStyle w:val="FootnoteAnchor"/>
          <w:rtl w:val="true"/>
        </w:rPr>
        <w:footnoteReference w:id="1614"/>
      </w:r>
      <w:r>
        <w:rPr>
          <w:rFonts w:ascii="IRNazanin" w:hAnsi="IRNazanin" w:eastAsia="IRNazanin"/>
          <w:color w:val="111111"/>
          <w:sz w:val="28"/>
          <w:sz w:val="28"/>
          <w:szCs w:val="28"/>
          <w:rtl w:val="true"/>
          <w:lang w:bidi="fa-IR"/>
        </w:rPr>
        <w:t>و العلاّمة فی</w:t>
      </w:r>
      <w:bookmarkStart w:id="753" w:name="pg11752_146372"/>
    </w:p>
    <w:p>
      <w:pPr>
        <w:pStyle w:val="BookText"/>
        <w:rPr/>
      </w:pPr>
      <w:bookmarkEnd w:id="753"/>
      <w:r>
        <w:rPr>
          <w:rFonts w:ascii="IRNazanin" w:hAnsi="IRNazanin" w:eastAsia="IRNazanin"/>
          <w:color w:val="111111"/>
          <w:sz w:val="28"/>
          <w:sz w:val="28"/>
          <w:szCs w:val="28"/>
          <w:rtl w:val="true"/>
          <w:lang w:bidi="fa-IR"/>
        </w:rPr>
        <w:t>القواعد</w:t>
      </w:r>
      <w:r>
        <w:rPr>
          <w:rStyle w:val="FootnoteAnchor"/>
          <w:rtl w:val="true"/>
        </w:rPr>
        <w:footnoteReference w:id="1615"/>
      </w:r>
      <w:r>
        <w:rPr>
          <w:rFonts w:ascii="IRNazanin" w:hAnsi="IRNazanin" w:eastAsia="IRNazanin"/>
          <w:color w:val="111111"/>
          <w:sz w:val="28"/>
          <w:sz w:val="28"/>
          <w:szCs w:val="28"/>
          <w:rtl w:val="true"/>
          <w:lang w:bidi="fa-IR"/>
        </w:rPr>
        <w:t>و صاحب الحدائق</w:t>
      </w:r>
      <w:r>
        <w:rPr>
          <w:rStyle w:val="FootnoteAnchor"/>
          <w:rtl w:val="true"/>
        </w:rPr>
        <w:footnoteReference w:id="1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لا یخفی أنّه إذا کان الفسق یوجب الإضرار علی الولد فی حضانته علی وجه لا یُطاق، ففی هذه الحالة یوجب سلب الحضانة، لکن من ناحیة نفی الضرر و الإضرار لا بسبب الفسق و عدم 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لو ظهر عدم ائتمان المرأة علی الولد أمکن حینئذٍ دعوی سقوط حضانتها، و عدم شمول الإطلاقات لها</w:t>
      </w:r>
      <w:r>
        <w:rPr>
          <w:rFonts w:eastAsia="IRNazanin" w:cs="IRNazanin"/>
          <w:color w:val="111111"/>
          <w:sz w:val="28"/>
          <w:szCs w:val="28"/>
          <w:rtl w:val="true"/>
          <w:lang w:bidi="fa-IR"/>
        </w:rPr>
        <w:t>»</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54" w:name="__RefHeading___Toc9424348_73709187"/>
      <w:bookmarkStart w:id="755" w:name="_Toc288"/>
      <w:bookmarkEnd w:id="754"/>
      <w:r>
        <w:rPr>
          <w:rtl w:val="true"/>
        </w:rPr>
        <w:t>رأی أهل السنّة</w:t>
      </w:r>
      <w:bookmarkEnd w:id="755"/>
    </w:p>
    <w:p>
      <w:pPr>
        <w:pStyle w:val="BookText"/>
        <w:rPr/>
      </w:pPr>
      <w:r>
        <w:rPr>
          <w:rFonts w:ascii="IRNazanin" w:hAnsi="IRNazanin" w:eastAsia="IRNazanin"/>
          <w:color w:val="111111"/>
          <w:sz w:val="28"/>
          <w:sz w:val="28"/>
          <w:szCs w:val="28"/>
          <w:rtl w:val="true"/>
          <w:lang w:bidi="fa-IR"/>
        </w:rPr>
        <w:t>جمهور الفقهاء من المذاهب الأربعة یعتقدون بلزوم عدم الفسق فی الحاضنة، و أنّ الفسق یوجب سقوط حقّ الحضانة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فنذکر فی المقام شطراً من کلماتهم فی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الشافعیّة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جاء فی مغنی المحتاج فی الفقه الشافعی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حضانة للفاسق؛ لأنّ الفاسق لا یلی و لا یؤتمن، و لأنّ المحضون لا حظَّ له فی حضانته، لأنّه ینشأ علی طریقته، و تکفی العدالة الظاهرة کشهود النکاح</w:t>
      </w:r>
      <w:r>
        <w:rPr>
          <w:rFonts w:eastAsia="IRNazanin" w:cs="IRNazanin"/>
          <w:color w:val="111111"/>
          <w:sz w:val="28"/>
          <w:szCs w:val="28"/>
          <w:rtl w:val="true"/>
          <w:lang w:bidi="fa-IR"/>
        </w:rPr>
        <w:t>»</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یشترط فی الحضانة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تکون فاسقة غیر مأمونة علیه، فإن ثبت فجورها بفسق أو سرقةٍ، أو کانت محترفة حرفة دنیئة کالنائحة و الراقصة، فإنّ حقّها یسقط</w:t>
      </w:r>
      <w:r>
        <w:rPr>
          <w:rFonts w:eastAsia="IRNazanin" w:cs="IRNazanin"/>
          <w:color w:val="111111"/>
          <w:sz w:val="28"/>
          <w:szCs w:val="28"/>
          <w:rtl w:val="true"/>
          <w:lang w:bidi="fa-IR"/>
        </w:rPr>
        <w:t>»</w:t>
      </w:r>
      <w:r>
        <w:rPr>
          <w:rStyle w:val="FootnoteAnchor"/>
          <w:rtl w:val="true"/>
        </w:rPr>
        <w:footnoteReference w:id="1619"/>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الحنابلة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قدامة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تثبت الحضانة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الفاسق؛ لأنّه غیر</w:t>
      </w:r>
      <w:bookmarkStart w:id="756" w:name="pg11752_146373"/>
    </w:p>
    <w:p>
      <w:pPr>
        <w:pStyle w:val="BookText"/>
        <w:rPr/>
      </w:pPr>
      <w:bookmarkEnd w:id="756"/>
      <w:r>
        <w:rPr>
          <w:rFonts w:ascii="IRNazanin" w:hAnsi="IRNazanin" w:eastAsia="IRNazanin"/>
          <w:color w:val="111111"/>
          <w:sz w:val="28"/>
          <w:sz w:val="28"/>
          <w:szCs w:val="28"/>
          <w:rtl w:val="true"/>
          <w:lang w:bidi="fa-IR"/>
        </w:rPr>
        <w:t>موثوق به فی أداء الواجب من الحضانة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حظّ للولد فی حضانته؛ لأنّه ینشأ علی طریقته</w:t>
      </w:r>
      <w:r>
        <w:rPr>
          <w:rFonts w:eastAsia="IRNazanin" w:cs="IRNazanin"/>
          <w:color w:val="111111"/>
          <w:sz w:val="28"/>
          <w:szCs w:val="28"/>
          <w:rtl w:val="true"/>
          <w:lang w:bidi="fa-IR"/>
        </w:rPr>
        <w:t>»</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المالکیة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عقد الجواهر الثمینة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یشترط کون الحاضنة أمینة؛ إذ لا یوثق بالفاسقة</w:t>
      </w:r>
      <w:r>
        <w:rPr>
          <w:rFonts w:eastAsia="IRNazanin" w:cs="IRNazanin"/>
          <w:color w:val="111111"/>
          <w:sz w:val="28"/>
          <w:szCs w:val="28"/>
          <w:rtl w:val="true"/>
          <w:lang w:bidi="fa-IR"/>
        </w:rPr>
        <w:t>»</w:t>
      </w:r>
      <w:r>
        <w:rPr>
          <w:rStyle w:val="FootnoteAnchor"/>
          <w:rtl w:val="true"/>
        </w:rPr>
        <w:footnoteReference w:id="162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57" w:name="__RefHeading___Toc9424350_73709187"/>
      <w:bookmarkStart w:id="758" w:name="_Toc289"/>
      <w:bookmarkEnd w:id="757"/>
      <w:r>
        <w:rPr>
          <w:rtl w:val="true"/>
        </w:rPr>
        <w:t>فرع</w:t>
      </w:r>
      <w:bookmarkEnd w:id="758"/>
    </w:p>
    <w:p>
      <w:pPr>
        <w:pStyle w:val="BookText"/>
        <w:rPr/>
      </w:pPr>
      <w:r>
        <w:rPr>
          <w:rFonts w:ascii="IRNazanin" w:hAnsi="IRNazanin" w:eastAsia="IRNazanin"/>
          <w:color w:val="111111"/>
          <w:sz w:val="28"/>
          <w:sz w:val="28"/>
          <w:szCs w:val="28"/>
          <w:rtl w:val="true"/>
          <w:lang w:bidi="fa-IR"/>
        </w:rPr>
        <w:t xml:space="preserve">ظهر ممّا ذکرنا أنّ بعض الأُمّهات اللاتی یبتلین ببعض الأمراض کاعتیاد المخدّرات و التی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الأسف راجت فی زماننا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کالحشیش و التریاق و المورفین و البنج و الکوکائین و غیرها، لا یستحققن للحضانة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المخدّرات جمع مخدّر، و هو مأخوذ من الخدر، و هو الضعف و الکسل و الفتور و الاسترخاء،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تخدّر العضو إذا استرخی فلا یطیق الحرکة، و یطلق الخدر أیضاً علی ظُلمة المکان و غموضه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أخدر و خدر إذا کان مظلماً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اللغة</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فی الاصطلاح فقد عرّفها القرافی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ما غیّب العقل و الحواسّ دون أن یصحب ذلک نشوة أو سرور</w:t>
      </w:r>
      <w:r>
        <w:rPr>
          <w:rFonts w:eastAsia="IRNazanin" w:cs="IRNazanin"/>
          <w:color w:val="111111"/>
          <w:sz w:val="28"/>
          <w:szCs w:val="28"/>
          <w:rtl w:val="true"/>
          <w:lang w:bidi="fa-IR"/>
        </w:rPr>
        <w:t>»</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عرّفها بعض آخر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یغطّی العقل دون حدوث طرب أو عربدة أو نشاط</w:t>
      </w:r>
      <w:r>
        <w:rPr>
          <w:rFonts w:eastAsia="IRNazanin" w:cs="IRNazanin"/>
          <w:color w:val="111111"/>
          <w:sz w:val="28"/>
          <w:szCs w:val="28"/>
          <w:rtl w:val="true"/>
          <w:lang w:bidi="fa-IR"/>
        </w:rPr>
        <w:t>»</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الموسوعة الفقهیّة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التخدیر تغشیة العقل من غیر شدّة مطربة</w:t>
      </w:r>
      <w:r>
        <w:rPr>
          <w:rFonts w:eastAsia="IRNazanin" w:cs="IRNazanin"/>
          <w:color w:val="111111"/>
          <w:sz w:val="28"/>
          <w:szCs w:val="28"/>
          <w:rtl w:val="true"/>
          <w:lang w:bidi="fa-IR"/>
        </w:rPr>
        <w:t>»</w:t>
      </w:r>
      <w:r>
        <w:rPr>
          <w:rStyle w:val="FootnoteAnchor"/>
          <w:rtl w:val="true"/>
        </w:rPr>
        <w:footnoteReference w:id="1625"/>
      </w:r>
    </w:p>
    <w:p>
      <w:pPr>
        <w:pStyle w:val="BookText"/>
        <w:rPr/>
      </w:pPr>
      <w:r>
        <w:rPr>
          <w:rFonts w:ascii="IRNazanin" w:hAnsi="IRNazanin" w:eastAsia="IRNazanin"/>
          <w:color w:val="111111"/>
          <w:sz w:val="28"/>
          <w:sz w:val="28"/>
          <w:szCs w:val="28"/>
          <w:rtl w:val="true"/>
          <w:lang w:bidi="fa-IR"/>
        </w:rPr>
        <w:t xml:space="preserve">و الأصحّ تعریفه بما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بأنّها کلّ مادّة خام أو مستحضرة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مصنوعة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 علی عناصر منبّهة أو مسکّنة من شأنها إذا استخدمت فی غیر الأغراض الطبّیة و الصناعیّة أن تؤدّی إلی حالة من التعوّد أو الإدمان علیها، ممّا یضرّ بالفرد و المجتمع جسمیّاً و اجتماعیّاً و نفسیّاً</w:t>
      </w:r>
      <w:r>
        <w:rPr>
          <w:rFonts w:eastAsia="IRNazanin" w:cs="IRNazanin"/>
          <w:color w:val="111111"/>
          <w:sz w:val="28"/>
          <w:szCs w:val="28"/>
          <w:rtl w:val="true"/>
          <w:lang w:bidi="fa-IR"/>
        </w:rPr>
        <w:t>»</w:t>
      </w:r>
      <w:r>
        <w:rPr>
          <w:rStyle w:val="FootnoteAnchor"/>
          <w:rtl w:val="true"/>
        </w:rPr>
        <w:footnoteReference w:id="16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یتلخّص من هذه التعریفات المختلفة هو الذی شاهدناه بعیوننا فی موارد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الاعتیاد علی المخدّرات توجب غیبة العقل و ضیاعه، و من غاب عقله فعل الأفاعیل و هو لا یدری، و من کان کذلک یسلب عنه حقّ الحضانة، کما أفتی بعض الأعلام من فقهاء العصر فی ما تشابه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السیّد الفقیه الگلبایگانی قدس سره فی جواب السؤال من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یسلب حقّ الحضانة من المرأة التی تستعمل المخدّرات للأغراض الطبّیة؟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الاُمّ إذا لم تقدر علی حفظ ولدها لأجل مرضها یسلب عنها حقّ الحضانة</w:t>
      </w:r>
      <w:r>
        <w:rPr>
          <w:rFonts w:eastAsia="IRNazanin" w:cs="IRNazanin"/>
          <w:color w:val="111111"/>
          <w:sz w:val="28"/>
          <w:szCs w:val="28"/>
          <w:rtl w:val="true"/>
          <w:lang w:bidi="fa-IR"/>
        </w:rPr>
        <w:t>»</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الرجل ذا أخلاق فاسدة لأجل تعویده بشرب الخمر و القمار فلا یستحقّ الحضانة، و تجب علی الاُمّ حضانة الولد و لا یجوز أن تدفعه لأبیه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الفقیه الفاضل اللنکرانی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یسقط حقّ الحضانة من المرأة إذا خیف من أخلاقها أن یضرّ الولد</w:t>
      </w:r>
      <w:r>
        <w:rPr>
          <w:rFonts w:eastAsia="IRNazanin" w:cs="IRNazanin"/>
          <w:color w:val="111111"/>
          <w:sz w:val="28"/>
          <w:szCs w:val="28"/>
          <w:rtl w:val="true"/>
          <w:lang w:bidi="fa-IR"/>
        </w:rPr>
        <w:t>»</w:t>
      </w:r>
      <w:r>
        <w:rPr>
          <w:rStyle w:val="FootnoteAnchor"/>
          <w:rtl w:val="true"/>
        </w:rPr>
        <w:footnoteReference w:id="16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الوجه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ذکرنا فی الشرط الخامس و الثامن فراجع</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تفویض الحضانة للمرأة أو الرجل اللذین تعوّدا المخدّرات موجب لتضییع حقوق الطفل، و تضییع حقوقه إضرار به و هو منهیّ بحکم العقل</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النقل، فیشمله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تُضَارَّ والِدَةٌ بِوَلَدِها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 لا ضرار</w:t>
      </w:r>
      <w:r>
        <w:rPr>
          <w:rFonts w:eastAsia="Amiri" w:cs="Amiri" w:ascii="Amiri" w:hAnsi="Amiri"/>
          <w:color w:val="111111"/>
          <w:sz w:val="28"/>
          <w:szCs w:val="28"/>
          <w:rtl w:val="true"/>
          <w:lang w:bidi="ar-SA"/>
        </w:rPr>
        <w:t>»</w:t>
      </w:r>
      <w:r>
        <w:rPr>
          <w:rStyle w:val="FootnoteAnchor"/>
          <w:rtl w:val="true"/>
        </w:rPr>
        <w:footnoteReference w:id="1629"/>
      </w:r>
      <w:r>
        <w:rPr>
          <w:rFonts w:ascii="IRNazanin" w:hAnsi="IRNazanin" w:eastAsia="IRNazanin"/>
          <w:color w:val="111111"/>
          <w:sz w:val="28"/>
          <w:sz w:val="28"/>
          <w:szCs w:val="28"/>
          <w:rtl w:val="true"/>
          <w:lang w:bidi="fa-IR"/>
        </w:rPr>
        <w:t>و هکذا الحضانة نوع ولایة لتربیة الطفل و تدبیر شئونه و لا ولایة لمن غاب عقله، و الاعتیاد علی المخدّرات یکون کذلک غالباً</w:t>
      </w:r>
      <w:r>
        <w:rPr>
          <w:rFonts w:eastAsia="IRNazanin" w:cs="IRNazanin"/>
          <w:color w:val="111111"/>
          <w:sz w:val="28"/>
          <w:szCs w:val="28"/>
          <w:rtl w:val="true"/>
          <w:lang w:bidi="fa-IR"/>
        </w:rPr>
        <w:t>.</w:t>
      </w:r>
      <w:bookmarkStart w:id="759" w:name="pg11752_146376"/>
    </w:p>
    <w:p>
      <w:pPr>
        <w:pStyle w:val="Heading4"/>
        <w:numPr>
          <w:ilvl w:val="3"/>
          <w:numId w:val="1"/>
        </w:numPr>
        <w:rPr/>
      </w:pPr>
      <w:bookmarkStart w:id="760" w:name="__RefHeading___Toc9424352_73709187"/>
      <w:bookmarkStart w:id="761" w:name="_Toc290"/>
      <w:bookmarkEnd w:id="759"/>
      <w:bookmarkEnd w:id="760"/>
      <w:r>
        <w:rPr>
          <w:rtl w:val="true"/>
        </w:rPr>
        <w:t>المبحث الخامس</w:t>
      </w:r>
      <w:r>
        <w:rPr>
          <w:rtl w:val="true"/>
        </w:rPr>
        <w:t xml:space="preserve">: </w:t>
      </w:r>
      <w:r>
        <w:rPr>
          <w:rtl w:val="true"/>
        </w:rPr>
        <w:t>فی أَمَد الحضانة</w:t>
      </w:r>
      <w:bookmarkEnd w:id="761"/>
    </w:p>
    <w:p>
      <w:pPr>
        <w:pStyle w:val="Heading5"/>
        <w:numPr>
          <w:ilvl w:val="4"/>
          <w:numId w:val="1"/>
        </w:numPr>
        <w:rPr/>
      </w:pPr>
      <w:bookmarkStart w:id="762" w:name="__RefHeading___Toc9424354_73709187"/>
      <w:bookmarkStart w:id="763" w:name="_Toc291"/>
      <w:bookmarkEnd w:id="762"/>
      <w:r>
        <w:rPr>
          <w:rtl w:val="true"/>
        </w:rPr>
        <w:t>اشارة</w:t>
      </w:r>
      <w:bookmarkEnd w:id="763"/>
    </w:p>
    <w:p>
      <w:pPr>
        <w:pStyle w:val="BookText"/>
        <w:rPr/>
      </w:pPr>
      <w:r>
        <w:rPr>
          <w:rFonts w:ascii="IRNazanin" w:hAnsi="IRNazanin" w:eastAsia="IRNazanin"/>
          <w:color w:val="111111"/>
          <w:sz w:val="28"/>
          <w:sz w:val="28"/>
          <w:szCs w:val="28"/>
          <w:rtl w:val="true"/>
          <w:lang w:bidi="fa-IR"/>
        </w:rPr>
        <w:t>بعد إثبات وجوب الحضانة و بیان شرائطها یلزم أن نبحث فی أنّه إلی أیّ زمان تجب حضانة الطفل؟ و متی تنقضی مدّتها؟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بما أنّ الحضانة شرّعت لمصلحة المحضون، فمدّتها تتحدّد بقدر حاجته إلیها و تنتهی بانتفاء الحاجة إلیها، و ذلک عند استغناء المحضون عن الحضانة، و یُعلم ذلک بأن یصیر الولد بالغاً رشیداً، فحینئذٍ لیس لأحد حقّ الحضانة علیه حتی الأبوین فضلاً عن غیرهما، و هذا ممّا لا خلاف فیه عند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رحمه الله فی القواعد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کان الولد بالغاً رشیداً تخیّر فی الانضمام إلی مَن شاء منهما و من غیرهما</w:t>
      </w:r>
      <w:r>
        <w:rPr>
          <w:rFonts w:eastAsia="IRNazanin" w:cs="IRNazanin"/>
          <w:color w:val="111111"/>
          <w:sz w:val="28"/>
          <w:szCs w:val="28"/>
          <w:rtl w:val="true"/>
          <w:lang w:bidi="fa-IR"/>
        </w:rPr>
        <w:t>»</w:t>
      </w:r>
      <w:r>
        <w:rPr>
          <w:rStyle w:val="FootnoteAnchor"/>
          <w:rtl w:val="true"/>
        </w:rPr>
        <w:footnoteReference w:id="1630"/>
      </w:r>
      <w:r>
        <w:rPr>
          <w:rFonts w:ascii="IRNazanin" w:hAnsi="IRNazanin" w:eastAsia="IRNazanin"/>
          <w:color w:val="111111"/>
          <w:sz w:val="28"/>
          <w:sz w:val="28"/>
          <w:szCs w:val="28"/>
          <w:rtl w:val="true"/>
          <w:lang w:bidi="fa-IR"/>
        </w:rPr>
        <w:t>و کذا فی الإرشاد</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الریاض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بلغ الولد رشیداً سقطت الحضانة عنه بلا خلاف</w:t>
      </w:r>
      <w:r>
        <w:rPr>
          <w:rFonts w:eastAsia="IRNazanin" w:cs="IRNazanin"/>
          <w:color w:val="111111"/>
          <w:sz w:val="28"/>
          <w:szCs w:val="28"/>
          <w:rtl w:val="true"/>
          <w:lang w:bidi="fa-IR"/>
        </w:rPr>
        <w:t>»</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المحقّق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 الولد رشیداً سقطت ولایة الأبوین عنه، و کان الخیار إلیه فی الانضمام إلی من شاء</w:t>
      </w:r>
      <w:r>
        <w:rPr>
          <w:rFonts w:eastAsia="IRNazanin" w:cs="IRNazanin"/>
          <w:color w:val="111111"/>
          <w:sz w:val="28"/>
          <w:szCs w:val="28"/>
          <w:rtl w:val="true"/>
          <w:lang w:bidi="fa-IR"/>
        </w:rPr>
        <w:t>»</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الشهید فی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موضع وفاق، و لکن کرهوا للبنت مفارقة أمّها إلی أن تتزوّج</w:t>
      </w:r>
      <w:r>
        <w:rPr>
          <w:rFonts w:eastAsia="IRNazanin" w:cs="IRNazanin"/>
          <w:color w:val="111111"/>
          <w:sz w:val="28"/>
          <w:szCs w:val="28"/>
          <w:rtl w:val="true"/>
          <w:lang w:bidi="fa-IR"/>
        </w:rPr>
        <w:t>»</w:t>
      </w:r>
      <w:r>
        <w:rPr>
          <w:rStyle w:val="FootnoteAnchor"/>
          <w:rtl w:val="true"/>
        </w:rPr>
        <w:footnoteReference w:id="16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مختار الشیخ فی المبسوط‌</w:t>
      </w:r>
      <w:r>
        <w:rPr>
          <w:rStyle w:val="FootnoteAnchor"/>
          <w:rtl w:val="true"/>
        </w:rPr>
        <w:footnoteReference w:id="1635"/>
      </w:r>
      <w:r>
        <w:rPr>
          <w:rFonts w:ascii="Amiri" w:hAnsi="Amiri" w:eastAsia="Amiri" w:cs="Amiri"/>
          <w:color w:val="111111"/>
          <w:sz w:val="28"/>
          <w:sz w:val="28"/>
          <w:szCs w:val="28"/>
          <w:rtl w:val="true"/>
          <w:lang w:bidi="ar-SA"/>
        </w:rPr>
        <w:t>و ابن حمزة</w:t>
      </w:r>
      <w:r>
        <w:rPr>
          <w:rStyle w:val="FootnoteAnchor"/>
          <w:rtl w:val="true"/>
        </w:rPr>
        <w:footnoteReference w:id="1636"/>
      </w:r>
      <w:r>
        <w:rPr>
          <w:rFonts w:ascii="IRNazanin" w:hAnsi="IRNazanin" w:eastAsia="IRNazanin"/>
          <w:color w:val="111111"/>
          <w:sz w:val="28"/>
          <w:sz w:val="28"/>
          <w:szCs w:val="28"/>
          <w:rtl w:val="true"/>
          <w:lang w:bidi="fa-IR"/>
        </w:rPr>
        <w:t>و صاحب</w:t>
      </w:r>
      <w:bookmarkStart w:id="764" w:name="pg11752_146377"/>
    </w:p>
    <w:p>
      <w:pPr>
        <w:pStyle w:val="BookText"/>
        <w:rPr/>
      </w:pPr>
      <w:bookmarkEnd w:id="764"/>
      <w:r>
        <w:rPr>
          <w:rFonts w:ascii="IRNazanin" w:hAnsi="IRNazanin" w:eastAsia="IRNazanin"/>
          <w:color w:val="111111"/>
          <w:sz w:val="28"/>
          <w:sz w:val="28"/>
          <w:szCs w:val="28"/>
          <w:rtl w:val="true"/>
          <w:lang w:bidi="fa-IR"/>
        </w:rPr>
        <w:t>الجواهر</w:t>
      </w:r>
      <w:r>
        <w:rPr>
          <w:rStyle w:val="FootnoteAnchor"/>
          <w:rtl w:val="true"/>
        </w:rPr>
        <w:footnoteReference w:id="1637"/>
      </w:r>
      <w:r>
        <w:rPr>
          <w:rFonts w:ascii="IRNazanin" w:hAnsi="IRNazanin" w:eastAsia="IRNazanin"/>
          <w:color w:val="111111"/>
          <w:sz w:val="28"/>
          <w:sz w:val="28"/>
          <w:szCs w:val="28"/>
          <w:rtl w:val="true"/>
          <w:lang w:bidi="fa-IR"/>
        </w:rPr>
        <w:t>و الإمام الخمینی</w:t>
      </w:r>
      <w:r>
        <w:rPr>
          <w:rStyle w:val="FootnoteAnchor"/>
          <w:rtl w:val="true"/>
        </w:rPr>
        <w:footnoteReference w:id="1638"/>
      </w:r>
      <w:r>
        <w:rPr>
          <w:rFonts w:ascii="IRNazanin" w:hAnsi="IRNazanin" w:eastAsia="IRNazanin"/>
          <w:color w:val="111111"/>
          <w:sz w:val="28"/>
          <w:sz w:val="28"/>
          <w:szCs w:val="28"/>
          <w:rtl w:val="true"/>
          <w:lang w:bidi="fa-IR"/>
        </w:rPr>
        <w:t>رحمه الله و غیرهم</w:t>
      </w:r>
      <w:r>
        <w:rPr>
          <w:rStyle w:val="FootnoteAnchor"/>
          <w:rtl w:val="true"/>
        </w:rPr>
        <w:footnoteReference w:id="16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5" w:name="__RefHeading___Toc9424356_73709187"/>
      <w:bookmarkStart w:id="766" w:name="_Toc292"/>
      <w:bookmarkEnd w:id="765"/>
      <w:r>
        <w:rPr>
          <w:rtl w:val="true"/>
        </w:rPr>
        <w:t>أدلّة هذا الحکم</w:t>
      </w:r>
      <w:bookmarkEnd w:id="766"/>
    </w:p>
    <w:p>
      <w:pPr>
        <w:pStyle w:val="BookText"/>
        <w:rPr/>
      </w:pPr>
      <w:r>
        <w:rPr>
          <w:rFonts w:ascii="IRNazanin" w:hAnsi="IRNazanin" w:eastAsia="IRNazanin"/>
          <w:color w:val="111111"/>
          <w:sz w:val="28"/>
          <w:sz w:val="28"/>
          <w:szCs w:val="28"/>
          <w:rtl w:val="true"/>
          <w:lang w:bidi="fa-IR"/>
        </w:rPr>
        <w:t>و یمکن الاستدلال لهذا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صاحب الجواهر فی شرح کلام المحقّق فی هذا المقام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خلاف فی أنّه إذا بلغ الولد رشیداً سقطت ولایة الأبوین عنه؛ للأصل</w:t>
      </w:r>
      <w:r>
        <w:rPr>
          <w:rFonts w:eastAsia="IRNazanin" w:cs="IRNazanin"/>
          <w:color w:val="111111"/>
          <w:sz w:val="28"/>
          <w:szCs w:val="28"/>
          <w:rtl w:val="true"/>
          <w:lang w:bidi="fa-IR"/>
        </w:rPr>
        <w:t>»</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أنّ تقریره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عدم ولایة أحدٍ علی أحدٍ، خرج عنه بمقتضی الدلیل أیّام عدم بلوغ الطفل، فإذا انقضت أیّام الرضاع شُکّ فی بقائه و أثّر الأصل أثره، و هو عدم ولایة أحدٍ علی أحد، و یشمل المورد؛ لأنّ الحضانة کما قلنا فی تعریفها نوع ولایةٍ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 أدلّة البلوغ و الرشد، مثل إطلاق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ابْتَلُوا الْیَتامی حَتّی إِذا بَلَغُوا النِّکاحَ فَإِنْ آنَسْتُمْ مِنْهُمْ رُشْداً فَادْفَعُوا إِلَیْهِمْ أَمْوالَهُمْ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الابتلاء هو الاختبار و الامتحان، و هو هنا تتّبع أحوال الیتامی حتّی یتبیّن حالهم من الرشد، فإن ثبت یُعطوا أموالهم و إلاّ فیترک و یحجر حتّی یتبیّن الرشد</w:t>
      </w:r>
      <w:r>
        <w:rPr>
          <w:rStyle w:val="FootnoteAnchor"/>
          <w:rtl w:val="true"/>
        </w:rPr>
        <w:footnoteReference w:id="1641"/>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الصلاح، و هو إصابة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أمر بیّن رشده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صوابه و هو خلاف العَمَهِ و الضلال</w:t>
      </w:r>
      <w:r>
        <w:rPr>
          <w:rStyle w:val="FootnoteAnchor"/>
          <w:rtl w:val="true"/>
        </w:rPr>
        <w:footnoteReference w:id="1642"/>
      </w:r>
    </w:p>
    <w:p>
      <w:pPr>
        <w:pStyle w:val="BookText"/>
        <w:rPr/>
      </w:pPr>
      <w:r>
        <w:rPr>
          <w:rFonts w:ascii="Amiri" w:hAnsi="Amiri" w:eastAsia="Amiri" w:cs="Amiri"/>
          <w:color w:val="111111"/>
          <w:sz w:val="28"/>
          <w:sz w:val="28"/>
          <w:szCs w:val="28"/>
          <w:rtl w:val="true"/>
          <w:lang w:bidi="ar-SA"/>
        </w:rPr>
        <w:t>و فی اصطلاح الفقهاء معناه القدرة علی حفظ المال و عدم تضییعه، لقول الصادق علیه السلام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آنَسْتُمْ مِنْهُمْ رُشْداً فَادْفَعُوا إِلَیْهِمْ أَمْوالَهُمْ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إیناس الرشد حفظُ المال</w:t>
      </w:r>
      <w:r>
        <w:rPr>
          <w:rFonts w:eastAsia="Amiri" w:cs="Amiri" w:ascii="Amiri" w:hAnsi="Amiri"/>
          <w:color w:val="111111"/>
          <w:sz w:val="28"/>
          <w:szCs w:val="28"/>
          <w:rtl w:val="true"/>
          <w:lang w:bidi="ar-SA"/>
        </w:rPr>
        <w:t>»</w:t>
      </w:r>
      <w:r>
        <w:rPr>
          <w:rStyle w:val="FootnoteAnchor"/>
          <w:rtl w:val="true"/>
        </w:rPr>
        <w:footnoteReference w:id="16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هکذا الخروج عن الیتم یحصل بالرشد و الاحتلام؛ لما ورد عن علیّ ابن جعفر، عن أخیه موسی بن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الیتم متی ینقطع یتمه؟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احتلم و عرف الأخذ و العطاء</w:t>
      </w:r>
      <w:r>
        <w:rPr>
          <w:rFonts w:eastAsia="IRNazanin" w:cs="IRNazanin"/>
          <w:color w:val="111111"/>
          <w:sz w:val="28"/>
          <w:szCs w:val="28"/>
          <w:rtl w:val="true"/>
          <w:lang w:bidi="fa-IR"/>
        </w:rPr>
        <w:t>»</w:t>
      </w:r>
      <w:r>
        <w:rPr>
          <w:rStyle w:val="FootnoteAnchor"/>
          <w:rtl w:val="true"/>
        </w:rPr>
        <w:footnoteReference w:id="16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ورد فی وصیّة النبیّ صلی الله علیه و آله لعلیّ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لا یُتْمَ بعد احتلام</w:t>
      </w:r>
      <w:r>
        <w:rPr>
          <w:rFonts w:eastAsia="IRNazanin" w:cs="IRNazanin"/>
          <w:color w:val="111111"/>
          <w:sz w:val="28"/>
          <w:szCs w:val="28"/>
          <w:rtl w:val="true"/>
          <w:lang w:bidi="fa-IR"/>
        </w:rPr>
        <w:t>»</w:t>
      </w:r>
      <w:r>
        <w:rPr>
          <w:rStyle w:val="FootnoteAnchor"/>
          <w:rtl w:val="true"/>
        </w:rPr>
        <w:footnoteReference w:id="16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فالرشد و الخروج عن الیتم هو أن یعلم صلاح المال و عدم صرفه فی وجهٍ غیر لائق فی نظر العقلاء، فتضییع المال بإلقائه فی البحر أو حرقه أو صرفه فی المحرّمات منافٍ للرشد، کما أنّ صرف المال فی وجهٍ لائق و فی الاُمور الخیریّة موافق للرشد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فمقتضی الآیة جواز الابتلاء و الامتحان قبل البلوغ و انتهائه بالبلوغ و الرشد، و هکذا الظاهر منها بمعونة النصوص الواردة أنّ الرشد و خروج الطفل عن الیتم یحصل بالبلوغ، و ببلوغهم یکونون مالکین لأنفسهم، و لا یحتاجون حینئذٍ إلی الحضانة</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فثبت أنّ أَمَد الحضانة تنتهی إن بلغ الولد حال کونه رشیداً، و حینئذٍ یصیر مالک نفسه و له الخیار فی الانضمام لمن یشاء من الأبوین ذکراً کان الولد أو أنثی، و قد وردت فی هذا نصوص کثیرة</w:t>
      </w:r>
      <w:r>
        <w:rPr>
          <w:rStyle w:val="FootnoteAnchor"/>
          <w:rtl w:val="true"/>
        </w:rPr>
        <w:footnoteReference w:id="1646"/>
      </w:r>
      <w:r>
        <w:rPr>
          <w:rFonts w:eastAsia="Times New Roman" w:cs="Times New Roman" w:ascii="Times New Roman" w:hAnsi="Times New Roman"/>
          <w:color w:val="111111"/>
          <w:sz w:val="28"/>
          <w:szCs w:val="28"/>
          <w:rtl w:val="true"/>
          <w:lang w:val="en-US" w:bidi="en-US"/>
        </w:rPr>
        <w:t>:</w:t>
      </w:r>
      <w:bookmarkStart w:id="767" w:name="pg11752_146379"/>
    </w:p>
    <w:p>
      <w:pPr>
        <w:pStyle w:val="BookText"/>
        <w:rPr/>
      </w:pPr>
      <w:bookmarkEnd w:id="767"/>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عن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یجب علی الغلام أن یؤخذ بالحدود التامة، و یقام علیه، و یؤخذ بها؟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خرج عنه الیتم و أدرک،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فلذلک حدٌّ یعرف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احتلم أو بلغ خمس عشرة سنة أو أشعر أو أنبت قبل ذلک أقیمت علیه الحدود التامّة، و اخذ بها و اخذت له،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فالجاریة متی تجب علیها الحدود التامّة و تؤخذ بها و یؤخذ 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الجاریة لیست مثل الغلام، إنّ الجاریة إذا تزوّجت و دخل بها و لها تسع سنین ذهب عنها الیتم و دفع إلیها مالها، و جاز أمرها فی الشراء و البیع، و اقیمت علیها الحدود التامّة، و اخذ لها و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الغلام لا یجوز أمره فی الشراء و البیع، و لا یخرج من الیتم حتّی یبلغ خمس عشرة سنة أو یحتلم أو یشعر أو ینبت قبل ذلک</w:t>
      </w:r>
      <w:r>
        <w:rPr>
          <w:rFonts w:eastAsia="IRNazanin" w:cs="IRNazanin"/>
          <w:color w:val="111111"/>
          <w:sz w:val="28"/>
          <w:szCs w:val="28"/>
          <w:rtl w:val="true"/>
          <w:lang w:bidi="fa-IR"/>
        </w:rPr>
        <w:t>»</w:t>
      </w:r>
      <w:r>
        <w:rPr>
          <w:rStyle w:val="FootnoteAnchor"/>
          <w:rtl w:val="true"/>
        </w:rPr>
        <w:footnoteReference w:id="16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فالظاهر من هذه الروایة و غیرها أنّه إذا احتلم الغلام أو بلغ خمس عشرة سنة أو أشعر أو أنبت، و هکذا إذا تزوّجت الجاریة و لها تسع سنین جاز أمرهما فی الشراء و البیع، و یؤخذان بالحدود التامة، و یصیران مالکین لأنفسهما، و هذا عبارة أخری عن أنّه لا ولایة علیهما من جهة المال و غیره، و منها الحضانة، فیمکن أن نحکم بانقضاء الحضانة بالبلوغ و الرشد بإطلاق هذه النصوص، و هو المطلوب و اللّه هو العالم</w:t>
      </w:r>
      <w:r>
        <w:rPr>
          <w:rFonts w:eastAsia="IRNazanin" w:cs="IRNazanin"/>
          <w:color w:val="111111"/>
          <w:sz w:val="28"/>
          <w:szCs w:val="28"/>
          <w:rtl w:val="true"/>
          <w:lang w:bidi="fa-IR"/>
        </w:rPr>
        <w:t>.</w:t>
      </w:r>
    </w:p>
    <w:p>
      <w:pPr>
        <w:pStyle w:val="Heading5"/>
        <w:numPr>
          <w:ilvl w:val="4"/>
          <w:numId w:val="1"/>
        </w:numPr>
        <w:rPr/>
      </w:pPr>
      <w:bookmarkStart w:id="768" w:name="__RefHeading___Toc9424358_73709187"/>
      <w:bookmarkStart w:id="769" w:name="_Toc293"/>
      <w:bookmarkEnd w:id="768"/>
      <w:r>
        <w:rPr>
          <w:rtl w:val="true"/>
        </w:rPr>
        <w:t>آراء مذاهب أهل السنّة فی مدّة الحضانة و تخییر المحضون</w:t>
      </w:r>
      <w:bookmarkEnd w:id="769"/>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تختلف آراء مذاهب أهل السنّة فی هذه المسألة، فبعضهم قالوا بانتهاء الحضانة إلی البلوغ و الرشد، و بعده له الخیار فی الانضمام لمن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بعضهم علی خلاف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فصّل بعضهم بین الابن و البنت،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للابن الخیار، و أمّا البنت</w:t>
      </w:r>
    </w:p>
    <w:p>
      <w:pPr>
        <w:pStyle w:val="BookText"/>
        <w:rPr/>
      </w:pPr>
      <w:r>
        <w:rPr>
          <w:rFonts w:ascii="IRNazanin" w:hAnsi="IRNazanin" w:eastAsia="IRNazanin"/>
          <w:color w:val="111111"/>
          <w:sz w:val="28"/>
          <w:sz w:val="28"/>
          <w:szCs w:val="28"/>
          <w:rtl w:val="true"/>
          <w:lang w:bidi="fa-IR"/>
        </w:rPr>
        <w:t>فلیس لها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نذکر شطراً من کلماتهم علی نحو الاختصار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الحنابلة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قدامة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تثبت الحضانة إلاّ علی الطفل أو المعتوه، فأمّا البالغ الرشید فلا حضانة علیه، و إلیه الخیرة فی الإقامة عند مَن شاء من أبویه، فإن کان رجلاً فله الانفراد بنفسه لاستغنائه عنهما، و یستحبّ أن لا ینفرد عنهما و لا یقطع برّه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جاریة لم یکن لها الانفراد، و لأبیها منعها منه؛ لأنّه لا یؤمن أن یدخل علیها من یفسدها، و یلحق العار بها و بأهلها</w:t>
      </w:r>
      <w:r>
        <w:rPr>
          <w:rFonts w:eastAsia="IRNazanin" w:cs="IRNazanin"/>
          <w:color w:val="111111"/>
          <w:sz w:val="28"/>
          <w:szCs w:val="28"/>
          <w:rtl w:val="true"/>
          <w:lang w:bidi="fa-IR"/>
        </w:rPr>
        <w:t>»</w:t>
      </w:r>
      <w:r>
        <w:rPr>
          <w:rStyle w:val="FootnoteAnchor"/>
          <w:rtl w:val="true"/>
        </w:rPr>
        <w:footnoteReference w:id="16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تنویر الأبصار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خیار للولد عندنا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شرحه فی الدرّ المختار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ذکراً کان أو أنثی خلافاً للشافعی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قبل البلوغ، و أمّا بعده فیخیّر بین أبویه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أراد الانفراد فله ذلک</w:t>
      </w:r>
      <w:r>
        <w:rPr>
          <w:rFonts w:eastAsia="IRNazanin" w:cs="IRNazanin"/>
          <w:color w:val="111111"/>
          <w:sz w:val="28"/>
          <w:szCs w:val="28"/>
          <w:rtl w:val="true"/>
          <w:lang w:bidi="fa-IR"/>
        </w:rPr>
        <w:t>»</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المدوّنة الکبری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یترک الغلام فی حضانة الأمّ فی قول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یحتلم ثمّ یذهب الغلام حیث 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الجاریة حتّی متی تکون الأمّ أولی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تبلغ مبلغ النکاح و یخاف علیها، فإذا بلغت مبلغ النکاح و خیف علیها نظر</w:t>
      </w:r>
      <w:r>
        <w:rPr>
          <w:rFonts w:eastAsia="IRNazanin" w:cs="IRNazanin"/>
          <w:color w:val="111111"/>
          <w:sz w:val="28"/>
          <w:szCs w:val="28"/>
          <w:rtl w:val="true"/>
          <w:lang w:bidi="fa-IR"/>
        </w:rPr>
        <w:t>...»</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أصرح منه أنّهم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مدّة حضانة الغلام من حین ولادته إلی أن یبلغ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مدّة حضانة الأنثی حتّی تتزوّج و یدخل بها الزوج بالفعل</w:t>
      </w:r>
      <w:r>
        <w:rPr>
          <w:rFonts w:eastAsia="IRNazanin" w:cs="IRNazanin"/>
          <w:color w:val="111111"/>
          <w:sz w:val="28"/>
          <w:szCs w:val="28"/>
          <w:rtl w:val="true"/>
          <w:lang w:bidi="fa-IR"/>
        </w:rPr>
        <w:t>»</w:t>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الشافعیّة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لهم رأیان، قال فی نهایة المحتاج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تنتهی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الصغیر بالبلوغ، و قال الماوردی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بالتمییز و ما بعده إلی البلوغ کفالة</w:t>
      </w:r>
      <w:r>
        <w:rPr>
          <w:rFonts w:eastAsia="IRNazanin" w:cs="IRNazanin"/>
          <w:color w:val="111111"/>
          <w:sz w:val="28"/>
          <w:szCs w:val="28"/>
          <w:rtl w:val="true"/>
          <w:lang w:bidi="fa-IR"/>
        </w:rPr>
        <w:t>»</w:t>
      </w:r>
      <w:r>
        <w:rPr>
          <w:rStyle w:val="FootnoteAnchor"/>
          <w:rtl w:val="true"/>
        </w:rPr>
        <w:footnoteReference w:id="1652"/>
      </w:r>
    </w:p>
    <w:p>
      <w:pPr>
        <w:pStyle w:val="BookText"/>
        <w:rPr/>
      </w:pPr>
      <w:r>
        <w:rPr>
          <w:rFonts w:ascii="IRNazanin" w:hAnsi="IRNazanin" w:eastAsia="IRNazanin"/>
          <w:color w:val="111111"/>
          <w:sz w:val="28"/>
          <w:sz w:val="28"/>
          <w:szCs w:val="28"/>
          <w:rtl w:val="true"/>
          <w:lang w:bidi="fa-IR"/>
        </w:rPr>
        <w:t>إیضاح</w:t>
      </w:r>
    </w:p>
    <w:p>
      <w:pPr>
        <w:pStyle w:val="BookText"/>
        <w:rPr/>
      </w:pPr>
      <w:r>
        <w:rPr>
          <w:rFonts w:ascii="IRNazanin" w:hAnsi="IRNazanin" w:eastAsia="IRNazanin"/>
          <w:color w:val="111111"/>
          <w:sz w:val="28"/>
          <w:sz w:val="28"/>
          <w:szCs w:val="28"/>
          <w:rtl w:val="true"/>
          <w:lang w:bidi="fa-IR"/>
        </w:rPr>
        <w:t>و اعلم أنّه بسبب قول من بعض أهل السنّة بانتهاء الحضانة بالتمییز و قبل البلوغ، وقع الکلام فی أنّه من یحفظ الطفل حتّی یبلغ و یستقلّ بنفسه و لا یجنح إلی غیره؟ فجاء بحث الکفالة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بمرحلة أخری لحفظ الطفل بعد الحضانة و تسمّی بالکفالة؛ و لذا قال الماوردی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بالتمییز و ما بعده إلی البلوغ کفالة</w:t>
      </w:r>
      <w:r>
        <w:rPr>
          <w:rFonts w:eastAsia="IRNazanin" w:cs="IRNazanin"/>
          <w:color w:val="111111"/>
          <w:sz w:val="28"/>
          <w:szCs w:val="28"/>
          <w:rtl w:val="true"/>
          <w:lang w:bidi="fa-IR"/>
        </w:rPr>
        <w:t>»</w:t>
      </w:r>
      <w:r>
        <w:rPr>
          <w:rStyle w:val="FootnoteAnchor"/>
          <w:rtl w:val="true"/>
        </w:rPr>
        <w:footnoteReference w:id="1653"/>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فقهاء الشیعة حیث إنّهم متّفقون علی أنّ الحضانة تمتدّ إلی البلوغ و لا تنتهی بالتمییز و غیره؛ لم یکن فی کلماتهم أثر لبیان الکفالة بعد الحضانة، و إن عُنونت فی بعض الکلمات</w:t>
      </w:r>
      <w:r>
        <w:rPr>
          <w:rStyle w:val="FootnoteAnchor"/>
          <w:rtl w:val="true"/>
        </w:rPr>
        <w:footnoteReference w:id="1654"/>
      </w:r>
      <w:r>
        <w:rPr>
          <w:rFonts w:ascii="IRNazanin" w:hAnsi="IRNazanin" w:eastAsia="IRNazanin"/>
          <w:color w:val="111111"/>
          <w:sz w:val="28"/>
          <w:sz w:val="28"/>
          <w:szCs w:val="28"/>
          <w:rtl w:val="true"/>
          <w:lang w:bidi="fa-IR"/>
        </w:rPr>
        <w:t>فالمقصود منها الحضانة، و هذا ظاهر لمن راجع کلماتهم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إنّ بحث الکفالة لا أثر له و لا تمایز بینها و بین الحضانة، بل علی القول بها هی عین الحضانة فی الآثار و الشرائط فقد ترکنا البحث عنها؛ خوفاً من التطویل الذی لا فائدة فیه علماً و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أنّ علی رأی أهل السنّة أیضاً کذلک؛ و لذا قال فی نهایة المحتاج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بیان رأی الماوردی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الحضانة بالتمییز و ما بعده إلی البلوغ کفالة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الخلاف لفظی فیما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یأتی أنّ ما بعد التمییز یخالف ما قبله فی التخییر و توابعه</w:t>
      </w:r>
      <w:r>
        <w:rPr>
          <w:rStyle w:val="FootnoteAnchor"/>
          <w:rtl w:val="true"/>
        </w:rPr>
        <w:footnoteReference w:id="1655"/>
      </w:r>
      <w:bookmarkStart w:id="770" w:name="pg11752_146382"/>
    </w:p>
    <w:p>
      <w:pPr>
        <w:pStyle w:val="Heading4"/>
        <w:numPr>
          <w:ilvl w:val="3"/>
          <w:numId w:val="1"/>
        </w:numPr>
        <w:rPr/>
      </w:pPr>
      <w:bookmarkStart w:id="771" w:name="__RefHeading___Toc9424360_73709187"/>
      <w:bookmarkStart w:id="772" w:name="_Toc294"/>
      <w:bookmarkEnd w:id="770"/>
      <w:bookmarkEnd w:id="771"/>
      <w:r>
        <w:rPr>
          <w:rtl w:val="true"/>
        </w:rPr>
        <w:t>المبحث السادس</w:t>
      </w:r>
      <w:r>
        <w:rPr>
          <w:rtl w:val="true"/>
        </w:rPr>
        <w:t xml:space="preserve">: </w:t>
      </w:r>
      <w:r>
        <w:rPr>
          <w:rtl w:val="true"/>
        </w:rPr>
        <w:t>أخذ الأجرة علی الحضانة</w:t>
      </w:r>
      <w:bookmarkEnd w:id="772"/>
    </w:p>
    <w:p>
      <w:pPr>
        <w:pStyle w:val="Heading5"/>
        <w:numPr>
          <w:ilvl w:val="4"/>
          <w:numId w:val="1"/>
        </w:numPr>
        <w:rPr/>
      </w:pPr>
      <w:bookmarkStart w:id="773" w:name="__RefHeading___Toc9424362_73709187"/>
      <w:bookmarkStart w:id="774" w:name="_Toc295"/>
      <w:bookmarkEnd w:id="773"/>
      <w:r>
        <w:rPr>
          <w:rtl w:val="true"/>
        </w:rPr>
        <w:t>اشارة</w:t>
      </w:r>
      <w:bookmarkEnd w:id="774"/>
    </w:p>
    <w:p>
      <w:pPr>
        <w:pStyle w:val="BookText"/>
        <w:rPr/>
      </w:pPr>
      <w:r>
        <w:rPr>
          <w:rFonts w:ascii="IRNazanin" w:hAnsi="IRNazanin" w:eastAsia="IRNazanin"/>
          <w:color w:val="111111"/>
          <w:sz w:val="28"/>
          <w:sz w:val="28"/>
          <w:szCs w:val="28"/>
          <w:rtl w:val="true"/>
          <w:lang w:bidi="fa-IR"/>
        </w:rPr>
        <w:t>ظهر ممّا قلنا أنّ الحضانة واجبة، و لکن یمکن أن یُطرح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أخذ الأجرة علیها أم لا؟ للجواب عن هذا السؤال عقدنا هذا المبحث،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استقرأنا لم یبحث الفقهاء فی هذه المسألة بشکل تفصیلی، و إن أشار بعض المتأخّرین إلی حکمها، و سنذکر کلامهم إن شاء اللّه، و لم یرد أیضاً نصّ فی ذلک من الشرع، و لکن یمکن استخراج حکم هذه المسألة ممّا قالوا فی جواز أخذ الأجرة علی الواجبات أو عدم جوازها، فالمناسب أن نشیر فی المقام إلی مسألة أخذ الأجرة فی الواجبات علی نحو الاختصار، فإنّا قد استفدنا حکم مسألتنا هذه منها، و لأنّه نحتاج إلیها فی بعض المسائل و الفروع الاُخر أیضاً، التی نذکرها فیما بعد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الأقوال فی أخذ الأجرة علی الواجبات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اختلف الفقهاء فی جواز أخذ الأجرة علی الواجبات أو عدم جوازها علی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أخذ الأجرة علی ما یجب علی الإنسان فعله، کتغسیل الموتی و تکفینهم و دفنهم، هذا هو المشهور بین الأصحاب</w:t>
      </w:r>
      <w:r>
        <w:rPr>
          <w:rStyle w:val="FootnoteAnchor"/>
          <w:rtl w:val="true"/>
        </w:rPr>
        <w:footnoteReference w:id="16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قول المحقّق فی الشرائع</w:t>
      </w:r>
      <w:r>
        <w:rPr>
          <w:rStyle w:val="FootnoteAnchor"/>
          <w:rtl w:val="true"/>
        </w:rPr>
        <w:footnoteReference w:id="16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المحقّق الأردبیلی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خلاف فی عدم جواز أخذ الأجرة علی فعل واجب علی الأجیر، سواء کان عینیاً أم کفائیاً، فکأنّ الإجماع دلیله</w:t>
      </w:r>
      <w:r>
        <w:rPr>
          <w:rFonts w:eastAsia="IRNazanin" w:cs="IRNazanin"/>
          <w:color w:val="111111"/>
          <w:sz w:val="28"/>
          <w:szCs w:val="28"/>
          <w:rtl w:val="true"/>
          <w:lang w:bidi="fa-IR"/>
        </w:rPr>
        <w:t>»</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عن السیّد المرتضی رحمه الله جواز أخذ الأجرة علی مثل التکفین</w:t>
      </w:r>
    </w:p>
    <w:p>
      <w:pPr>
        <w:pStyle w:val="BookText"/>
        <w:rPr/>
      </w:pPr>
      <w:r>
        <w:rPr>
          <w:rFonts w:ascii="IRNazanin" w:hAnsi="IRNazanin" w:eastAsia="IRNazanin"/>
          <w:color w:val="111111"/>
          <w:sz w:val="28"/>
          <w:sz w:val="28"/>
          <w:szCs w:val="28"/>
          <w:rtl w:val="true"/>
          <w:lang w:bidi="fa-IR"/>
        </w:rPr>
        <w:t>و الدفن؛ لأنّه واجب علی الولیّ، و لا یجوز لغیره إلاّ بإذنه</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فیجوز أخذ الأجرة فی التوصّلیات بخلافها فی التعبدیّات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فممّا قاله فی الریاض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أخذ الأجرة علی الواجبات التعبّدیّة، سواء کان عیناً أو کفایة، کتغسیل الأموات و تکفینهم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لمنافاته الإخلاص المأمور به کتاباً و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جواز أخذه علی التوصّلیّات کأکثر الصناعات الواجبة کفایة، توصّلاً إلی ما هو المقصود من الأمر بها، و هو انتظام أمر المعاش و المعاد، فإنّه کما یوجب الأمر بها کذلک یوجب جواز أخذ الأجرة علیها؛ لظهور عدم انتظام المقصد بدونه، مع أنّه علیه الإجماع نصّاً و فتوی</w:t>
      </w:r>
      <w:r>
        <w:rPr>
          <w:rFonts w:eastAsia="IRNazanin" w:cs="IRNazanin"/>
          <w:color w:val="111111"/>
          <w:sz w:val="28"/>
          <w:szCs w:val="28"/>
          <w:rtl w:val="true"/>
          <w:lang w:bidi="fa-IR"/>
        </w:rPr>
        <w:t>»</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الواجبات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یتعلّق أوّلاً و بالذات بالأبدان و الأدیان، کالفقاهة و إقامة الحجج العلمیة و دفع الشبهات و حلّ المشکلات و الأمر بالمعروف و التغسیل و التکفین و إنقاذ الغرقی و إطعام الجائعین و ستر العراة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لا یجوز أخذ الأجرة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قسم یتعلّق أوّلاً و بالذات بالأموال کالحیاکة و الصیاغة و التجارة و نحو ذلک، فإنّها یجوز أخذ الأجرة علیها، و اختار هذا فی مفتاح الکرامة</w:t>
      </w:r>
      <w:r>
        <w:rPr>
          <w:rStyle w:val="FootnoteAnchor"/>
          <w:rtl w:val="true"/>
        </w:rPr>
        <w:footnoteReference w:id="1661"/>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المسألة أقوال أخر أیضاً لم نذکرها خوفاً من التطویل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أرادها فلیطلبها من مظانّها</w:t>
      </w:r>
      <w:r>
        <w:rPr>
          <w:rStyle w:val="FootnoteAnchor"/>
          <w:rtl w:val="true"/>
        </w:rPr>
        <w:footnoteReference w:id="1662"/>
      </w:r>
    </w:p>
    <w:p>
      <w:pPr>
        <w:pStyle w:val="BookText"/>
        <w:rPr/>
      </w:pPr>
      <w:r>
        <w:rPr>
          <w:rFonts w:ascii="IRNazanin" w:hAnsi="IRNazanin" w:eastAsia="IRNazanin"/>
          <w:color w:val="111111"/>
          <w:sz w:val="28"/>
          <w:sz w:val="28"/>
          <w:szCs w:val="28"/>
          <w:rtl w:val="true"/>
          <w:lang w:bidi="fa-IR"/>
        </w:rPr>
        <w:t>أدلّة حرمة أخذ الأجرة علی الواجبات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الاستدلال لعدم جواز أخذ الأجرة علی الواجبات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الذی ادّعاه المحقّق الأردبیلی رحمه الله</w:t>
      </w:r>
      <w:r>
        <w:rPr>
          <w:rStyle w:val="FootnoteAnchor"/>
          <w:rtl w:val="true"/>
        </w:rPr>
        <w:footnoteReference w:id="16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فی الجملة مسلّم، و المحصّل منه علی الکلیّة ممنوع؛ لوجود الأقوال المختلفة فی المسألة التی أشرنا إلیها، و المنقول منه ظاهراً أو صریحاً فی بعض الموارد الجزئیة، کالقضاء و الشهادة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مجدٍ</w:t>
      </w:r>
      <w:r>
        <w:rPr>
          <w:rStyle w:val="FootnoteAnchor"/>
          <w:rtl w:val="true"/>
        </w:rPr>
        <w:footnoteReference w:id="16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الواجب لکونه واجباً لا احترام له حتّی یستحقّ بذل المال بإزائه، و هو فی العینی واضح، و فی الکفائی و إن کان المکلّف کلّیاً إلاّ أنّه منطبق علی مَن قام بالفعل، فیکون القائم به قائماً بما وجب علیه و لو کفایة، و الفعل فیه بعد إیجاده هو الواجب المستحقّ للّه تعالی بذلک الوجوب المتعلّق بکلّی المکلّفین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هذا الوجه إلی کاشف الغطاء رحمه الله</w:t>
      </w:r>
      <w:r>
        <w:rPr>
          <w:rStyle w:val="FootnoteAnchor"/>
          <w:rtl w:val="true"/>
        </w:rPr>
        <w:footnoteReference w:id="1665"/>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تمّ هذا فهو إنّما یتمّ فی غیر الکفائی من الواجبات، و أمّا هو فلا؛ لأنّ الفعل إنّما یکون مستحقّاً للّه و مملوکاً له بعد اتّصافه بالوجود؛ و لذا لا یجوز إلزامه بخصوصه علیه، و هو قبله متعلّق للإجارة، فالإجارة متعلّقة به قبل صیرورته مستحقّاً للّه، فهو حینئذٍ من هذه الحیثیة عمل محترم جاز بذل المال بإزائه، و هذا بخلاف الواجب العینی، فإنّ الفعل فیه مستحقّ للّه علیه بخصوصه قبل إیجاده؛ و لذا جاز إلزامه به قبله من باب الأمر بالمعروف</w:t>
      </w:r>
      <w:r>
        <w:rPr>
          <w:rStyle w:val="FootnoteAnchor"/>
          <w:rtl w:val="true"/>
        </w:rPr>
        <w:footnoteReference w:id="16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 بعض الأعاظم فی 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الوجوب الذی هو بمعنی مجرّد بعث الغیر إلی إتیان الفعل لا یوجب أن</w:t>
      </w:r>
    </w:p>
    <w:p>
      <w:pPr>
        <w:pStyle w:val="BookText"/>
        <w:rPr/>
      </w:pPr>
      <w:r>
        <w:rPr>
          <w:rFonts w:ascii="IRNazanin" w:hAnsi="IRNazanin" w:eastAsia="IRNazanin"/>
          <w:color w:val="111111"/>
          <w:sz w:val="28"/>
          <w:sz w:val="28"/>
          <w:szCs w:val="28"/>
          <w:rtl w:val="true"/>
          <w:lang w:bidi="fa-IR"/>
        </w:rPr>
        <w:t>یکون ذلک الفعل مملوکاً للباعث و مستحقّاً له، حیث ینافی مملوکیّة الغیر؛ لأنّ مطلوبیة الصدور و تحریک المأمور إلی الإصدار أمر و مملوکیّة الفعل الصادر و استحقاقه أمر آخر لا یرتبط أحدهما بالآخر</w:t>
      </w:r>
      <w:r>
        <w:rPr>
          <w:rFonts w:eastAsia="IRNazanin" w:cs="IRNazanin"/>
          <w:color w:val="111111"/>
          <w:sz w:val="28"/>
          <w:szCs w:val="28"/>
          <w:rtl w:val="true"/>
          <w:lang w:bidi="fa-IR"/>
        </w:rPr>
        <w:t>»</w:t>
      </w:r>
      <w:r>
        <w:rPr>
          <w:rStyle w:val="FootnoteAnchor"/>
          <w:rtl w:val="true"/>
        </w:rPr>
        <w:footnoteReference w:id="16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أخذ الأجرة علی الواجبات التعبدیّة ینافی الإخلاص و قصد القربة</w:t>
      </w:r>
      <w:r>
        <w:rPr>
          <w:rStyle w:val="FootnoteAnchor"/>
          <w:rtl w:val="true"/>
        </w:rPr>
        <w:footnoteReference w:id="1668"/>
      </w:r>
      <w:r>
        <w:rPr>
          <w:rFonts w:ascii="IRNazanin" w:hAnsi="IRNazanin" w:eastAsia="IRNazanin"/>
          <w:color w:val="111111"/>
          <w:sz w:val="28"/>
          <w:sz w:val="28"/>
          <w:szCs w:val="28"/>
          <w:rtl w:val="true"/>
          <w:lang w:bidi="fa-IR"/>
        </w:rPr>
        <w:t>، و قد ردّ هذا صاحب الجواهر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الإجارة توجب تأکّد الإخلاص؛ لأنّ الوجوب یتضاعف بسبب الإجارة</w:t>
      </w:r>
      <w:r>
        <w:rPr>
          <w:rFonts w:eastAsia="IRNazanin" w:cs="IRNazanin"/>
          <w:color w:val="111111"/>
          <w:sz w:val="28"/>
          <w:szCs w:val="28"/>
          <w:rtl w:val="true"/>
          <w:lang w:bidi="fa-IR"/>
        </w:rPr>
        <w:t>»</w:t>
      </w:r>
      <w:r>
        <w:rPr>
          <w:rStyle w:val="FootnoteAnchor"/>
          <w:rtl w:val="true"/>
        </w:rPr>
        <w:footnoteReference w:id="1669"/>
      </w:r>
      <w:r>
        <w:rPr>
          <w:rFonts w:ascii="IRNazanin" w:hAnsi="IRNazanin" w:eastAsia="IRNazanin"/>
          <w:color w:val="111111"/>
          <w:sz w:val="28"/>
          <w:sz w:val="28"/>
          <w:szCs w:val="28"/>
          <w:rtl w:val="true"/>
          <w:lang w:bidi="fa-IR"/>
        </w:rPr>
        <w:t>، إلاّ أنّه ردّ علی هذا الشیخ الأعظم فی مکاسبه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العمل الذی لیس فیه أجر دنیویّ، و کون الداعی علی إتیانه فقط هو امتثال أمر اللّه تعالی قطعاً أخلص من العمل الذی فیه أجر دنیوی، و یکون تمام الداعی أو بعضه علی الإتیان ذلک الأجر، بل إذا کان تمام الداعی ذلک الأجر الدنیوی فلا إخلاص فیه أصلاً، لا أنّ العمل المجرّد أخلص فقط</w:t>
      </w:r>
      <w:r>
        <w:rPr>
          <w:rFonts w:eastAsia="IRNazanin" w:cs="IRNazanin"/>
          <w:color w:val="111111"/>
          <w:sz w:val="28"/>
          <w:szCs w:val="28"/>
          <w:rtl w:val="true"/>
          <w:lang w:bidi="fa-IR"/>
        </w:rPr>
        <w:t>»</w:t>
      </w:r>
      <w:r>
        <w:rPr>
          <w:rStyle w:val="FootnoteAnchor"/>
          <w:rtl w:val="true"/>
        </w:rPr>
        <w:footnoteReference w:id="1670"/>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بعض أعلام العصر فی المقام وجهاً یرجع ملخّصه إلی ثبوت الطولیّة و نفی العرضیّة و أوضحه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اختاره جمع من المحقّقین من کون الأجرة داعیة لا فی عرض داعی القربة، بل فی طوله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تقریره کما أفاد السیّد قدس سره فی حاشیة المکاسب</w:t>
      </w:r>
      <w:r>
        <w:rPr>
          <w:rStyle w:val="FootnoteAnchor"/>
          <w:rtl w:val="true"/>
        </w:rPr>
        <w:footnoteReference w:id="1671"/>
      </w:r>
      <w:r>
        <w:rPr>
          <w:rFonts w:ascii="IRNazanin" w:hAnsi="IRNazanin" w:eastAsia="IRNazanin"/>
          <w:color w:val="111111"/>
          <w:sz w:val="28"/>
          <w:sz w:val="28"/>
          <w:szCs w:val="28"/>
          <w:rtl w:val="true"/>
          <w:lang w:bidi="fa-IR"/>
        </w:rPr>
        <w:t>مع توضیح منّا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یضرّ بالإخلاص إنّما هو الداعی الدنیوی الذی هو فی عرض داعی الامتثال، کالریاء و سائر الدواعی الدنیوی النفسانیّة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کان فی طوله، کما فی مثل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بأس به؛ لأنّه لا دلیل علی لزوم أن تکون سلسلة العلل کلّها راجعة إلی اللّه، کیف و لازمه الحکم ببطلان عبادة جلّ</w:t>
      </w:r>
    </w:p>
    <w:p>
      <w:pPr>
        <w:pStyle w:val="BookText"/>
        <w:rPr/>
      </w:pPr>
      <w:r>
        <w:rPr>
          <w:rFonts w:ascii="IRNazanin" w:hAnsi="IRNazanin" w:eastAsia="IRNazanin"/>
          <w:color w:val="111111"/>
          <w:sz w:val="28"/>
          <w:sz w:val="28"/>
          <w:szCs w:val="28"/>
          <w:rtl w:val="true"/>
          <w:lang w:bidi="fa-IR"/>
        </w:rPr>
        <w:t>الناس بل کلّهم عدا مَن عصمه اللّه تعالی منهم</w:t>
      </w:r>
      <w:r>
        <w:rPr>
          <w:rFonts w:eastAsia="IRNazanin" w:cs="IRNazanin"/>
          <w:color w:val="111111"/>
          <w:sz w:val="28"/>
          <w:szCs w:val="28"/>
          <w:rtl w:val="true"/>
          <w:lang w:bidi="fa-IR"/>
        </w:rPr>
        <w:t>»</w:t>
      </w:r>
      <w:r>
        <w:rPr>
          <w:rStyle w:val="FootnoteAnchor"/>
          <w:rtl w:val="true"/>
        </w:rPr>
        <w:footnoteReference w:id="16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مع ذلک کلّه الإنصاف أنّ أخذ الأجرة فی العبادیات ینافی الإخلاص و قصد القربة، و إنکاره مکابرة، و لکن هذا الدلیل کما ذکره الشیخ الأعظم قدس سره أخصّ من المدّعی، من جهة عدم شموله للتوصّلیات، بل أعمّ من المدّعی من وجه؛ لجریانه فی المندوبات التعبّدیّة التی هی مندوبة و مستحبّة علی نفس الأجیر</w:t>
      </w:r>
      <w:r>
        <w:rPr>
          <w:rStyle w:val="FootnoteAnchor"/>
          <w:rtl w:val="true"/>
        </w:rPr>
        <w:footnoteReference w:id="16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الحقّ، أنّ الواجبات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 یکون الواجب هو العمل بمعنی الاسم المصدری، أی یکون المطلوب منه العمل الصادر، أی العمل نفسه لا جهة إصدار العمل، فإذا کان کذلک لا مانع من أخذ الأجرة علیه، و لعلّ هذا مراد مَن قال بجواز أخذ الأجرة علی الواجبات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تارة یکون المطلوب منه بمعنی المصدری وجهة إصدار العمل، فلا یمکن أخذ الأجرة علیه؛ لأنّ الفعل و العمل بواسطة الإیجاب خرج عن تحت قدرته و اختیاره تشریعاً؛ لأنّ الشارع فی عالم تشریعه یری العمل ضروریّ الوجود، و أنّه لیس للمکلّف ترکه</w:t>
      </w:r>
      <w:r>
        <w:rPr>
          <w:rStyle w:val="FootnoteAnchor"/>
          <w:rtl w:val="true"/>
        </w:rPr>
        <w:footnoteReference w:id="16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بتعبیر آخر إذا تعلّق غرض الشارع بإیجاد العمل فقط، حصل بأیّ نحو کان، فلا مانع من أخذ الأجرة علیه، و أمّا إذا تعلّق غرضه بإیجاده علی نحو خاصّ و من جهة معیّنة فلا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جواز أخذ الأجرة علی الحضانة و عدمه</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ممّا قلنا عرفت وجه عدم جواز أخذ الأجرة علی الواجبات، و أمّا فی مسألتنا</w:t>
      </w:r>
    </w:p>
    <w:p>
      <w:pPr>
        <w:pStyle w:val="BookText"/>
        <w:rPr/>
      </w:pPr>
      <w:r>
        <w:rPr>
          <w:rFonts w:ascii="IRNazanin" w:hAnsi="IRNazanin" w:eastAsia="IRNazanin"/>
          <w:color w:val="111111"/>
          <w:sz w:val="28"/>
          <w:sz w:val="28"/>
          <w:szCs w:val="28"/>
          <w:rtl w:val="true"/>
          <w:lang w:bidi="fa-IR"/>
        </w:rPr>
        <w:t xml:space="preserve">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جواز أخذ الأجرة علی الحضانة أو عدمه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عثرنا علی قولین لبعض المتأخّرین و إن لم نعثر علی وجه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الأجرة علی الحضانة دون الرضاع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احتاج الطفل إلی نفقة زائدة علی الرضاع و الحضانة فهی علی الأب الموسر أو مال الولد إن کان له مال کأجرة الرضاع، و هذا مختار الشهید رحمه الله فی المسالک</w:t>
      </w:r>
      <w:r>
        <w:rPr>
          <w:rStyle w:val="FootnoteAnchor"/>
          <w:rtl w:val="true"/>
        </w:rPr>
        <w:footnoteReference w:id="1675"/>
      </w:r>
      <w:r>
        <w:rPr>
          <w:rFonts w:ascii="IRNazanin" w:hAnsi="IRNazanin" w:eastAsia="IRNazanin"/>
          <w:color w:val="111111"/>
          <w:sz w:val="28"/>
          <w:sz w:val="28"/>
          <w:szCs w:val="28"/>
          <w:rtl w:val="true"/>
          <w:lang w:bidi="fa-IR"/>
        </w:rPr>
        <w:t>و بعض المعاصرین</w:t>
      </w:r>
      <w:r>
        <w:rPr>
          <w:rStyle w:val="FootnoteAnchor"/>
          <w:rtl w:val="true"/>
        </w:rPr>
        <w:footnoteReference w:id="16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لعلّ الوجه فی ذلک أنّ الحضانة حقّ للأمّ فی أیّام خاصّة مخیّرة بین قبولها مجّاناً و إسقاطها، و لیس للأب إجبارها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یرد نصّ فی وجوب أجرة الحضانة علی الأب حتّی تکون حقّاً علیه و یمکن إجباره استناداً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کونها حقّاً هو أوّل الکلام، مضافاً إلی أنّ کونها حقّاً لا ینافی جواز أخذ الأجرة علیها کما فی الرضاع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کان المراد أنّها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الحضانة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ولایة کغیرها من الولایات التی لا تسقط بالإسقاط، و أنّه یجب علی الأمّ مراعاة ذلک علی وجه لا تستحقّ علیه الأجرة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شیء من الأدلّة ما یقتضی ذلک، بل فیها ما یقتضی خلافه، کالتعلیق علی مشیئتها و التعبیر بالأحقّیّة، بل ظاهرها کون هذه الأحقّیّة مثلها فی الرضاع، و حینئذٍ لا یکون واجباً علیها، و لها إسقاطه و المطالبة بأجرته</w:t>
      </w:r>
      <w:r>
        <w:rPr>
          <w:rFonts w:eastAsia="IRNazanin" w:cs="IRNazanin"/>
          <w:color w:val="111111"/>
          <w:sz w:val="28"/>
          <w:szCs w:val="28"/>
          <w:rtl w:val="true"/>
          <w:lang w:bidi="fa-IR"/>
        </w:rPr>
        <w:t>»</w:t>
      </w:r>
      <w:r>
        <w:rPr>
          <w:rStyle w:val="FootnoteAnchor"/>
          <w:rtl w:val="true"/>
        </w:rPr>
        <w:footnoteReference w:id="1677"/>
      </w:r>
      <w:r>
        <w:rPr>
          <w:rFonts w:ascii="IRNazanin" w:hAnsi="IRNazanin" w:eastAsia="IRNazanin"/>
          <w:color w:val="111111"/>
          <w:sz w:val="28"/>
          <w:sz w:val="28"/>
          <w:szCs w:val="28"/>
          <w:rtl w:val="true"/>
          <w:lang w:bidi="fa-IR"/>
        </w:rPr>
        <w:t>و هذا هو الحقّ</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یستدلّ لهذا أیضاً بأنّ أخذ الأجرة علی العمل مطابق للأصل،</w:t>
      </w:r>
      <w:bookmarkStart w:id="775" w:name="pg11752_146388"/>
    </w:p>
    <w:p>
      <w:pPr>
        <w:pStyle w:val="BookText"/>
        <w:rPr/>
      </w:pPr>
      <w:bookmarkEnd w:id="775"/>
      <w:r>
        <w:rPr>
          <w:rFonts w:ascii="IRNazanin" w:hAnsi="IRNazanin" w:eastAsia="IRNazanin"/>
          <w:color w:val="111111"/>
          <w:sz w:val="28"/>
          <w:sz w:val="28"/>
          <w:szCs w:val="28"/>
          <w:rtl w:val="true"/>
          <w:lang w:bidi="fa-IR"/>
        </w:rPr>
        <w:t>أی کلّ عاملٍ یستحقّ أجرة عمله، إلاّ إذا قصده متبرّعاً أو منع منه مانع من العقل أو الشرع، مثل أن یأمر الشارع المقدّس بفعله من غیر أجرةٍ، و الفرض أنّه لم یکن فی المورد مانع من الشرع، و لم یرد دلیل بلزوم الحضانة علی الأمّ تعیّناً من غیر أجرة و لم تقصد الأم فعلها تبرّعاً؛ لأنّ المانع بکون الاُمور التی ذکروها فی حرمة أخذ الأجرة علی الواجبات، من أنّ أخذ الأجرة علی الواجبات التعبّدیة ینافی الإخلاص، و الحضانة لیست بواجب تعبّدی بل هو توصّلی، و تعلّق غرض الشارع بإیجادها أی حفظ الطفل و تربیته بأیّ نحو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لم یرد من الشارع دلیل علی حرمة أخذ الأجرة علیها، و هکذا لم یکن فی البین إجماع علی ذلک، فلا مانع من أخذ الأجرة علیها کما فی الرضاع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إذا کانت الحضانة واجبة علی الاُمّ تعیّناً، و لم یکن غیرها من الأب و الجدّ، و هکذا لم یکن للطفل مال، فلا موضوع لوجوب الأجرة علیه، و هذا خارج عن موضوع بحثنا، و هکذا إن کان فی البین متبرّع غیرها أو مَن حاضنه بأقلّ ما تأخذ الأمّ أو یمکن لنفسه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حضانته، فلا یجب علیه ردّ الطفل إلی الأمّ للحضانة حتّی تستحقّ الأجرة من الأب</w:t>
      </w:r>
      <w:r>
        <w:rPr>
          <w:rFonts w:eastAsia="IRNazanin" w:cs="IRNazanin"/>
          <w:color w:val="111111"/>
          <w:sz w:val="28"/>
          <w:szCs w:val="28"/>
          <w:rtl w:val="true"/>
          <w:lang w:bidi="fa-IR"/>
        </w:rPr>
        <w:t>.</w:t>
      </w:r>
    </w:p>
    <w:p>
      <w:pPr>
        <w:pStyle w:val="Heading5"/>
        <w:numPr>
          <w:ilvl w:val="4"/>
          <w:numId w:val="1"/>
        </w:numPr>
        <w:rPr/>
      </w:pPr>
      <w:bookmarkStart w:id="776" w:name="__RefHeading___Toc9424364_73709187"/>
      <w:bookmarkStart w:id="777" w:name="_Toc296"/>
      <w:bookmarkEnd w:id="776"/>
      <w:r>
        <w:rPr>
          <w:rtl w:val="true"/>
        </w:rPr>
        <w:t>آراء مذاهب أهل السنّة فی المسألة</w:t>
      </w:r>
      <w:bookmarkEnd w:id="777"/>
    </w:p>
    <w:p>
      <w:pPr>
        <w:pStyle w:val="BookText"/>
        <w:rPr/>
      </w:pPr>
      <w:r>
        <w:rPr>
          <w:rFonts w:ascii="IRNazanin" w:hAnsi="IRNazanin" w:eastAsia="IRNazanin"/>
          <w:color w:val="111111"/>
          <w:sz w:val="28"/>
          <w:sz w:val="28"/>
          <w:szCs w:val="28"/>
          <w:rtl w:val="true"/>
          <w:lang w:bidi="fa-IR"/>
        </w:rPr>
        <w:t>اختلف الفقهاء من المذاهب الأربعة فی جواز أخذ الأجرة علی الحضانة أو عدمه علی أقوال نشیر الیها علی الترتیب التالی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الحنفیّة</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أجرة الحضانة ثابتة للحاضنة، و هی غیر أجرة الرضاع و غیر نفقة الولد، فتجب علی الأب أو من یجب علیه النفقة، و تثبت أجرة الحضانة إذا لم تکن الزوجیّة قائمة أو لم تکن معتدّة، فإن کانت زوجة أو معتدّة لأب الطفل فإنّه لا حقّ</w:t>
      </w:r>
    </w:p>
    <w:p>
      <w:pPr>
        <w:pStyle w:val="BookText"/>
        <w:rPr/>
      </w:pPr>
      <w:r>
        <w:rPr>
          <w:rFonts w:ascii="IRNazanin" w:hAnsi="IRNazanin" w:eastAsia="IRNazanin"/>
          <w:color w:val="111111"/>
          <w:sz w:val="28"/>
          <w:sz w:val="28"/>
          <w:szCs w:val="28"/>
          <w:rtl w:val="true"/>
          <w:lang w:bidi="fa-IR"/>
        </w:rPr>
        <w:t>لها فی أجرة الحضانة</w:t>
      </w:r>
      <w:r>
        <w:rPr>
          <w:rStyle w:val="FootnoteAnchor"/>
          <w:rtl w:val="true"/>
        </w:rPr>
        <w:footnoteReference w:id="1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المالکیّة</w:t>
      </w:r>
    </w:p>
    <w:p>
      <w:pPr>
        <w:pStyle w:val="BookText"/>
        <w:rPr/>
      </w:pPr>
      <w:r>
        <w:rPr>
          <w:rFonts w:ascii="IRNazanin" w:hAnsi="IRNazanin" w:eastAsia="IRNazanin"/>
          <w:color w:val="111111"/>
          <w:sz w:val="28"/>
          <w:sz w:val="28"/>
          <w:szCs w:val="28"/>
          <w:rtl w:val="true"/>
          <w:lang w:bidi="fa-IR"/>
        </w:rPr>
        <w:t>قال فی تبیین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أجرة للحضانة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الحاضنة لا أجرة لها فی مقابل الحضانة، و هذا هو المشهور، و مقابله قول بلزوم الأجرة لها، و محلّ الخلاف إذا کانت غنیّة، أمّا الفقیرة فینفق علیها من مال المحضون إذا کان ابنها قولاً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کذلک إذا لم یکن ابنها و توقّفت مصالحه علیها فینفق علیها من ماله علی المشهور</w:t>
      </w:r>
      <w:r>
        <w:rPr>
          <w:rFonts w:eastAsia="IRNazanin" w:cs="IRNazanin"/>
          <w:color w:val="111111"/>
          <w:sz w:val="28"/>
          <w:szCs w:val="28"/>
          <w:rtl w:val="true"/>
          <w:lang w:bidi="fa-IR"/>
        </w:rPr>
        <w:t>»</w:t>
      </w:r>
      <w:r>
        <w:rPr>
          <w:rStyle w:val="FootnoteAnchor"/>
          <w:rtl w:val="true"/>
        </w:rPr>
        <w:footnoteReference w:id="16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فصّل بعضهم بین أن یکون حقّ الحضانة للأمّ فلا تستحقّ الأجرة و بین أن یکون للطفل فتستحقّ، فقد قال فی عقد الجواهر الثمینة ما هذا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اختلف فی حقّ الحضانة هل هو للولد أو للوالدة؟ فیه روایتان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الشیخ أبو الطاهر علیهما الخلاف فی الأمّ إذا کانت ملیّةً، و الولد کذلک، هل تستحقّ فی ماله نفقة أو أجرة أم لا؟ فبنی نفی الاستحقاق علی إثبات الحقّ لها، و ثبوته علی ثبوت الحقّ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تکون النفقة إذا استغرقت أوقاتها بالحضانة أو تفرّغت إلیها، و تکون الأجرة إذا لم تستغرق أوقاتها بذلک</w:t>
      </w:r>
      <w:r>
        <w:rPr>
          <w:rFonts w:eastAsia="IRNazanin" w:cs="IRNazanin"/>
          <w:color w:val="111111"/>
          <w:sz w:val="28"/>
          <w:szCs w:val="28"/>
          <w:rtl w:val="true"/>
          <w:lang w:bidi="fa-IR"/>
        </w:rPr>
        <w:t>»</w:t>
      </w:r>
      <w:r>
        <w:rPr>
          <w:rStyle w:val="FootnoteAnchor"/>
          <w:rtl w:val="true"/>
        </w:rPr>
        <w:footnoteReference w:id="1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الحنابلة</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أحقّ الناس بحضانة الطفل و المعتوه أمّه بلا نزاع، و لو کان بأجرة المثل کالرضاع</w:t>
      </w:r>
      <w:r>
        <w:rPr>
          <w:rFonts w:eastAsia="IRNazanin" w:cs="IRNazanin"/>
          <w:color w:val="111111"/>
          <w:sz w:val="28"/>
          <w:szCs w:val="28"/>
          <w:rtl w:val="true"/>
          <w:lang w:bidi="fa-IR"/>
        </w:rPr>
        <w:t>»</w:t>
      </w:r>
      <w:r>
        <w:rPr>
          <w:rStyle w:val="FootnoteAnchor"/>
          <w:rtl w:val="true"/>
        </w:rPr>
        <w:footnoteReference w:id="1681"/>
      </w:r>
      <w:bookmarkStart w:id="778" w:name="pg11752_146390"/>
    </w:p>
    <w:p>
      <w:pPr>
        <w:pStyle w:val="BookText"/>
        <w:rPr/>
      </w:pPr>
      <w:bookmarkEnd w:id="778"/>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الشافعیّة</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مئونة الحضانة فی مال المحضون، فإن لم یکن له مال فعلی من تلزمه نفقته؛ لأنّها من أسباب الکفایة کالنفقة</w:t>
      </w:r>
      <w:r>
        <w:rPr>
          <w:rFonts w:eastAsia="IRNazanin" w:cs="IRNazanin"/>
          <w:color w:val="111111"/>
          <w:sz w:val="28"/>
          <w:szCs w:val="28"/>
          <w:rtl w:val="true"/>
          <w:lang w:bidi="fa-IR"/>
        </w:rPr>
        <w:t>»</w:t>
      </w:r>
      <w:r>
        <w:rPr>
          <w:rStyle w:val="FootnoteAnchor"/>
          <w:rtl w:val="true"/>
        </w:rPr>
        <w:footnoteReference w:id="16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9" w:name="__RefHeading___Toc9424366_73709187"/>
      <w:bookmarkStart w:id="780" w:name="_Toc297"/>
      <w:bookmarkEnd w:id="779"/>
      <w:r>
        <w:rPr>
          <w:rtl w:val="true"/>
        </w:rPr>
        <w:t>بقاء حقّ الحضانة مع إسقاط حق الرضاع</w:t>
      </w:r>
      <w:bookmarkEnd w:id="780"/>
    </w:p>
    <w:p>
      <w:pPr>
        <w:pStyle w:val="BookText"/>
        <w:rPr/>
      </w:pPr>
      <w:r>
        <w:rPr>
          <w:rFonts w:ascii="IRNazanin" w:hAnsi="IRNazanin" w:eastAsia="IRNazanin"/>
          <w:color w:val="111111"/>
          <w:sz w:val="28"/>
          <w:sz w:val="28"/>
          <w:szCs w:val="28"/>
          <w:rtl w:val="true"/>
          <w:lang w:bidi="fa-IR"/>
        </w:rPr>
        <w:t>فی أنّه هل یسقط حقّ الحضانة عن الأمّ بعد إسقاط حقّها عن الرضاع؟ فیه قولان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یسقط حقّها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طلبت الأمّ للرضاعة أجرة زائدة عن غیرها، فله تسلیمه إلی الأجنبیّة، و فی سقوط حضانة الأمّ تردّد، و السقوط أشبه</w:t>
      </w:r>
      <w:r>
        <w:rPr>
          <w:rFonts w:eastAsia="IRNazanin" w:cs="IRNazanin"/>
          <w:color w:val="111111"/>
          <w:sz w:val="28"/>
          <w:szCs w:val="28"/>
          <w:rtl w:val="true"/>
          <w:lang w:bidi="fa-IR"/>
        </w:rPr>
        <w:t>»</w:t>
      </w:r>
      <w:r>
        <w:rPr>
          <w:rStyle w:val="FootnoteAnchor"/>
          <w:rtl w:val="true"/>
        </w:rPr>
        <w:footnoteReference w:id="1683"/>
      </w:r>
      <w:r>
        <w:rPr>
          <w:rFonts w:ascii="IRNazanin" w:hAnsi="IRNazanin" w:eastAsia="IRNazanin"/>
          <w:color w:val="111111"/>
          <w:sz w:val="28"/>
          <w:sz w:val="28"/>
          <w:szCs w:val="28"/>
          <w:rtl w:val="true"/>
          <w:lang w:bidi="fa-IR"/>
        </w:rPr>
        <w:t>و اختاره صاحب الجواهر</w:t>
      </w:r>
      <w:r>
        <w:rPr>
          <w:rStyle w:val="FootnoteAnchor"/>
          <w:rtl w:val="true"/>
        </w:rPr>
        <w:footnoteReference w:id="1684"/>
      </w:r>
      <w:r>
        <w:rPr>
          <w:rFonts w:ascii="IRNazanin" w:hAnsi="IRNazanin" w:eastAsia="IRNazanin"/>
          <w:color w:val="111111"/>
          <w:sz w:val="28"/>
          <w:sz w:val="28"/>
          <w:szCs w:val="28"/>
          <w:rtl w:val="true"/>
          <w:lang w:bidi="fa-IR"/>
        </w:rPr>
        <w:t>و المحدث البحرانی</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یسقط حقّها</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إدریس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الحضانة غیر الرضاع؛ لأنّ الأمّ إذا لم ترض فی أجرة الرضاع بما یرضاه الغیر، انتزعه الأب منها مع ثبوت الحضانة لها فی هذه الحال، فإذا أرضعته الأجنبیّة التی رضیت بدون ما رضیت به أمّه کان للأمّ حضانته، ثمّ إذا احتاج إلی اللبن ترضعه المرضعة، ثمّ تأخذه الأمّ بحقّ الحضانة</w:t>
      </w:r>
      <w:r>
        <w:rPr>
          <w:rFonts w:eastAsia="IRNazanin" w:cs="IRNazanin"/>
          <w:color w:val="111111"/>
          <w:sz w:val="28"/>
          <w:szCs w:val="28"/>
          <w:rtl w:val="true"/>
          <w:lang w:bidi="fa-IR"/>
        </w:rPr>
        <w:t>»</w:t>
      </w:r>
      <w:r>
        <w:rPr>
          <w:rStyle w:val="FootnoteAnchor"/>
          <w:rtl w:val="true"/>
        </w:rPr>
        <w:footnoteReference w:id="1686"/>
      </w:r>
      <w:bookmarkStart w:id="781" w:name="pg11752_146391"/>
    </w:p>
    <w:p>
      <w:pPr>
        <w:pStyle w:val="BookText"/>
        <w:rPr/>
      </w:pPr>
      <w:bookmarkEnd w:id="781"/>
      <w:r>
        <w:rPr>
          <w:rFonts w:ascii="IRNazanin" w:hAnsi="IRNazanin" w:eastAsia="IRNazanin"/>
          <w:color w:val="111111"/>
          <w:sz w:val="28"/>
          <w:sz w:val="28"/>
          <w:szCs w:val="28"/>
          <w:rtl w:val="true"/>
          <w:lang w:bidi="fa-IR"/>
        </w:rPr>
        <w:t>و هذا مختار الشهید الثانی</w:t>
      </w:r>
      <w:r>
        <w:rPr>
          <w:rStyle w:val="FootnoteAnchor"/>
          <w:rtl w:val="true"/>
        </w:rPr>
        <w:footnoteReference w:id="1687"/>
      </w:r>
      <w:r>
        <w:rPr>
          <w:rFonts w:ascii="IRNazanin" w:hAnsi="IRNazanin" w:eastAsia="IRNazanin"/>
          <w:color w:val="111111"/>
          <w:sz w:val="28"/>
          <w:sz w:val="28"/>
          <w:szCs w:val="28"/>
          <w:rtl w:val="true"/>
          <w:lang w:bidi="fa-IR"/>
        </w:rPr>
        <w:t>و المحقّق الهندی</w:t>
      </w:r>
      <w:r>
        <w:rPr>
          <w:rStyle w:val="FootnoteAnchor"/>
          <w:rtl w:val="true"/>
        </w:rPr>
        <w:footnoteReference w:id="1688"/>
      </w:r>
      <w:r>
        <w:rPr>
          <w:rFonts w:ascii="IRNazanin" w:hAnsi="IRNazanin" w:eastAsia="IRNazanin"/>
          <w:color w:val="111111"/>
          <w:sz w:val="28"/>
          <w:sz w:val="28"/>
          <w:szCs w:val="28"/>
          <w:rtl w:val="true"/>
          <w:lang w:bidi="fa-IR"/>
        </w:rPr>
        <w:t>و الإمام الخمینی</w:t>
      </w:r>
      <w:r>
        <w:rPr>
          <w:rStyle w:val="FootnoteAnchor"/>
          <w:rtl w:val="true"/>
        </w:rPr>
        <w:footnoteReference w:id="1689"/>
      </w:r>
      <w:r>
        <w:rPr>
          <w:rFonts w:ascii="Amiri" w:hAnsi="Amiri" w:eastAsia="Amiri" w:cs="Amiri"/>
          <w:color w:val="111111"/>
          <w:sz w:val="28"/>
          <w:sz w:val="28"/>
          <w:szCs w:val="28"/>
          <w:rtl w:val="true"/>
          <w:lang w:bidi="ar-SA"/>
        </w:rPr>
        <w:t>و السیِّد السبزواری</w:t>
      </w:r>
      <w:r>
        <w:rPr>
          <w:rStyle w:val="FootnoteAnchor"/>
          <w:rtl w:val="true"/>
        </w:rPr>
        <w:footnoteReference w:id="16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استفادة هذا القول من إطلاق کلام بعضهم، مثل ما قال المفید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 أحقّ بکفالة البنت حتی تبلغ تسع سنین إلاّ أن تتزوّج</w:t>
      </w:r>
      <w:r>
        <w:rPr>
          <w:rStyle w:val="FootnoteAnchor"/>
          <w:rtl w:val="true"/>
        </w:rPr>
        <w:footnoteReference w:id="16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ما قاله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فالمرأة أحقّ بالولد ما لم تتزوّج</w:t>
      </w:r>
      <w:r>
        <w:rPr>
          <w:rStyle w:val="FootnoteAnchor"/>
          <w:rtl w:val="true"/>
        </w:rPr>
        <w:footnoteReference w:id="16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فی هذه النسبة تأمّل</w:t>
      </w:r>
      <w:r>
        <w:rPr>
          <w:rFonts w:eastAsia="IRNazanin" w:cs="IRNazanin"/>
          <w:color w:val="111111"/>
          <w:sz w:val="28"/>
          <w:szCs w:val="28"/>
          <w:rtl w:val="true"/>
          <w:lang w:bidi="fa-IR"/>
        </w:rPr>
        <w:t>.</w:t>
      </w:r>
    </w:p>
    <w:p>
      <w:pPr>
        <w:pStyle w:val="Heading5"/>
        <w:numPr>
          <w:ilvl w:val="4"/>
          <w:numId w:val="1"/>
        </w:numPr>
        <w:rPr/>
      </w:pPr>
      <w:bookmarkStart w:id="782" w:name="__RefHeading___Toc9424368_73709187"/>
      <w:bookmarkStart w:id="783" w:name="_Toc298"/>
      <w:bookmarkEnd w:id="782"/>
      <w:r>
        <w:rPr>
          <w:rtl w:val="true"/>
        </w:rPr>
        <w:t>أدلّة القولین</w:t>
      </w:r>
      <w:r>
        <w:rPr>
          <w:rtl w:val="true"/>
        </w:rPr>
        <w:t>:</w:t>
      </w:r>
      <w:bookmarkEnd w:id="783"/>
    </w:p>
    <w:p>
      <w:pPr>
        <w:pStyle w:val="BookText"/>
        <w:rPr/>
      </w:pPr>
      <w:r>
        <w:rPr>
          <w:rFonts w:ascii="IRNazanin" w:hAnsi="IRNazanin" w:eastAsia="IRNazanin"/>
          <w:color w:val="111111"/>
          <w:sz w:val="28"/>
          <w:sz w:val="28"/>
          <w:szCs w:val="28"/>
          <w:rtl w:val="true"/>
          <w:lang w:bidi="fa-IR"/>
        </w:rPr>
        <w:t xml:space="preserve">استدلّ صاحب الریاض رحمه الله علی القول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دلیل استحقاقها الحضانة هو الإطلاقات، و هو مع قصور سنده معارَض بما دلّ علی أحقیّة الأب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معه فلا دلالة علی إطلاق أحقّیتها بالحضانة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استلزام بقاء حقّ الحضانة مع انتفاء حقّ الرضاعة العسر و الحرج و الضرر بتردّد المرضعة إلی الأمّ فی کلّ وقت یحتاج إلی الإرضاع، و هما منفیّان آیةً و روایةً</w:t>
      </w:r>
      <w:r>
        <w:rPr>
          <w:rFonts w:eastAsia="IRNazanin" w:cs="IRNazanin"/>
          <w:color w:val="111111"/>
          <w:sz w:val="28"/>
          <w:szCs w:val="28"/>
          <w:rtl w:val="true"/>
          <w:lang w:bidi="fa-IR"/>
        </w:rPr>
        <w:t>»</w:t>
      </w:r>
      <w:r>
        <w:rPr>
          <w:rStyle w:val="FootnoteAnchor"/>
          <w:rtl w:val="true"/>
        </w:rPr>
        <w:footnoteReference w:id="1693"/>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النصوص التی تدلّ علی أحقیّة الأمّ صحیحة سنداً، مثل صحیحة أیّوب بن نوح</w:t>
      </w:r>
      <w:r>
        <w:rPr>
          <w:rStyle w:val="FootnoteAnchor"/>
          <w:rtl w:val="true"/>
        </w:rPr>
        <w:footnoteReference w:id="1694"/>
      </w:r>
      <w:r>
        <w:rPr>
          <w:rFonts w:ascii="IRNazanin" w:hAnsi="IRNazanin" w:eastAsia="IRNazanin"/>
          <w:color w:val="111111"/>
          <w:sz w:val="28"/>
          <w:sz w:val="28"/>
          <w:szCs w:val="28"/>
          <w:rtl w:val="true"/>
          <w:lang w:bidi="fa-IR"/>
        </w:rPr>
        <w:t>المتقدّمة، و رفعنا التعارض بینها و بین النصوص التی تدلّ علی أحقیّة الأب بأنّها تدلّ علی أحقیّة الأمّ سبع سنین، فراجع</w:t>
      </w:r>
      <w:r>
        <w:rPr>
          <w:rStyle w:val="FootnoteAnchor"/>
          <w:rtl w:val="true"/>
        </w:rPr>
        <w:footnoteReference w:id="1695"/>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 رحمه الله بأنّ بقاء حقّ الحضانة یستلزم العسر و الحرج أیضاً غیر صحیح، لأنّه یمکن أن یتردّد الطفل بین المرضعة و الأمّ دون أن یستلزم ذلک العسر و الحرج، و الدلیل علی ذلک وقوعه فی زماننا هذا؛ لأنّ الکثیر من الأمّهات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اللواتی یعملن موظّفات فی الدوائر الحکومیة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یلجأنَ إلی وضع أطفالهنّ فی دور الحضانة، و یبقی الولد یتردّد بین أمّه و بین الحاضنة، و فی هذا لا یلزم العسر أو الحرج، بل هو دافع للعسر و رافع للحجر، کما لا یخفی علی المتأمّل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صاحب الجواهر فی الاستدلال علی هذا القول فی ذیل کلام المحقّق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فالسقوط أشبه بأصول المذهب و قواعده؛ ضرورة معلومیّة أصالة أحقیّة الوالد بولده المنسوب إلیه، إلاّ أنّه خرج عنها الحضانة التابعة للرضاع؛ لأنّها المتیقّنة من النصّ، فیبقی غیرها علی الأصل</w:t>
      </w:r>
      <w:r>
        <w:rPr>
          <w:rFonts w:eastAsia="IRNazanin" w:cs="IRNazanin"/>
          <w:color w:val="111111"/>
          <w:sz w:val="28"/>
          <w:szCs w:val="28"/>
          <w:rtl w:val="true"/>
          <w:lang w:bidi="fa-IR"/>
        </w:rPr>
        <w:t>»</w:t>
      </w:r>
      <w:r>
        <w:rPr>
          <w:rStyle w:val="FootnoteAnchor"/>
          <w:rtl w:val="true"/>
        </w:rPr>
        <w:footnoteReference w:id="16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تبعیّة الحضانة للرضاع و أنّها المتیقّنة من النصّ لا دلیل علیه، بل الدلیل علی خلافه، لأنّهما حقّان مستقلاّن و إن ارتبط أحدهما بالآخر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العجب منه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قال بأحقیّة الأمّ للحضانة و لو أرضعته غیرها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فالأمّ أحقّ بالولد مدّة الرضاع، و هی حولان ذکراً کان أو انثی، إذا رضعته هی بنفسها أو بغیرها بلا خلاف معتدّ به أجده فیه</w:t>
      </w:r>
      <w:r>
        <w:rPr>
          <w:rFonts w:eastAsia="IRNazanin" w:cs="IRNazanin"/>
          <w:color w:val="111111"/>
          <w:sz w:val="28"/>
          <w:szCs w:val="28"/>
          <w:rtl w:val="true"/>
          <w:lang w:bidi="fa-IR"/>
        </w:rPr>
        <w:t>»</w:t>
      </w:r>
      <w:r>
        <w:rPr>
          <w:rStyle w:val="FootnoteAnchor"/>
          <w:rtl w:val="true"/>
        </w:rPr>
        <w:footnoteReference w:id="1697"/>
      </w:r>
      <w:r>
        <w:rPr>
          <w:rFonts w:ascii="IRNazanin" w:hAnsi="IRNazanin" w:eastAsia="IRNazanin"/>
          <w:color w:val="111111"/>
          <w:sz w:val="28"/>
          <w:sz w:val="28"/>
          <w:szCs w:val="28"/>
          <w:rtl w:val="true"/>
          <w:lang w:bidi="fa-IR"/>
        </w:rPr>
        <w:t>قال خلاف ذلک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الحقّ أن نقول بالقول الثانی، أی بقاء حقّ الحضانة للأم مع إسقاط حقّها عن الرضاع، و الدلیل علی هذا</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أنّهما حقّان مستقلاّن، و سقوط أحدهما لا یوجب سقوط الآخر؛ لعدم التنافی بینهما</w:t>
      </w:r>
      <w:r>
        <w:rPr>
          <w:rStyle w:val="FootnoteAnchor"/>
          <w:rtl w:val="true"/>
        </w:rPr>
        <w:footnoteReference w:id="1698"/>
      </w:r>
    </w:p>
    <w:p>
      <w:pPr>
        <w:pStyle w:val="BookText"/>
        <w:rPr/>
      </w:pPr>
      <w:r>
        <w:rPr>
          <w:rFonts w:ascii="Amiri" w:hAnsi="Amiri" w:eastAsia="Amiri" w:cs="Amiri"/>
          <w:color w:val="111111"/>
          <w:sz w:val="28"/>
          <w:sz w:val="28"/>
          <w:szCs w:val="28"/>
          <w:rtl w:val="true"/>
          <w:lang w:bidi="ar-SA"/>
        </w:rPr>
        <w:t>و 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یمکن الاستدلال بإطلاق الأدلّة أیضاً، مثلاً إذا سقط حقّ الحضانة لأجل مملوکیّة الأمّ لا یسقط حقّ الرضاع؛ لإطلاق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الْوالِداتُ یُرْضِعْنَ أَوْلادَهُنَّ حَوْلَیْنِ کامِلَیْنِ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ففی المقام أیضاً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الأدلّة دلّ علی بقاء حقّ الحضانة بعد إسقاط حقّ الرضاع، مثل صحیحة أیّوب بن نوح، التی جاء فیها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أحقّ بالولد إلی أن یبلغ سبع سنین إلاّ أن تشاء المرأة</w:t>
      </w:r>
      <w:r>
        <w:rPr>
          <w:rFonts w:eastAsia="Amiri" w:cs="Amiri" w:ascii="Amiri" w:hAnsi="Amiri"/>
          <w:color w:val="111111"/>
          <w:sz w:val="28"/>
          <w:szCs w:val="28"/>
          <w:rtl w:val="true"/>
          <w:lang w:bidi="ar-SA"/>
        </w:rPr>
        <w:t>»</w:t>
      </w:r>
      <w:r>
        <w:rPr>
          <w:rStyle w:val="FootnoteAnchor"/>
          <w:rtl w:val="true"/>
        </w:rPr>
        <w:footnoteReference w:id="16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تدلّ بالإطلاق علی أحقیة الأم للحضانة أسقطت حقّها عن الرضاع أم لم تسقطه، و هکذا خبر المنقری، فإنّ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أحقّ بالولد ما لم تتزوّج</w:t>
      </w:r>
      <w:r>
        <w:rPr>
          <w:rFonts w:eastAsia="IRNazanin" w:cs="IRNazanin"/>
          <w:color w:val="111111"/>
          <w:sz w:val="28"/>
          <w:szCs w:val="28"/>
          <w:rtl w:val="true"/>
          <w:lang w:bidi="fa-IR"/>
        </w:rPr>
        <w:t>»</w:t>
      </w:r>
      <w:r>
        <w:rPr>
          <w:rStyle w:val="FootnoteAnchor"/>
          <w:rtl w:val="true"/>
        </w:rPr>
        <w:footnoteReference w:id="1700"/>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غضّ النظر عمّا قلنا، الأصل یحکم ببقائها؛ لأنّا نشک فیها بعد إسقاطها حق الرضاع، فبحکم الاستصحاب نحکم ببقائها</w:t>
      </w:r>
      <w:r>
        <w:rPr>
          <w:rFonts w:eastAsia="IRNazanin" w:cs="IRNazanin"/>
          <w:color w:val="111111"/>
          <w:sz w:val="28"/>
          <w:szCs w:val="28"/>
          <w:rtl w:val="true"/>
          <w:lang w:bidi="fa-IR"/>
        </w:rPr>
        <w:t>.</w:t>
      </w:r>
      <w:bookmarkStart w:id="784" w:name="pg11752_146395"/>
    </w:p>
    <w:p>
      <w:pPr>
        <w:pStyle w:val="Heading2"/>
        <w:numPr>
          <w:ilvl w:val="1"/>
          <w:numId w:val="1"/>
        </w:numPr>
        <w:rPr/>
      </w:pPr>
      <w:bookmarkStart w:id="785" w:name="__RefHeading___Toc9424370_73709187"/>
      <w:bookmarkStart w:id="786" w:name="_Toc299"/>
      <w:bookmarkEnd w:id="784"/>
      <w:bookmarkEnd w:id="785"/>
      <w:r>
        <w:rPr>
          <w:rtl w:val="true"/>
        </w:rPr>
        <w:t>الباب الثالث فی نفقة الأطفال</w:t>
      </w:r>
      <w:bookmarkEnd w:id="786"/>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87" w:name="__RefHeading___Toc9424372_73709187"/>
      <w:bookmarkStart w:id="788" w:name="_Toc300"/>
      <w:bookmarkEnd w:id="787"/>
      <w:r>
        <w:rPr>
          <w:rtl w:val="true"/>
        </w:rPr>
        <w:t>اشارة</w:t>
      </w:r>
      <w:bookmarkStart w:id="789" w:name="pg11752_146397"/>
      <w:bookmarkEnd w:id="788"/>
    </w:p>
    <w:p>
      <w:pPr>
        <w:pStyle w:val="Heading3"/>
        <w:numPr>
          <w:ilvl w:val="2"/>
          <w:numId w:val="1"/>
        </w:numPr>
        <w:rPr/>
      </w:pPr>
      <w:bookmarkStart w:id="790" w:name="__RefHeading___Toc9424374_73709187"/>
      <w:bookmarkStart w:id="791" w:name="_Toc301"/>
      <w:bookmarkEnd w:id="789"/>
      <w:bookmarkEnd w:id="790"/>
      <w:r>
        <w:rPr>
          <w:rtl w:val="true"/>
        </w:rPr>
        <w:t>تمهیدٌ</w:t>
      </w:r>
      <w:bookmarkEnd w:id="791"/>
    </w:p>
    <w:p>
      <w:pPr>
        <w:pStyle w:val="BookText"/>
        <w:rPr/>
      </w:pPr>
      <w:r>
        <w:rPr>
          <w:rFonts w:ascii="IRNazanin" w:hAnsi="IRNazanin" w:eastAsia="IRNazanin"/>
          <w:color w:val="111111"/>
          <w:sz w:val="28"/>
          <w:sz w:val="28"/>
          <w:szCs w:val="28"/>
          <w:rtl w:val="true"/>
          <w:lang w:bidi="fa-IR"/>
        </w:rPr>
        <w:t>من المباحث المهمّة فی مورد الصغار البحث عن نفقتهم و أنّه هل یجب علی الآباء و الأمّهات تأمین نفقة الأولاد، أو لا یجب؟ و علی القول بالوجوب، هل یجب علی الآباء فقط، أو علی الاُمّهات و الأجداد و الأعمام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هو حدّ الوجوب؟ و إلی أیّ زمان یمتدّ الوجوب؟ و هل کان للإنفاق و المنفق علیهم شروط، أم هو واجب مطلق؟</w:t>
      </w:r>
    </w:p>
    <w:p>
      <w:pPr>
        <w:pStyle w:val="BookText"/>
        <w:rPr/>
      </w:pPr>
      <w:r>
        <w:rPr>
          <w:rFonts w:ascii="IRNazanin" w:hAnsi="IRNazanin" w:eastAsia="IRNazanin"/>
          <w:color w:val="111111"/>
          <w:sz w:val="28"/>
          <w:sz w:val="28"/>
          <w:szCs w:val="28"/>
          <w:rtl w:val="true"/>
          <w:lang w:bidi="fa-IR"/>
        </w:rPr>
        <w:t>و أیضاً ما هو مقدار نفقة الأولاد؟ و ما هو حکم امتناع الآباء من الإنفاق علی الأولاد؟ و هل فی وجوب النفقة علی الأولاد و غیرهم ترتیب أم لا؟ و علی الأوّل، ما الدلیل علی تقدّم بعضهم علی بعض؟ و علی من تجب نفقة الأیتام؟</w:t>
      </w:r>
    </w:p>
    <w:p>
      <w:pPr>
        <w:pStyle w:val="BookText"/>
        <w:rPr/>
      </w:pPr>
      <w:r>
        <w:rPr>
          <w:rFonts w:ascii="IRNazanin" w:hAnsi="IRNazanin" w:eastAsia="IRNazanin"/>
          <w:color w:val="111111"/>
          <w:sz w:val="28"/>
          <w:sz w:val="28"/>
          <w:szCs w:val="28"/>
          <w:rtl w:val="true"/>
          <w:lang w:bidi="fa-IR"/>
        </w:rPr>
        <w:t>و هل عیّن الإسلام موضعاً یمکن تحصیل نفقة الأیتام منه؟</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یدور البحث فی هذا الباب للجواب عن هذه الأسئلة، و یشتمل علی ثلاثة 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نفقة الأولاد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نفقة الأیتام</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تغذیة الصبیان بمال الغیر و عین النجس</w:t>
      </w:r>
      <w:r>
        <w:rPr>
          <w:rFonts w:eastAsia="IRNazanin" w:cs="IRNazanin"/>
          <w:color w:val="111111"/>
          <w:sz w:val="28"/>
          <w:szCs w:val="28"/>
          <w:rtl w:val="true"/>
          <w:lang w:bidi="fa-IR"/>
        </w:rPr>
        <w:t>.</w:t>
      </w:r>
      <w:bookmarkStart w:id="792" w:name="pg11752_146399"/>
    </w:p>
    <w:p>
      <w:pPr>
        <w:pStyle w:val="Heading3"/>
        <w:numPr>
          <w:ilvl w:val="2"/>
          <w:numId w:val="1"/>
        </w:numPr>
        <w:rPr/>
      </w:pPr>
      <w:bookmarkStart w:id="793" w:name="__RefHeading___Toc9424376_73709187"/>
      <w:bookmarkStart w:id="794" w:name="_Toc302"/>
      <w:bookmarkEnd w:id="792"/>
      <w:bookmarkEnd w:id="793"/>
      <w:r>
        <w:rPr>
          <w:rtl w:val="true"/>
        </w:rPr>
        <w:t>الفصل الاوّل</w:t>
      </w:r>
      <w:r>
        <w:rPr>
          <w:rtl w:val="true"/>
        </w:rPr>
        <w:t>:</w:t>
      </w:r>
      <w:bookmarkEnd w:id="794"/>
    </w:p>
    <w:p>
      <w:pPr>
        <w:pStyle w:val="Heading4"/>
        <w:numPr>
          <w:ilvl w:val="3"/>
          <w:numId w:val="1"/>
        </w:numPr>
        <w:rPr/>
      </w:pPr>
      <w:bookmarkStart w:id="795" w:name="__RefHeading___Toc9424378_73709187"/>
      <w:bookmarkStart w:id="796" w:name="_Toc303"/>
      <w:bookmarkEnd w:id="795"/>
      <w:r>
        <w:rPr>
          <w:rtl w:val="true"/>
        </w:rPr>
        <w:t>اشارة</w:t>
      </w:r>
      <w:bookmarkEnd w:id="796"/>
    </w:p>
    <w:p>
      <w:pPr>
        <w:pStyle w:val="BookText"/>
        <w:rPr/>
      </w:pPr>
      <w:r>
        <w:rPr>
          <w:rFonts w:ascii="IRNazanin" w:hAnsi="IRNazanin" w:eastAsia="IRNazanin"/>
          <w:color w:val="111111"/>
          <w:sz w:val="28"/>
          <w:sz w:val="28"/>
          <w:szCs w:val="28"/>
          <w:rtl w:val="true"/>
          <w:lang w:bidi="fa-IR"/>
        </w:rPr>
        <w:t>فی نفقة الأولاد</w:t>
      </w:r>
    </w:p>
    <w:p>
      <w:pPr>
        <w:pStyle w:val="BookText"/>
        <w:rPr/>
      </w:pPr>
      <w:r>
        <w:rPr>
          <w:rFonts w:ascii="IRNazanin" w:hAnsi="IRNazanin" w:eastAsia="IRNazanin"/>
          <w:color w:val="111111"/>
          <w:sz w:val="28"/>
          <w:sz w:val="28"/>
          <w:szCs w:val="28"/>
          <w:rtl w:val="true"/>
          <w:lang w:bidi="fa-IR"/>
        </w:rPr>
        <w:t>و فیه مباحث</w:t>
      </w:r>
    </w:p>
    <w:p>
      <w:pPr>
        <w:pStyle w:val="Heading4"/>
        <w:numPr>
          <w:ilvl w:val="3"/>
          <w:numId w:val="1"/>
        </w:numPr>
        <w:rPr/>
      </w:pPr>
      <w:bookmarkStart w:id="797" w:name="__RefHeading___Toc9424380_73709187"/>
      <w:bookmarkStart w:id="798" w:name="_Toc304"/>
      <w:bookmarkEnd w:id="797"/>
      <w:r>
        <w:rPr>
          <w:rtl w:val="true"/>
        </w:rPr>
        <w:t>المبحث الأوّل</w:t>
      </w:r>
      <w:r>
        <w:rPr>
          <w:rtl w:val="true"/>
        </w:rPr>
        <w:t xml:space="preserve">: </w:t>
      </w:r>
      <w:r>
        <w:rPr>
          <w:rtl w:val="true"/>
        </w:rPr>
        <w:t>فی حکم النفقة و أدلّتها</w:t>
      </w:r>
      <w:bookmarkEnd w:id="798"/>
    </w:p>
    <w:p>
      <w:pPr>
        <w:pStyle w:val="Heading5"/>
        <w:numPr>
          <w:ilvl w:val="4"/>
          <w:numId w:val="1"/>
        </w:numPr>
        <w:rPr/>
      </w:pPr>
      <w:bookmarkStart w:id="799" w:name="__RefHeading___Toc9424382_73709187"/>
      <w:bookmarkStart w:id="800" w:name="_Toc305"/>
      <w:bookmarkEnd w:id="799"/>
      <w:r>
        <w:rPr>
          <w:rtl w:val="true"/>
        </w:rPr>
        <w:t>النفقة فی اللغة</w:t>
      </w:r>
      <w:bookmarkEnd w:id="800"/>
    </w:p>
    <w:p>
      <w:pPr>
        <w:pStyle w:val="BookText"/>
        <w:rPr/>
      </w:pPr>
      <w:r>
        <w:rPr>
          <w:rFonts w:ascii="IRNazanin" w:hAnsi="IRNazanin" w:eastAsia="IRNazanin"/>
          <w:color w:val="111111"/>
          <w:sz w:val="28"/>
          <w:sz w:val="28"/>
          <w:szCs w:val="28"/>
          <w:rtl w:val="true"/>
          <w:lang w:bidi="fa-IR"/>
        </w:rPr>
        <w:t>قال الراغب فی المفردات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نفق الشیء مضی و نفد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النفقة اسم لما ینفق</w:t>
      </w:r>
      <w:r>
        <w:rPr>
          <w:rFonts w:eastAsia="IRNazanin" w:cs="IRNazanin"/>
          <w:color w:val="111111"/>
          <w:sz w:val="28"/>
          <w:szCs w:val="28"/>
          <w:rtl w:val="true"/>
          <w:lang w:bidi="fa-IR"/>
        </w:rPr>
        <w:t>»</w:t>
      </w:r>
      <w:r>
        <w:rPr>
          <w:rStyle w:val="FootnoteAnchor"/>
          <w:rtl w:val="true"/>
        </w:rPr>
        <w:footnoteReference w:id="1701"/>
      </w:r>
      <w:r>
        <w:rPr>
          <w:rFonts w:ascii="IRNazanin" w:hAnsi="IRNazanin" w:eastAsia="IRNazanin"/>
          <w:color w:val="111111"/>
          <w:sz w:val="28"/>
          <w:sz w:val="28"/>
          <w:szCs w:val="28"/>
          <w:rtl w:val="true"/>
          <w:lang w:bidi="fa-IR"/>
        </w:rPr>
        <w:t>، 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النفقة من الإنفاق، و هو الإخراج، و لا یستعمل إلاّ فی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جمعها نفقات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المصباح المنیر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نفِقَ نَفَقاً من باب تعِب نفدت، و یتعدّی بالهمزة فیقال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النفقة اسم منه و جمعها نِفاق مثل رقبة و رِقاب، و نفقات علی لفظ الواحدة أیضاً، و نفق الشیءُ نفقاً أیضاً فنی، و أنفقته أفنیته، و أنفق الرجل بالألف فنی زاده و نفقت الدابّة نفوقاً من باب قعد ماتت</w:t>
      </w:r>
      <w:r>
        <w:rPr>
          <w:rStyle w:val="FootnoteAnchor"/>
          <w:rtl w:val="true"/>
        </w:rPr>
        <w:footnoteReference w:id="1702"/>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 ماله و درهمه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و قلّ، و أنفق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صرفه، و النفقة ما أنفق</w:t>
      </w:r>
      <w:r>
        <w:rPr>
          <w:rFonts w:eastAsia="IRNazanin" w:cs="IRNazanin"/>
          <w:color w:val="111111"/>
          <w:sz w:val="28"/>
          <w:szCs w:val="28"/>
          <w:rtl w:val="true"/>
          <w:lang w:bidi="fa-IR"/>
        </w:rPr>
        <w:t>»</w:t>
      </w:r>
      <w:r>
        <w:rPr>
          <w:rStyle w:val="FootnoteAnchor"/>
          <w:rtl w:val="true"/>
        </w:rPr>
        <w:footnoteReference w:id="1703"/>
      </w:r>
      <w:bookmarkStart w:id="801" w:name="pg11752_146400"/>
    </w:p>
    <w:p>
      <w:pPr>
        <w:pStyle w:val="Heading5"/>
        <w:numPr>
          <w:ilvl w:val="4"/>
          <w:numId w:val="1"/>
        </w:numPr>
        <w:rPr/>
      </w:pPr>
      <w:bookmarkStart w:id="802" w:name="__RefHeading___Toc9424384_73709187"/>
      <w:bookmarkStart w:id="803" w:name="_Toc306"/>
      <w:bookmarkEnd w:id="801"/>
      <w:bookmarkEnd w:id="802"/>
      <w:r>
        <w:rPr>
          <w:rtl w:val="true"/>
        </w:rPr>
        <w:t>النفقة اصطلاحاً</w:t>
      </w:r>
      <w:r>
        <w:rPr>
          <w:rtl w:val="true"/>
        </w:rPr>
        <w:t>:</w:t>
      </w:r>
      <w:bookmarkEnd w:id="803"/>
    </w:p>
    <w:p>
      <w:pPr>
        <w:pStyle w:val="BookText"/>
        <w:rPr/>
      </w:pPr>
      <w:r>
        <w:rPr>
          <w:rFonts w:ascii="IRNazanin" w:hAnsi="IRNazanin" w:eastAsia="IRNazanin"/>
          <w:color w:val="111111"/>
          <w:sz w:val="28"/>
          <w:sz w:val="28"/>
          <w:szCs w:val="28"/>
          <w:rtl w:val="true"/>
          <w:lang w:bidi="fa-IR"/>
        </w:rPr>
        <w:t>المقصود منها فی اصطلاح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من ینفق له من الطعام و الکسوة و المسکن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الشرائع فی ذیل البحث عن نفقة الأقارب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تقدیر فی النفقة، بل الواجب قدر الکفایة من الإطعام و الکسوة و المسکن، و ما یحتاج إلیه من زیادة الکسوة فی الشتاء للتدثّر یقظةً و نوماً</w:t>
      </w:r>
      <w:r>
        <w:rPr>
          <w:rFonts w:eastAsia="IRNazanin" w:cs="IRNazanin"/>
          <w:color w:val="111111"/>
          <w:sz w:val="28"/>
          <w:szCs w:val="28"/>
          <w:rtl w:val="true"/>
          <w:lang w:bidi="fa-IR"/>
        </w:rPr>
        <w:t>»</w:t>
      </w:r>
      <w:r>
        <w:rPr>
          <w:rStyle w:val="FootnoteAnchor"/>
          <w:rtl w:val="true"/>
        </w:rPr>
        <w:footnoteReference w:id="17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4" w:name="__RefHeading___Toc9424386_73709187"/>
      <w:bookmarkStart w:id="805" w:name="_Toc307"/>
      <w:bookmarkEnd w:id="804"/>
      <w:r>
        <w:rPr>
          <w:rtl w:val="true"/>
        </w:rPr>
        <w:t>حکم النفقة</w:t>
      </w:r>
      <w:bookmarkEnd w:id="805"/>
    </w:p>
    <w:p>
      <w:pPr>
        <w:pStyle w:val="BookText"/>
        <w:rPr/>
      </w:pPr>
      <w:r>
        <w:rPr>
          <w:rFonts w:ascii="Amiri" w:hAnsi="Amiri" w:eastAsia="Amiri" w:cs="Amiri"/>
          <w:color w:val="111111"/>
          <w:sz w:val="28"/>
          <w:sz w:val="28"/>
          <w:szCs w:val="28"/>
          <w:rtl w:val="true"/>
          <w:lang w:bidi="ar-SA"/>
        </w:rPr>
        <w:t>النفقة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و مندوب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البحث هنا یکون فی الواجب منها،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النفقة من حیث کونها نفقةً لا من حیث توقّف النفس المحترمة علیها لا یکون إلاّ بأحد أسباب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الزوجیة و القرابة و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الآن نبحث فی نفقة القرابة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خلاف بین الفقهاء فی وجوب نفقة الصبیّ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رحمه الله فی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ثبت له النفقة بنصّ الکتاب الولد</w:t>
      </w:r>
      <w:r>
        <w:rPr>
          <w:rFonts w:eastAsia="IRNazanin" w:cs="IRNazanin"/>
          <w:color w:val="111111"/>
          <w:sz w:val="28"/>
          <w:szCs w:val="28"/>
          <w:rtl w:val="true"/>
          <w:lang w:bidi="fa-IR"/>
        </w:rPr>
        <w:t>»</w:t>
      </w:r>
      <w:r>
        <w:rPr>
          <w:rStyle w:val="FootnoteAnchor"/>
          <w:rtl w:val="true"/>
        </w:rPr>
        <w:footnoteReference w:id="17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الشهید فی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خلاف بین أصحابنا فی وجوب نفقة کلّ واحدٍ من الأبوین و الأولاد علی الآخر</w:t>
      </w:r>
      <w:r>
        <w:rPr>
          <w:rFonts w:eastAsia="IRNazanin" w:cs="IRNazanin"/>
          <w:color w:val="111111"/>
          <w:sz w:val="28"/>
          <w:szCs w:val="28"/>
          <w:rtl w:val="true"/>
          <w:lang w:bidi="fa-IR"/>
        </w:rPr>
        <w:t>»</w:t>
      </w:r>
      <w:r>
        <w:rPr>
          <w:rStyle w:val="FootnoteAnchor"/>
          <w:rtl w:val="true"/>
        </w:rPr>
        <w:footnoteReference w:id="1706"/>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تجب النفقة علی الأبوین و الأولاد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أضاف صاحب الجواهر فی ذیل هذا الکلام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المسلمین فضلاً عن المؤمنین، و نصوصاً</w:t>
      </w:r>
      <w:bookmarkStart w:id="806" w:name="pg11752_146401"/>
    </w:p>
    <w:p>
      <w:pPr>
        <w:pStyle w:val="BookText"/>
        <w:rPr/>
      </w:pPr>
      <w:bookmarkEnd w:id="806"/>
      <w:r>
        <w:rPr>
          <w:rFonts w:ascii="Amiri" w:hAnsi="Amiri" w:eastAsia="Amiri" w:cs="Amiri"/>
          <w:color w:val="111111"/>
          <w:sz w:val="28"/>
          <w:sz w:val="28"/>
          <w:szCs w:val="28"/>
          <w:rtl w:val="true"/>
          <w:lang w:bidi="ar-SA"/>
        </w:rPr>
        <w:t>مستفیضةً أو متواترةً</w:t>
      </w:r>
      <w:r>
        <w:rPr>
          <w:rFonts w:eastAsia="Amiri" w:cs="Amiri" w:ascii="Amiri" w:hAnsi="Amiri"/>
          <w:color w:val="111111"/>
          <w:sz w:val="28"/>
          <w:szCs w:val="28"/>
          <w:rtl w:val="true"/>
          <w:lang w:bidi="ar-SA"/>
        </w:rPr>
        <w:t>»</w:t>
      </w:r>
      <w:r>
        <w:rPr>
          <w:rStyle w:val="FootnoteAnchor"/>
          <w:rtl w:val="true"/>
        </w:rPr>
        <w:footnoteReference w:id="17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هکذا عبّر بعض آخر من الفقهاء بمثل هذه التعبیرات</w:t>
      </w:r>
      <w:r>
        <w:rPr>
          <w:rStyle w:val="FootnoteAnchor"/>
          <w:rtl w:val="true"/>
        </w:rPr>
        <w:footnoteReference w:id="17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7" w:name="__RefHeading___Toc9424388_73709187"/>
      <w:bookmarkStart w:id="808" w:name="_Toc308"/>
      <w:bookmarkEnd w:id="807"/>
      <w:r>
        <w:rPr>
          <w:rtl w:val="true"/>
        </w:rPr>
        <w:t>قول فقهاء أهل السنّة فی المسألة</w:t>
      </w:r>
      <w:r>
        <w:rPr>
          <w:rtl w:val="true"/>
        </w:rPr>
        <w:t>:</w:t>
      </w:r>
      <w:bookmarkEnd w:id="808"/>
    </w:p>
    <w:p>
      <w:pPr>
        <w:pStyle w:val="BookText"/>
        <w:rPr/>
      </w:pPr>
      <w:r>
        <w:rPr>
          <w:rFonts w:ascii="IRNazanin" w:hAnsi="IRNazanin" w:eastAsia="IRNazanin"/>
          <w:color w:val="111111"/>
          <w:sz w:val="28"/>
          <w:sz w:val="28"/>
          <w:szCs w:val="28"/>
          <w:rtl w:val="true"/>
          <w:lang w:bidi="fa-IR"/>
        </w:rPr>
        <w:t>قال فی المغنی و الشرح الکبیر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أجمع کلّ مَن نحفظ عنه من أهل العلم علی أنّ علی المرء نفقة أولاده الأطفال الذین لا مال لهم</w:t>
      </w:r>
      <w:r>
        <w:rPr>
          <w:rFonts w:eastAsia="IRNazanin" w:cs="IRNazanin"/>
          <w:color w:val="111111"/>
          <w:sz w:val="28"/>
          <w:szCs w:val="28"/>
          <w:rtl w:val="true"/>
          <w:lang w:bidi="fa-IR"/>
        </w:rPr>
        <w:t>»</w:t>
      </w:r>
      <w:r>
        <w:rPr>
          <w:rStyle w:val="FootnoteAnchor"/>
          <w:rtl w:val="true"/>
        </w:rPr>
        <w:footnoteReference w:id="17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الشافعی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کتاب اللّه تعالی و رسوله صلی الله علیه و آله بیان أنّ علی الأب أن یقوم بالمئونة فی إصلاح صغار ولده من رضاع و نفقةٍ و کسوةٍ و خدمةٍ دون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الماوردی فی 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نفقة الأولاد علی الآباء بدلیل الکتاب و السنّة و الإجماع و العبرة</w:t>
      </w:r>
      <w:r>
        <w:rPr>
          <w:rFonts w:eastAsia="IRNazanin" w:cs="IRNazanin"/>
          <w:color w:val="111111"/>
          <w:sz w:val="28"/>
          <w:szCs w:val="28"/>
          <w:rtl w:val="true"/>
          <w:lang w:bidi="fa-IR"/>
        </w:rPr>
        <w:t>...»</w:t>
      </w:r>
      <w:r>
        <w:rPr>
          <w:rStyle w:val="FootnoteAnchor"/>
          <w:rtl w:val="true"/>
        </w:rPr>
        <w:footnoteReference w:id="17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مغنی المحتاج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یلزمه نفقة الوالد و إن علا و الولد و إن سفل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الأصل فی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الثانی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أَرْضَعْنَ لَکُمْ فَآتُوهُنَّ أُجُورَهُنَّ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أیضاً قال فی بدائع الصنائع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نفقة الولد فلقوله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الْوالِداتُ یُرْضِعْنَ أَوْلادَهُنَّ حَوْلَیْنِ کامِلَیْنِ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الإنفاق عند الحاجة من باب إحیاء المنفق علیه، و الولد جزء الوالد، و إحیاء نفسه واجب کذا إحیاء جزئه</w:t>
      </w:r>
      <w:r>
        <w:rPr>
          <w:rFonts w:eastAsia="Amiri" w:cs="Amiri" w:ascii="Amiri" w:hAnsi="Amiri"/>
          <w:color w:val="111111"/>
          <w:sz w:val="28"/>
          <w:szCs w:val="28"/>
          <w:rtl w:val="true"/>
          <w:lang w:bidi="ar-SA"/>
        </w:rPr>
        <w:t>»</w:t>
      </w:r>
      <w:r>
        <w:rPr>
          <w:rStyle w:val="FootnoteAnchor"/>
          <w:rtl w:val="true"/>
        </w:rPr>
        <w:footnoteReference w:id="1711"/>
      </w:r>
      <w:bookmarkStart w:id="809" w:name="pg11752_146402"/>
    </w:p>
    <w:p>
      <w:pPr>
        <w:pStyle w:val="BookText"/>
        <w:rPr/>
      </w:pPr>
      <w:bookmarkEnd w:id="809"/>
      <w:r>
        <w:rPr>
          <w:rFonts w:ascii="IRNazanin" w:hAnsi="IRNazanin" w:eastAsia="IRNazanin"/>
          <w:color w:val="111111"/>
          <w:sz w:val="28"/>
          <w:sz w:val="28"/>
          <w:szCs w:val="28"/>
          <w:rtl w:val="true"/>
          <w:lang w:bidi="fa-IR"/>
        </w:rPr>
        <w:t>و هکذا قال فی المحلّی بالآثار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علی کلّ أحد من الرجال و النساء الکبار و الصغار أن یبدأ بما لا بدّ له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بعد ذلک یُجبر کلّ أحدٍ علی النفقة علی من لا مال له و لا عمل بیده ممّا یقوم منه علی نفسه، من أبویه و أجداده و جدّاته و إن علوا، و علی البنین و البنات و بنیهم و إن سفلوا</w:t>
      </w:r>
      <w:r>
        <w:rPr>
          <w:rFonts w:eastAsia="IRNazanin" w:cs="IRNazanin"/>
          <w:color w:val="111111"/>
          <w:sz w:val="28"/>
          <w:szCs w:val="28"/>
          <w:rtl w:val="true"/>
          <w:lang w:bidi="fa-IR"/>
        </w:rPr>
        <w:t>»</w:t>
      </w:r>
      <w:r>
        <w:rPr>
          <w:rStyle w:val="FootnoteAnchor"/>
          <w:rtl w:val="true"/>
        </w:rPr>
        <w:footnoteReference w:id="17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وجوب نفقة الصبیّ علی والدیه حکم اتّفاقی بین الفقهاء من الشیعة و أهل السنّة</w:t>
      </w:r>
      <w:r>
        <w:rPr>
          <w:rFonts w:eastAsia="IRNazanin" w:cs="IRNazanin"/>
          <w:color w:val="111111"/>
          <w:sz w:val="28"/>
          <w:szCs w:val="28"/>
          <w:rtl w:val="true"/>
          <w:lang w:bidi="fa-IR"/>
        </w:rPr>
        <w:t>.</w:t>
      </w:r>
    </w:p>
    <w:p>
      <w:pPr>
        <w:pStyle w:val="Heading5"/>
        <w:numPr>
          <w:ilvl w:val="4"/>
          <w:numId w:val="1"/>
        </w:numPr>
        <w:rPr/>
      </w:pPr>
      <w:bookmarkStart w:id="810" w:name="__RefHeading___Toc9424390_73709187"/>
      <w:bookmarkStart w:id="811" w:name="_Toc309"/>
      <w:bookmarkEnd w:id="810"/>
      <w:r>
        <w:rPr>
          <w:rtl w:val="true"/>
        </w:rPr>
        <w:t>أدلّة وجوب نفقة الصبیان</w:t>
      </w:r>
      <w:bookmarkEnd w:id="811"/>
    </w:p>
    <w:p>
      <w:pPr>
        <w:pStyle w:val="Heading6"/>
        <w:numPr>
          <w:ilvl w:val="5"/>
          <w:numId w:val="1"/>
        </w:numPr>
        <w:rPr/>
      </w:pPr>
      <w:bookmarkStart w:id="812" w:name="__RefHeading___Toc9424392_73709187"/>
      <w:bookmarkStart w:id="813" w:name="_Toc310"/>
      <w:bookmarkEnd w:id="812"/>
      <w:r>
        <w:rPr>
          <w:rtl w:val="true"/>
        </w:rPr>
        <w:t>اشارة</w:t>
      </w:r>
      <w:bookmarkEnd w:id="813"/>
    </w:p>
    <w:p>
      <w:pPr>
        <w:pStyle w:val="BookText"/>
        <w:rPr/>
      </w:pPr>
      <w:r>
        <w:rPr>
          <w:rFonts w:ascii="IRNazanin" w:hAnsi="IRNazanin" w:eastAsia="IRNazanin"/>
          <w:color w:val="111111"/>
          <w:sz w:val="28"/>
          <w:sz w:val="28"/>
          <w:szCs w:val="28"/>
          <w:rtl w:val="true"/>
          <w:lang w:bidi="fa-IR"/>
        </w:rPr>
        <w:t>یدلّ علی هذا الحکم الکتاب، السنة، الإجماع، و العقل</w:t>
      </w:r>
      <w:r>
        <w:rPr>
          <w:rFonts w:eastAsia="IRNazanin" w:cs="IRNazanin"/>
          <w:color w:val="111111"/>
          <w:sz w:val="28"/>
          <w:szCs w:val="28"/>
          <w:rtl w:val="true"/>
          <w:lang w:bidi="fa-IR"/>
        </w:rPr>
        <w:t>.</w:t>
      </w:r>
    </w:p>
    <w:p>
      <w:pPr>
        <w:pStyle w:val="Heading6"/>
        <w:numPr>
          <w:ilvl w:val="5"/>
          <w:numId w:val="1"/>
        </w:numPr>
        <w:rPr/>
      </w:pPr>
      <w:bookmarkStart w:id="814" w:name="__RefHeading___Toc9424394_73709187"/>
      <w:bookmarkStart w:id="815" w:name="_Toc311"/>
      <w:bookmarkEnd w:id="814"/>
      <w:r>
        <w:rPr>
          <w:rtl w:val="true"/>
        </w:rPr>
        <w:t xml:space="preserve">أ </w:t>
      </w:r>
      <w:r>
        <w:rPr>
          <w:rtl w:val="true"/>
        </w:rPr>
        <w:t xml:space="preserve">- </w:t>
      </w:r>
      <w:r>
        <w:rPr>
          <w:rtl w:val="true"/>
        </w:rPr>
        <w:t>الکتاب</w:t>
      </w:r>
      <w:bookmarkEnd w:id="815"/>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أَرْضَعْنَ لَکُمْ فَآتُوهُنَّ أُجُورَهُنَّ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فلو لا وجوب النفقة لم یأمر بإتیان أجورهنّ، فالأمر بإیتاء الأجرة للزوجات المرضعات دلیل وجوب نفقة الصبیان علی آبائهم، قال فی المجمع فی معنی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أرضعن الولد لأجلکم بعد البینونة فأعطوهنّ أجر الرضاع یعنی أجرة المثل</w:t>
      </w:r>
      <w:r>
        <w:rPr>
          <w:rFonts w:eastAsia="Amiri" w:cs="Amiri" w:ascii="Amiri" w:hAnsi="Amiri"/>
          <w:color w:val="111111"/>
          <w:sz w:val="28"/>
          <w:szCs w:val="28"/>
          <w:rtl w:val="true"/>
          <w:lang w:bidi="ar-SA"/>
        </w:rPr>
        <w:t>»</w:t>
      </w:r>
      <w:r>
        <w:rPr>
          <w:rStyle w:val="FootnoteAnchor"/>
          <w:rtl w:val="true"/>
        </w:rPr>
        <w:footnoteReference w:id="1713"/>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التفسیر الکبیر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دلیل علی أنّ اللبن و إن خلق لمکان الولد فهو ملک لها، و إلاّ لم یکن لها أن تأخذ الأجرة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دلیل علی أنّ حقّ الرضاع و النفقة علی الأزواج فی حقّ الأولاد و حقّ الإمساک و الحضانة و الکفالة علی الزوجات، و إلاّ لکان لها بعض الأجر دون الکُلّ</w:t>
      </w:r>
      <w:r>
        <w:rPr>
          <w:rFonts w:eastAsia="IRNazanin" w:cs="IRNazanin"/>
          <w:color w:val="111111"/>
          <w:sz w:val="28"/>
          <w:szCs w:val="28"/>
          <w:rtl w:val="true"/>
          <w:lang w:bidi="fa-IR"/>
        </w:rPr>
        <w:t>»</w:t>
      </w:r>
      <w:r>
        <w:rPr>
          <w:rStyle w:val="FootnoteAnchor"/>
          <w:rtl w:val="true"/>
        </w:rPr>
        <w:footnoteReference w:id="1714"/>
      </w:r>
    </w:p>
    <w:p>
      <w:pPr>
        <w:pStyle w:val="BookText"/>
        <w:rPr/>
      </w:pPr>
      <w:r>
        <w:rPr>
          <w:rFonts w:ascii="IRNazanin" w:hAnsi="IRNazanin" w:eastAsia="IRNazanin"/>
          <w:color w:val="111111"/>
          <w:sz w:val="28"/>
          <w:sz w:val="28"/>
          <w:szCs w:val="28"/>
          <w:rtl w:val="true"/>
          <w:lang w:bidi="fa-IR"/>
        </w:rPr>
        <w:t>فالآیة تأمر بوجوب ردّ الاُجرة للمطلّقات؛ لأنّ النفقة لا تکون مشروطة بالرضاع، بل الزوجة تستحقّها و لو لم تکن مرضعةً؛ و لذا قال الشیخ فی المبسوط استشهاداً بهذه الآیة لوجوب نفقة الأولاد علی آبائهم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أراد به المطلّقات دون الزوجات، بدلالة أنه أوجب الأجرة بشرط الرضاع، و هذه صفة المطلّقة؛ لأنّ الزوجة لا تستحقّ الأجرة بشرط الرضاع، و لأنّه سمّاه أجرة، و النفقةُ لا تسمّی بذلک</w:t>
      </w:r>
      <w:r>
        <w:rPr>
          <w:rFonts w:eastAsia="IRNazanin" w:cs="IRNazanin"/>
          <w:color w:val="111111"/>
          <w:sz w:val="28"/>
          <w:szCs w:val="28"/>
          <w:rtl w:val="true"/>
          <w:lang w:bidi="fa-IR"/>
        </w:rPr>
        <w:t>»</w:t>
      </w:r>
      <w:r>
        <w:rPr>
          <w:rStyle w:val="FootnoteAnchor"/>
          <w:rtl w:val="true"/>
        </w:rPr>
        <w:footnoteReference w:id="17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ممّا ذکرنا ظهر ما فی کلام بعض من قال بأنَّ الآیة تشمل المطلّقة و غیرها،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وجه الدلالة بهذه الآیة الکریمة هو إن کان المراد من الوالدات المرضعات المطلّقات المنقضیة عدّتهنّ، ففی هذه الآیة إیجاب نفقة الرضاع علی المولود له و هو الأب لأجل الولد الرضیع، و إن کان المراد منهنّ الزوجات حال قیام الزوجیّة أو المطلّقات المعتدّات، فإنّما ذکرت النفقة و الکسوة فی حال الرضاع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کانت المرأة تستوجب ذلک من غیر ولد؛ لأنّها تحتاج إلی فضل طعام و فضل کسوة لمکان الرضاع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رضاع الولد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زیادة النفقة من أجل الولد</w:t>
      </w:r>
      <w:r>
        <w:rPr>
          <w:rFonts w:eastAsia="IRNazanin" w:cs="IRNazanin"/>
          <w:color w:val="111111"/>
          <w:sz w:val="28"/>
          <w:szCs w:val="28"/>
          <w:rtl w:val="true"/>
          <w:lang w:bidi="fa-IR"/>
        </w:rPr>
        <w:t>»</w:t>
      </w:r>
      <w:r>
        <w:rPr>
          <w:rStyle w:val="FootnoteAnchor"/>
          <w:rtl w:val="true"/>
        </w:rPr>
        <w:footnoteReference w:id="17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سیاق الآیات لا یساعد علی ما ذکره؛ لأنّها تبین حکم المطلّقات من النفقة و غیرها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تُضَارَّ والِدَةٌ بِوَلَدِها وَ لا مَوْلُودٌ لَهُ بِوَلَدِهِ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معنی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تضرّ الوالدة و لا الوالد بالولد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الضرر یرجع إلی الولد، کأنّه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یضارّ کلّ واحدٍ من الأب و الأمّ بالصبیّ، الأمّ بأن لا ترضعه، و الأب بأن لا ینفق</w:t>
      </w:r>
      <w:r>
        <w:rPr>
          <w:rStyle w:val="FootnoteAnchor"/>
          <w:rtl w:val="true"/>
        </w:rPr>
        <w:footnoteReference w:id="17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فالحکم بحرمة وقوع الضرر علی الولد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یشمل أنواع</w:t>
      </w:r>
      <w:bookmarkStart w:id="816" w:name="pg11752_146404"/>
    </w:p>
    <w:p>
      <w:pPr>
        <w:pStyle w:val="BookText"/>
        <w:rPr/>
      </w:pPr>
      <w:bookmarkEnd w:id="816"/>
      <w:r>
        <w:rPr>
          <w:rFonts w:ascii="IRNazanin" w:hAnsi="IRNazanin" w:eastAsia="IRNazanin"/>
          <w:color w:val="111111"/>
          <w:sz w:val="28"/>
          <w:sz w:val="28"/>
          <w:szCs w:val="28"/>
          <w:rtl w:val="true"/>
          <w:lang w:bidi="fa-IR"/>
        </w:rPr>
        <w:t>الضرر علیه، و من جملتها الامتناع من النفقة، و إذا ثبت العامّ یثبت الخاصّ فی ضمنه، و علی هذا یمکن استفادة وجوب نفقة الولد من هذه الآیة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الآیات التی استدلّ بها لإثبات هذا الحکم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تَقْتُلُوا أَوْلادَکُمْ خَشْیَةَ إِمْلاقٍ نَحْنُ نَرْزُقُهُمْ وَ إِیّاکُمْ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أی لا تقتلوا بناتکم خوف فقر و عجز عن النفقة</w:t>
      </w:r>
      <w:r>
        <w:rPr>
          <w:rStyle w:val="FootnoteAnchor"/>
          <w:rtl w:val="true"/>
        </w:rPr>
        <w:footnoteReference w:id="17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صاحب 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ردّه علی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المقصود من الأولاد البنات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موجب لحمل الأولاد علی البنات مع کونه 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فالحقّ أنّ الآیة تکشف عن سُنّةٍ سیّئةٍ أخری غیر وأد البنات دفعاً للهون، و هی قتل الأولاد من ذکر أو أنثی خوفاً من الفقر و الفاقة</w:t>
      </w:r>
      <w:r>
        <w:rPr>
          <w:rFonts w:eastAsia="IRNazanin" w:cs="IRNazanin"/>
          <w:color w:val="111111"/>
          <w:sz w:val="28"/>
          <w:szCs w:val="28"/>
          <w:rtl w:val="true"/>
          <w:lang w:bidi="fa-IR"/>
        </w:rPr>
        <w:t>»</w:t>
      </w:r>
      <w:r>
        <w:rPr>
          <w:rStyle w:val="FootnoteAnchor"/>
          <w:rtl w:val="true"/>
        </w:rPr>
        <w:footnoteReference w:id="17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کلّ حالٍ، قال الشیخ رحمه الله فی المبسوط فی وجه الاستدلال بالآیة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لا أنّ علیه نفقته ما قتله خشیة الفقر</w:t>
      </w:r>
      <w:r>
        <w:rPr>
          <w:rFonts w:eastAsia="IRNazanin" w:cs="IRNazanin"/>
          <w:color w:val="111111"/>
          <w:sz w:val="28"/>
          <w:szCs w:val="28"/>
          <w:rtl w:val="true"/>
          <w:lang w:bidi="fa-IR"/>
        </w:rPr>
        <w:t>»</w:t>
      </w:r>
      <w:r>
        <w:rPr>
          <w:rStyle w:val="FootnoteAnchor"/>
          <w:rtl w:val="true"/>
        </w:rPr>
        <w:footnoteReference w:id="17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مقصوده رحمه الله أنّ خشیة الفقر و عدم القدرة علی أداء النفقة صار سبباً لقتل الوالدین أولادهم، و لو لم تکن النفقة واجبةً علیهم لم یقتلوهم، فتکون الآیة ظاهرةً فی وجوب نفقة الولد علی الوالد و لا أقلّ یمکن استئناس الحکم منها</w:t>
      </w:r>
      <w:r>
        <w:rPr>
          <w:rFonts w:eastAsia="IRNazanin" w:cs="IRNazanin"/>
          <w:color w:val="111111"/>
          <w:sz w:val="28"/>
          <w:szCs w:val="28"/>
          <w:rtl w:val="true"/>
          <w:lang w:bidi="fa-IR"/>
        </w:rPr>
        <w:t>.</w:t>
      </w:r>
    </w:p>
    <w:p>
      <w:pPr>
        <w:pStyle w:val="Heading6"/>
        <w:numPr>
          <w:ilvl w:val="5"/>
          <w:numId w:val="1"/>
        </w:numPr>
        <w:rPr/>
      </w:pPr>
      <w:bookmarkStart w:id="817" w:name="__RefHeading___Toc9424396_73709187"/>
      <w:bookmarkStart w:id="818" w:name="_Toc312"/>
      <w:bookmarkEnd w:id="817"/>
      <w:r>
        <w:rPr>
          <w:rtl w:val="true"/>
        </w:rPr>
        <w:t xml:space="preserve">ب </w:t>
      </w:r>
      <w:r>
        <w:rPr>
          <w:rtl w:val="true"/>
        </w:rPr>
        <w:t xml:space="preserve">- </w:t>
      </w:r>
      <w:r>
        <w:rPr>
          <w:rtl w:val="true"/>
        </w:rPr>
        <w:t>السنّة</w:t>
      </w:r>
      <w:bookmarkEnd w:id="818"/>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النصوص الواردة لبیان هذا الحکم مستفیضة بل متواترة إجمالاً، و نذکر الأهمّ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الصحیح أو الحسن، عن حریز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الذی اجبر علیه و تلزمنی نفقتُه؟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الوالدان و الولد و الزوجة</w:t>
      </w:r>
      <w:r>
        <w:rPr>
          <w:rFonts w:eastAsia="IRNazanin" w:cs="IRNazanin"/>
          <w:color w:val="111111"/>
          <w:sz w:val="28"/>
          <w:szCs w:val="28"/>
          <w:rtl w:val="true"/>
          <w:lang w:bidi="fa-IR"/>
        </w:rPr>
        <w:t>»</w:t>
      </w:r>
      <w:r>
        <w:rPr>
          <w:rStyle w:val="FootnoteAnchor"/>
          <w:rtl w:val="true"/>
        </w:rPr>
        <w:footnoteReference w:id="17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الشیخ فی التهذیب و الصدوق فی الفقیه فی الصحیح عن محمد الحلبی، عن أبی عبد اللّه مثله</w:t>
      </w:r>
      <w:r>
        <w:rPr>
          <w:rStyle w:val="FootnoteAnchor"/>
          <w:rtl w:val="true"/>
        </w:rPr>
        <w:footnoteReference w:id="1722"/>
      </w:r>
      <w:r>
        <w:rPr>
          <w:rFonts w:ascii="IRNazanin" w:hAnsi="IRNazanin" w:eastAsia="IRNazanin"/>
          <w:color w:val="111111"/>
          <w:sz w:val="28"/>
          <w:sz w:val="28"/>
          <w:szCs w:val="28"/>
          <w:rtl w:val="true"/>
          <w:lang w:bidi="fa-IR"/>
        </w:rPr>
        <w:t>إلاّ أنّه فی نقل الفقیه أضیف فی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الوارث الصغیر</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و یمکن أن تکون روایتین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فی الصحیح عن جمیل بن درّاج، عن أحدهما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یجبر الرجل إلاّ علی نفقة الأبوین و الولد</w:t>
      </w:r>
      <w:r>
        <w:rPr>
          <w:rFonts w:eastAsia="IRNazanin" w:cs="IRNazanin"/>
          <w:color w:val="111111"/>
          <w:sz w:val="28"/>
          <w:szCs w:val="28"/>
          <w:rtl w:val="true"/>
          <w:lang w:bidi="fa-IR"/>
        </w:rPr>
        <w:t>»</w:t>
      </w:r>
      <w:r>
        <w:rPr>
          <w:rStyle w:val="FootnoteAnchor"/>
          <w:rtl w:val="true"/>
        </w:rPr>
        <w:footnoteReference w:id="17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هکذا فی الصحیح عن محمد بن مسلم،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یلزم الرجل من قرابته ممّن ینفق علیه؟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الوالدان و الولد و الزوجة</w:t>
      </w:r>
      <w:r>
        <w:rPr>
          <w:rFonts w:eastAsia="IRNazanin" w:cs="IRNazanin"/>
          <w:color w:val="111111"/>
          <w:sz w:val="28"/>
          <w:szCs w:val="28"/>
          <w:rtl w:val="true"/>
          <w:lang w:bidi="fa-IR"/>
        </w:rPr>
        <w:t>»</w:t>
      </w:r>
      <w:r>
        <w:rPr>
          <w:rStyle w:val="FootnoteAnchor"/>
          <w:rtl w:val="true"/>
        </w:rPr>
        <w:footnoteReference w:id="17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فی روایة تحف العقول 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الوجوه الخمس التی تجب علیه النفقة لمن یلزمه نفسه، فعلی ولده و والدیه و امرأته و مملوکه، لازم له ذلک فی العسر و الیُسر</w:t>
      </w:r>
      <w:r>
        <w:rPr>
          <w:rFonts w:eastAsia="IRNazanin" w:cs="IRNazanin"/>
          <w:color w:val="111111"/>
          <w:sz w:val="28"/>
          <w:szCs w:val="28"/>
          <w:rtl w:val="true"/>
          <w:lang w:bidi="fa-IR"/>
        </w:rPr>
        <w:t>»</w:t>
      </w:r>
      <w:r>
        <w:rPr>
          <w:rStyle w:val="FootnoteAnchor"/>
          <w:rtl w:val="true"/>
        </w:rPr>
        <w:footnoteReference w:id="1725"/>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جملة من الفقهاء رووا فی کتبهم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جاء إلی النبیّ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 دینار،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أنفقه علی نفسک، و قال معی 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أنفقه علی ولدک</w:t>
      </w:r>
      <w:r>
        <w:rPr>
          <w:rFonts w:eastAsia="IRNazanin" w:cs="IRNazanin"/>
          <w:color w:val="111111"/>
          <w:sz w:val="28"/>
          <w:szCs w:val="28"/>
          <w:rtl w:val="true"/>
          <w:lang w:bidi="fa-IR"/>
        </w:rPr>
        <w:t>»</w:t>
      </w:r>
      <w:r>
        <w:rPr>
          <w:rStyle w:val="FootnoteAnchor"/>
          <w:rtl w:val="true"/>
        </w:rPr>
        <w:footnoteReference w:id="1726"/>
      </w:r>
      <w:bookmarkStart w:id="819" w:name="pg11752_146406"/>
    </w:p>
    <w:p>
      <w:pPr>
        <w:pStyle w:val="BookText"/>
        <w:rPr/>
      </w:pPr>
      <w:bookmarkEnd w:id="819"/>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روی أنّ هنداً أمّ معاویة جاءت إلی رسول اللّه صلی الله علیه و آله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سفیان رجل شحیح و إنّه لا یعطینی ما یکفینی و ولدی إلاّ ما أخذت منه سرّاً و هو لا یعلم، فهل علیّ فی ذلک من جناح؟ فقال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خذی ما یکفیک و ولدک بالمعروف</w:t>
      </w:r>
      <w:r>
        <w:rPr>
          <w:rFonts w:eastAsia="IRNazanin" w:cs="IRNazanin"/>
          <w:color w:val="111111"/>
          <w:sz w:val="28"/>
          <w:szCs w:val="28"/>
          <w:rtl w:val="true"/>
          <w:lang w:bidi="fa-IR"/>
        </w:rPr>
        <w:t>»</w:t>
      </w:r>
      <w:r>
        <w:rPr>
          <w:rStyle w:val="FootnoteAnchor"/>
          <w:rtl w:val="true"/>
        </w:rPr>
        <w:footnoteReference w:id="17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الروایات و إن کان بعضها ضعیف السند إلاّ أنّ بعضها صحیح سنداً و قویّ دلالةً، و مع ضمّ الشهرة المحقّقة و الإجماع و السیرة القطعیة کفایة لإثبات الحکم</w:t>
      </w:r>
      <w:r>
        <w:rPr>
          <w:rFonts w:eastAsia="IRNazanin" w:cs="IRNazanin"/>
          <w:color w:val="111111"/>
          <w:sz w:val="28"/>
          <w:szCs w:val="28"/>
          <w:rtl w:val="true"/>
          <w:lang w:bidi="fa-IR"/>
        </w:rPr>
        <w:t>.</w:t>
      </w:r>
    </w:p>
    <w:p>
      <w:pPr>
        <w:pStyle w:val="Heading6"/>
        <w:numPr>
          <w:ilvl w:val="5"/>
          <w:numId w:val="1"/>
        </w:numPr>
        <w:rPr/>
      </w:pPr>
      <w:bookmarkStart w:id="820" w:name="__RefHeading___Toc9424398_73709187"/>
      <w:bookmarkStart w:id="821" w:name="_Toc313"/>
      <w:bookmarkEnd w:id="820"/>
      <w:r>
        <w:rPr>
          <w:rtl w:val="true"/>
        </w:rPr>
        <w:t xml:space="preserve">ج </w:t>
      </w:r>
      <w:r>
        <w:rPr>
          <w:rtl w:val="true"/>
        </w:rPr>
        <w:t xml:space="preserve">- </w:t>
      </w:r>
      <w:r>
        <w:rPr>
          <w:rtl w:val="true"/>
        </w:rPr>
        <w:t>الإجماع</w:t>
      </w:r>
      <w:bookmarkEnd w:id="821"/>
    </w:p>
    <w:p>
      <w:pPr>
        <w:pStyle w:val="BookText"/>
        <w:rPr/>
      </w:pPr>
      <w:r>
        <w:rPr>
          <w:rFonts w:ascii="IRNazanin" w:hAnsi="IRNazanin" w:eastAsia="IRNazanin"/>
          <w:color w:val="111111"/>
          <w:sz w:val="28"/>
          <w:sz w:val="28"/>
          <w:szCs w:val="28"/>
          <w:rtl w:val="true"/>
          <w:lang w:bidi="fa-IR"/>
        </w:rPr>
        <w:t>من تعرّض لهذه المسألة ادّعی الإجماع فیها، مثل ما قال المحقّق فی الشرائع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تجب النفقة علی الأبوین و الأولاد إجماعاً</w:t>
      </w:r>
      <w:r>
        <w:rPr>
          <w:rFonts w:eastAsia="IRNazanin" w:cs="IRNazanin"/>
          <w:color w:val="111111"/>
          <w:sz w:val="28"/>
          <w:szCs w:val="28"/>
          <w:rtl w:val="true"/>
          <w:lang w:bidi="fa-IR"/>
        </w:rPr>
        <w:t>»</w:t>
      </w:r>
      <w:r>
        <w:rPr>
          <w:rStyle w:val="FootnoteAnchor"/>
          <w:rtl w:val="true"/>
        </w:rPr>
        <w:footnoteReference w:id="1728"/>
      </w:r>
      <w:r>
        <w:rPr>
          <w:rFonts w:ascii="IRNazanin" w:hAnsi="IRNazanin" w:eastAsia="IRNazanin"/>
          <w:color w:val="111111"/>
          <w:sz w:val="28"/>
          <w:sz w:val="28"/>
          <w:szCs w:val="28"/>
          <w:rtl w:val="true"/>
          <w:lang w:bidi="fa-IR"/>
        </w:rPr>
        <w:t>و ادّعی فی الجواهر إجماعاً من المسلمین فضلاً عن المؤمنین</w:t>
      </w:r>
      <w:r>
        <w:rPr>
          <w:rStyle w:val="FootnoteAnchor"/>
          <w:rtl w:val="true"/>
        </w:rPr>
        <w:footnoteReference w:id="17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الشهید فی هذه المسألة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خلاف بین أصحابنا</w:t>
      </w:r>
      <w:r>
        <w:rPr>
          <w:rFonts w:eastAsia="IRNazanin" w:cs="IRNazanin"/>
          <w:color w:val="111111"/>
          <w:sz w:val="28"/>
          <w:szCs w:val="28"/>
          <w:rtl w:val="true"/>
          <w:lang w:bidi="fa-IR"/>
        </w:rPr>
        <w:t>»</w:t>
      </w:r>
      <w:r>
        <w:rPr>
          <w:rStyle w:val="FootnoteAnchor"/>
          <w:rtl w:val="true"/>
        </w:rPr>
        <w:footnoteReference w:id="17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الریاض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فالنفقة علی الأبوین و الأولاد 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بإجماع الأمّة</w:t>
      </w:r>
      <w:r>
        <w:rPr>
          <w:rFonts w:eastAsia="IRNazanin" w:cs="IRNazanin"/>
          <w:color w:val="111111"/>
          <w:sz w:val="28"/>
          <w:szCs w:val="28"/>
          <w:rtl w:val="true"/>
          <w:lang w:bidi="fa-IR"/>
        </w:rPr>
        <w:t>»</w:t>
      </w:r>
      <w:r>
        <w:rPr>
          <w:rStyle w:val="FootnoteAnchor"/>
          <w:rtl w:val="true"/>
        </w:rPr>
        <w:footnoteReference w:id="1731"/>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فی الحدائق</w:t>
      </w:r>
      <w:r>
        <w:rPr>
          <w:rStyle w:val="FootnoteAnchor"/>
          <w:rtl w:val="true"/>
        </w:rPr>
        <w:footnoteReference w:id="1732"/>
      </w:r>
      <w:r>
        <w:rPr>
          <w:rFonts w:ascii="IRNazanin" w:hAnsi="IRNazanin" w:eastAsia="IRNazanin"/>
          <w:color w:val="111111"/>
          <w:sz w:val="28"/>
          <w:sz w:val="28"/>
          <w:szCs w:val="28"/>
          <w:rtl w:val="true"/>
          <w:lang w:bidi="fa-IR"/>
        </w:rPr>
        <w:t>نقلاً عن السیّد السند فی شرح النافع بأنّه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أجمع العُلماء کافّةً علی وجوب النفقة علی الأبوین و الأولاد</w:t>
      </w:r>
      <w:r>
        <w:rPr>
          <w:rFonts w:eastAsia="IRNazanin" w:cs="IRNazanin"/>
          <w:color w:val="111111"/>
          <w:sz w:val="28"/>
          <w:szCs w:val="28"/>
          <w:rtl w:val="true"/>
          <w:lang w:bidi="fa-IR"/>
        </w:rPr>
        <w:t>»</w:t>
      </w:r>
      <w:r>
        <w:rPr>
          <w:rStyle w:val="FootnoteAnchor"/>
          <w:rtl w:val="true"/>
        </w:rPr>
        <w:footnoteReference w:id="1733"/>
      </w:r>
      <w:bookmarkStart w:id="822" w:name="pg11752_146407"/>
    </w:p>
    <w:p>
      <w:pPr>
        <w:pStyle w:val="BookText"/>
        <w:rPr/>
      </w:pPr>
      <w:bookmarkEnd w:id="822"/>
      <w:r>
        <w:rPr>
          <w:rFonts w:ascii="IRNazanin" w:hAnsi="IRNazanin" w:eastAsia="IRNazanin"/>
          <w:color w:val="111111"/>
          <w:sz w:val="28"/>
          <w:sz w:val="28"/>
          <w:szCs w:val="28"/>
          <w:rtl w:val="true"/>
          <w:lang w:bidi="fa-IR"/>
        </w:rPr>
        <w:t>و قال فی کشف اللثام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النفقة علی الأبوین و الأولاد فعلیه الإجماع</w:t>
      </w:r>
      <w:r>
        <w:rPr>
          <w:rFonts w:eastAsia="IRNazanin" w:cs="IRNazanin"/>
          <w:color w:val="111111"/>
          <w:sz w:val="28"/>
          <w:szCs w:val="28"/>
          <w:rtl w:val="true"/>
          <w:lang w:bidi="fa-IR"/>
        </w:rPr>
        <w:t>»</w:t>
      </w:r>
      <w:r>
        <w:rPr>
          <w:rStyle w:val="FootnoteAnchor"/>
          <w:rtl w:val="true"/>
        </w:rPr>
        <w:footnoteReference w:id="17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هکذا فقهاء أهل السنّة ادّعوا الإجماع فی هذه المسألة</w:t>
      </w:r>
      <w:r>
        <w:rPr>
          <w:rStyle w:val="FootnoteAnchor"/>
          <w:rtl w:val="true"/>
        </w:rPr>
        <w:footnoteReference w:id="17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مع ذلک کلّه فإنّ الإجماع مستند لا اعتبار به، و بتعبیر آخر استناد المجمعین یکون بالنصوص التی کانت بأیدینا؛ و لذا فإنّ أصل الدلیل یستفاد من الروایات لا الإجماع، و لکن السیرة یمکن أن تکون دلیلاً مستقلاًّ</w:t>
      </w:r>
      <w:r>
        <w:rPr>
          <w:rFonts w:eastAsia="IRNazanin" w:cs="IRNazanin"/>
          <w:color w:val="111111"/>
          <w:sz w:val="28"/>
          <w:szCs w:val="28"/>
          <w:rtl w:val="true"/>
          <w:lang w:bidi="fa-IR"/>
        </w:rPr>
        <w:t>.</w:t>
      </w:r>
    </w:p>
    <w:p>
      <w:pPr>
        <w:pStyle w:val="Heading6"/>
        <w:numPr>
          <w:ilvl w:val="5"/>
          <w:numId w:val="1"/>
        </w:numPr>
        <w:rPr/>
      </w:pPr>
      <w:bookmarkStart w:id="823" w:name="__RefHeading___Toc9424400_73709187"/>
      <w:bookmarkStart w:id="824" w:name="_Toc314"/>
      <w:bookmarkEnd w:id="823"/>
      <w:r>
        <w:rPr>
          <w:rtl w:val="true"/>
        </w:rPr>
        <w:t xml:space="preserve">د </w:t>
      </w:r>
      <w:r>
        <w:rPr>
          <w:rtl w:val="true"/>
        </w:rPr>
        <w:t xml:space="preserve">- </w:t>
      </w:r>
      <w:r>
        <w:rPr>
          <w:rtl w:val="true"/>
        </w:rPr>
        <w:t>العقل</w:t>
      </w:r>
      <w:bookmarkEnd w:id="824"/>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العقل حاکم بوجوب نفقة الصبیّ علی والدیه، و علّلوه بقولهم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ولد الإنسان بعضه، و هو بعض والده، فکما یجب علیه أن ینفق علی نفسه و أهله کذلک یجب أن ینفق علی بعضه؛ و لأنّ الإنفاق عند الحاجة من باب إحیاء المنفق علیه، و الولد جزء الوالد، و إحیاء الوالد نفسه واجب، کذا إحیاء جزئه؛ و لأنّ هذه القرابة مفترضة الوصل محرّمة القطع بالإجماع، و الإنفاق من باب الصلة، فکان واجباً، و ترکه مع القدرة للمنفق و تحقّق حاجة المنفق علیه یؤدّی إلی القطع فکان حراماً</w:t>
      </w:r>
      <w:r>
        <w:rPr>
          <w:rStyle w:val="FootnoteAnchor"/>
          <w:rtl w:val="true"/>
        </w:rPr>
        <w:footnoteReference w:id="17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التعلیلات استحسانات عقلیّة، و بما أنّه لا علم لنا بملاکات الأحکام، لا یمکن الاعتماد علیها بعنوان حکم الشرع</w:t>
      </w:r>
      <w:r>
        <w:rPr>
          <w:rFonts w:eastAsia="IRNazanin" w:cs="IRNazanin"/>
          <w:color w:val="111111"/>
          <w:sz w:val="28"/>
          <w:szCs w:val="28"/>
          <w:rtl w:val="true"/>
          <w:lang w:bidi="fa-IR"/>
        </w:rPr>
        <w:t>.</w:t>
      </w:r>
    </w:p>
    <w:p>
      <w:pPr>
        <w:pStyle w:val="Heading5"/>
        <w:numPr>
          <w:ilvl w:val="4"/>
          <w:numId w:val="1"/>
        </w:numPr>
        <w:rPr/>
      </w:pPr>
      <w:bookmarkStart w:id="825" w:name="__RefHeading___Toc9424402_73709187"/>
      <w:bookmarkStart w:id="826" w:name="_Toc315"/>
      <w:bookmarkEnd w:id="825"/>
      <w:r>
        <w:rPr>
          <w:rtl w:val="true"/>
        </w:rPr>
        <w:t>من هم الأولاد المشمولون بالإنفاق؟</w:t>
      </w:r>
      <w:bookmarkEnd w:id="826"/>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إثبات وجوب نفقة الأولاد، یقع البحث فی أنّه مَن هم الأولاد و الصبیان</w:t>
      </w:r>
    </w:p>
    <w:p>
      <w:pPr>
        <w:pStyle w:val="BookText"/>
        <w:rPr/>
      </w:pPr>
      <w:r>
        <w:rPr>
          <w:rFonts w:ascii="IRNazanin" w:hAnsi="IRNazanin" w:eastAsia="IRNazanin"/>
          <w:color w:val="111111"/>
          <w:sz w:val="28"/>
          <w:sz w:val="28"/>
          <w:szCs w:val="28"/>
          <w:rtl w:val="true"/>
          <w:lang w:bidi="fa-IR"/>
        </w:rPr>
        <w:t>الذین یجب الإنفاق علیهم من قِبل آبائهم؟ هل هم الأولاد الصلبیّون المباشرون أم هم و فروعهم و إن نزلوا؟ اختلف الفقهاء فی هذه المسألة علی 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الأولاد المباشرون لا فروعهم، و هذا قول المالکیّة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ابن جزی المالکی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أولاد الصلب تجب نفقتهم علی آبائهم، و لا یجب أن ینفق الجدّ علی ابن ابنه؛ لبعد نسب الجدّ</w:t>
      </w:r>
      <w:r>
        <w:rPr>
          <w:rFonts w:eastAsia="IRNazanin" w:cs="IRNazanin"/>
          <w:color w:val="111111"/>
          <w:sz w:val="28"/>
          <w:szCs w:val="28"/>
          <w:rtl w:val="true"/>
          <w:lang w:bidi="fa-IR"/>
        </w:rPr>
        <w:t>»</w:t>
      </w:r>
      <w:r>
        <w:rPr>
          <w:rStyle w:val="FootnoteAnchor"/>
          <w:rtl w:val="true"/>
        </w:rPr>
        <w:footnoteReference w:id="17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هو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الأولاد و فروعهم و إن نزلوا ذکوراً کانوا أو إناثاً، و هذا قول فقهاء الشیعة</w:t>
      </w:r>
      <w:r>
        <w:rPr>
          <w:rStyle w:val="FootnoteAnchor"/>
          <w:rtl w:val="true"/>
        </w:rPr>
        <w:footnoteReference w:id="1738"/>
      </w:r>
      <w:r>
        <w:rPr>
          <w:rFonts w:ascii="IRNazanin" w:hAnsi="IRNazanin" w:eastAsia="IRNazanin"/>
          <w:color w:val="111111"/>
          <w:sz w:val="28"/>
          <w:sz w:val="28"/>
          <w:szCs w:val="28"/>
          <w:rtl w:val="true"/>
          <w:lang w:bidi="fa-IR"/>
        </w:rPr>
        <w:t>و أکثر أهل السنّة من الحنفیة و الشافعیة و الحنابلة</w:t>
      </w:r>
      <w:r>
        <w:rPr>
          <w:rStyle w:val="FootnoteAnchor"/>
          <w:rtl w:val="true"/>
        </w:rPr>
        <w:footnoteReference w:id="17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استدلّ للقول الأوّل بقوله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الْمَوْلُودِ لَهُ رِزْقُهُنَّ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دلّت هذه الآیة علی أنّ الولد المستحقّ للنفقة الواجبة علی أبیه هو الولد الصلبی المباشر للأب؛ لأنّ ما ولد للأب حقیقةً هو الابن المباشر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الصلبی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ابن الابن فلا یکون کذلک و إن أطلق علیه اسم الابن مسامحةً، و کذلک قول النبیّ صلی الله علیه و آله لهند امرأة أبی سفیان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خذی ما یکفیک و ولدک</w:t>
      </w:r>
      <w:r>
        <w:rPr>
          <w:rFonts w:eastAsia="IRNazanin" w:cs="IRNazanin"/>
          <w:color w:val="111111"/>
          <w:sz w:val="28"/>
          <w:szCs w:val="28"/>
          <w:rtl w:val="true"/>
          <w:lang w:bidi="fa-IR"/>
        </w:rPr>
        <w:t>»</w:t>
      </w:r>
      <w:r>
        <w:rPr>
          <w:rStyle w:val="FootnoteAnchor"/>
          <w:rtl w:val="true"/>
        </w:rPr>
        <w:footnoteReference w:id="1740"/>
      </w:r>
      <w:r>
        <w:rPr>
          <w:rFonts w:ascii="IRNazanin" w:hAnsi="IRNazanin" w:eastAsia="IRNazanin"/>
          <w:color w:val="111111"/>
          <w:sz w:val="28"/>
          <w:sz w:val="28"/>
          <w:szCs w:val="28"/>
          <w:rtl w:val="true"/>
          <w:lang w:bidi="fa-IR"/>
        </w:rPr>
        <w:t>فإنّ ما هو الولد حقیقةً المباشر الصلبی لا غیره، و أیضاً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الشرع إنّما ورد بنفقة الوالدین و المولودین، و من سواهم لا یلحق بهم فی الولادة و أحکامها، فلا یصحّ القیاس علیهم</w:t>
      </w:r>
      <w:r>
        <w:rPr>
          <w:rFonts w:eastAsia="IRNazanin" w:cs="IRNazanin"/>
          <w:color w:val="111111"/>
          <w:sz w:val="28"/>
          <w:szCs w:val="28"/>
          <w:rtl w:val="true"/>
          <w:lang w:bidi="fa-IR"/>
        </w:rPr>
        <w:t>»</w:t>
      </w:r>
      <w:r>
        <w:rPr>
          <w:rStyle w:val="FootnoteAnchor"/>
          <w:rtl w:val="true"/>
        </w:rPr>
        <w:footnoteReference w:id="1741"/>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استدل للقول الثانی بالإجماع و السیرة القطعیة من السلف و الخلف، بل بعنوان الحکم المتّفق علیه عند الشیعة، قال فی الحدائق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خلاف و لا إشکال فی</w:t>
      </w:r>
    </w:p>
    <w:p>
      <w:pPr>
        <w:pStyle w:val="BookText"/>
        <w:rPr/>
      </w:pPr>
      <w:r>
        <w:rPr>
          <w:rFonts w:ascii="IRNazanin" w:hAnsi="IRNazanin" w:eastAsia="IRNazanin"/>
          <w:color w:val="111111"/>
          <w:sz w:val="28"/>
          <w:sz w:val="28"/>
          <w:szCs w:val="28"/>
          <w:rtl w:val="true"/>
          <w:lang w:bidi="fa-IR"/>
        </w:rPr>
        <w:t>وجوب النفقة علی الأبوین و إن ارتفعا و الأولاد و إن سفلوا، و لم یظهر من أحد من الأصحاب خلاف فی ذلک إلاّ ما یتراءی من تردّد المحقّق فی الشرائع و النافع</w:t>
      </w:r>
      <w:r>
        <w:rPr>
          <w:rStyle w:val="FootnoteAnchor"/>
          <w:rtl w:val="true"/>
        </w:rPr>
        <w:footnoteReference w:id="17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جزم بعد ذلک بالحکم المذکور، و وافق قول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السند فی شرح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 العلماء کافة علی وجوب النفقة علی الأبوین و الأولاد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یتعدّی الوجوب إلی من علا من الآباء و الاُمّهات أو سفل من الأولاد؟ المشهور بین الأصحاب ذلک، بل لم أقف فیه علی مخالف صریح أو تردّد سوی المصنّف، و کأنّ منشأ التردّد من الشکّ فی صدق الآباء و الأمّهات و الأولاد علی مَن علا أو سفل منهم بطریق الحقیقة، و هو فی محلّه و إن کان الأقرب وجوب النفقة علی الجمیع</w:t>
      </w:r>
      <w:r>
        <w:rPr>
          <w:rStyle w:val="FootnoteAnchor"/>
          <w:rtl w:val="true"/>
        </w:rPr>
        <w:footnoteReference w:id="17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بنحو ذلک صرّح جدّه فی المسالک أیضاً</w:t>
      </w:r>
      <w:r>
        <w:rPr>
          <w:rStyle w:val="FootnoteAnchor"/>
          <w:rtl w:val="true"/>
        </w:rPr>
        <w:footnoteReference w:id="17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أضاف فی 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فالمذهب وجوب الإنفاق علی الجمیع</w:t>
      </w:r>
      <w:r>
        <w:rPr>
          <w:rFonts w:eastAsia="IRNazanin" w:cs="IRNazanin"/>
          <w:color w:val="111111"/>
          <w:sz w:val="28"/>
          <w:szCs w:val="28"/>
          <w:rtl w:val="true"/>
          <w:lang w:bidi="fa-IR"/>
        </w:rPr>
        <w:t>»</w:t>
      </w:r>
      <w:r>
        <w:rPr>
          <w:rStyle w:val="FootnoteAnchor"/>
          <w:rtl w:val="true"/>
        </w:rPr>
        <w:footnoteReference w:id="17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ملخّص ما قاله فی الجواهر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نقل ما حکی من الإجماع من کتاب المقدس البغدادی و ما اعترف به فی الریاض </w:t>
      </w:r>
      <w:r>
        <w:rPr>
          <w:rStyle w:val="FootnoteAnchor"/>
          <w:rtl w:val="true"/>
        </w:rPr>
        <w:footnoteReference w:id="174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وجوب الإنفاق یشمل الجدّ و الجدّة؛ لاستفاضة النصوص علی حرمة إعطائهما الزکاة، فإنّه جاء فی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خمسة لا یعطون من الزکاة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 و الاُمّ و الولد و المملوک و المرأة؛ و ذلک أنّهم عیاله لازمون له</w:t>
      </w:r>
      <w:r>
        <w:rPr>
          <w:rStyle w:val="FootnoteAnchor"/>
          <w:rtl w:val="true"/>
        </w:rPr>
        <w:footnoteReference w:id="1747"/>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الکلام فی أولاد الأولاد و لو البنات منهم و إن نزلوا، الذی لم</w:t>
      </w:r>
    </w:p>
    <w:p>
      <w:pPr>
        <w:pStyle w:val="BookText"/>
        <w:rPr/>
      </w:pPr>
      <w:r>
        <w:rPr>
          <w:rFonts w:ascii="Amiri" w:hAnsi="Amiri" w:eastAsia="Amiri" w:cs="Amiri"/>
          <w:color w:val="111111"/>
          <w:sz w:val="28"/>
          <w:sz w:val="28"/>
          <w:szCs w:val="28"/>
          <w:rtl w:val="true"/>
          <w:lang w:bidi="ar-SA"/>
        </w:rPr>
        <w:t xml:space="preserve">یتردّد فیهم المصنّف، بل یدلّ علی الإنفاق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إلی ما سمعت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تَقْتُلُوا أَوْلادَکُمْ خَشْیَةَ إِمْلاقٍ نَحْنُ نَرْزُقُهُمْ وَ إِیّاکُمْ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کلّه بعد تسلیم عدم انصراف إطلاق الوالدین و الأبوین و الولد لمن علا و إن نزل، و إلاّ کما أوضحناه فی کتاب الخمس، فلا إشکال حینئذٍ فی أصل المسألة، و لعلّ المقام من الشواهد لما ذکرناه هناک أیضاً، و اللّه العالم</w:t>
      </w:r>
      <w:r>
        <w:rPr>
          <w:rFonts w:eastAsia="Amiri" w:cs="Amiri" w:ascii="Amiri" w:hAnsi="Amiri"/>
          <w:color w:val="111111"/>
          <w:sz w:val="28"/>
          <w:szCs w:val="28"/>
          <w:rtl w:val="true"/>
          <w:lang w:bidi="ar-SA"/>
        </w:rPr>
        <w:t>»</w:t>
      </w:r>
      <w:r>
        <w:rPr>
          <w:rStyle w:val="FootnoteAnchor"/>
          <w:rtl w:val="true"/>
        </w:rPr>
        <w:footnoteReference w:id="17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کلّ حالٍ الإجماع القطعی الکاشف عن قول المعصوم علیه السلام کان دلیلاً لهذا الحکم، مضافاً إلی أنّ إطلاق الولد علی ابن الابن و إن نزل حقیقی فی المحاورات، أ لم تسمع قولهم للإمامین الحسن و الحسین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ابنا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هل یخطر ببالک حین استماع هذا الکلام بأنّ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کان مجازیاً؟ و هکذا جاء فی القرآن العظیم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یُوصِیکُمُ اللّهُ فِی أَوْلادِکُمْ لِلذَّکَرِ مِثْلُ حَظِّ الْأُنْثَیَیْنِ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قد دلّت هذه الآیة علی أنّه لا فرق بین الأولاد الصلبیّین المباشرین و غیرهم، مثلاً إذا مات شخص و لم یکن له سوی أولاد ابنه أو بنته، فهل یشکّ أحد بأنّهم لم یکونوا أولاده حقیقة؟ بل یَرِثون منه کما لو کانوا أولاد نفسه بلا واسطة، و لا فرق بین الموردین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المفسّرین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الدلیل علی أنّ إطلاق الولد فی الآیة علی غیر الصلبی لا یکون مجازاً، أنّه ثبت فی أصول الفقه أنّ اللفظ الواحد لا یجوز أن یستعمل دفعةً واحدةً فی حقیقته و فی مجازه معاً، فحینئذٍ یمتنع أن یرید اللّه بقوله تبارک و تعالی</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یُوصِیکُمُ اللّهُ فِی أَوْلادِکُمْ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الصلب و ولد الابن معاً</w:t>
      </w:r>
      <w:r>
        <w:rPr>
          <w:rFonts w:eastAsia="Amiri" w:cs="Amiri" w:ascii="Amiri" w:hAnsi="Amiri"/>
          <w:color w:val="111111"/>
          <w:sz w:val="28"/>
          <w:szCs w:val="28"/>
          <w:rtl w:val="true"/>
          <w:lang w:bidi="ar-SA"/>
        </w:rPr>
        <w:t>»</w:t>
      </w:r>
      <w:r>
        <w:rPr>
          <w:rStyle w:val="FootnoteAnchor"/>
          <w:rtl w:val="true"/>
        </w:rPr>
        <w:footnoteReference w:id="1749"/>
      </w:r>
      <w:bookmarkStart w:id="827" w:name="pg11752_146411"/>
    </w:p>
    <w:p>
      <w:pPr>
        <w:pStyle w:val="BookText"/>
        <w:rPr/>
      </w:pPr>
      <w:bookmarkEnd w:id="827"/>
      <w:r>
        <w:rPr>
          <w:rFonts w:ascii="IRNazanin" w:hAnsi="IRNazanin" w:eastAsia="IRNazanin"/>
          <w:color w:val="111111"/>
          <w:sz w:val="28"/>
          <w:sz w:val="28"/>
          <w:szCs w:val="28"/>
          <w:rtl w:val="true"/>
          <w:lang w:bidi="fa-IR"/>
        </w:rPr>
        <w:t>یعنی یکون الولد بالصلب حقیقیاً و بالنسبة لولد الابن مجازیاً، و هذا غیر جائز، بل فیهما حقیقی و هو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أضاف فی آخر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الواجب أن یجعل الولد متواطئاً 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الولد الصلبی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کالحیوان بالنسبة إلی الإنسان و الفرس، و الذی یدلّ علی صحة ذلک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حَلائِلُ أَبْنائِکُمُ الَّذِینَ مِنْ أَصْلابِکُمْ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أجمعوا أنّه یدخل فیه ابن الصلب و أولاد الابن، فعلمنا أنّ لفظ الابن متواطئ بالنسبة إلی ولد الصلب و ولد الابن</w:t>
      </w:r>
      <w:r>
        <w:rPr>
          <w:rFonts w:eastAsia="IRNazanin" w:cs="IRNazanin"/>
          <w:color w:val="111111"/>
          <w:sz w:val="28"/>
          <w:szCs w:val="28"/>
          <w:rtl w:val="true"/>
          <w:lang w:bidi="fa-IR"/>
        </w:rPr>
        <w:t>...»</w:t>
      </w:r>
      <w:r>
        <w:rPr>
          <w:rStyle w:val="FootnoteAnchor"/>
          <w:rtl w:val="true"/>
        </w:rPr>
        <w:footnoteReference w:id="1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علی فرض التنزّل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اطلق الابن علی أولاد غیر المباشرین،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بَنِی آدَمَ خُذُوا زِینَتَکُمْ عِنْدَ کُلِّ مَسْجِدٍ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فسمّانا ابناً و سمّی آدم أباً، و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مِلَّةَ أَبِیکُمْ 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فسمّاه أباً و إن کان جدّاً بعیداً، فیستفاد منها أنّ الأحفاد و الأولاد غیر المباشرین ملحقون بالمباشرین و الصلبیّین، و لهم حکمهم و إن لم یطلق علیهم الأولاد حقیقةً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کلّ حال کفانا فی هذه المسألة الإجماع فی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یجب علی الإنسان نفقة والدیه و إن علوا و أولاده سیّما الصبیان و إن نزلُوا، یعنی الصبیان من أولاده و أولاد أولاده و هکذا</w:t>
      </w:r>
      <w:r>
        <w:rPr>
          <w:rFonts w:eastAsia="IRNazanin" w:cs="IRNazanin"/>
          <w:color w:val="111111"/>
          <w:sz w:val="28"/>
          <w:szCs w:val="28"/>
          <w:rtl w:val="true"/>
          <w:lang w:bidi="fa-IR"/>
        </w:rPr>
        <w:t>.</w:t>
      </w:r>
    </w:p>
    <w:p>
      <w:pPr>
        <w:pStyle w:val="Heading5"/>
        <w:numPr>
          <w:ilvl w:val="4"/>
          <w:numId w:val="1"/>
        </w:numPr>
        <w:rPr/>
      </w:pPr>
      <w:bookmarkStart w:id="828" w:name="__RefHeading___Toc9424404_73709187"/>
      <w:bookmarkStart w:id="829" w:name="_Toc316"/>
      <w:bookmarkEnd w:id="828"/>
      <w:r>
        <w:rPr>
          <w:rtl w:val="true"/>
        </w:rPr>
        <w:t>اختلاف آراء المذاهب الأربعة فی المسألة</w:t>
      </w:r>
      <w:bookmarkEnd w:id="829"/>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للمذاهب الأربعة آراء مختلفة تتفاوت فیما بینها ضیقاً و اتّساعاً فی تحدید مدی القرابة الموجبة للنفقة، فأضیقها مذهب المالکیة ثمّ الشافعیة ثمّ الحنفیة ثمّ الحنابلة</w:t>
      </w:r>
      <w:r>
        <w:rPr>
          <w:rFonts w:eastAsia="IRNazanin" w:cs="IRNazanin"/>
          <w:color w:val="111111"/>
          <w:sz w:val="28"/>
          <w:szCs w:val="28"/>
          <w:rtl w:val="true"/>
          <w:lang w:bidi="fa-IR"/>
        </w:rPr>
        <w:t>.</w:t>
      </w:r>
      <w:bookmarkStart w:id="830" w:name="pg11752_146412"/>
    </w:p>
    <w:p>
      <w:pPr>
        <w:pStyle w:val="BookText"/>
        <w:rPr/>
      </w:pPr>
      <w:bookmarkEnd w:id="830"/>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المالکیة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ذکرنا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النفقة الواجبة هی للأبوین و الأبناء مباشرةً فحسب دون غیرهم، فتجب النفقة للأب و الاُمّ و للولد ذکراً أو أنثی، و لا تجب للجدّ و الجدّة و لا لولد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الشافعیة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القرابة التی تستحقّ بها النفقة قرابة الوالدین و إن علوا، و قرابة الأولاد و إن سفلُوا؛ لأنّ اسم الوالدین یقع علی الأجداد و الجدّات مع الآباء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اسم الولد یقع علی ولد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تجب نفقة من عدا الوالدین و المولودین من الأقارب، کالإخوة و الأعمام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الحنفیة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النفقة للقرابة المحرّمة للزواج، أی لکلّ ذی رحمٍ محرم، و لا تجب لقریب غیر محرم من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هذه الطائفة قیدت القرابة بالمحرمیّة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الحنابلة و هو أوسع من الکُلّ؛ لأنّهم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النفقة لکلّ قریبٍ وارث بالفرض أو التعصیب من الأصول و الفروع و الحواشی کالإخوة و الأعمام و أبنائهم، و کذا من ذوی الأرحام إذا کانوا من عمود النسب، کأب الاُمّ و ابن البنت سواء أ کانوا وارثین أم محجوبین، أمّا من کان من غیر عمود النسب کالخالة و العمّة فلا نفقة له علی قریبه؛ لأنّ قرابتهم ضعیفة، و إنّما یأخذون المال عند عدم الوارث کسائر المسلمین</w:t>
      </w:r>
      <w:r>
        <w:rPr>
          <w:rStyle w:val="FootnoteAnchor"/>
          <w:rtl w:val="true"/>
        </w:rPr>
        <w:footnoteReference w:id="17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1" w:name="__RefHeading___Toc9424406_73709187"/>
      <w:bookmarkStart w:id="832" w:name="_Toc317"/>
      <w:bookmarkEnd w:id="831"/>
      <w:r>
        <w:rPr>
          <w:rtl w:val="true"/>
        </w:rPr>
        <w:t>استحباب النفقة علی أولاد الأقارب</w:t>
      </w:r>
      <w:r>
        <w:rPr>
          <w:rtl w:val="true"/>
        </w:rPr>
        <w:t>:</w:t>
      </w:r>
      <w:bookmarkEnd w:id="832"/>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ظهر ممّا ذکرنا أنّه تجب النفقة علی الأبوین و إن علوا و الأولاد و إن نزلوا، سواء کانوا ذکوراً أو إناثاً، و سواء کان الجدّ للأب أو للأمّ، و سواء کان الولد لابن المنفق</w:t>
      </w:r>
    </w:p>
    <w:p>
      <w:pPr>
        <w:pStyle w:val="BookText"/>
        <w:rPr/>
      </w:pPr>
      <w:r>
        <w:rPr>
          <w:rFonts w:ascii="IRNazanin" w:hAnsi="IRNazanin" w:eastAsia="IRNazanin"/>
          <w:color w:val="111111"/>
          <w:sz w:val="28"/>
          <w:sz w:val="28"/>
          <w:szCs w:val="28"/>
          <w:rtl w:val="true"/>
          <w:lang w:bidi="fa-IR"/>
        </w:rPr>
        <w:t>أو لبنته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تجب علی غیرهم ممّن هو علی حاشیة النسب و لیسوا علی قطبه، کالإخوة و الأخوات و الأعمام و العمّات و الأخوال و الخالات و أولادهم علوا أو نزلوا، و إن کانوا ورثة علی 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یستحب و یتأکّد علی الوارث</w:t>
      </w:r>
      <w:r>
        <w:rPr>
          <w:rStyle w:val="FootnoteAnchor"/>
          <w:rtl w:val="true"/>
        </w:rPr>
        <w:footnoteReference w:id="17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تجب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النفقة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غیر العمودین من الأقارب، کالإخوة و الأعمام و الأخوال و غیرهم، لکن تستحبّ و یتأکّد فی الوارث منهم</w:t>
      </w:r>
      <w:r>
        <w:rPr>
          <w:rFonts w:eastAsia="IRNazanin" w:cs="IRNazanin"/>
          <w:color w:val="111111"/>
          <w:sz w:val="28"/>
          <w:szCs w:val="28"/>
          <w:rtl w:val="true"/>
          <w:lang w:bidi="fa-IR"/>
        </w:rPr>
        <w:t>»</w:t>
      </w:r>
      <w:r>
        <w:rPr>
          <w:rStyle w:val="FootnoteAnchor"/>
          <w:rtl w:val="true"/>
        </w:rPr>
        <w:footnoteReference w:id="17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أضاف صاحب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فی الریاض الإجماع فی الظاهر علیه</w:t>
      </w:r>
      <w:r>
        <w:rPr>
          <w:rStyle w:val="FootnoteAnchor"/>
          <w:rtl w:val="true"/>
        </w:rPr>
        <w:footnoteReference w:id="1754"/>
      </w:r>
    </w:p>
    <w:p>
      <w:pPr>
        <w:pStyle w:val="BookText"/>
        <w:rPr/>
      </w:pPr>
      <w:r>
        <w:rPr>
          <w:rFonts w:ascii="IRNazanin" w:hAnsi="IRNazanin" w:eastAsia="IRNazanin"/>
          <w:color w:val="111111"/>
          <w:sz w:val="28"/>
          <w:sz w:val="28"/>
          <w:szCs w:val="28"/>
          <w:rtl w:val="true"/>
          <w:lang w:bidi="fa-IR"/>
        </w:rPr>
        <w:t>للأصل، و الحصر فی النصوص</w:t>
      </w:r>
      <w:r>
        <w:rPr>
          <w:rFonts w:eastAsia="IRNazanin" w:cs="IRNazanin"/>
          <w:color w:val="111111"/>
          <w:sz w:val="28"/>
          <w:szCs w:val="28"/>
          <w:rtl w:val="true"/>
          <w:lang w:bidi="fa-IR"/>
        </w:rPr>
        <w:t>»</w:t>
      </w:r>
      <w:r>
        <w:rPr>
          <w:rStyle w:val="FootnoteAnchor"/>
          <w:rtl w:val="true"/>
        </w:rPr>
        <w:footnoteReference w:id="17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مقصوده أنّ دلیل هذا الحکم هو الإجماع الظاهر من کلمات بعض الفقهاء، و أصل البراءة، بمعنی نشکّ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علینا نفقة الأقارب و أولادهم من الأعمام و الأخوال أم لا؟ و حیث إنّه لا دلیل علی الوجوب نحکم بالبراءة، قال فی المسالک فی هذا 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یؤیّده أصالة براءة الذّمة من وجوب الإنفاق علی غیر مَن دلّ الدلیل علی وجوب الإنفاق علیه، و هو منفیّ هنا</w:t>
      </w:r>
      <w:r>
        <w:rPr>
          <w:rFonts w:eastAsia="IRNazanin" w:cs="IRNazanin"/>
          <w:color w:val="111111"/>
          <w:sz w:val="28"/>
          <w:szCs w:val="28"/>
          <w:rtl w:val="true"/>
          <w:lang w:bidi="fa-IR"/>
        </w:rPr>
        <w:t>»</w:t>
      </w:r>
      <w:r>
        <w:rPr>
          <w:rStyle w:val="FootnoteAnchor"/>
          <w:rtl w:val="true"/>
        </w:rPr>
        <w:footnoteReference w:id="1756"/>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النصوص، فالروایات الواردة فی باب المستحقّین للزکاة، التی نصّ فیها بعدم جواز إیتاء الزکاة للذین نفقتهم واجبة علی المعطی، و هم المملوک و الزوجة و الأولاد و إن نزلوا و الآباء و إن علوا، 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إیتاء الزکاة أن لا یکون المعطی له من واجبی النفقة، فیستفاد من هذا فی کلّ مورد جاز إیتاء الزکاة</w:t>
      </w:r>
    </w:p>
    <w:p>
      <w:pPr>
        <w:pStyle w:val="BookText"/>
        <w:rPr/>
      </w:pPr>
      <w:r>
        <w:rPr>
          <w:rFonts w:ascii="IRNazanin" w:hAnsi="IRNazanin" w:eastAsia="IRNazanin"/>
          <w:color w:val="111111"/>
          <w:sz w:val="28"/>
          <w:sz w:val="28"/>
          <w:szCs w:val="28"/>
          <w:rtl w:val="true"/>
          <w:lang w:bidi="fa-IR"/>
        </w:rPr>
        <w:t>فلا تجب النفقة؛ لأنّه جاء فی صحیحة زید الشحّام، عن أبی عبد اللّه علیه السلام قال فی الزکاة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یعطی منها الأخ و الأخت و العمّ و العمّة و الخال و الخالة، و لا یعطی الجدّ و لا الجدّة</w:t>
      </w:r>
      <w:r>
        <w:rPr>
          <w:rFonts w:eastAsia="IRNazanin" w:cs="IRNazanin"/>
          <w:color w:val="111111"/>
          <w:sz w:val="28"/>
          <w:szCs w:val="28"/>
          <w:rtl w:val="true"/>
          <w:lang w:bidi="fa-IR"/>
        </w:rPr>
        <w:t>»</w:t>
      </w:r>
      <w:r>
        <w:rPr>
          <w:rStyle w:val="FootnoteAnchor"/>
          <w:rtl w:val="true"/>
        </w:rPr>
        <w:footnoteReference w:id="17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یستفاد منها وجوب النفقة علی الجدّ و الجدّة، کما قلنا سابقاً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الاستحباب لمطلق الأرحام فلقوله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اللّهَ الَّذِی تَسائَلُونَ بِهِ وَ الْأَرْحامَ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لما روی السکونی، عن أبی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رسول اللّه صلی الله علیه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الصدقة أفضل؟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ذی الرحم الکاشح</w:t>
      </w:r>
      <w:r>
        <w:rPr>
          <w:rFonts w:eastAsia="IRNazanin" w:cs="IRNazanin"/>
          <w:color w:val="111111"/>
          <w:sz w:val="28"/>
          <w:szCs w:val="28"/>
          <w:rtl w:val="true"/>
          <w:lang w:bidi="fa-IR"/>
        </w:rPr>
        <w:t>»</w:t>
      </w:r>
      <w:r>
        <w:rPr>
          <w:rStyle w:val="FootnoteAnchor"/>
          <w:rtl w:val="true"/>
        </w:rPr>
        <w:footnoteReference w:id="17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ورد عن محمد بن علیّ بن الحسین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صدقة و ذو رحم محتاج</w:t>
      </w:r>
      <w:r>
        <w:rPr>
          <w:rFonts w:eastAsia="IRNazanin" w:cs="IRNazanin"/>
          <w:color w:val="111111"/>
          <w:sz w:val="28"/>
          <w:szCs w:val="28"/>
          <w:rtl w:val="true"/>
          <w:lang w:bidi="fa-IR"/>
        </w:rPr>
        <w:t>»</w:t>
      </w:r>
      <w:r>
        <w:rPr>
          <w:rStyle w:val="FootnoteAnchor"/>
          <w:rtl w:val="true"/>
        </w:rPr>
        <w:footnoteReference w:id="17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أیضاً جاء فی مرفوعة زکریا المؤمن، التی نقلها فی الخصال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عال ابنتین أو أختین أو عمّتین أو خالتین حجبتاه من النار بإذن اللّه</w:t>
      </w:r>
      <w:r>
        <w:rPr>
          <w:rFonts w:eastAsia="IRNazanin" w:cs="IRNazanin"/>
          <w:color w:val="111111"/>
          <w:sz w:val="28"/>
          <w:szCs w:val="28"/>
          <w:rtl w:val="true"/>
          <w:lang w:bidi="fa-IR"/>
        </w:rPr>
        <w:t>»</w:t>
      </w:r>
      <w:r>
        <w:rPr>
          <w:rStyle w:val="FootnoteAnchor"/>
          <w:rtl w:val="true"/>
        </w:rPr>
        <w:footnoteReference w:id="17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روی عن النبیّ صلی الله علیه و آله فی حدیث المناهی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مشی إلی ذی قرابة بنفسه و ماله لیصل رحمه أعطاه اللّه عزّ و جلّ أجر مائة شهید و</w:t>
      </w:r>
      <w:r>
        <w:rPr>
          <w:rFonts w:eastAsia="IRNazanin" w:cs="IRNazanin"/>
          <w:color w:val="111111"/>
          <w:sz w:val="28"/>
          <w:szCs w:val="28"/>
          <w:rtl w:val="true"/>
          <w:lang w:bidi="fa-IR"/>
        </w:rPr>
        <w:t>...»</w:t>
      </w:r>
      <w:r>
        <w:rPr>
          <w:rStyle w:val="FootnoteAnchor"/>
          <w:rtl w:val="true"/>
        </w:rPr>
        <w:footnoteReference w:id="17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الروایات الاُخر بهذا المضمون</w:t>
      </w:r>
      <w:r>
        <w:rPr>
          <w:rStyle w:val="FootnoteAnchor"/>
          <w:rtl w:val="true"/>
        </w:rPr>
        <w:footnoteReference w:id="1762"/>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هذا إذا جمعنا بین هذه النصوص و النصوص التی تحکم بعدم جواز إیتاء</w:t>
      </w:r>
    </w:p>
    <w:p>
      <w:pPr>
        <w:pStyle w:val="BookText"/>
        <w:rPr/>
      </w:pPr>
      <w:r>
        <w:rPr>
          <w:rFonts w:ascii="IRNazanin" w:hAnsi="IRNazanin" w:eastAsia="IRNazanin"/>
          <w:color w:val="111111"/>
          <w:sz w:val="28"/>
          <w:sz w:val="28"/>
          <w:szCs w:val="28"/>
          <w:rtl w:val="true"/>
          <w:lang w:bidi="fa-IR"/>
        </w:rPr>
        <w:t>الزکاة لمن هو واجب النفقة من ناحیةٍ، و بجواز الزکاة علی العمّ و العمّة و الخال و الخالة و أولادهم من ناحیةٍ أخری نحکم باستحباب النفقة علی الأقارب و صبیانهم</w:t>
      </w:r>
      <w:r>
        <w:rPr>
          <w:rStyle w:val="FootnoteAnchor"/>
          <w:rtl w:val="true"/>
        </w:rPr>
        <w:footnoteReference w:id="17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فی صحیحة 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نقله فی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الذی اجبر علی نفقته؟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الولدان و الولد و الزوجة و الوارث الصغیر</w:t>
      </w:r>
      <w:r>
        <w:rPr>
          <w:rFonts w:eastAsia="IRNazanin" w:cs="IRNazanin"/>
          <w:color w:val="111111"/>
          <w:sz w:val="28"/>
          <w:szCs w:val="28"/>
          <w:rtl w:val="true"/>
          <w:lang w:bidi="fa-IR"/>
        </w:rPr>
        <w:t>»</w:t>
      </w:r>
      <w:r>
        <w:rPr>
          <w:rStyle w:val="FootnoteAnchor"/>
          <w:rtl w:val="true"/>
        </w:rPr>
        <w:footnoteReference w:id="17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فیستفاد منها أنّه کما یجب النفقة علی الوالدین و الولد و الزوجة تجب علی الوارث الصغیر، مثل الأخ و الأخت و أولادهم إذا کانوا صغاراً؛ و لذا ذکر العلاّمة فی القواعد قولاً بوجوب النفقة علی الوارث الصغیر</w:t>
      </w:r>
      <w:r>
        <w:rPr>
          <w:rStyle w:val="FootnoteAnchor"/>
          <w:rtl w:val="true"/>
        </w:rPr>
        <w:footnoteReference w:id="17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 سیّد المدارک إلی العمل بمضمون هذه الصحیحة</w:t>
      </w:r>
      <w:r>
        <w:rPr>
          <w:rStyle w:val="FootnoteAnchor"/>
          <w:rtl w:val="true"/>
        </w:rPr>
        <w:footnoteReference w:id="17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هکذا جاء فی معتبرة غیاث بن إبراهیم،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أتی أمیر المؤمنین علیه السلام بیتیم،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بنفقته أقرب الناس منه من العشیرة کما یأکل میراثه</w:t>
      </w:r>
      <w:r>
        <w:rPr>
          <w:rFonts w:eastAsia="IRNazanin" w:cs="IRNazanin"/>
          <w:color w:val="111111"/>
          <w:sz w:val="28"/>
          <w:szCs w:val="28"/>
          <w:rtl w:val="true"/>
          <w:lang w:bidi="fa-IR"/>
        </w:rPr>
        <w:t>»</w:t>
      </w:r>
      <w:r>
        <w:rPr>
          <w:rStyle w:val="FootnoteAnchor"/>
          <w:rtl w:val="true"/>
        </w:rPr>
        <w:footnoteReference w:id="17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ظهر من إطلاقها أنّه یلزم علی المورِّث أداء النفقة للوارث الصغیر و لو کان غیر الأولاد و الآباء و الأجداد، مثل الأخ و الأخت و أولادهما و العمّة و الخالة و</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یوجد فی نقل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الوارث الصغیر</w:t>
      </w:r>
      <w:r>
        <w:rPr>
          <w:rFonts w:eastAsia="IRNazanin" w:cs="IRNazanin"/>
          <w:color w:val="111111"/>
          <w:sz w:val="28"/>
          <w:szCs w:val="28"/>
          <w:rtl w:val="true"/>
          <w:lang w:bidi="fa-IR"/>
        </w:rPr>
        <w:t>»</w:t>
      </w:r>
      <w:r>
        <w:rPr>
          <w:rStyle w:val="FootnoteAnchor"/>
          <w:rtl w:val="true"/>
        </w:rPr>
        <w:footnoteReference w:id="1768"/>
      </w:r>
      <w:r>
        <w:rPr>
          <w:rFonts w:ascii="IRNazanin" w:hAnsi="IRNazanin" w:eastAsia="IRNazanin"/>
          <w:color w:val="111111"/>
          <w:sz w:val="28"/>
          <w:sz w:val="28"/>
          <w:szCs w:val="28"/>
          <w:rtl w:val="true"/>
          <w:lang w:bidi="fa-IR"/>
        </w:rPr>
        <w:t>و هو أضبط من الفقیه، و حیث إنّ الإجماع ثابت بأنّه لا تجب النفقة إلاّ علی الأولاد و الوالدین و الأجداد</w:t>
      </w:r>
      <w:bookmarkStart w:id="833" w:name="pg11752_146416"/>
    </w:p>
    <w:p>
      <w:pPr>
        <w:pStyle w:val="BookText"/>
        <w:rPr/>
      </w:pPr>
      <w:bookmarkEnd w:id="833"/>
      <w:r>
        <w:rPr>
          <w:rFonts w:ascii="IRNazanin" w:hAnsi="IRNazanin" w:eastAsia="IRNazanin"/>
          <w:color w:val="111111"/>
          <w:sz w:val="28"/>
          <w:sz w:val="28"/>
          <w:szCs w:val="28"/>
          <w:rtl w:val="true"/>
          <w:lang w:bidi="fa-IR"/>
        </w:rPr>
        <w:t>و الزوجة، فیلزم حمل هذه الصحیحة علی الاستحباب، أو علی ما إذا لم یکن وارث غیره، بحیث إذا مات أحدهما ورث الآخر، و لم یکن هناک مَن هو أولی منه کما فعله الشیخ رحمه الله فی الاستبصار</w:t>
      </w:r>
      <w:r>
        <w:rPr>
          <w:rStyle w:val="FootnoteAnchor"/>
          <w:rtl w:val="true"/>
        </w:rPr>
        <w:footnoteReference w:id="1769"/>
      </w:r>
      <w:r>
        <w:rPr>
          <w:rFonts w:ascii="IRNazanin" w:hAnsi="IRNazanin" w:eastAsia="IRNazanin"/>
          <w:color w:val="111111"/>
          <w:sz w:val="28"/>
          <w:sz w:val="28"/>
          <w:szCs w:val="28"/>
          <w:rtl w:val="true"/>
          <w:lang w:bidi="fa-IR"/>
        </w:rPr>
        <w:t>، و لأجل هذا قال فی الجواهر ممزوجاً مع متن الشرائع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یتأکّد الاستحباب فی الوارث منهم؛ لما عرفته من الخبر المزبور و غیره</w:t>
      </w:r>
      <w:r>
        <w:rPr>
          <w:rStyle w:val="FootnoteAnchor"/>
          <w:rtl w:val="true"/>
        </w:rPr>
        <w:footnoteReference w:id="17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صحیحة الحلبی علی نقل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معتبرة غیاث بن إبراهیم أیضاً محمولة علی الاستحباب، قال فی الوسائل بعد نقل 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محمول علی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الشیخ فی محکی الاستبصار علی الندب، أو علی ما إذا لم یکن وارث غیره بحیث إذا مات أحدهما ورث الآخر لا کلّ وارث، مع أنّ المحمول علیه أخیراً أیضاً لا وجه له و لا دلیل علیه</w:t>
      </w:r>
      <w:r>
        <w:rPr>
          <w:rFonts w:eastAsia="IRNazanin" w:cs="IRNazanin"/>
          <w:color w:val="111111"/>
          <w:sz w:val="28"/>
          <w:szCs w:val="28"/>
          <w:rtl w:val="true"/>
          <w:lang w:bidi="fa-IR"/>
        </w:rPr>
        <w:t>»</w:t>
      </w:r>
      <w:r>
        <w:rPr>
          <w:rStyle w:val="FootnoteAnchor"/>
          <w:rtl w:val="true"/>
        </w:rPr>
        <w:footnoteReference w:id="17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الأولی مع ذلک کلّه أن یُحتاط فی المسألة، و أنّه تلزم النفقة علی الصغار من أولاد الأخ و الأخت و العم و الخال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احتیاطاً</w:t>
      </w:r>
      <w:r>
        <w:rPr>
          <w:rFonts w:eastAsia="IRNazanin" w:cs="IRNazanin"/>
          <w:color w:val="111111"/>
          <w:sz w:val="28"/>
          <w:szCs w:val="28"/>
          <w:rtl w:val="true"/>
          <w:lang w:bidi="fa-IR"/>
        </w:rPr>
        <w:t>.</w:t>
      </w:r>
    </w:p>
    <w:p>
      <w:pPr>
        <w:pStyle w:val="Heading5"/>
        <w:numPr>
          <w:ilvl w:val="4"/>
          <w:numId w:val="1"/>
        </w:numPr>
        <w:rPr/>
      </w:pPr>
      <w:bookmarkStart w:id="834" w:name="__RefHeading___Toc9424408_73709187"/>
      <w:bookmarkStart w:id="835" w:name="_Toc318"/>
      <w:bookmarkEnd w:id="834"/>
      <w:r>
        <w:rPr>
          <w:rtl w:val="true"/>
        </w:rPr>
        <w:t>استقلال الأب بنفقة أولاده</w:t>
      </w:r>
      <w:bookmarkEnd w:id="835"/>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کلمات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نفقة الأولاد إنّما تجب علی الأب مع وجوده و یساره دون الأمّ و إن شارکته فی الوصفین، و مع عدمه أو فقره فعلی أب الأب و إن علا مرتّباً الأقرب فالأقرب، و مع عدمهم أو فقرهم فعلی الأمّ مع وجودها و یسارها، و مع عدمها أو فقرها فعلی أبیها و أجدادها و</w:t>
      </w:r>
      <w:r>
        <w:rPr>
          <w:rFonts w:eastAsia="IRNazanin" w:cs="IRNazanin"/>
          <w:color w:val="111111"/>
          <w:sz w:val="28"/>
          <w:szCs w:val="28"/>
          <w:rtl w:val="true"/>
          <w:lang w:bidi="fa-IR"/>
        </w:rPr>
        <w:t>...</w:t>
      </w:r>
      <w:r>
        <w:rPr>
          <w:rStyle w:val="FootnoteAnchor"/>
          <w:rtl w:val="true"/>
        </w:rPr>
        <w:footnoteReference w:id="1772"/>
      </w:r>
    </w:p>
    <w:p>
      <w:pPr>
        <w:pStyle w:val="BookText"/>
        <w:rPr/>
      </w:pPr>
      <w:r>
        <w:rPr>
          <w:rFonts w:ascii="IRNazanin" w:hAnsi="IRNazanin" w:eastAsia="IRNazanin"/>
          <w:color w:val="111111"/>
          <w:sz w:val="28"/>
          <w:sz w:val="28"/>
          <w:szCs w:val="28"/>
          <w:rtl w:val="true"/>
          <w:lang w:bidi="fa-IR"/>
        </w:rPr>
        <w:t>قال فی الجواهر ممزوجاً مع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عدمت الآباء أو کانوا أجمع معسرین و لم یکن له ثمّ ولد و لو أنثی و کان معسراً أیضاً فعلی أمّ الولد التی هی أقرب الناس إلیه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عدمها أو فقرها فعلی أبیها و أمّها و إن علوا الأقرب فالأقرب</w:t>
      </w:r>
      <w:r>
        <w:rPr>
          <w:rFonts w:eastAsia="IRNazanin" w:cs="IRNazanin"/>
          <w:color w:val="111111"/>
          <w:sz w:val="28"/>
          <w:szCs w:val="28"/>
          <w:rtl w:val="true"/>
          <w:lang w:bidi="fa-IR"/>
        </w:rPr>
        <w:t>»</w:t>
      </w:r>
      <w:r>
        <w:rPr>
          <w:rStyle w:val="FootnoteAnchor"/>
          <w:rtl w:val="true"/>
        </w:rPr>
        <w:footnoteReference w:id="17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إثبات هذا الحکم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أَرْضَعْنَ لَکُمْ فَآتُوهُنَّ أُجُورَهُنَّ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بالتقریب المتقدّم، فأوجب اللّه تعالی أجرة الرضاع علی الأب، فکذا غیرها من النفقات؛ لعدم القول بالفصل، أی من قال بوجوب أجرة الرضاع علی الأب قال بوجوب غیرها أیضاً، و لم یقل أحد بوجوب أجرة الرضاع علی الأب و غیرها علی الاُمّ، قال فی الحدائق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یؤیّده أیضاً عدم وجوب الإرضاع علیها، بل لها الامتناع، و أنّها کغیرها من الأجانب المستأجرات، و لو کانت النفقة علیها واجبة کالأب لما صحّ ذلک</w:t>
      </w:r>
      <w:r>
        <w:rPr>
          <w:rFonts w:eastAsia="IRNazanin" w:cs="IRNazanin"/>
          <w:color w:val="111111"/>
          <w:sz w:val="28"/>
          <w:szCs w:val="28"/>
          <w:rtl w:val="true"/>
          <w:lang w:bidi="fa-IR"/>
        </w:rPr>
        <w:t>»</w:t>
      </w:r>
      <w:r>
        <w:rPr>
          <w:rStyle w:val="FootnoteAnchor"/>
          <w:rtl w:val="true"/>
        </w:rPr>
        <w:footnoteReference w:id="17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روایة هند المشهورة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قال صلی الله علیه و آله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خذی ما یکفیک و ولدک</w:t>
      </w:r>
      <w:r>
        <w:rPr>
          <w:rFonts w:eastAsia="IRNazanin" w:cs="IRNazanin"/>
          <w:color w:val="111111"/>
          <w:sz w:val="28"/>
          <w:szCs w:val="28"/>
          <w:rtl w:val="true"/>
          <w:lang w:bidi="fa-IR"/>
        </w:rPr>
        <w:t>»</w:t>
      </w:r>
      <w:r>
        <w:rPr>
          <w:rStyle w:val="FootnoteAnchor"/>
          <w:rtl w:val="true"/>
        </w:rPr>
        <w:footnoteReference w:id="17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المستفاد من ترک الاستفصال فی مقام الجواب، یعنی لم یقل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قدرت علی نفقة نفسک و ولدک فلا تأخذی و إلاّ خذی، و لم یفصّل بین صورة الیسار و عدمه، فعلی هذا نستفید منها حکم وجوب النفقة علی الأب مطلقاً إلاّ أنّها ضعیفة السند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العمدة، ظاهر النصوص المتقدّم ذکرها مثل صحیحة حریز، عن</w:t>
      </w:r>
      <w:bookmarkStart w:id="836" w:name="pg11752_146418"/>
    </w:p>
    <w:p>
      <w:pPr>
        <w:pStyle w:val="BookText"/>
        <w:rPr/>
      </w:pPr>
      <w:bookmarkEnd w:id="836"/>
      <w:r>
        <w:rPr>
          <w:rFonts w:ascii="IRNazanin" w:hAnsi="IRNazanin" w:eastAsia="IRNazanin"/>
          <w:color w:val="111111"/>
          <w:sz w:val="28"/>
          <w:sz w:val="28"/>
          <w:szCs w:val="28"/>
          <w:rtl w:val="true"/>
          <w:lang w:bidi="fa-IR"/>
        </w:rPr>
        <w:t>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الذی اجبر علیه و تلزمنی نفقته؟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الوالدان و الولد و الزوجة</w:t>
      </w:r>
      <w:r>
        <w:rPr>
          <w:rFonts w:eastAsia="IRNazanin" w:cs="IRNazanin"/>
          <w:color w:val="111111"/>
          <w:sz w:val="28"/>
          <w:szCs w:val="28"/>
          <w:rtl w:val="true"/>
          <w:lang w:bidi="fa-IR"/>
        </w:rPr>
        <w:t>»</w:t>
      </w:r>
      <w:r>
        <w:rPr>
          <w:rStyle w:val="FootnoteAnchor"/>
          <w:rtl w:val="true"/>
        </w:rPr>
        <w:footnoteReference w:id="17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صحیحة جمیل بن دراج و مرفوعة محمد بن مسلم</w:t>
      </w:r>
      <w:r>
        <w:rPr>
          <w:rStyle w:val="FootnoteAnchor"/>
          <w:rtl w:val="true"/>
        </w:rPr>
        <w:footnoteReference w:id="1777"/>
      </w:r>
    </w:p>
    <w:p>
      <w:pPr>
        <w:pStyle w:val="BookText"/>
        <w:rPr/>
      </w:pPr>
      <w:r>
        <w:rPr>
          <w:rFonts w:ascii="IRNazanin" w:hAnsi="IRNazanin" w:eastAsia="IRNazanin"/>
          <w:color w:val="111111"/>
          <w:sz w:val="28"/>
          <w:sz w:val="28"/>
          <w:szCs w:val="28"/>
          <w:rtl w:val="true"/>
          <w:lang w:bidi="fa-IR"/>
        </w:rPr>
        <w:t>و غیرها تدلّ علی وجوب نفقة الولد علی الآباء دون الاُمّهات؛ لأنّ الإمام علیه السلام لم یسأل من السائل عن وضعیة الاُمّ و هل أنّها قادرة علی أداء النفقة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یفصّل بأنّها شریکة مع الأب فی بعض الموارد أو فی تمام الأوقات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أظهر دلیل علی أنّ الأب مستقلّ فی وجوب النفقة علیه، و مع وجوده و یساره لا تجب علی الاُمّ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الأصول العملیة،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نشکّ مع وجود الأب و یساره هل تجب النفقة علی الأمّ أم لا؟ و الفرض أنّه لا دلیل لوجوبها علیها بالخصوص، فبحکم استصحاب الحالة التی لا تکون قادرةً علی أداء نفقة الولد نحکم بعدم الوجوب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یقرّر علی نحو أصل البراءة أیضاً، کما قال صاحب الحدائق بعد کلام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بالجملة فالتمسّک بأصالة براءة ذمّتها من ذلک أقوی مستمسک حتّی یقوم الدلیل علی الخروج عنه</w:t>
      </w:r>
      <w:r>
        <w:rPr>
          <w:rFonts w:eastAsia="IRNazanin" w:cs="IRNazanin"/>
          <w:color w:val="111111"/>
          <w:sz w:val="28"/>
          <w:szCs w:val="28"/>
          <w:rtl w:val="true"/>
          <w:lang w:bidi="fa-IR"/>
        </w:rPr>
        <w:t>»</w:t>
      </w:r>
      <w:r>
        <w:rPr>
          <w:rStyle w:val="FootnoteAnchor"/>
          <w:rtl w:val="true"/>
        </w:rPr>
        <w:footnoteReference w:id="17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7" w:name="__RefHeading___Toc9424410_73709187"/>
      <w:bookmarkStart w:id="838" w:name="_Toc319"/>
      <w:bookmarkEnd w:id="837"/>
      <w:r>
        <w:rPr>
          <w:rtl w:val="true"/>
        </w:rPr>
        <w:t>دلیل وجوب نفقة الأولاد علی الأجداد</w:t>
      </w:r>
      <w:bookmarkEnd w:id="838"/>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ظهر ممّا ذکرنا أنّه فی صورة فقد الأب أو فقره فنفقة الولد علی أب الأب، و هکذا الأقرب فالأقرب، و الدلیل علی هذا الوجوب صحّة إطلاق الأب علی الجدّ کما أوضحناه سابقاً، قال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 حقیقةً أو فی خصوص</w:t>
      </w:r>
      <w:bookmarkStart w:id="839" w:name="pg11752_146419"/>
    </w:p>
    <w:p>
      <w:pPr>
        <w:pStyle w:val="BookText"/>
        <w:rPr/>
      </w:pPr>
      <w:bookmarkEnd w:id="839"/>
      <w:r>
        <w:rPr>
          <w:rFonts w:ascii="Amiri" w:hAnsi="Amiri" w:eastAsia="Amiri" w:cs="Amiri"/>
          <w:color w:val="111111"/>
          <w:sz w:val="28"/>
          <w:sz w:val="28"/>
          <w:szCs w:val="28"/>
          <w:rtl w:val="true"/>
          <w:lang w:bidi="ar-SA"/>
        </w:rPr>
        <w:t xml:space="preserve">النفقة و الترتیب باعتبار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أُولُوا الْأَرْحامِ بَعْضُهُمْ أَوْلی بِبَعْضٍ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لقول أمیر المؤمنین علیه السلام فی الخبر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بنفقته أقرب الناس منه من العشیرة کما یأکل میراثه</w:t>
      </w:r>
      <w:r>
        <w:rPr>
          <w:rFonts w:eastAsia="Amiri" w:cs="Amiri" w:ascii="Amiri" w:hAnsi="Amiri"/>
          <w:color w:val="111111"/>
          <w:sz w:val="28"/>
          <w:szCs w:val="28"/>
          <w:rtl w:val="true"/>
          <w:lang w:bidi="ar-SA"/>
        </w:rPr>
        <w:t>»</w:t>
      </w:r>
      <w:r>
        <w:rPr>
          <w:rStyle w:val="FootnoteAnchor"/>
          <w:rtl w:val="true"/>
        </w:rPr>
        <w:footnoteReference w:id="1779"/>
      </w:r>
      <w:r>
        <w:rPr>
          <w:rFonts w:ascii="IRNazanin" w:hAnsi="IRNazanin" w:eastAsia="IRNazanin"/>
          <w:color w:val="111111"/>
          <w:sz w:val="28"/>
          <w:sz w:val="28"/>
          <w:szCs w:val="28"/>
          <w:rtl w:val="true"/>
          <w:lang w:bidi="fa-IR"/>
        </w:rPr>
        <w:t>،</w:t>
      </w:r>
      <w:r>
        <w:rPr>
          <w:rStyle w:val="FootnoteAnchor"/>
          <w:rtl w:val="true"/>
        </w:rPr>
        <w:footnoteReference w:id="17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الخبر المنقول عن أمیر المؤمنین علیه السلام فضعیف سنداً، مضافاً إلی أنّ الظاهر</w:t>
      </w:r>
      <w:r>
        <w:rPr>
          <w:rStyle w:val="FootnoteAnchor"/>
          <w:rtl w:val="true"/>
        </w:rPr>
        <w:footnoteReference w:id="1781"/>
      </w:r>
      <w:r>
        <w:rPr>
          <w:rFonts w:ascii="IRNazanin" w:hAnsi="IRNazanin" w:eastAsia="IRNazanin"/>
          <w:color w:val="111111"/>
          <w:sz w:val="28"/>
          <w:sz w:val="28"/>
          <w:szCs w:val="28"/>
          <w:rtl w:val="true"/>
          <w:lang w:bidi="fa-IR"/>
        </w:rPr>
        <w:t xml:space="preserve">منه أنّه فی الحالة التی لا یکون للیتیم جدّ؛ لأنّ التعبیر الوارد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بنفقته أقرب الناس منه من العشیرة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 بأنَّه لا جدّ له و إلاّ لم یقل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أقرب الناس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أقل من احتمال هذا المعنی فیبطل الاستدلال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الاستدلال بأنّ الجدّ أب حقیقة فصحیح کما أوضحناه سابقاً، قال فی الریاض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مع عدم الأب أو فقره فنفقة الولد علی أب الأب و إن علا بمائة درجة، مرتّباً الأقرب فالأقرب، بالإجماع کما حکاه جماعة، و هو الحجّة فیه دون التعلیل بصدق الأب؛ لمنع کونه علی سبیل الحقیقة التی هی المعتبرة مع عدم القرینة علی ما عداها من المعانی المجازیة</w:t>
      </w:r>
      <w:r>
        <w:rPr>
          <w:rStyle w:val="FootnoteAnchor"/>
          <w:rtl w:val="true"/>
        </w:rPr>
        <w:footnoteReference w:id="17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الإجماع فلا اعتبار به؛ لأنّه مدرکیّ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صدق الأب علی أب الأب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أثبتنا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حقیقی فلا مجال للإیراد علیه</w:t>
      </w:r>
      <w:r>
        <w:rPr>
          <w:rFonts w:eastAsia="IRNazanin" w:cs="IRNazanin"/>
          <w:color w:val="111111"/>
          <w:sz w:val="28"/>
          <w:szCs w:val="28"/>
          <w:rtl w:val="true"/>
          <w:lang w:bidi="fa-IR"/>
        </w:rPr>
        <w:t>.</w:t>
      </w:r>
    </w:p>
    <w:p>
      <w:pPr>
        <w:pStyle w:val="Heading5"/>
        <w:numPr>
          <w:ilvl w:val="4"/>
          <w:numId w:val="1"/>
        </w:numPr>
        <w:rPr/>
      </w:pPr>
      <w:bookmarkStart w:id="840" w:name="__RefHeading___Toc9424412_73709187"/>
      <w:bookmarkStart w:id="841" w:name="_Toc320"/>
      <w:bookmarkEnd w:id="840"/>
      <w:r>
        <w:rPr>
          <w:rtl w:val="true"/>
        </w:rPr>
        <w:t>وجوب نفقة الولد علی الأمّ‌</w:t>
      </w:r>
      <w:bookmarkEnd w:id="841"/>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من کلمات الفقهاء أنّ مع فقد الأب و آبائه أو فقرهم تجب نفقة الولد</w:t>
      </w:r>
      <w:bookmarkStart w:id="842" w:name="pg11752_146420"/>
    </w:p>
    <w:p>
      <w:pPr>
        <w:pStyle w:val="BookText"/>
        <w:rPr/>
      </w:pPr>
      <w:bookmarkEnd w:id="842"/>
      <w:r>
        <w:rPr>
          <w:rFonts w:ascii="IRNazanin" w:hAnsi="IRNazanin" w:eastAsia="IRNazanin"/>
          <w:color w:val="111111"/>
          <w:sz w:val="28"/>
          <w:sz w:val="28"/>
          <w:szCs w:val="28"/>
          <w:rtl w:val="true"/>
          <w:lang w:bidi="fa-IR"/>
        </w:rPr>
        <w:t>علی الاُمّ، و لم نجد دلیلاً علی هذا الحکم إلاّ الإجماع</w:t>
      </w:r>
      <w:r>
        <w:rPr>
          <w:rStyle w:val="FootnoteAnchor"/>
          <w:rtl w:val="true"/>
        </w:rPr>
        <w:footnoteReference w:id="1783"/>
      </w:r>
      <w:r>
        <w:rPr>
          <w:rFonts w:ascii="IRNazanin" w:hAnsi="IRNazanin" w:eastAsia="IRNazanin"/>
          <w:color w:val="111111"/>
          <w:sz w:val="28"/>
          <w:sz w:val="28"/>
          <w:szCs w:val="28"/>
          <w:rtl w:val="true"/>
          <w:lang w:bidi="fa-IR"/>
        </w:rPr>
        <w:t>؛ لأنّ المتأخّرین من الفقهاء اکتفوا بذکره و لم یقیموا علیه دلیل، قال فی الحدائق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مع عدم الآباء و الأجداد أو فقرهم تجب النفقة علی الاُمّ، و مع عدمها أو فقرها فعلی آباء الاُمّ و أمّهاتها و إن علوا، مقدّماً فی الوجوب الأقرب فالأقرب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نصّ علیه الشیخ فی المبسوط‌</w:t>
      </w:r>
      <w:r>
        <w:rPr>
          <w:rStyle w:val="FootnoteAnchor"/>
          <w:rtl w:val="true"/>
        </w:rPr>
        <w:footnoteReference w:id="17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کثیر من المتأخّرین لم یتعرّضوا لحکم الآباء و الاُمّهات من قبل الأمّ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أضاف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أقف فی النصوص علی ما یتضمّن هذا الحکم، أعنی حکم الأمّ و آبائها و أمّهاتها، و الظاهر أنَّ ذلک من تخریجات الشیخ رحمة اللّه علیه</w:t>
      </w:r>
      <w:r>
        <w:rPr>
          <w:rFonts w:eastAsia="IRNazanin" w:cs="IRNazanin"/>
          <w:color w:val="111111"/>
          <w:sz w:val="28"/>
          <w:szCs w:val="28"/>
          <w:rtl w:val="true"/>
          <w:lang w:bidi="fa-IR"/>
        </w:rPr>
        <w:t>»</w:t>
      </w:r>
      <w:r>
        <w:rPr>
          <w:rStyle w:val="FootnoteAnchor"/>
          <w:rtl w:val="true"/>
        </w:rPr>
        <w:footnoteReference w:id="17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3" w:name="__RefHeading___Toc9424414_73709187"/>
      <w:bookmarkStart w:id="844" w:name="_Toc321"/>
      <w:bookmarkEnd w:id="843"/>
      <w:r>
        <w:rPr>
          <w:rtl w:val="true"/>
        </w:rPr>
        <w:t>نظر بعض أهل السنّة فی المسألة</w:t>
      </w:r>
      <w:bookmarkEnd w:id="844"/>
    </w:p>
    <w:p>
      <w:pPr>
        <w:pStyle w:val="BookText"/>
        <w:rPr/>
      </w:pPr>
      <w:r>
        <w:rPr>
          <w:rFonts w:ascii="IRNazanin" w:hAnsi="IRNazanin" w:eastAsia="IRNazanin"/>
          <w:color w:val="111111"/>
          <w:sz w:val="28"/>
          <w:sz w:val="28"/>
          <w:szCs w:val="28"/>
          <w:rtl w:val="true"/>
          <w:lang w:bidi="fa-IR"/>
        </w:rPr>
        <w:t>قال بعض الفقهاء من أهل السنّة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یشارک الأب أحد فی الإنفاق علی أولاده، کما لا یشارکه أحد فی نفقة الزوجة؛ لأنّهم جزء منه، و إحیاؤهم واجب کإحیاء نفسه، و لأنّ نسبهم لاحق به، فیکون علیه غرم النفقة، و لقوله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الْمَوْلُودِ لَهُ رِزْقُهُنَّ وَ کِسْوَتُهُنَّ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أَرْضَعْنَ لَکُمْ فَآتُوهُنَّ أُجُورَهُنَّ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النبیّ صلی الله علیه و آله لهند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خذی ما یکفیک و ولدک بالمعروف</w:t>
      </w:r>
      <w:r>
        <w:rPr>
          <w:rFonts w:eastAsia="Amiri" w:cs="Amiri" w:ascii="Amiri" w:hAnsi="Amiri"/>
          <w:color w:val="111111"/>
          <w:sz w:val="28"/>
          <w:szCs w:val="28"/>
          <w:rtl w:val="true"/>
          <w:lang w:bidi="ar-SA"/>
        </w:rPr>
        <w:t>»</w:t>
      </w:r>
      <w:r>
        <w:rPr>
          <w:rStyle w:val="FootnoteAnchor"/>
          <w:rtl w:val="true"/>
        </w:rPr>
        <w:footnoteReference w:id="1786"/>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فجعل النفقة علی أبیهم دونها</w:t>
      </w:r>
      <w:r>
        <w:rPr>
          <w:rStyle w:val="FootnoteAnchor"/>
          <w:rtl w:val="true"/>
        </w:rPr>
        <w:footnoteReference w:id="1787"/>
      </w:r>
      <w:bookmarkStart w:id="845" w:name="pg11752_146421"/>
    </w:p>
    <w:p>
      <w:pPr>
        <w:pStyle w:val="Heading4"/>
        <w:numPr>
          <w:ilvl w:val="3"/>
          <w:numId w:val="1"/>
        </w:numPr>
        <w:rPr/>
      </w:pPr>
      <w:bookmarkStart w:id="846" w:name="__RefHeading___Toc9424416_73709187"/>
      <w:bookmarkStart w:id="847" w:name="_Toc322"/>
      <w:bookmarkEnd w:id="845"/>
      <w:bookmarkEnd w:id="846"/>
      <w:r>
        <w:rPr>
          <w:rtl w:val="true"/>
        </w:rPr>
        <w:t>المبحث الثانی</w:t>
      </w:r>
      <w:r>
        <w:rPr>
          <w:rtl w:val="true"/>
        </w:rPr>
        <w:t xml:space="preserve">: </w:t>
      </w:r>
      <w:r>
        <w:rPr>
          <w:rtl w:val="true"/>
        </w:rPr>
        <w:t>فی شروط النفقة</w:t>
      </w:r>
      <w:bookmarkEnd w:id="847"/>
    </w:p>
    <w:p>
      <w:pPr>
        <w:pStyle w:val="Heading5"/>
        <w:numPr>
          <w:ilvl w:val="4"/>
          <w:numId w:val="1"/>
        </w:numPr>
        <w:rPr/>
      </w:pPr>
      <w:bookmarkStart w:id="848" w:name="__RefHeading___Toc9424418_73709187"/>
      <w:bookmarkStart w:id="849" w:name="_Toc323"/>
      <w:bookmarkEnd w:id="848"/>
      <w:r>
        <w:rPr>
          <w:rtl w:val="true"/>
        </w:rPr>
        <w:t>أوّلاً</w:t>
      </w:r>
      <w:r>
        <w:rPr>
          <w:rtl w:val="true"/>
        </w:rPr>
        <w:t xml:space="preserve">: </w:t>
      </w:r>
      <w:r>
        <w:rPr>
          <w:rtl w:val="true"/>
        </w:rPr>
        <w:t>شرط المُنفق</w:t>
      </w:r>
      <w:r>
        <w:rPr>
          <w:rtl w:val="true"/>
        </w:rPr>
        <w:t>:</w:t>
      </w:r>
      <w:bookmarkEnd w:id="849"/>
    </w:p>
    <w:p>
      <w:pPr>
        <w:pStyle w:val="BookText"/>
        <w:rPr/>
      </w:pPr>
      <w:r>
        <w:rPr>
          <w:rFonts w:ascii="IRNazanin" w:hAnsi="IRNazanin" w:eastAsia="IRNazanin"/>
          <w:color w:val="111111"/>
          <w:sz w:val="28"/>
          <w:sz w:val="28"/>
          <w:szCs w:val="28"/>
          <w:rtl w:val="true"/>
          <w:lang w:bidi="fa-IR"/>
        </w:rPr>
        <w:t>أمّا الشرط الذی یعتبر فی المنفق هو أن یکون الأب موسراً قادراً علی الإنفاق بعد نفقة نفسه و نفقة زوجته، اتّفق فی هذا الشرط فقهاء الشیعة</w:t>
      </w:r>
      <w:r>
        <w:rPr>
          <w:rStyle w:val="FootnoteAnchor"/>
          <w:rtl w:val="true"/>
        </w:rPr>
        <w:footnoteReference w:id="1788"/>
      </w:r>
      <w:r>
        <w:rPr>
          <w:rFonts w:ascii="Amiri" w:hAnsi="Amiri" w:eastAsia="Amiri" w:cs="Amiri"/>
          <w:color w:val="111111"/>
          <w:sz w:val="28"/>
          <w:sz w:val="28"/>
          <w:szCs w:val="28"/>
          <w:rtl w:val="true"/>
          <w:lang w:bidi="ar-SA"/>
        </w:rPr>
        <w:t>و بعض أهل السنّة</w:t>
      </w:r>
      <w:r>
        <w:rPr>
          <w:rStyle w:val="FootnoteAnchor"/>
          <w:rtl w:val="true"/>
        </w:rPr>
        <w:footnoteReference w:id="17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کشف اللثام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یشترط فی المنفق الیسار اتفاقاً؛ لأنّه مواساة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الموسر هنا من فضل عن قوته و قوت زوجته</w:t>
      </w:r>
      <w:r>
        <w:rPr>
          <w:rFonts w:eastAsia="IRNazanin" w:cs="IRNazanin"/>
          <w:color w:val="111111"/>
          <w:sz w:val="28"/>
          <w:szCs w:val="28"/>
          <w:rtl w:val="true"/>
          <w:lang w:bidi="fa-IR"/>
        </w:rPr>
        <w:t>»</w:t>
      </w:r>
      <w:r>
        <w:rPr>
          <w:rStyle w:val="FootnoteAnchor"/>
          <w:rtl w:val="true"/>
        </w:rPr>
        <w:footnoteReference w:id="1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إن کان معسراً بحیث تجب نفقته علی غیره و کان عاجزاً عن الکسب فلا نفقة علیه؛ لأنّه لا یعقل إیجاب نفقة الغیر علیه و هو یأخذ نفقته عن غیره، إذ إنّ فاقد الشیء لا یعطیه،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یُکَلِّفُ اللّهُ نَفْساً إِلاّ وُسْعَها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Heading5"/>
        <w:numPr>
          <w:ilvl w:val="4"/>
          <w:numId w:val="1"/>
        </w:numPr>
        <w:rPr/>
      </w:pPr>
      <w:bookmarkStart w:id="850" w:name="__RefHeading___Toc9424420_73709187"/>
      <w:bookmarkStart w:id="851" w:name="_Toc324"/>
      <w:bookmarkEnd w:id="850"/>
      <w:r>
        <w:rPr>
          <w:rtl w:val="true"/>
        </w:rPr>
        <w:t>شروط المنفَق علیهم</w:t>
      </w:r>
      <w:r>
        <w:rPr>
          <w:rtl w:val="true"/>
        </w:rPr>
        <w:t>:</w:t>
      </w:r>
      <w:bookmarkEnd w:id="851"/>
    </w:p>
    <w:p>
      <w:pPr>
        <w:pStyle w:val="Heading6"/>
        <w:numPr>
          <w:ilvl w:val="5"/>
          <w:numId w:val="1"/>
        </w:numPr>
        <w:rPr/>
      </w:pPr>
      <w:bookmarkStart w:id="852" w:name="__RefHeading___Toc9424422_73709187"/>
      <w:bookmarkStart w:id="853" w:name="_Toc325"/>
      <w:bookmarkEnd w:id="852"/>
      <w:r>
        <w:rPr>
          <w:rtl w:val="true"/>
        </w:rPr>
        <w:t>الأوّل</w:t>
      </w:r>
      <w:r>
        <w:rPr>
          <w:rtl w:val="true"/>
        </w:rPr>
        <w:t xml:space="preserve">: </w:t>
      </w:r>
      <w:r>
        <w:rPr>
          <w:rtl w:val="true"/>
        </w:rPr>
        <w:t>أن یکون الولد فقیراً معسراً محتاجاً</w:t>
      </w:r>
      <w:bookmarkEnd w:id="853"/>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المحتاج هو الذی لا شیء له یتقوّت به أو له ما لا یفی بقوته فیجب الإکمال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إذا کان للولد مال من إرث أو غیره یکفیه وجبت نفقته فیه</w:t>
      </w:r>
      <w:r>
        <w:rPr>
          <w:rStyle w:val="FootnoteAnchor"/>
          <w:rtl w:val="true"/>
        </w:rPr>
        <w:footnoteReference w:id="1791"/>
      </w:r>
      <w:r>
        <w:rPr>
          <w:rFonts w:ascii="IRNazanin" w:hAnsi="IRNazanin" w:eastAsia="IRNazanin"/>
          <w:color w:val="111111"/>
          <w:sz w:val="28"/>
          <w:sz w:val="28"/>
          <w:szCs w:val="28"/>
          <w:rtl w:val="true"/>
          <w:lang w:bidi="fa-IR"/>
        </w:rPr>
        <w:t>لأنّ وجوب النفقة للإنسان علی غیره</w:t>
      </w:r>
      <w:bookmarkStart w:id="854" w:name="pg11752_146422"/>
    </w:p>
    <w:p>
      <w:pPr>
        <w:pStyle w:val="BookText"/>
        <w:rPr/>
      </w:pPr>
      <w:bookmarkEnd w:id="854"/>
      <w:r>
        <w:rPr>
          <w:rFonts w:ascii="IRNazanin" w:hAnsi="IRNazanin" w:eastAsia="IRNazanin"/>
          <w:color w:val="111111"/>
          <w:sz w:val="28"/>
          <w:sz w:val="28"/>
          <w:szCs w:val="28"/>
          <w:rtl w:val="true"/>
          <w:lang w:bidi="fa-IR"/>
        </w:rPr>
        <w:t>معلوم بحاجته، فلا تجب لغیر المحتاج، فإن کان ذا مال کان مستغنیاً بماله غیر محتاج لغیره فلا تجب له النفقة علی غیره، و هذا بخلاف نفقة الزوجة فإنّها تجب لها و لو کانت غنیةً؛ لأنّ وجوب النفقة لها لا یتبع الحاجة، لأنّ نفقتها شبیهة بالإعواض فتستوی فیها الموسرة و المعسرة کثمن البیع و المهر</w:t>
      </w:r>
      <w:r>
        <w:rPr>
          <w:rStyle w:val="FootnoteAnchor"/>
          <w:rtl w:val="true"/>
        </w:rPr>
        <w:footnoteReference w:id="179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55" w:name="__RefHeading___Toc9424424_73709187"/>
      <w:bookmarkStart w:id="856" w:name="_Toc326"/>
      <w:bookmarkEnd w:id="855"/>
      <w:r>
        <w:rPr>
          <w:rtl w:val="true"/>
        </w:rPr>
        <w:t>الثانی</w:t>
      </w:r>
      <w:r>
        <w:rPr>
          <w:rtl w:val="true"/>
        </w:rPr>
        <w:t xml:space="preserve">: </w:t>
      </w:r>
      <w:r>
        <w:rPr>
          <w:rtl w:val="true"/>
        </w:rPr>
        <w:t>یشترط أن یکون الولد عاجزاً عن الاکتساب</w:t>
      </w:r>
      <w:bookmarkEnd w:id="856"/>
    </w:p>
    <w:p>
      <w:pPr>
        <w:pStyle w:val="BookText"/>
        <w:rPr/>
      </w:pPr>
      <w:r>
        <w:rPr>
          <w:rFonts w:ascii="IRNazanin" w:hAnsi="IRNazanin" w:eastAsia="IRNazanin"/>
          <w:color w:val="111111"/>
          <w:sz w:val="28"/>
          <w:sz w:val="28"/>
          <w:szCs w:val="28"/>
          <w:rtl w:val="true"/>
          <w:lang w:bidi="fa-IR"/>
        </w:rPr>
        <w:t>، و هذا الشرط مورد الاختلاف، فبعضهم قائلون بلزومه، 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الأظهر اشتراطه</w:t>
      </w:r>
      <w:r>
        <w:rPr>
          <w:rFonts w:eastAsia="IRNazanin" w:cs="IRNazanin"/>
          <w:color w:val="111111"/>
          <w:sz w:val="28"/>
          <w:szCs w:val="28"/>
          <w:rtl w:val="true"/>
          <w:lang w:bidi="fa-IR"/>
        </w:rPr>
        <w:t>»</w:t>
      </w:r>
      <w:r>
        <w:rPr>
          <w:rStyle w:val="FootnoteAnchor"/>
          <w:rtl w:val="true"/>
        </w:rPr>
        <w:footnoteReference w:id="17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فی کشف اللثام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الأقرب اشتراط عدم القدرة علی التکسّب</w:t>
      </w:r>
      <w:r>
        <w:rPr>
          <w:rFonts w:eastAsia="IRNazanin" w:cs="IRNazanin"/>
          <w:color w:val="111111"/>
          <w:sz w:val="28"/>
          <w:szCs w:val="28"/>
          <w:rtl w:val="true"/>
          <w:lang w:bidi="fa-IR"/>
        </w:rPr>
        <w:t>»</w:t>
      </w:r>
      <w:r>
        <w:rPr>
          <w:rStyle w:val="FootnoteAnchor"/>
          <w:rtl w:val="true"/>
        </w:rPr>
        <w:footnoteReference w:id="17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أیضاً فی القواعد بمثل ذلک</w:t>
      </w:r>
      <w:r>
        <w:rPr>
          <w:rStyle w:val="FootnoteAnchor"/>
          <w:rtl w:val="true"/>
        </w:rPr>
        <w:footnoteReference w:id="17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کلّ حال، الحقّ أنّ هذا الشرط لازم؛ لأنّ مَن کان قادراً علی التکسّب فهو غنیّ شرعاً، و لذا منع من الزکاة و الکفّارات المشروطة بالفقر، فعن النبیّ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تحل الصدقة لغنیّ و لا لقوی مکتسب</w:t>
      </w:r>
      <w:r>
        <w:rPr>
          <w:rFonts w:eastAsia="IRNazanin" w:cs="IRNazanin"/>
          <w:color w:val="111111"/>
          <w:sz w:val="28"/>
          <w:szCs w:val="28"/>
          <w:rtl w:val="true"/>
          <w:lang w:bidi="fa-IR"/>
        </w:rPr>
        <w:t>»</w:t>
      </w:r>
      <w:r>
        <w:rPr>
          <w:rStyle w:val="FootnoteAnchor"/>
          <w:rtl w:val="true"/>
        </w:rPr>
        <w:footnoteReference w:id="17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بعض الأکابر من الفقهاء فی هذه المسألة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المشهور الذی علیه أکثر العلماء هو أنّ الغنی المانع من أخذ الزکاة هو القدرة علی کفایة ما یحتاج إلیه فی السنة من قوته</w:t>
      </w:r>
      <w:r>
        <w:rPr>
          <w:rFonts w:eastAsia="IRNazanin" w:cs="IRNazanin"/>
          <w:color w:val="111111"/>
          <w:sz w:val="28"/>
          <w:szCs w:val="28"/>
          <w:rtl w:val="true"/>
          <w:lang w:bidi="fa-IR"/>
        </w:rPr>
        <w:t>»</w:t>
      </w:r>
      <w:r>
        <w:rPr>
          <w:rStyle w:val="FootnoteAnchor"/>
          <w:rtl w:val="true"/>
        </w:rPr>
        <w:footnoteReference w:id="17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النفقة معونة علی سدّ الخلّة، و المکتسب قادر</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مقابل هذا القول قول بأنّ وجوب النفقة لا یشترط بالعجز عن التکسّب؛ لأنّ صدق الغنیّ علی القادر المعرض عن الاکتساب عرفاً مورد للمناقشة، بل</w:t>
      </w:r>
      <w:bookmarkStart w:id="857" w:name="pg11752_146423"/>
    </w:p>
    <w:p>
      <w:pPr>
        <w:pStyle w:val="BookText"/>
        <w:rPr/>
      </w:pPr>
      <w:bookmarkEnd w:id="857"/>
      <w:r>
        <w:rPr>
          <w:rFonts w:ascii="IRNazanin" w:hAnsi="IRNazanin" w:eastAsia="IRNazanin"/>
          <w:color w:val="111111"/>
          <w:sz w:val="28"/>
          <w:sz w:val="28"/>
          <w:szCs w:val="28"/>
          <w:rtl w:val="true"/>
          <w:lang w:bidi="fa-IR"/>
        </w:rPr>
        <w:t>یصدق علیه أنّه محتاج، و لا دلیل علی أنّه بحکم الغنیّ شرعاً</w:t>
      </w:r>
      <w:r>
        <w:rPr>
          <w:rStyle w:val="FootnoteAnchor"/>
          <w:rtl w:val="true"/>
        </w:rPr>
        <w:footnoteReference w:id="17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العرف علی خلاف ذلک، فإنّ الشابّ القویّ الجسم و القادر علی العمل لو سئل الناس لتحصیل قوته و معیشته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قادر و یمنعونه عن السؤال، بخلاف ما إذا کان مریضاً لم یقدر علی الکسب؛ و لذا قال فی المسالک ردّاً علی هذا 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 عدم اشتراط القدرة علی الاکتساب حصول الحاجة بالفعل، و هو ضعیف جدّاً؛ لأنّ المکتسب قادر، و من ثَمّ منع من الزکاة و الکفّارة المشروطة بالفقر، و قد ساوی النبیّ صلی الله علیه و آله بین الغنیّ و القویّ المکتسب فی ذلک، فقال للرجلین اللذین أتیاه فسألاه من 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أعطیکما بعد أن أعلمکما أن لا حظّ فیها لغنیّ و لا قویّ مکتسب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یعتبر فی الکسب کونه لائقاً بحاله عادةً</w:t>
      </w:r>
      <w:r>
        <w:rPr>
          <w:rFonts w:eastAsia="IRNazanin" w:cs="IRNazanin"/>
          <w:color w:val="111111"/>
          <w:sz w:val="28"/>
          <w:szCs w:val="28"/>
          <w:rtl w:val="true"/>
          <w:lang w:bidi="fa-IR"/>
        </w:rPr>
        <w:t>...»</w:t>
      </w:r>
      <w:r>
        <w:rPr>
          <w:rStyle w:val="FootnoteAnchor"/>
          <w:rtl w:val="true"/>
        </w:rPr>
        <w:footnoteReference w:id="179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58" w:name="__RefHeading___Toc9424426_73709187"/>
      <w:bookmarkStart w:id="859" w:name="_Toc327"/>
      <w:bookmarkEnd w:id="858"/>
      <w:r>
        <w:rPr>
          <w:rtl w:val="true"/>
        </w:rPr>
        <w:t>الشرط الثالث علی قولٍ‌</w:t>
      </w:r>
      <w:bookmarkEnd w:id="859"/>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اشترط فی المبسوط فی عداد الشرائط الموجبة لوجوب النفقة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ناقص الخلقة أو ناقص الأحکام،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صفة الولد فإن یکون أوّلاً معسراً ثمّ یکون ناقص الخلق أو ناقص الاحکام و الخلقة، فأمّا ناقص الخلقة فالضریر أو المعضوب الزّمن، و أمّا ناقص الأحکام فالولد الصغیر؛ لأنه لا حکم لکلامه، و القلم لا یجری علیه، و أمّا ناقص الأحکام و الخلقة معاً فالکبیر الضریر المجنون</w:t>
      </w:r>
      <w:r>
        <w:rPr>
          <w:rFonts w:eastAsia="IRNazanin" w:cs="IRNazanin"/>
          <w:color w:val="111111"/>
          <w:sz w:val="28"/>
          <w:szCs w:val="28"/>
          <w:rtl w:val="true"/>
          <w:lang w:bidi="fa-IR"/>
        </w:rPr>
        <w:t>»</w:t>
      </w:r>
      <w:r>
        <w:rPr>
          <w:rStyle w:val="FootnoteAnchor"/>
          <w:rtl w:val="true"/>
        </w:rPr>
        <w:footnoteReference w:id="1800"/>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فقهاء أهل السنّة قائلون بلزوم هذا الشرط‌</w:t>
      </w:r>
      <w:r>
        <w:rPr>
          <w:rStyle w:val="FootnoteAnchor"/>
          <w:rtl w:val="true"/>
        </w:rPr>
        <w:footnoteReference w:id="18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ذکروا فی بیانه عبارات مختلفة، بعضها بعنوان موجبات العجز أو غیر ذلک، قال فی الفقه الإسلامی و أدلّته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العجز عن الکسب یکون بإحدی الصفات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الصغر الذی لم یبلغ به صاحبه حدّ الکسب، فإن بلغ الغلام لا الاُنثی حدّ الکسب کان للأب أن یؤجره أو یدفعه إلی حرفة لیکتسب منها و ینفق علیه من کسبه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الاُنوثة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نفقة البنت الفقیرة علی أبیها مهما بلغت حتّی تتزوّج، و عندئذ تصبح نفقتها علی الزوج، فإذا طلّقت عادت نفقتها علی الأب، و لا یجوز للأب أن یجبرها علی الاکتساب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المرض المانع من العمل کالعمی و الشلل و الجنون و العته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العلم الذی یشغل عن التکسّب، فالطالب المتعلِّم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و لو کان قادراً علی العمل و التکسّب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نفقته علی أبیه؛ لأنّ طلب العلم فرض کفایة، فلو ألزم طلبة العلم التکسّب تعطّلت مصالح الأمة</w:t>
      </w:r>
      <w:r>
        <w:rPr>
          <w:rFonts w:eastAsia="IRNazanin" w:cs="IRNazanin"/>
          <w:color w:val="111111"/>
          <w:sz w:val="28"/>
          <w:szCs w:val="28"/>
          <w:rtl w:val="true"/>
          <w:lang w:bidi="fa-IR"/>
        </w:rPr>
        <w:t>»</w:t>
      </w:r>
      <w:r>
        <w:rPr>
          <w:rStyle w:val="FootnoteAnchor"/>
          <w:rtl w:val="true"/>
        </w:rPr>
        <w:footnoteReference w:id="18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فقهاء الشیعة لا یعتقدون بلزوم هذا الشرط، حتّی الشیخ الطوسی و إن قال بلزومه فی المبسوط‌</w:t>
      </w:r>
      <w:r>
        <w:rPr>
          <w:rStyle w:val="FootnoteAnchor"/>
          <w:rtl w:val="true"/>
        </w:rPr>
        <w:footnoteReference w:id="1803"/>
      </w:r>
      <w:r>
        <w:rPr>
          <w:rFonts w:ascii="IRNazanin" w:hAnsi="IRNazanin" w:eastAsia="IRNazanin"/>
          <w:color w:val="111111"/>
          <w:sz w:val="28"/>
          <w:sz w:val="28"/>
          <w:szCs w:val="28"/>
          <w:rtl w:val="true"/>
          <w:lang w:bidi="fa-IR"/>
        </w:rPr>
        <w:t>و لکنّه رجع عنه فی الخلاف</w:t>
      </w:r>
      <w:r>
        <w:rPr>
          <w:rStyle w:val="FootnoteAnchor"/>
          <w:rtl w:val="true"/>
        </w:rPr>
        <w:footnoteReference w:id="1804"/>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الجواهر ممزوجاً مع متن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عبرة عندنا کما عن الخلاف بنقصان الخلقة بعمی أو إقعاد و نحوهما، و لا بنقصان الحکم بجنون أو صغر مع الفقر و العجز</w:t>
      </w:r>
      <w:r>
        <w:rPr>
          <w:rFonts w:eastAsia="IRNazanin" w:cs="IRNazanin"/>
          <w:color w:val="111111"/>
          <w:sz w:val="28"/>
          <w:szCs w:val="28"/>
          <w:rtl w:val="true"/>
          <w:lang w:bidi="fa-IR"/>
        </w:rPr>
        <w:t>»</w:t>
      </w:r>
      <w:r>
        <w:rPr>
          <w:rStyle w:val="FootnoteAnchor"/>
          <w:rtl w:val="true"/>
        </w:rPr>
        <w:footnoteReference w:id="1805"/>
      </w:r>
      <w:bookmarkStart w:id="860" w:name="pg11752_146425"/>
    </w:p>
    <w:p>
      <w:pPr>
        <w:pStyle w:val="BookText"/>
        <w:rPr/>
      </w:pPr>
      <w:bookmarkEnd w:id="860"/>
      <w:r>
        <w:rPr>
          <w:rFonts w:ascii="IRNazanin" w:hAnsi="IRNazanin" w:eastAsia="IRNazanin"/>
          <w:color w:val="111111"/>
          <w:sz w:val="28"/>
          <w:sz w:val="28"/>
          <w:szCs w:val="28"/>
          <w:rtl w:val="true"/>
          <w:lang w:bidi="fa-IR"/>
        </w:rPr>
        <w:t>و قال فی الریاض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یشترط نقصان الخلقة بنحو الزمانة، و لا الحکم بنحو الصغر و الجنون علی الأشهر الأقوی، بل عن الخلاف أنّه ادّعی فی الظاهر علیه إجماعنا، و هو الحجّة فیه بعد إطلاق النصوص، و خلاف المبسوط باعتبارهما شاذ</w:t>
      </w:r>
      <w:r>
        <w:rPr>
          <w:rFonts w:eastAsia="IRNazanin" w:cs="IRNazanin"/>
          <w:color w:val="111111"/>
          <w:sz w:val="28"/>
          <w:szCs w:val="28"/>
          <w:rtl w:val="true"/>
          <w:lang w:bidi="fa-IR"/>
        </w:rPr>
        <w:t>»</w:t>
      </w:r>
      <w:r>
        <w:rPr>
          <w:rStyle w:val="FootnoteAnchor"/>
          <w:rtl w:val="true"/>
        </w:rPr>
        <w:footnoteReference w:id="18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کلّ حالٍ، دلیل عدم لزوم هذا الشرط إطلاق النصوص مثل صحیحة الحلبی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الذی أجبر علی نفقته؟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الوالدان و الولد و الزوجة و الوارث الصغیر</w:t>
      </w:r>
      <w:r>
        <w:rPr>
          <w:rFonts w:eastAsia="IRNazanin" w:cs="IRNazanin"/>
          <w:color w:val="111111"/>
          <w:sz w:val="28"/>
          <w:szCs w:val="28"/>
          <w:rtl w:val="true"/>
          <w:lang w:bidi="fa-IR"/>
        </w:rPr>
        <w:t>»</w:t>
      </w:r>
      <w:r>
        <w:rPr>
          <w:rStyle w:val="FootnoteAnchor"/>
          <w:rtl w:val="true"/>
        </w:rPr>
        <w:footnoteReference w:id="1807"/>
      </w:r>
      <w:r>
        <w:rPr>
          <w:rFonts w:ascii="IRNazanin" w:hAnsi="IRNazanin" w:eastAsia="IRNazanin"/>
          <w:color w:val="111111"/>
          <w:sz w:val="28"/>
          <w:sz w:val="28"/>
          <w:szCs w:val="28"/>
          <w:rtl w:val="true"/>
          <w:lang w:bidi="fa-IR"/>
        </w:rPr>
        <w:t>و غیرها من الروایات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تظهر الثمرة بین القولین فی وجوب النفقة علی الصحیح الکامل فی الأحکام إذا کان فقیراً غیر مکتسب، فعلی القول بلزوم هذا الشرط لا یجب الإنفاق علیه؛ لأنّه لم یکن عاجزاً عن الکسب و لم یکن ناقص الخلقة، بخلافه علی القول الثانی</w:t>
      </w:r>
      <w:r>
        <w:rPr>
          <w:rFonts w:eastAsia="IRNazanin" w:cs="IRNazanin"/>
          <w:color w:val="111111"/>
          <w:sz w:val="28"/>
          <w:szCs w:val="28"/>
          <w:rtl w:val="true"/>
          <w:lang w:bidi="fa-IR"/>
        </w:rPr>
        <w:t>.</w:t>
      </w:r>
    </w:p>
    <w:p>
      <w:pPr>
        <w:pStyle w:val="Heading5"/>
        <w:numPr>
          <w:ilvl w:val="4"/>
          <w:numId w:val="1"/>
        </w:numPr>
        <w:rPr/>
      </w:pPr>
      <w:bookmarkStart w:id="861" w:name="__RefHeading___Toc9424428_73709187"/>
      <w:bookmarkStart w:id="862" w:name="_Toc328"/>
      <w:bookmarkEnd w:id="861"/>
      <w:r>
        <w:rPr>
          <w:rtl w:val="true"/>
        </w:rPr>
        <w:t>هل عدم الکفر أیضاً شرط؟</w:t>
      </w:r>
      <w:bookmarkEnd w:id="862"/>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أضاف الحنابلة من أهل السنّة شرطاً آخر، و هو ألاّ یختلف دین المنفق و المنفق علیه،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تجب النفقة فی عمودی النسب مع اختلاف الدین فی الروایة المعتمدة لدیهم؛ لأنّها مواساة علی البرّ و الصلة، فلم تجب مع اختلاف الدین کنفقة غیر عمودی النسب، و لأنّهما غیر متوارثین، فلم یجب لأحدهما علی الآخر نفقته بالقرابة، و من الشروط عندهم أن یکون المنفق وارثاً؛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الْوارِثِ مِثْلُ ذلِکَ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أن تختصّ النفقة بمن تجب صلته و بمن کان وارثاً، و إن لم یکن وارثاً فلا نفقة له؛ لعدم القرابة</w:t>
      </w:r>
      <w:r>
        <w:rPr>
          <w:rFonts w:eastAsia="IRNazanin" w:cs="IRNazanin"/>
          <w:color w:val="111111"/>
          <w:sz w:val="28"/>
          <w:szCs w:val="28"/>
          <w:rtl w:val="true"/>
          <w:lang w:bidi="fa-IR"/>
        </w:rPr>
        <w:t>»</w:t>
      </w:r>
      <w:r>
        <w:rPr>
          <w:rStyle w:val="FootnoteAnchor"/>
          <w:rtl w:val="true"/>
        </w:rPr>
        <w:footnoteReference w:id="1808"/>
      </w:r>
      <w:bookmarkStart w:id="863" w:name="pg11752_146426"/>
    </w:p>
    <w:p>
      <w:pPr>
        <w:pStyle w:val="BookText"/>
        <w:rPr/>
      </w:pPr>
      <w:bookmarkEnd w:id="863"/>
      <w:r>
        <w:rPr>
          <w:rFonts w:ascii="Amiri" w:hAnsi="Amiri" w:eastAsia="Amiri" w:cs="Amiri"/>
          <w:color w:val="111111"/>
          <w:sz w:val="28"/>
          <w:sz w:val="28"/>
          <w:szCs w:val="28"/>
          <w:rtl w:val="true"/>
          <w:lang w:bidi="ar-SA"/>
        </w:rPr>
        <w:t>و لکن فقهاء الشیعة و طوائف من أهل السنّة من غیر الحنابلة لم یشترطوا ذلک؛ لإطلاق الأدلّة مثل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عَلَی الْمَوْلُودِ لَهُ رِزْقُهُنَّ وَ کِسْوَتُهُنَّ بِالْمَعْرُوفِ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المشعر بأنّ الولادة سبب لإیجاب نفقة الأولاد علی أبیهم و بالعکس أیضاً، و الولادة ثابتة مع اتّحاد الدین أو اختلافه، و لأنّ الشرع أمر لمصاحبة الوالدین بالمعروف و لو کانا کافرین</w:t>
      </w:r>
      <w:r>
        <w:rPr>
          <w:rStyle w:val="FootnoteAnchor"/>
          <w:rtl w:val="true"/>
        </w:rPr>
        <w:footnoteReference w:id="18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یتمّ بالنسبة للأولاد بعدم القول بالفصل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الإنصاف أنّ إثبات عدم هذا الشرط فی نحو الکافر مشکل؛ لعموم النهی عن المراودة،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تَجِدُ قَوْماً یُؤْمِنُونَ بِاللّهِ وَ الْیَوْمِ الْآخِرِ یُوادُّونَ مَنْ حَادَّ اللّهَ وَ رَسُولَهُ وَ لَوْ کانُوا آباءَهُمْ أَوْ أَبْناءَهُمْ أَوْ إِخْوانَهُمْ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لذا قال فی الریاض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المستند فی أصل عدم اشتراط الأمرین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العدالة و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اتّفاقهم علیه ظاهراً، مع نقل بعضهم الإجماع صریحاً، و إلاّ فإثباته بالعموم فی نحو الکافر مشکل جدّاً</w:t>
      </w:r>
      <w:r>
        <w:rPr>
          <w:rFonts w:eastAsia="IRNazanin" w:cs="IRNazanin"/>
          <w:color w:val="111111"/>
          <w:sz w:val="28"/>
          <w:szCs w:val="28"/>
          <w:rtl w:val="true"/>
          <w:lang w:bidi="fa-IR"/>
        </w:rPr>
        <w:t>»</w:t>
      </w:r>
      <w:r>
        <w:rPr>
          <w:rStyle w:val="FootnoteAnchor"/>
          <w:rtl w:val="true"/>
        </w:rPr>
        <w:footnoteReference w:id="18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الجواهر فی شرح کلام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تجب النفقة بلا خلاف أجده فیه لمن عرفت من الأصول و الفروع، و لو کان فاسقاً أو کافراً بلا خلاف أجده فیه، بل عن جماعة الإجماع علیه</w:t>
      </w:r>
      <w:r>
        <w:rPr>
          <w:rFonts w:eastAsia="IRNazanin" w:cs="IRNazanin"/>
          <w:color w:val="111111"/>
          <w:sz w:val="28"/>
          <w:szCs w:val="28"/>
          <w:rtl w:val="true"/>
          <w:lang w:bidi="fa-IR"/>
        </w:rPr>
        <w:t>»</w:t>
      </w:r>
      <w:r>
        <w:rPr>
          <w:rStyle w:val="FootnoteAnchor"/>
          <w:rtl w:val="true"/>
        </w:rPr>
        <w:footnoteReference w:id="18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4" w:name="__RefHeading___Toc9424430_73709187"/>
      <w:bookmarkStart w:id="865" w:name="_Toc329"/>
      <w:bookmarkEnd w:id="864"/>
      <w:r>
        <w:rPr>
          <w:rtl w:val="true"/>
        </w:rPr>
        <w:t>یجب علی الرجل التکسب لنفقة نفسه</w:t>
      </w:r>
      <w:bookmarkEnd w:id="865"/>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الفاضل الهندی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یلزمه التکسّب اللائق به إن قدر علیه لنفقة نفسه؛ لوجوب دفع الضرر عن نفسه، و حرمة إلقاء النفس إلی التهلکة، و یدخل فی التکسّب</w:t>
      </w:r>
      <w:bookmarkStart w:id="866" w:name="pg11752_146427"/>
    </w:p>
    <w:p>
      <w:pPr>
        <w:pStyle w:val="BookText"/>
        <w:rPr/>
      </w:pPr>
      <w:bookmarkEnd w:id="866"/>
      <w:r>
        <w:rPr>
          <w:rFonts w:ascii="IRNazanin" w:hAnsi="IRNazanin" w:eastAsia="IRNazanin"/>
          <w:color w:val="111111"/>
          <w:sz w:val="28"/>
          <w:sz w:val="28"/>
          <w:szCs w:val="28"/>
          <w:rtl w:val="true"/>
          <w:lang w:bidi="fa-IR"/>
        </w:rPr>
        <w:t>السؤال و الاستیهاب إن لم یقدر علی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القول بوجوب التکسّب بغیره إذا قدر علیه؛ لما ورد من التشدید علی السؤال، و أنّ المؤمن لا یسأل بالکفّ</w:t>
      </w:r>
      <w:r>
        <w:rPr>
          <w:rFonts w:eastAsia="IRNazanin" w:cs="IRNazanin"/>
          <w:color w:val="111111"/>
          <w:sz w:val="28"/>
          <w:szCs w:val="28"/>
          <w:rtl w:val="true"/>
          <w:lang w:bidi="fa-IR"/>
        </w:rPr>
        <w:t>»</w:t>
      </w:r>
      <w:r>
        <w:rPr>
          <w:rStyle w:val="FootnoteAnchor"/>
          <w:rtl w:val="true"/>
        </w:rPr>
        <w:footnoteReference w:id="18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مقصوده الروایات الواردة فی أبواب الصدقة من کتاب الزکاة، مثل قول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اتّبعوا قول رسول اللّه صلی الله علیه و آله فإنّه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فتح علی نفسه باب مسألة فتح اللّه علیه باب فقرٍ</w:t>
      </w:r>
      <w:r>
        <w:rPr>
          <w:rFonts w:eastAsia="IRNazanin" w:cs="IRNazanin"/>
          <w:color w:val="111111"/>
          <w:sz w:val="28"/>
          <w:szCs w:val="28"/>
          <w:rtl w:val="true"/>
          <w:lang w:bidi="fa-IR"/>
        </w:rPr>
        <w:t>»</w:t>
      </w:r>
      <w:r>
        <w:rPr>
          <w:rStyle w:val="FootnoteAnchor"/>
          <w:rtl w:val="true"/>
        </w:rPr>
        <w:footnoteReference w:id="18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 قول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إیّاکم و سؤال الناس، فإنّه ذلّ فی الدنیا، و فقر تستعجلونه، و حساب طویل یوم القیامة</w:t>
      </w:r>
      <w:r>
        <w:rPr>
          <w:rFonts w:eastAsia="IRNazanin" w:cs="IRNazanin"/>
          <w:color w:val="111111"/>
          <w:sz w:val="28"/>
          <w:szCs w:val="28"/>
          <w:rtl w:val="true"/>
          <w:lang w:bidi="fa-IR"/>
        </w:rPr>
        <w:t>»</w:t>
      </w:r>
      <w:r>
        <w:rPr>
          <w:rStyle w:val="FootnoteAnchor"/>
          <w:rtl w:val="true"/>
        </w:rPr>
        <w:footnoteReference w:id="1814"/>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الجواهر ردّاً علی هذا النظر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إنّما یحرم منه ما به یحصل هتک العرض الذی یجب علی الإنسان حفظه کالنفس و المال، بل هو أعظم من الأخیر منهما و إن کان قد یجب مقدّمة لحفظ النفس مع فرض الانحصار فیه، فاحتمال وجوب التکسّب بغیره مع التمکّن فی غیر محلّه</w:t>
      </w:r>
      <w:r>
        <w:rPr>
          <w:rFonts w:eastAsia="IRNazanin" w:cs="IRNazanin"/>
          <w:color w:val="111111"/>
          <w:sz w:val="28"/>
          <w:szCs w:val="28"/>
          <w:rtl w:val="true"/>
          <w:lang w:bidi="fa-IR"/>
        </w:rPr>
        <w:t>»</w:t>
      </w:r>
      <w:r>
        <w:rPr>
          <w:rStyle w:val="FootnoteAnchor"/>
          <w:rtl w:val="true"/>
        </w:rPr>
        <w:footnoteReference w:id="18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أنّ الحقّ مع الفاضل الهندی؛ لأنّ مطلق السؤال ممّن کان قادراً علی الکسب و صحیحاً جسماً موجب للهتک و یصیر سبباً لذلّة السائل بین الناس، و أیضاً یوجب أن یتهاون الرجال فی ممارسة الحرف و الصناعات، و تضمحلّ رغبتهم فی جلب معاشهم، فیختلّ النظام، و هذا خلاف ما یهدف إلیه الشارع المقدّس من العمل و التکسّب و الصناعات المختلفة</w:t>
      </w:r>
      <w:r>
        <w:rPr>
          <w:rFonts w:eastAsia="IRNazanin" w:cs="IRNazanin"/>
          <w:color w:val="111111"/>
          <w:sz w:val="28"/>
          <w:szCs w:val="28"/>
          <w:rtl w:val="true"/>
          <w:lang w:bidi="fa-IR"/>
        </w:rPr>
        <w:t>.</w:t>
      </w:r>
    </w:p>
    <w:p>
      <w:pPr>
        <w:pStyle w:val="Heading5"/>
        <w:numPr>
          <w:ilvl w:val="4"/>
          <w:numId w:val="1"/>
        </w:numPr>
        <w:rPr/>
      </w:pPr>
      <w:bookmarkStart w:id="867" w:name="__RefHeading___Toc9424432_73709187"/>
      <w:bookmarkStart w:id="868" w:name="_Toc330"/>
      <w:bookmarkEnd w:id="867"/>
      <w:r>
        <w:rPr>
          <w:rtl w:val="true"/>
        </w:rPr>
        <w:t>هل یجب التکسّب لنفقة الأولاد و الأقارب؟</w:t>
      </w:r>
      <w:bookmarkEnd w:id="868"/>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یجب التکسّب علی الوالد لنفقة أولاده و أقاربه کما یجب لنفقة نفسه؟</w:t>
      </w:r>
    </w:p>
    <w:p>
      <w:pPr>
        <w:pStyle w:val="BookText"/>
        <w:rPr/>
      </w:pPr>
      <w:r>
        <w:rPr>
          <w:rFonts w:ascii="IRNazanin" w:hAnsi="IRNazanin" w:eastAsia="IRNazanin"/>
          <w:color w:val="111111"/>
          <w:sz w:val="28"/>
          <w:sz w:val="28"/>
          <w:szCs w:val="28"/>
          <w:rtl w:val="true"/>
          <w:lang w:bidi="fa-IR"/>
        </w:rPr>
        <w:t>یحتمل هذا وجهین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النفقة خلاف للأصل، یعنی أصالة براءة ذمّة الوالد تحکم بعدم وجوب النفقة علیه، خرج منه مورد الیقین، أعنی الوجوب بشرط الغنی، و أیضاً النفقة علیهم مواساة، و لا مواساة علی الفقیر، و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لِیُنْفِقْ ذُو سَعَةٍ مِنْ سَعَتِهِ وَ مَنْ قُدِرَ عَلَیْهِ رِزْقُهُ فَلْیُنْفِقْ مِمّا آتاهُ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یقل فلیکتسب أو نحوه</w:t>
      </w:r>
      <w:r>
        <w:rPr>
          <w:rStyle w:val="FootnoteAnchor"/>
          <w:rtl w:val="true"/>
        </w:rPr>
        <w:footnoteReference w:id="18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فاستناداً إلی هذه الأدلّة لا یجب علیه التکسّب لنفقة أولاده و أقاربه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ورد الأمر المطلق بإعطاء الأجر علی الرضاع و هو من نفقة الأولاد،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أَرْضَعْنَ لَکُمْ فَآتُوهُنَّ أُجُورَهُنَّ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یستفاد منها أنّ للمرضعة أجر الرضاع مطلقاً، کان الوالد واجداً أم لیس کذلک</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هذا إن لم یکن له مال و کان قادراً علی الکسب لا یبعد أن یقال بوجوب التکسّب علیه لیؤدّی أجرة الرضاع، و الرضاع من النفقة، فإذا کان فی هذا المورد التکسّب واجباً کان فی غیره أیضاً کذلک؛ لعدم القول بالفصل، و أیضاً لأنّ أخبار الإنفاق مطلقة</w:t>
      </w:r>
      <w:r>
        <w:rPr>
          <w:rStyle w:val="FootnoteAnchor"/>
          <w:rtl w:val="true"/>
        </w:rPr>
        <w:footnoteReference w:id="18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یصرّح فیها بأنّ الوجوب مشروط بالغنی، مثل ما رواه إسحاق بن عمّار،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أمیر المؤمنین علیه السلام فی رجل توفّی و ترک صبیّاً فاسترضع له،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أجر رضاع الصبیّ ممّا یرث من أبیه و أنّه حظّه</w:t>
      </w:r>
      <w:r>
        <w:rPr>
          <w:rFonts w:eastAsia="IRNazanin" w:cs="IRNazanin"/>
          <w:color w:val="111111"/>
          <w:sz w:val="28"/>
          <w:szCs w:val="28"/>
          <w:rtl w:val="true"/>
          <w:lang w:bidi="fa-IR"/>
        </w:rPr>
        <w:t>»</w:t>
      </w:r>
      <w:r>
        <w:rPr>
          <w:rStyle w:val="FootnoteAnchor"/>
          <w:rtl w:val="true"/>
        </w:rPr>
        <w:footnoteReference w:id="18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غیرها ممّا ذکرناها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فیستفاد منها أنّ للمرضعة أجر الرضاع مطلقاً فی حیاة الوالد و مماته و فی فقره و غنائه، علی هذا إن لم یکن له مال و کان قادراً علی الکسب لا یبعد أن یقال بوجوب التکسّب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القادر علی التکسّب غنیّ فی الشرع کما بیّنا دلیله سابقاً، و قد اتّفقوا علی وجوبها علی الغنیّ، و من ناحیة أخری نهی النبیّ صلی الله علیه و آله عن تضییع الأولاد، 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ملعون ملعون من ضیّع مَن یعول</w:t>
      </w:r>
      <w:r>
        <w:rPr>
          <w:rFonts w:eastAsia="IRNazanin" w:cs="IRNazanin"/>
          <w:color w:val="111111"/>
          <w:sz w:val="28"/>
          <w:szCs w:val="28"/>
          <w:rtl w:val="true"/>
          <w:lang w:bidi="fa-IR"/>
        </w:rPr>
        <w:t>»</w:t>
      </w:r>
      <w:r>
        <w:rPr>
          <w:rStyle w:val="FootnoteAnchor"/>
          <w:rtl w:val="true"/>
        </w:rPr>
        <w:footnoteReference w:id="18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النفقة علی الأولاد تضییع لهم، و 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أعسر أحدکم فلیضرب فی الأرض و یبتغی من فضل اللّه، و لا یغمّ نفسه و أهله</w:t>
      </w:r>
      <w:r>
        <w:rPr>
          <w:rFonts w:eastAsia="IRNazanin" w:cs="IRNazanin"/>
          <w:color w:val="111111"/>
          <w:sz w:val="28"/>
          <w:szCs w:val="28"/>
          <w:rtl w:val="true"/>
          <w:lang w:bidi="fa-IR"/>
        </w:rPr>
        <w:t>»</w:t>
      </w:r>
      <w:r>
        <w:rPr>
          <w:rStyle w:val="FootnoteAnchor"/>
          <w:rtl w:val="true"/>
        </w:rPr>
        <w:footnoteReference w:id="18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بما قلنا یجاب عن الوجه الأوّل؛ بأنّ البراءة لا تجری مع الدلیل، و أمّا الاستناد بالآیة الکریمة فقد أجیب أنّها کانت لبیان قدر النفقة و کیفیّة الإنفاق لا الوجوب، مع أنّه یمکن إدخال المکتسب فی کلّ من ذی السعة و خلافه</w:t>
      </w:r>
      <w:r>
        <w:rPr>
          <w:rStyle w:val="FootnoteAnchor"/>
          <w:rtl w:val="true"/>
        </w:rPr>
        <w:footnoteReference w:id="18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فعلی هذا یجب علی الأب مع التمکّن التکسّب لنفقة أولاده و أقاربه، و هذا اختیار الشیخ فی المبسوط و العلاّمة و صاحب الجواهر</w:t>
      </w:r>
      <w:r>
        <w:rPr>
          <w:rStyle w:val="FootnoteAnchor"/>
          <w:rtl w:val="true"/>
        </w:rPr>
        <w:footnoteReference w:id="1822"/>
      </w:r>
      <w:r>
        <w:rPr>
          <w:rFonts w:ascii="IRNazanin" w:hAnsi="IRNazanin" w:eastAsia="IRNazanin"/>
          <w:color w:val="111111"/>
          <w:sz w:val="28"/>
          <w:sz w:val="28"/>
          <w:szCs w:val="28"/>
          <w:rtl w:val="true"/>
          <w:lang w:bidi="fa-IR"/>
        </w:rPr>
        <w:t>و غیرهم</w:t>
      </w:r>
      <w:r>
        <w:rPr>
          <w:rStyle w:val="FootnoteAnchor"/>
          <w:rtl w:val="true"/>
        </w:rPr>
        <w:footnoteReference w:id="1823"/>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ظهر ممّا قلنا من وجوب الاکتساب علی الأب أنه یجب علیه أن یبیع ما لا یحتاج إلیه فعلاً؛ لعموم الأدلة، قال فی کشف اللثام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یباع عبده بل رقیقه الذی لا یحتاج إلیه و إن کان أهلاً لشرفه، و عقاره فیه، أی للإنفاق علی القریب؛ لعموم الأدلّة، و عدم الاستثناء</w:t>
      </w:r>
      <w:r>
        <w:rPr>
          <w:rFonts w:eastAsia="IRNazanin" w:cs="IRNazanin"/>
          <w:color w:val="111111"/>
          <w:sz w:val="28"/>
          <w:szCs w:val="28"/>
          <w:rtl w:val="true"/>
          <w:lang w:bidi="fa-IR"/>
        </w:rPr>
        <w:t>»</w:t>
      </w:r>
      <w:r>
        <w:rPr>
          <w:rStyle w:val="FootnoteAnchor"/>
          <w:rtl w:val="true"/>
        </w:rPr>
        <w:footnoteReference w:id="1824"/>
      </w:r>
      <w:bookmarkStart w:id="869" w:name="pg11752_146430"/>
    </w:p>
    <w:p>
      <w:pPr>
        <w:pStyle w:val="Heading5"/>
        <w:numPr>
          <w:ilvl w:val="4"/>
          <w:numId w:val="1"/>
        </w:numPr>
        <w:rPr/>
      </w:pPr>
      <w:bookmarkStart w:id="870" w:name="__RefHeading___Toc9424434_73709187"/>
      <w:bookmarkStart w:id="871" w:name="_Toc331"/>
      <w:bookmarkEnd w:id="869"/>
      <w:bookmarkEnd w:id="870"/>
      <w:r>
        <w:rPr>
          <w:rtl w:val="true"/>
        </w:rPr>
        <w:t>قول بعض أهل السنّة فی المسألة</w:t>
      </w:r>
      <w:bookmarkEnd w:id="871"/>
    </w:p>
    <w:p>
      <w:pPr>
        <w:pStyle w:val="BookText"/>
        <w:rPr/>
      </w:pPr>
      <w:r>
        <w:rPr>
          <w:rFonts w:ascii="IRNazanin" w:hAnsi="IRNazanin" w:eastAsia="IRNazanin"/>
          <w:color w:val="111111"/>
          <w:sz w:val="28"/>
          <w:sz w:val="28"/>
          <w:szCs w:val="28"/>
          <w:rtl w:val="true"/>
          <w:lang w:bidi="fa-IR"/>
        </w:rPr>
        <w:t>و لبعض الفقهاء من أهل السنّة قول بالتفصیل بین الأولاد الصغار و الکبار المرضی بمرض مزمن فیجب، و بین غیره من الأقارب فلا یجب، قال علاء الدین مسعود الکاسانی فی البدائع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المنفق هو الأب فلا یشترط یساره؛ لوجوب النفقة علیه، بل قدرته علی الکسب کافیة حتّی تجب علیه النفقة علی أولاده الصغار و الکبار، الذکور الزمنی الفقراء، و الإناث الفقیرات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معسراً بعد أن کان قادراً علی الکسب؛ لأنّ الإنفاق علیهم عند حاجتهم و عجزهم عن الکسب إحیاؤهم، و إحیاؤهم إحیاء نفسه؛ لقیام الجزئیة و العصبیة و إحیاء نفسه واجب</w:t>
      </w:r>
      <w:r>
        <w:rPr>
          <w:rFonts w:eastAsia="IRNazanin" w:cs="IRNazanin"/>
          <w:color w:val="111111"/>
          <w:sz w:val="28"/>
          <w:szCs w:val="28"/>
          <w:rtl w:val="true"/>
          <w:lang w:bidi="fa-IR"/>
        </w:rPr>
        <w:t>»</w:t>
      </w:r>
      <w:r>
        <w:rPr>
          <w:rStyle w:val="FootnoteAnchor"/>
          <w:rtl w:val="true"/>
        </w:rPr>
        <w:footnoteReference w:id="18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موضعٍ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الذی یرجع إلی المنفق خاصّة فیساره فی قرابة غیر الأولاد من الرحم المحرم، فلا یجب علی غیر الموسر فی هذه القرابة نفقة، و إن کان قادراً علی الکسب</w:t>
      </w:r>
      <w:r>
        <w:rPr>
          <w:rFonts w:eastAsia="IRNazanin" w:cs="IRNazanin"/>
          <w:color w:val="111111"/>
          <w:sz w:val="28"/>
          <w:szCs w:val="28"/>
          <w:rtl w:val="true"/>
          <w:lang w:bidi="fa-IR"/>
        </w:rPr>
        <w:t>»</w:t>
      </w:r>
      <w:r>
        <w:rPr>
          <w:rStyle w:val="FootnoteAnchor"/>
          <w:rtl w:val="true"/>
        </w:rPr>
        <w:footnoteReference w:id="18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2" w:name="__RefHeading___Toc9424436_73709187"/>
      <w:bookmarkStart w:id="873" w:name="_Toc332"/>
      <w:bookmarkEnd w:id="872"/>
      <w:r>
        <w:rPr>
          <w:rtl w:val="true"/>
        </w:rPr>
        <w:t>لا تجب النفقة للصغیر إذا اکتسب فعلاً</w:t>
      </w:r>
      <w:bookmarkEnd w:id="873"/>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وجوب النفقة علی الأب مشروط بفقر الولد و عجزه عن الکسب، و لکن لو وصل الصبیّ إلی حدّ الاکتساب و لو لم یصل إلی سنّ البلوغ و اکتسب فعلاً، بأن آجره أبوه فی عملٍ، ففی هذه الصورة نفقته فی کسبه؛ لأنّ وجوب النفقة مواساة و لا مواساة علی المکتسب؛ لأنّ المکتسب بحکم الغنیّ شرعاً کما أوضحناه سابقاً؛ و لذا قال فی الریاض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بلغ الصغیر حدّاً یمکن أن یتعلّم حرفة أو یحمل علی الاکتساب قیل للولی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علیه و الإنفاق علیه من کسبه، لکن لو هرب و ترک</w:t>
      </w:r>
      <w:bookmarkStart w:id="874" w:name="pg11752_146431"/>
    </w:p>
    <w:p>
      <w:pPr>
        <w:pStyle w:val="BookText"/>
        <w:rPr/>
      </w:pPr>
      <w:bookmarkEnd w:id="874"/>
      <w:r>
        <w:rPr>
          <w:rFonts w:ascii="IRNazanin" w:hAnsi="IRNazanin" w:eastAsia="IRNazanin"/>
          <w:color w:val="111111"/>
          <w:sz w:val="28"/>
          <w:sz w:val="28"/>
          <w:szCs w:val="28"/>
          <w:rtl w:val="true"/>
          <w:lang w:bidi="fa-IR"/>
        </w:rPr>
        <w:t>الاکتساب فی بعض الأیّام فعلی الأب الإنفاق علیه بخلاف المکلّف</w:t>
      </w:r>
      <w:r>
        <w:rPr>
          <w:rFonts w:eastAsia="IRNazanin" w:cs="IRNazanin"/>
          <w:color w:val="111111"/>
          <w:sz w:val="28"/>
          <w:szCs w:val="28"/>
          <w:rtl w:val="true"/>
          <w:lang w:bidi="fa-IR"/>
        </w:rPr>
        <w:t>»</w:t>
      </w:r>
      <w:r>
        <w:rPr>
          <w:rStyle w:val="FootnoteAnchor"/>
          <w:rtl w:val="true"/>
        </w:rPr>
        <w:footnoteReference w:id="18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بمثل ذلک قال فی الجواهر</w:t>
      </w:r>
      <w:r>
        <w:rPr>
          <w:rStyle w:val="FootnoteAnchor"/>
          <w:rtl w:val="true"/>
        </w:rPr>
        <w:footnoteReference w:id="18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هکذا أکثر فقهاء أهل السنّة قائلون بهذا المقال، قال فی مغنی المحتاج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للولی حمل الصغیر علی الاکتساب إذا قدر و ینفق علیه من کسبه، فلو هرب أو ترک الاکتساب فی بعض الأیّام وجبت نفقته علی ولیّه</w:t>
      </w:r>
      <w:r>
        <w:rPr>
          <w:rFonts w:eastAsia="IRNazanin" w:cs="IRNazanin"/>
          <w:color w:val="111111"/>
          <w:sz w:val="28"/>
          <w:szCs w:val="28"/>
          <w:rtl w:val="true"/>
          <w:lang w:bidi="fa-IR"/>
        </w:rPr>
        <w:t>»</w:t>
      </w:r>
      <w:r>
        <w:rPr>
          <w:rStyle w:val="FootnoteAnchor"/>
          <w:rtl w:val="true"/>
        </w:rPr>
        <w:footnoteReference w:id="18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فی الفتاوی الهندیّة و فتح القدیر مثله</w:t>
      </w:r>
      <w:r>
        <w:rPr>
          <w:rStyle w:val="FootnoteAnchor"/>
          <w:rtl w:val="true"/>
        </w:rPr>
        <w:footnoteReference w:id="18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5" w:name="__RefHeading___Toc9424438_73709187"/>
      <w:bookmarkStart w:id="876" w:name="_Toc333"/>
      <w:bookmarkEnd w:id="875"/>
      <w:r>
        <w:rPr>
          <w:rtl w:val="true"/>
        </w:rPr>
        <w:t>هل یجبر الصغیر علی الاکتساب إذا استطاع؟</w:t>
      </w:r>
      <w:bookmarkEnd w:id="876"/>
    </w:p>
    <w:p>
      <w:pPr>
        <w:pStyle w:val="BookText"/>
        <w:rPr/>
      </w:pPr>
      <w:r>
        <w:rPr>
          <w:rFonts w:ascii="IRNazanin" w:hAnsi="IRNazanin" w:eastAsia="IRNazanin"/>
          <w:color w:val="111111"/>
          <w:sz w:val="28"/>
          <w:sz w:val="28"/>
          <w:szCs w:val="28"/>
          <w:rtl w:val="true"/>
          <w:lang w:bidi="fa-IR"/>
        </w:rPr>
        <w:t>ظهر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للولی أن یؤجر ولده الصغیر إذا بلغ حدّاً یستطیع الاکتساب، و لو لم یبلغ و ینفق الأب علیه من أجرة کسبه، فهل کان للأب أو الجدّ إجبار الولد علی ذلک؟</w:t>
      </w:r>
    </w:p>
    <w:p>
      <w:pPr>
        <w:pStyle w:val="BookText"/>
        <w:rPr/>
      </w:pPr>
      <w:r>
        <w:rPr>
          <w:rFonts w:ascii="IRNazanin" w:hAnsi="IRNazanin" w:eastAsia="IRNazanin"/>
          <w:color w:val="111111"/>
          <w:sz w:val="28"/>
          <w:sz w:val="28"/>
          <w:szCs w:val="28"/>
          <w:rtl w:val="true"/>
          <w:lang w:bidi="fa-IR"/>
        </w:rPr>
        <w:t>الظاهر من کلمات بعضهم أنّه لا یجوز له ذلک، مثل ما نقلناه عن صاحب الریاض، و نعیده ثانیاً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بلغ الصغیر حدّاً یمکن أن یتعلّم حرفةً أو یحمل علی الاکتساب قیل للولیّ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علیه و الإنفاق علیه من کسبه، لکن لو هرب و ترک الاکتساب فی بعض الأیّام فعلی الأب الإنفاق علیه</w:t>
      </w:r>
      <w:r>
        <w:rPr>
          <w:rFonts w:eastAsia="IRNazanin" w:cs="IRNazanin"/>
          <w:color w:val="111111"/>
          <w:sz w:val="28"/>
          <w:szCs w:val="28"/>
          <w:rtl w:val="true"/>
          <w:lang w:bidi="fa-IR"/>
        </w:rPr>
        <w:t>»</w:t>
      </w:r>
      <w:r>
        <w:rPr>
          <w:rStyle w:val="FootnoteAnchor"/>
          <w:rtl w:val="true"/>
        </w:rPr>
        <w:footnoteReference w:id="1831"/>
      </w:r>
      <w:r>
        <w:rPr>
          <w:rFonts w:ascii="IRNazanin" w:hAnsi="IRNazanin" w:eastAsia="IRNazanin"/>
          <w:color w:val="111111"/>
          <w:sz w:val="28"/>
          <w:sz w:val="28"/>
          <w:szCs w:val="28"/>
          <w:rtl w:val="true"/>
          <w:lang w:bidi="fa-IR"/>
        </w:rPr>
        <w:t>و مثل ما نقلنا عن مغنی المحتاج</w:t>
      </w:r>
      <w:r>
        <w:rPr>
          <w:rStyle w:val="FootnoteAnchor"/>
          <w:rtl w:val="true"/>
        </w:rPr>
        <w:footnoteReference w:id="1832"/>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بما أنّ ولایة الأب و الجدّ علی الصغیر فی الجملة ثابتة و مورد للإجماع، کما</w:t>
      </w:r>
    </w:p>
    <w:p>
      <w:pPr>
        <w:pStyle w:val="BookText"/>
        <w:rPr/>
      </w:pPr>
      <w:r>
        <w:rPr>
          <w:rFonts w:ascii="IRNazanin" w:hAnsi="IRNazanin" w:eastAsia="IRNazanin"/>
          <w:color w:val="111111"/>
          <w:sz w:val="28"/>
          <w:sz w:val="28"/>
          <w:szCs w:val="28"/>
          <w:rtl w:val="true"/>
          <w:lang w:bidi="fa-IR"/>
        </w:rPr>
        <w:t>یظهر من تتبّع الأبواب المتفرّقة فی الفقه، مثل کتاب النکاح؛ لصراحة الأخبار فی ثبوت ولایتهما علی تزویج أولادهما الصغار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المضاربة، فإنّ فیه ما ورد علی ولایتهما فی جعل المضاربة فی مال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الحجر، الذی دلّ علی حجر الطفل الصغیر عن ماله دون ولیّه، و غیر ذلک، فقد ورد فی النصّ الصحیح عن محمد بن إسماعیل بن بزیع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الصبیّة یزوّجها أبوها ثمّ یموت و هی صغیرة فتکبر قبل أن یدخل بها زوجها، یجوز علیها التزویج أو الأمر إلیها؟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علیها تزویج أبیها</w:t>
      </w:r>
      <w:r>
        <w:rPr>
          <w:rFonts w:eastAsia="IRNazanin" w:cs="IRNazanin"/>
          <w:color w:val="111111"/>
          <w:sz w:val="28"/>
          <w:szCs w:val="28"/>
          <w:rtl w:val="true"/>
          <w:lang w:bidi="fa-IR"/>
        </w:rPr>
        <w:t>»</w:t>
      </w:r>
      <w:r>
        <w:rPr>
          <w:rStyle w:val="FootnoteAnchor"/>
          <w:rtl w:val="true"/>
        </w:rPr>
        <w:footnoteReference w:id="18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فإذا کان للأب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یختلف فی الشأن و الأهمیّة بمراتب من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النکاح ولایة، و یجوز له إجبار الصغیرة إذا کان فیه مصلحة لها و لا اختیار للولد، ففی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ما نحن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له ذلک بطریق أولی، و لا سیّما إذا لم یکن للأب ما یحتاجون الأولاد إلیه، و لم یکن هو بنفسه قادراً علی تحصیله، و لأنّه کان هذا نوعاً من التأدیب فالظاهر جوازه، و أیضاً یمکن الاستئناس لهذا الحکم من النصوص الواردة علی أنّ أموال الأولاد للآباء، فقد ورد عن النبیّ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أولادکم هبة من اللّه 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یَهَبُ لِمَنْ یَشاءُ إِناثاً وَ یَهَبُ لِمَنْ یَشاءُ الذُّکُورَ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و أموالهم لکم إذا احتجتم إلیها</w:t>
      </w:r>
      <w:r>
        <w:rPr>
          <w:rFonts w:eastAsia="IRNazanin" w:cs="IRNazanin"/>
          <w:color w:val="111111"/>
          <w:sz w:val="28"/>
          <w:szCs w:val="28"/>
          <w:rtl w:val="true"/>
          <w:lang w:bidi="fa-IR"/>
        </w:rPr>
        <w:t>»</w:t>
      </w:r>
      <w:r>
        <w:rPr>
          <w:rStyle w:val="FootnoteAnchor"/>
          <w:rtl w:val="true"/>
        </w:rPr>
        <w:footnoteReference w:id="1834"/>
      </w:r>
      <w:r>
        <w:rPr>
          <w:rFonts w:ascii="IRNazanin" w:hAnsi="IRNazanin" w:eastAsia="IRNazanin"/>
          <w:color w:val="111111"/>
          <w:sz w:val="28"/>
          <w:sz w:val="28"/>
          <w:szCs w:val="28"/>
          <w:rtl w:val="true"/>
          <w:lang w:bidi="fa-IR"/>
        </w:rPr>
        <w:t>، و عنه صلی الله علیه و آله أیضاً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أطیب ما أکل الرجل من کسبه و ولدُه من کسبه</w:t>
      </w:r>
      <w:r>
        <w:rPr>
          <w:rFonts w:eastAsia="IRNazanin" w:cs="IRNazanin"/>
          <w:color w:val="111111"/>
          <w:sz w:val="28"/>
          <w:szCs w:val="28"/>
          <w:rtl w:val="true"/>
          <w:lang w:bidi="fa-IR"/>
        </w:rPr>
        <w:t>»</w:t>
      </w:r>
      <w:r>
        <w:rPr>
          <w:rStyle w:val="FootnoteAnchor"/>
          <w:rtl w:val="true"/>
        </w:rPr>
        <w:footnoteReference w:id="1835"/>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لعلّه لأجل هذه الوجوه قال فی کشف اللثام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لو صار الولد قادراً علی التکسّب أمره الولیّ به؛ لأنّه نوع من التأدیب، و سقطت عن الأب نفقته؛ لأنّه غنیّ، سواء الذکر و الأنثی، خلافاً لبعض العامّة، حیث أوجب الإنفاق علی</w:t>
      </w:r>
      <w:bookmarkStart w:id="877" w:name="pg11752_146433"/>
    </w:p>
    <w:p>
      <w:pPr>
        <w:pStyle w:val="BookText"/>
        <w:rPr/>
      </w:pPr>
      <w:bookmarkEnd w:id="877"/>
      <w:r>
        <w:rPr>
          <w:rFonts w:ascii="IRNazanin" w:hAnsi="IRNazanin" w:eastAsia="IRNazanin"/>
          <w:color w:val="111111"/>
          <w:sz w:val="28"/>
          <w:sz w:val="28"/>
          <w:szCs w:val="28"/>
          <w:rtl w:val="true"/>
          <w:lang w:bidi="fa-IR"/>
        </w:rPr>
        <w:t>البنت إلی أن تتزوّج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هرب من الکسب فی بعض الأیّام وجبت علیه نفقته</w:t>
      </w:r>
      <w:r>
        <w:rPr>
          <w:rFonts w:eastAsia="IRNazanin" w:cs="IRNazanin"/>
          <w:color w:val="111111"/>
          <w:sz w:val="28"/>
          <w:szCs w:val="28"/>
          <w:rtl w:val="true"/>
          <w:lang w:bidi="fa-IR"/>
        </w:rPr>
        <w:t>»</w:t>
      </w:r>
      <w:r>
        <w:rPr>
          <w:rStyle w:val="FootnoteAnchor"/>
          <w:rtl w:val="true"/>
        </w:rPr>
        <w:footnoteReference w:id="18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8" w:name="__RefHeading___Toc9424440_73709187"/>
      <w:bookmarkStart w:id="879" w:name="_Toc334"/>
      <w:bookmarkEnd w:id="878"/>
      <w:r>
        <w:rPr>
          <w:rtl w:val="true"/>
        </w:rPr>
        <w:t>متی ینتهی وجوب النفقة علی الأولاد؟</w:t>
      </w:r>
      <w:bookmarkEnd w:id="879"/>
    </w:p>
    <w:p>
      <w:pPr>
        <w:pStyle w:val="BookText"/>
        <w:rPr/>
      </w:pPr>
      <w:r>
        <w:rPr>
          <w:rFonts w:ascii="IRNazanin" w:hAnsi="IRNazanin" w:eastAsia="IRNazanin"/>
          <w:color w:val="111111"/>
          <w:sz w:val="28"/>
          <w:sz w:val="28"/>
          <w:szCs w:val="28"/>
          <w:rtl w:val="true"/>
          <w:lang w:bidi="fa-IR"/>
        </w:rPr>
        <w:t>یجب علی الوالد نفقة الولد إذا کان صغیراً عاجزاً عن الاکتساب، و أمّا إذا صار کبیراً بالغاً حال کونه معسراً غیر مکتسب، و لم یکن هناک مال یتقوّت به، و لم یجد مورداً للاکتساب و إن مال إلی الکسب، ففی هذا الفرض هل تجب نفقته علی أبیه أم لا؟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یستفاد من کلمات فقهاء أهل السنّة الذین قالوا بعدم وجوبها للولد الذکر، بخلافه للأنثی فإنّه تجب النفقة علیهنّ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الفقه الإسلامی و أدلّته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الولد الکبیر فلا تجب نفقته علی الأب إلاّ إذا کان عاجزاً عن الکسب لآفةٍ فی عقله کالجنون و العته، أو آفةٍ فی جسمه کالعمی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بسبب طلبه العلم، أو بسبب انتشار البطالة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أوجب الحنابلة خلافاً للجمهور النفقة للولد الکبیر الفقیر و لو کان صحیحاً، کما أوجبوها للوالد الفقیر و لو کان صحیحاً؛ لأنّه ولد أو والد فقیر محتاج فاستحقّ النفقة علی والده أو ولده الغنیّ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الأنوثة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نفقة البنت الفقیرة علی أبیها مهما بلغت حتّی تتزوّج، و عندئذٍ تصبح نفقتها علی الزوج، فإذا طلّقت عادت نفقتها علی الأب</w:t>
      </w:r>
      <w:r>
        <w:rPr>
          <w:rFonts w:eastAsia="IRNazanin" w:cs="IRNazanin"/>
          <w:color w:val="111111"/>
          <w:sz w:val="28"/>
          <w:szCs w:val="28"/>
          <w:rtl w:val="true"/>
          <w:lang w:bidi="fa-IR"/>
        </w:rPr>
        <w:t>»</w:t>
      </w:r>
      <w:r>
        <w:rPr>
          <w:rStyle w:val="FootnoteAnchor"/>
          <w:rtl w:val="true"/>
        </w:rPr>
        <w:footnoteReference w:id="1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ظاهره أنّ هذا القول موافق للجمهور من أهل السنّة إلاّ الحنابلة</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 النفقة علی الأولاد لا ینتهی مطلقاً ما</w:t>
      </w:r>
      <w:bookmarkStart w:id="880" w:name="pg11752_146434"/>
    </w:p>
    <w:p>
      <w:pPr>
        <w:pStyle w:val="BookText"/>
        <w:rPr/>
      </w:pPr>
      <w:bookmarkEnd w:id="880"/>
      <w:r>
        <w:rPr>
          <w:rFonts w:ascii="IRNazanin" w:hAnsi="IRNazanin" w:eastAsia="IRNazanin"/>
          <w:color w:val="111111"/>
          <w:sz w:val="28"/>
          <w:sz w:val="28"/>
          <w:szCs w:val="28"/>
          <w:rtl w:val="true"/>
          <w:lang w:bidi="fa-IR"/>
        </w:rPr>
        <w:t xml:space="preserve">دام الولد فقیراً محتاجاً معسراً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أوضحناه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الوالد متمکّناً موسراً قادراً علی أدائها، سواء کان الولد ذکراً أو أنثی، ناقصاً فی جسمه أو عقله، أو لم یکن کذلک؛ لأنّ ما کان دلیل وجوب النفقة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القرابة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شرطها و هو الفقر، موجود فی هذا الحال أیضاً کما فی حال الصغر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إطلاق الأدلّة و النصوص یشمل المورد، و لأنّ النفقة مواساة و معونة، و فی الفرض یحتاج الولد لهذه المواساة و المعونة کما فی حال صغره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قادراً علی الاکتساب و وجد مورداً فیه فلا تجب النفقة علی الأب، بل کانت نفقته من کسبه و ماله کما بیّناه سابقاً، و هذا هو اختیار الشیخ و المحقّق و آخرین من فقهاء الشیعة، قال فی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الولد إذا کان کامل الأحکام و الخلقة و کان معسراً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 نفقته، و هو الأقوی عندی، 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w:t>
      </w:r>
      <w:r>
        <w:rPr>
          <w:rFonts w:eastAsia="IRNazanin" w:cs="IRNazanin"/>
          <w:color w:val="111111"/>
          <w:sz w:val="28"/>
          <w:szCs w:val="28"/>
          <w:rtl w:val="true"/>
          <w:lang w:bidi="fa-IR"/>
        </w:rPr>
        <w:t>»</w:t>
      </w:r>
      <w:r>
        <w:rPr>
          <w:rStyle w:val="FootnoteAnchor"/>
          <w:rtl w:val="true"/>
        </w:rPr>
        <w:footnoteReference w:id="18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الإمام الخمینی قدس سره فی التحریر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غیر الواجد لها فعلاً القادر علی تحصیلها، فإن کان ذلک بغیر الاکتساب کالاقتراض و الاستعطاء و السؤال لم یمنع ذلک عن وجوب الإنفاق علیه بلا إشکال، و إن کان ذلک بالاکتساب، فإن کان ذلک بالاقتدار علی تعلّم صنعة بها إمرار معاشه، و قد ترک التعلّم و بقی بلا نفقة فلا إشکال فی وجوب الإنفاق علیه</w:t>
      </w:r>
      <w:r>
        <w:rPr>
          <w:rFonts w:eastAsia="IRNazanin" w:cs="IRNazanin"/>
          <w:color w:val="111111"/>
          <w:sz w:val="28"/>
          <w:szCs w:val="28"/>
          <w:rtl w:val="true"/>
          <w:lang w:bidi="fa-IR"/>
        </w:rPr>
        <w:t>»</w:t>
      </w:r>
      <w:r>
        <w:rPr>
          <w:rStyle w:val="FootnoteAnchor"/>
          <w:rtl w:val="true"/>
        </w:rPr>
        <w:footnoteReference w:id="18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1" w:name="__RefHeading___Toc9424442_73709187"/>
      <w:bookmarkStart w:id="882" w:name="_Toc335"/>
      <w:bookmarkEnd w:id="881"/>
      <w:r>
        <w:rPr>
          <w:rtl w:val="true"/>
        </w:rPr>
        <w:t>مقدار نفقة الأقارب</w:t>
      </w:r>
      <w:bookmarkEnd w:id="882"/>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المفهوم من کلمات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تعالی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تقدیر فی نفقة</w:t>
      </w:r>
    </w:p>
    <w:p>
      <w:pPr>
        <w:pStyle w:val="BookText"/>
        <w:rPr/>
      </w:pPr>
      <w:r>
        <w:rPr>
          <w:rFonts w:ascii="IRNazanin" w:hAnsi="IRNazanin" w:eastAsia="IRNazanin"/>
          <w:color w:val="111111"/>
          <w:sz w:val="28"/>
          <w:sz w:val="28"/>
          <w:szCs w:val="28"/>
          <w:rtl w:val="true"/>
          <w:lang w:bidi="fa-IR"/>
        </w:rPr>
        <w:t>الأقارب، سواء کان المنفق له أولاداً آباءً و أمّهاتاً، بل الواجب قدر الکفایة</w:t>
      </w:r>
      <w:r>
        <w:rPr>
          <w:rStyle w:val="FootnoteAnchor"/>
          <w:rtl w:val="true"/>
        </w:rPr>
        <w:footnoteReference w:id="1840"/>
      </w:r>
    </w:p>
    <w:p>
      <w:pPr>
        <w:pStyle w:val="BookText"/>
        <w:rPr/>
      </w:pPr>
      <w:r>
        <w:rPr>
          <w:rFonts w:ascii="IRNazanin" w:hAnsi="IRNazanin" w:eastAsia="IRNazanin"/>
          <w:color w:val="111111"/>
          <w:sz w:val="28"/>
          <w:sz w:val="28"/>
          <w:szCs w:val="28"/>
          <w:rtl w:val="true"/>
          <w:lang w:bidi="fa-IR"/>
        </w:rPr>
        <w:t>بحسب حال المنفق علیه لا المنفق، بخلاف نفقة الزوجة، فیعتبر فیها الحاجة و تمکّن الزوج و قدرته، مع رعایة شئون الزوجة و مقایستها مع مَن کان فی درجتها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نفقة الأقارب فیعتبر حال المنفق علیه و سنّه و زهادته و رغبته، فالرضیع تندفع حاجته بمئونة الإرضاع و الفطیم و ما بعده علی ما یلیق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تقدیر فی النفقة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نفقة الأقارب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الواجب قدر الکفایة من الإطعام و الکسوة و المسکن، و ما یحتاج إلیه من زیادة الکسوة فی الشتاء للتدثّر یقظة و نوماً</w:t>
      </w:r>
      <w:r>
        <w:rPr>
          <w:rFonts w:eastAsia="IRNazanin" w:cs="IRNazanin"/>
          <w:color w:val="111111"/>
          <w:sz w:val="28"/>
          <w:szCs w:val="28"/>
          <w:rtl w:val="true"/>
          <w:lang w:bidi="fa-IR"/>
        </w:rPr>
        <w:t>»</w:t>
      </w:r>
      <w:r>
        <w:rPr>
          <w:rStyle w:val="FootnoteAnchor"/>
          <w:rtl w:val="true"/>
        </w:rPr>
        <w:footnoteReference w:id="18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الدلیل علی هذا إطلاق الأدلّة اللازم فی مثله الرجوع إلی العرف و العادة، مع ما فی الآیة الکریمة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صاحِبْهُما فِی الدُّنْیا مَعْرُوفاً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المستفاد منها وجوب المصاحبة و الإرفاق بهما، و منها قضاء حوائجهما بحسب العرف و العادة، و هکذا فی مورد الأولاد؛ لعدم القول بالفصل، و للاشتراک فی المواساة</w:t>
      </w:r>
      <w:r>
        <w:rPr>
          <w:rStyle w:val="FootnoteAnchor"/>
          <w:rtl w:val="true"/>
        </w:rPr>
        <w:footnoteReference w:id="1842"/>
      </w:r>
      <w:r>
        <w:rPr>
          <w:rFonts w:ascii="IRNazanin" w:hAnsi="IRNazanin" w:eastAsia="IRNazanin"/>
          <w:color w:val="111111"/>
          <w:sz w:val="28"/>
          <w:sz w:val="28"/>
          <w:szCs w:val="28"/>
          <w:rtl w:val="true"/>
          <w:lang w:bidi="fa-IR"/>
        </w:rPr>
        <w:t>و لأنّ النبیّ صلی الله علیه و آله قال فی الروایة المشهورة لهند امرأة أبی سفیان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خذی ما یکفیک و ولدک بالمعروف</w:t>
      </w:r>
      <w:r>
        <w:rPr>
          <w:rFonts w:eastAsia="IRNazanin" w:cs="IRNazanin"/>
          <w:color w:val="111111"/>
          <w:sz w:val="28"/>
          <w:szCs w:val="28"/>
          <w:rtl w:val="true"/>
          <w:lang w:bidi="fa-IR"/>
        </w:rPr>
        <w:t>»</w:t>
      </w:r>
      <w:r>
        <w:rPr>
          <w:rStyle w:val="FootnoteAnchor"/>
          <w:rtl w:val="true"/>
        </w:rPr>
        <w:footnoteReference w:id="1843"/>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فقدّر نفقتها و نفقة ولدها بالکفایة، و لأنّ الأصل براءة ذمّة الوالد أو الولد فیما زاد عن قدر الکفایة، مضافاً إلی أنّه لا خلاف فی المسألة بین الأصحاب، بل عن جماعة الإجماع علیه</w:t>
      </w:r>
      <w:r>
        <w:rPr>
          <w:rStyle w:val="FootnoteAnchor"/>
          <w:rtl w:val="true"/>
        </w:rPr>
        <w:footnoteReference w:id="1844"/>
      </w:r>
      <w:r>
        <w:rPr>
          <w:rFonts w:ascii="IRNazanin" w:hAnsi="IRNazanin" w:eastAsia="IRNazanin"/>
          <w:color w:val="111111"/>
          <w:sz w:val="28"/>
          <w:sz w:val="28"/>
          <w:szCs w:val="28"/>
          <w:rtl w:val="true"/>
          <w:lang w:bidi="fa-IR"/>
        </w:rPr>
        <w:t>و إن کان الإجماع فیه ما فیه، فعلی هذا لا یکفی سدّ الرمق، بل ما</w:t>
      </w:r>
      <w:bookmarkStart w:id="883" w:name="pg11752_146436"/>
    </w:p>
    <w:p>
      <w:pPr>
        <w:pStyle w:val="BookText"/>
        <w:rPr/>
      </w:pPr>
      <w:bookmarkEnd w:id="883"/>
      <w:r>
        <w:rPr>
          <w:rFonts w:ascii="IRNazanin" w:hAnsi="IRNazanin" w:eastAsia="IRNazanin"/>
          <w:color w:val="111111"/>
          <w:sz w:val="28"/>
          <w:sz w:val="28"/>
          <w:szCs w:val="28"/>
          <w:rtl w:val="true"/>
          <w:lang w:bidi="fa-IR"/>
        </w:rPr>
        <w:t>هو الواجب قدر الکفایة</w:t>
      </w:r>
      <w:r>
        <w:rPr>
          <w:rFonts w:eastAsia="IRNazanin" w:cs="IRNazanin"/>
          <w:color w:val="111111"/>
          <w:sz w:val="28"/>
          <w:szCs w:val="28"/>
          <w:rtl w:val="true"/>
          <w:lang w:bidi="fa-IR"/>
        </w:rPr>
        <w:t>.</w:t>
      </w:r>
    </w:p>
    <w:p>
      <w:pPr>
        <w:pStyle w:val="Heading5"/>
        <w:numPr>
          <w:ilvl w:val="4"/>
          <w:numId w:val="1"/>
        </w:numPr>
        <w:rPr/>
      </w:pPr>
      <w:bookmarkStart w:id="884" w:name="__RefHeading___Toc9424444_73709187"/>
      <w:bookmarkStart w:id="885" w:name="_Toc336"/>
      <w:bookmarkEnd w:id="884"/>
      <w:r>
        <w:rPr>
          <w:rtl w:val="true"/>
        </w:rPr>
        <w:t>نظر أهل السنّة فی المسألة</w:t>
      </w:r>
      <w:bookmarkEnd w:id="885"/>
    </w:p>
    <w:p>
      <w:pPr>
        <w:pStyle w:val="BookText"/>
        <w:rPr/>
      </w:pPr>
      <w:r>
        <w:rPr>
          <w:rFonts w:ascii="IRNazanin" w:hAnsi="IRNazanin" w:eastAsia="IRNazanin"/>
          <w:color w:val="111111"/>
          <w:sz w:val="28"/>
          <w:sz w:val="28"/>
          <w:szCs w:val="28"/>
          <w:rtl w:val="true"/>
          <w:lang w:bidi="fa-IR"/>
        </w:rPr>
        <w:t>فی هذه المسألة قول فقهاء أهل السنّة یتوافق مع ما ذهب إلیه فقهاؤنا، قال 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اتّفق الفقهاء علی أنّ نفقة الأقارب و الزوجات تجب بقدر الکفایة من الخبز و الأدم و الکسوة علی حسب حال المنفق و بقدر العادة أو عوائد البلاد؛ لأنّها وجبت للحاجة، و الحاجة تندفع بالکفایة</w:t>
      </w:r>
      <w:r>
        <w:rPr>
          <w:rFonts w:eastAsia="IRNazanin" w:cs="IRNazanin"/>
          <w:color w:val="111111"/>
          <w:sz w:val="28"/>
          <w:szCs w:val="28"/>
          <w:rtl w:val="true"/>
          <w:lang w:bidi="fa-IR"/>
        </w:rPr>
        <w:t>»</w:t>
      </w:r>
      <w:r>
        <w:rPr>
          <w:rStyle w:val="FootnoteAnchor"/>
          <w:rtl w:val="true"/>
        </w:rPr>
        <w:footnoteReference w:id="18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6" w:name="__RefHeading___Toc9424446_73709187"/>
      <w:bookmarkStart w:id="887" w:name="_Toc337"/>
      <w:bookmarkEnd w:id="886"/>
      <w:r>
        <w:rPr>
          <w:rtl w:val="true"/>
        </w:rPr>
        <w:t>نفقة التعلیم و المعالجة</w:t>
      </w:r>
      <w:bookmarkEnd w:id="887"/>
    </w:p>
    <w:p>
      <w:pPr>
        <w:pStyle w:val="BookText"/>
        <w:rPr/>
      </w:pPr>
      <w:r>
        <w:rPr>
          <w:rFonts w:ascii="IRNazanin" w:hAnsi="IRNazanin" w:eastAsia="IRNazanin"/>
          <w:color w:val="111111"/>
          <w:sz w:val="28"/>
          <w:sz w:val="28"/>
          <w:szCs w:val="28"/>
          <w:rtl w:val="true"/>
          <w:lang w:bidi="fa-IR"/>
        </w:rPr>
        <w:t>قد ظهر ممّا ذکرنا أنّ الواجب فی نفقة الأقارب و منهم الأولاد و الصبیان هو الکفایة من الطعام و الکسوة و المسکن و غیرها، فهنا 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أنّه هل نفقة التعلیم و العلاج من النفقة الواجبة أم لیس کذلک؟</w:t>
      </w:r>
    </w:p>
    <w:p>
      <w:pPr>
        <w:pStyle w:val="BookText"/>
        <w:rPr/>
      </w:pPr>
      <w:r>
        <w:rPr>
          <w:rFonts w:ascii="IRNazanin" w:hAnsi="IRNazanin" w:eastAsia="IRNazanin"/>
          <w:color w:val="111111"/>
          <w:sz w:val="28"/>
          <w:sz w:val="28"/>
          <w:szCs w:val="28"/>
          <w:rtl w:val="true"/>
          <w:lang w:bidi="fa-IR"/>
        </w:rPr>
        <w:t>الظاهر أنّه یجب علی الأب نفقة تعلیم أولاده سیما أولاده الذکور علی حسب قدرته و إمکانیته، و هکذا نفقة علاجهم؛ لإطلاق الأدلّة التی تأمر بوجوب النفقة و رفع الحوائج، و لأنّ العرف و العادة یقضیان بأنّ نفقة التعلیم و العلاج ممّا هو واجب علی الأب؛ لما یترتّب علی تعلیمهم و صحّتهم و سلامتهم من آثار نافعة لهم فی حیاتهم</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یشترط تمکّن الوالد فی ذلک و رعایة ما هو متعارف بحسب العادة و العرف؛ فلذلک فإنّ کلفة التعلیم فی المراحل الدراسیة العلیا و ما شاکلها لا تکون واجبة، هذا و للبحث مجال و لا یترک الاحتیاط فی العمل بهذا الحکم، و اللّه العالم</w:t>
      </w:r>
      <w:r>
        <w:rPr>
          <w:rFonts w:eastAsia="IRNazanin" w:cs="IRNazanin"/>
          <w:color w:val="111111"/>
          <w:sz w:val="28"/>
          <w:szCs w:val="28"/>
          <w:rtl w:val="true"/>
          <w:lang w:bidi="fa-IR"/>
        </w:rPr>
        <w:t>.</w:t>
      </w:r>
      <w:bookmarkStart w:id="888" w:name="pg11752_146437"/>
    </w:p>
    <w:p>
      <w:pPr>
        <w:pStyle w:val="Heading4"/>
        <w:numPr>
          <w:ilvl w:val="3"/>
          <w:numId w:val="1"/>
        </w:numPr>
        <w:rPr/>
      </w:pPr>
      <w:bookmarkStart w:id="889" w:name="__RefHeading___Toc9424448_73709187"/>
      <w:bookmarkStart w:id="890" w:name="_Toc338"/>
      <w:bookmarkEnd w:id="888"/>
      <w:bookmarkEnd w:id="889"/>
      <w:r>
        <w:rPr>
          <w:rtl w:val="true"/>
        </w:rPr>
        <w:t>المبحث الثالث</w:t>
      </w:r>
      <w:r>
        <w:rPr>
          <w:rtl w:val="true"/>
        </w:rPr>
        <w:t xml:space="preserve">: </w:t>
      </w:r>
      <w:r>
        <w:rPr>
          <w:rtl w:val="true"/>
        </w:rPr>
        <w:t>الترتیب فی الإنفاق</w:t>
      </w:r>
      <w:bookmarkEnd w:id="890"/>
    </w:p>
    <w:p>
      <w:pPr>
        <w:pStyle w:val="Heading5"/>
        <w:numPr>
          <w:ilvl w:val="4"/>
          <w:numId w:val="1"/>
        </w:numPr>
        <w:rPr/>
      </w:pPr>
      <w:bookmarkStart w:id="891" w:name="__RefHeading___Toc9424450_73709187"/>
      <w:bookmarkStart w:id="892" w:name="_Toc339"/>
      <w:bookmarkEnd w:id="891"/>
      <w:r>
        <w:rPr>
          <w:rtl w:val="true"/>
        </w:rPr>
        <w:t>اشارة</w:t>
      </w:r>
      <w:bookmarkEnd w:id="892"/>
    </w:p>
    <w:p>
      <w:pPr>
        <w:pStyle w:val="BookText"/>
        <w:rPr/>
      </w:pPr>
      <w:r>
        <w:rPr>
          <w:rFonts w:ascii="IRNazanin" w:hAnsi="IRNazanin" w:eastAsia="IRNazanin"/>
          <w:color w:val="111111"/>
          <w:sz w:val="28"/>
          <w:sz w:val="28"/>
          <w:szCs w:val="28"/>
          <w:rtl w:val="true"/>
          <w:lang w:bidi="fa-IR"/>
        </w:rPr>
        <w:t>لا شکّ فی أنّ نفقة الإنسان لنفسه مقدّمة علی غیره، من زوجةٍ أو غیرها من الآباء و الأولاد، بل علی جمیع الحقوق من الدیون و غیرها؛ لأهمیّة النفس عند الشارع، و لکن ما هو الحکم إذا تعذّر علی مَن وجب علیه الإنفاق علی جمیع من وجبت لهم النفقة؛ لعدم استطاعته، کأن یکون الفاضل عنده من ماله أو من کسبه لا یکفی إلاّ لنفقة شخص واحدٍ، فما هو الحلّ فی هذه الحالة؟ أ تعطی النفقة لواحد منهم فقط، أو تقسّم علیهم جمیعاً بالسویّة، أو بنسب متفاوتةٍ و إن کان هذا التقسیم دون کفایتهم من النفقة؟</w:t>
      </w:r>
    </w:p>
    <w:p>
      <w:pPr>
        <w:pStyle w:val="BookText"/>
        <w:rPr/>
      </w:pPr>
      <w:r>
        <w:rPr>
          <w:rFonts w:ascii="IRNazanin" w:hAnsi="IRNazanin" w:eastAsia="IRNazanin"/>
          <w:color w:val="111111"/>
          <w:sz w:val="28"/>
          <w:sz w:val="28"/>
          <w:szCs w:val="28"/>
          <w:rtl w:val="true"/>
          <w:lang w:bidi="fa-IR"/>
        </w:rPr>
        <w:t>المعروف بین الفقهاء أنّ نفقة الزوجة مقدّمة علی نفقة الأقارب، فإن فضل فللأبوین و الأولاد، و إن فضل فللأجداد و أولاد الأولاد، و هکذا إذا فضل عن القریب تجب نفقة من هو بعده</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استدلّوا علی ذلک بأنّ نفقة الزوجة وجبت علی وجه المعاوضة فی مقابل الاستمتاع بخلاف نفقة القریب، قال الشیخ فی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موسراً و له زوجة و من ذوی الأرحام مَن تجب علیه نفقته، فإن فضل ما یکفی الکلّ أنفق علی الکلّ، و إن فضل ما یکفی أحدهم فالزوجة أحقّ؛ لأنّ نفقتها علی سبیل المعاوضة، و نفقة ذوی الأرحام مواساة، و المعاوضة أقوی، بدلالة أنّها تستحقّ مع یسارها و إعسارها، و الوالد إذا کان موسراً لا نفقة له، و تستحقّ مع یسار الزوج و إعساره، و الولد لا نفقة له علی أب معسر</w:t>
      </w:r>
      <w:r>
        <w:rPr>
          <w:rFonts w:eastAsia="IRNazanin" w:cs="IRNazanin"/>
          <w:color w:val="111111"/>
          <w:sz w:val="28"/>
          <w:szCs w:val="28"/>
          <w:rtl w:val="true"/>
          <w:lang w:bidi="fa-IR"/>
        </w:rPr>
        <w:t>»</w:t>
      </w:r>
      <w:r>
        <w:rPr>
          <w:rStyle w:val="FootnoteAnchor"/>
          <w:rtl w:val="true"/>
        </w:rPr>
        <w:footnoteReference w:id="1846"/>
      </w:r>
    </w:p>
    <w:p>
      <w:pPr>
        <w:pStyle w:val="BookText"/>
        <w:rPr/>
      </w:pPr>
      <w:r>
        <w:rPr>
          <w:rFonts w:ascii="IRNazanin" w:hAnsi="IRNazanin" w:eastAsia="IRNazanin"/>
          <w:color w:val="111111"/>
          <w:sz w:val="28"/>
          <w:sz w:val="28"/>
          <w:szCs w:val="28"/>
          <w:rtl w:val="true"/>
          <w:lang w:bidi="fa-IR"/>
        </w:rPr>
        <w:t>و قال فی الجواهر ممزوجاً مع متن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نفقة الزوجة مقدّمة علی الأقارب؛ لکونها من المعاوضة، و لذا تجب لها مع غناها و فقرها مع غنی الزوج و فقره، و لو بأن تکون دیناً علیه، بخلاف نفقة الأقارب التی هی من المواساة؛ و لذا لا تقتضی و لا تکون دیناً مع الإعسار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تقدّم نفقة الأقارب علی ما فات من نفقة الزوجة الذی قد صار دیناً</w:t>
      </w:r>
      <w:r>
        <w:rPr>
          <w:rFonts w:eastAsia="IRNazanin" w:cs="IRNazanin"/>
          <w:color w:val="111111"/>
          <w:sz w:val="28"/>
          <w:szCs w:val="28"/>
          <w:rtl w:val="true"/>
          <w:lang w:bidi="fa-IR"/>
        </w:rPr>
        <w:t>»</w:t>
      </w:r>
      <w:r>
        <w:rPr>
          <w:rStyle w:val="FootnoteAnchor"/>
          <w:rtl w:val="true"/>
        </w:rPr>
        <w:footnoteReference w:id="18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بهذا قال أکثر الفقهاء مثل ما فی السرائر</w:t>
      </w:r>
      <w:r>
        <w:rPr>
          <w:rStyle w:val="FootnoteAnchor"/>
          <w:rtl w:val="true"/>
        </w:rPr>
        <w:footnoteReference w:id="1848"/>
      </w:r>
      <w:r>
        <w:rPr>
          <w:rFonts w:ascii="IRNazanin" w:hAnsi="IRNazanin" w:eastAsia="IRNazanin"/>
          <w:color w:val="111111"/>
          <w:sz w:val="28"/>
          <w:sz w:val="28"/>
          <w:szCs w:val="28"/>
          <w:rtl w:val="true"/>
          <w:lang w:bidi="fa-IR"/>
        </w:rPr>
        <w:t>و القواعد</w:t>
      </w:r>
      <w:r>
        <w:rPr>
          <w:rStyle w:val="FootnoteAnchor"/>
          <w:rtl w:val="true"/>
        </w:rPr>
        <w:footnoteReference w:id="1849"/>
      </w:r>
      <w:r>
        <w:rPr>
          <w:rFonts w:ascii="IRNazanin" w:hAnsi="IRNazanin" w:eastAsia="IRNazanin"/>
          <w:color w:val="111111"/>
          <w:sz w:val="28"/>
          <w:sz w:val="28"/>
          <w:szCs w:val="28"/>
          <w:rtl w:val="true"/>
          <w:lang w:bidi="fa-IR"/>
        </w:rPr>
        <w:t>و المسالک</w:t>
      </w:r>
      <w:r>
        <w:rPr>
          <w:rStyle w:val="FootnoteAnchor"/>
          <w:rtl w:val="true"/>
        </w:rPr>
        <w:footnoteReference w:id="1850"/>
      </w:r>
      <w:r>
        <w:rPr>
          <w:rFonts w:ascii="IRNazanin" w:hAnsi="IRNazanin" w:eastAsia="IRNazanin"/>
          <w:color w:val="111111"/>
          <w:sz w:val="28"/>
          <w:sz w:val="28"/>
          <w:szCs w:val="28"/>
          <w:rtl w:val="true"/>
          <w:lang w:bidi="fa-IR"/>
        </w:rPr>
        <w:t>و کشف اللثام</w:t>
      </w:r>
      <w:r>
        <w:rPr>
          <w:rStyle w:val="FootnoteAnchor"/>
          <w:rtl w:val="true"/>
        </w:rPr>
        <w:footnoteReference w:id="1851"/>
      </w:r>
      <w:r>
        <w:rPr>
          <w:rFonts w:ascii="IRNazanin" w:hAnsi="IRNazanin" w:eastAsia="IRNazanin"/>
          <w:color w:val="111111"/>
          <w:sz w:val="28"/>
          <w:sz w:val="28"/>
          <w:szCs w:val="28"/>
          <w:rtl w:val="true"/>
          <w:lang w:bidi="fa-IR"/>
        </w:rPr>
        <w:t>و الریاض</w:t>
      </w:r>
      <w:r>
        <w:rPr>
          <w:rStyle w:val="FootnoteAnchor"/>
          <w:rtl w:val="true"/>
        </w:rPr>
        <w:footnoteReference w:id="1852"/>
      </w:r>
      <w:r>
        <w:rPr>
          <w:rFonts w:ascii="IRNazanin" w:hAnsi="IRNazanin" w:eastAsia="IRNazanin"/>
          <w:color w:val="111111"/>
          <w:sz w:val="28"/>
          <w:sz w:val="28"/>
          <w:szCs w:val="28"/>
          <w:rtl w:val="true"/>
          <w:lang w:bidi="fa-IR"/>
        </w:rPr>
        <w:t>و تحریر الوسیلة</w:t>
      </w:r>
      <w:r>
        <w:rPr>
          <w:rStyle w:val="FootnoteAnchor"/>
          <w:rtl w:val="true"/>
        </w:rPr>
        <w:footnoteReference w:id="1853"/>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استشکل المحقّق البحرانی علی هذا الوجه،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المفهوم من الأخبار وجوب النفقة للجمیع، و قضیة الاشتراک فی الوجوب تساوی الجمیع فی ذلک من غیر تقدیم لبعض علی بعضٍ، و مجرّد قوّة النفقة علی الزوجة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أنّها أقوی لهذه الوجوه المذکورة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تصلح لتأسیس حکم شرعیّ علیه</w:t>
      </w:r>
      <w:r>
        <w:rPr>
          <w:rFonts w:eastAsia="IRNazanin" w:cs="IRNazanin"/>
          <w:color w:val="111111"/>
          <w:sz w:val="28"/>
          <w:szCs w:val="28"/>
          <w:rtl w:val="true"/>
          <w:lang w:bidi="fa-IR"/>
        </w:rPr>
        <w:t>»</w:t>
      </w:r>
      <w:r>
        <w:rPr>
          <w:rStyle w:val="FootnoteAnchor"/>
          <w:rtl w:val="true"/>
        </w:rPr>
        <w:footnoteReference w:id="1854"/>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وجوب الإنفاق علی الأقارب حکم تکلیفی صرف، و لیست نفقتهم علی المنفق بمنزلة الدَّیْن، بحیث تکون الذمّة مشغولة بها حتّی مع عدم القدرة، 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إطلاق فی الأدلّة حتّی یستفاد منها الوجوب مع عدم القدرة، غایة الأمر معه یکون معذوراً عقلاً، بخلاف وجوب نفقة الزوجة حیث</w:t>
      </w:r>
    </w:p>
    <w:p>
      <w:pPr>
        <w:pStyle w:val="BookText"/>
        <w:rPr/>
      </w:pPr>
      <w:r>
        <w:rPr>
          <w:rFonts w:ascii="IRNazanin" w:hAnsi="IRNazanin" w:eastAsia="IRNazanin"/>
          <w:color w:val="111111"/>
          <w:sz w:val="28"/>
          <w:sz w:val="28"/>
          <w:szCs w:val="28"/>
          <w:rtl w:val="true"/>
          <w:lang w:bidi="fa-IR"/>
        </w:rPr>
        <w:t>إنّها بمنزلة الدین، و الذمّة مشغولة بها حتّی مع عدم القدرة، غایة الأمر المعذوریّة معه، فمع الدوران تقدّم نفقة الزوجة</w:t>
      </w:r>
      <w:r>
        <w:rPr>
          <w:rFonts w:eastAsia="IRNazanin" w:cs="IRNazanin"/>
          <w:color w:val="111111"/>
          <w:sz w:val="28"/>
          <w:szCs w:val="28"/>
          <w:rtl w:val="true"/>
          <w:lang w:bidi="fa-IR"/>
        </w:rPr>
        <w:t>»</w:t>
      </w:r>
      <w:r>
        <w:rPr>
          <w:rStyle w:val="FootnoteAnchor"/>
          <w:rtl w:val="true"/>
        </w:rPr>
        <w:footnoteReference w:id="18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قاله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لیست نفقتهم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الأقارب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المنفق بمنزلة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النفقة</w:t>
      </w:r>
      <w:r>
        <w:rPr>
          <w:rStyle w:val="FootnoteAnchor"/>
          <w:rtl w:val="true"/>
        </w:rPr>
        <w:footnoteReference w:id="1856"/>
      </w:r>
      <w:r>
        <w:rPr>
          <w:rFonts w:ascii="IRNazanin" w:hAnsi="IRNazanin" w:eastAsia="IRNazanin"/>
          <w:color w:val="111111"/>
          <w:sz w:val="28"/>
          <w:sz w:val="28"/>
          <w:szCs w:val="28"/>
          <w:rtl w:val="true"/>
          <w:lang w:bidi="fa-IR"/>
        </w:rPr>
        <w:t>و إن لم تکن دیناً کنفقة الزوجة و لکن حکمها حکم الدین؛ و لذا قال فی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النفقة واجب فکانت فی ذلک کالدیْن</w:t>
      </w:r>
      <w:r>
        <w:rPr>
          <w:rFonts w:eastAsia="IRNazanin" w:cs="IRNazanin"/>
          <w:color w:val="111111"/>
          <w:sz w:val="28"/>
          <w:szCs w:val="28"/>
          <w:rtl w:val="true"/>
          <w:lang w:bidi="fa-IR"/>
        </w:rPr>
        <w:t>»</w:t>
      </w:r>
      <w:r>
        <w:rPr>
          <w:rStyle w:val="FootnoteAnchor"/>
          <w:rtl w:val="true"/>
        </w:rPr>
        <w:footnoteReference w:id="18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الجواهر فی وجه جواز بیع أموال من امتنع عن أداء نفقة الأقارب و حبسه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لأنّ النفقة حق کالدین، الذی لا ریب فی بیع الحاکم ذلک فی الوفاء مع فرض امتناعه</w:t>
      </w:r>
      <w:r>
        <w:rPr>
          <w:rFonts w:eastAsia="IRNazanin" w:cs="IRNazanin"/>
          <w:color w:val="111111"/>
          <w:sz w:val="28"/>
          <w:szCs w:val="28"/>
          <w:rtl w:val="true"/>
          <w:lang w:bidi="fa-IR"/>
        </w:rPr>
        <w:t>»</w:t>
      </w:r>
      <w:r>
        <w:rPr>
          <w:rStyle w:val="FootnoteAnchor"/>
          <w:rtl w:val="true"/>
        </w:rPr>
        <w:footnoteReference w:id="18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فعلی هذا تکون نفقة الأقارب أیضاً کنفقة الزوجة حکماً، یعنی لزوم أدائها فی وقتها و إن لم تکونا مشترکتین فی الأثر، یعنی اشتغال ذمّة مَن وجبت النفقة علیه؛ لأنّ ذمّة الزوج صارت مشغولة بنفقة زوجته و إن کان معسراً و کانت هی غنیّةً بخلاف نفقة الأقارب، و لکن هذه الخصیصة لا تکون دلیلاً بیّناً علی تقدیم نفقة الزوجة علی الأقارب عند التزاحم و إن احتمل ظنّاً، و لکن الظنّ لا یغنی من الحقّ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أوّلاً</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یستفاد من الروایات تساوی الجمیع، أعنی الزوجة و الأقارب فی وجوب النفقة علیهم من غیر تقدیم بعضٍ علی بعضٍ، مثل صحیحة حریز،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الذی أجبر علیه و تلزمنی نفقته؟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الوالدان،</w:t>
      </w:r>
    </w:p>
    <w:p>
      <w:pPr>
        <w:pStyle w:val="BookText"/>
        <w:rPr/>
      </w:pPr>
      <w:r>
        <w:rPr>
          <w:rFonts w:ascii="Amiri" w:hAnsi="Amiri" w:eastAsia="Amiri" w:cs="Amiri"/>
          <w:color w:val="111111"/>
          <w:sz w:val="28"/>
          <w:sz w:val="28"/>
          <w:szCs w:val="28"/>
          <w:rtl w:val="true"/>
          <w:lang w:bidi="ar-SA"/>
        </w:rPr>
        <w:t>و الولد، و الزوجة</w:t>
      </w:r>
      <w:r>
        <w:rPr>
          <w:rFonts w:eastAsia="Amiri" w:cs="Amiri" w:ascii="Amiri" w:hAnsi="Amiri"/>
          <w:color w:val="111111"/>
          <w:sz w:val="28"/>
          <w:szCs w:val="28"/>
          <w:rtl w:val="true"/>
          <w:lang w:bidi="ar-SA"/>
        </w:rPr>
        <w:t>»</w:t>
      </w:r>
      <w:r>
        <w:rPr>
          <w:rStyle w:val="FootnoteAnchor"/>
          <w:rtl w:val="true"/>
        </w:rPr>
        <w:footnoteReference w:id="1859"/>
      </w:r>
      <w:r>
        <w:rPr>
          <w:rStyle w:val="FootnoteAnchor"/>
          <w:rtl w:val="true"/>
        </w:rPr>
        <w:footnoteReference w:id="18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رواه فی الکافی عن محمّد بن مسلم،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یلزم الرجل من قرابته ممّن ینفق علیه؟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الوالدان، و الولد، و الزوجة</w:t>
      </w:r>
      <w:r>
        <w:rPr>
          <w:rFonts w:eastAsia="IRNazanin" w:cs="IRNazanin"/>
          <w:color w:val="111111"/>
          <w:sz w:val="28"/>
          <w:szCs w:val="28"/>
          <w:rtl w:val="true"/>
          <w:lang w:bidi="fa-IR"/>
        </w:rPr>
        <w:t>»</w:t>
      </w:r>
      <w:r>
        <w:rPr>
          <w:rStyle w:val="FootnoteAnchor"/>
          <w:rtl w:val="true"/>
        </w:rPr>
        <w:footnoteReference w:id="1861"/>
      </w:r>
      <w:r>
        <w:rPr>
          <w:rFonts w:ascii="IRNazanin" w:hAnsi="IRNazanin" w:eastAsia="IRNazanin"/>
          <w:color w:val="111111"/>
          <w:sz w:val="28"/>
          <w:sz w:val="28"/>
          <w:szCs w:val="28"/>
          <w:rtl w:val="true"/>
          <w:lang w:bidi="fa-IR"/>
        </w:rPr>
        <w:t>و غیرهما، بل یستفاد من بعضها الآخر تقدیم</w:t>
      </w:r>
      <w:r>
        <w:rPr>
          <w:rStyle w:val="FootnoteAnchor"/>
          <w:rtl w:val="true"/>
        </w:rPr>
        <w:footnoteReference w:id="1862"/>
      </w:r>
      <w:r>
        <w:rPr>
          <w:rFonts w:ascii="IRNazanin" w:hAnsi="IRNazanin" w:eastAsia="IRNazanin"/>
          <w:color w:val="111111"/>
          <w:sz w:val="28"/>
          <w:sz w:val="28"/>
          <w:szCs w:val="28"/>
          <w:rtl w:val="true"/>
          <w:lang w:bidi="fa-IR"/>
        </w:rPr>
        <w:t>نفقة الوالدین و الولد علی الأهل، مثل ما رواه فی تحف العقول و الکافی 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تمرات أو خمس قرصٍ أو دنانیر أو دراهم یملکها الإنسان و هو یرید أن یمضیها، فأفضلها ما أنفقه الإنسان علی والدیه، ثمّ الثانیة علی نفسه و عیاله، ثمّ الثالثة علی القرابة و إخوانه المؤمنین</w:t>
      </w:r>
      <w:r>
        <w:rPr>
          <w:rFonts w:eastAsia="IRNazanin" w:cs="IRNazanin"/>
          <w:color w:val="111111"/>
          <w:sz w:val="28"/>
          <w:szCs w:val="28"/>
          <w:rtl w:val="true"/>
          <w:lang w:bidi="fa-IR"/>
        </w:rPr>
        <w:t>»</w:t>
      </w:r>
      <w:r>
        <w:rPr>
          <w:rStyle w:val="FootnoteAnchor"/>
          <w:rtl w:val="true"/>
        </w:rPr>
        <w:footnoteReference w:id="18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 الروایة المشهورة عن النبیّ صلی الله علیه و آله و فیها أنّ رجلاً جاء إلیه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 دینار،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أنفقه علی نفسک،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 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أنفقه علی ولدک،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 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أنفقه علی أهلک</w:t>
      </w:r>
      <w:r>
        <w:rPr>
          <w:rFonts w:eastAsia="IRNazanin" w:cs="IRNazanin"/>
          <w:color w:val="111111"/>
          <w:sz w:val="28"/>
          <w:szCs w:val="28"/>
          <w:rtl w:val="true"/>
          <w:lang w:bidi="fa-IR"/>
        </w:rPr>
        <w:t>»</w:t>
      </w:r>
      <w:r>
        <w:rPr>
          <w:rStyle w:val="FootnoteAnchor"/>
          <w:rtl w:val="true"/>
        </w:rPr>
        <w:footnoteReference w:id="18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عامّی ضعیف و لم ینقل من طرقنا</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فالظاهر من الروایتین اللتین نقلناهما و غیرهما تساوی الأقارب و الزوجة فی وجوب نفقتهم دون غیرهم، خصوصاً إذا کان بعض من وجبت النفقة لهم صغاراً أشدّ حاجة، فبحکم العقل و الضرورة و العرف یلزم تقدیمهم؛ لوجوب حفظ النفس المحترمة، و أداء النفقة تکون حفظاً لها؛ و لذا قال الشیخ فی</w:t>
      </w:r>
      <w:bookmarkStart w:id="893" w:name="pg11752_146441"/>
    </w:p>
    <w:p>
      <w:pPr>
        <w:pStyle w:val="BookText"/>
        <w:rPr/>
      </w:pPr>
      <w:bookmarkEnd w:id="893"/>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موسراً و له أب و ابن معسرین، فإن فضل ما یکفیهما أنفق علیهما، و إن لم یفضل إلاّ ما یکفی أحدهما، فإن کان الابن ناقص الأحکام و الخلقة، و لا حرکة به لتحصیل شیء کان أحقّ من الأب؛ لأنّ الأب یحتال، و هذا طفل لا حیلة له</w:t>
      </w:r>
      <w:r>
        <w:rPr>
          <w:rFonts w:eastAsia="IRNazanin" w:cs="IRNazanin"/>
          <w:color w:val="111111"/>
          <w:sz w:val="28"/>
          <w:szCs w:val="28"/>
          <w:rtl w:val="true"/>
          <w:lang w:bidi="fa-IR"/>
        </w:rPr>
        <w:t>»</w:t>
      </w:r>
      <w:r>
        <w:rPr>
          <w:rStyle w:val="FootnoteAnchor"/>
          <w:rtl w:val="true"/>
        </w:rPr>
        <w:footnoteReference w:id="18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أیضاً الظاهر من آیة أولی الأرحام أنّها کانت فی مقام بیان ترتیب المیراث، و لیست فی مقام بیان ترتیب الإنفاق، و لا أقلّ من احتمال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مع ذلک کلّه</w:t>
      </w:r>
      <w:r>
        <w:rPr>
          <w:rStyle w:val="FootnoteAnchor"/>
          <w:rtl w:val="true"/>
        </w:rPr>
        <w:footnoteReference w:id="1866"/>
      </w:r>
      <w:r>
        <w:rPr>
          <w:rFonts w:ascii="IRNazanin" w:hAnsi="IRNazanin" w:eastAsia="IRNazanin"/>
          <w:color w:val="111111"/>
          <w:sz w:val="28"/>
          <w:sz w:val="28"/>
          <w:szCs w:val="28"/>
          <w:rtl w:val="true"/>
          <w:lang w:bidi="fa-IR"/>
        </w:rPr>
        <w:t>بما أنّ المشهور بین الفقهاء بل الاتّفاق بینهم لزوم تقدیم نفقة الزوجة علی الأقارب و الأولاد فمخالفتهم مشکل، و قبول نظرهم من دون دلیل أشکل؛ فلذا یلزم مراعاة الاحتیاط من تحصیل رضا الزوجة فی صورة التزاحم و عدم کفایة مقدار النفقة إذا قسّم بینها و بین غیرها من الأولاد و الأبوین، و اللّه هو العالم بحکمه</w:t>
      </w:r>
      <w:r>
        <w:rPr>
          <w:rFonts w:eastAsia="IRNazanin" w:cs="IRNazanin"/>
          <w:color w:val="111111"/>
          <w:sz w:val="28"/>
          <w:szCs w:val="28"/>
          <w:rtl w:val="true"/>
          <w:lang w:bidi="fa-IR"/>
        </w:rPr>
        <w:t>.</w:t>
      </w:r>
    </w:p>
    <w:p>
      <w:pPr>
        <w:pStyle w:val="Heading5"/>
        <w:numPr>
          <w:ilvl w:val="4"/>
          <w:numId w:val="1"/>
        </w:numPr>
        <w:rPr/>
      </w:pPr>
      <w:bookmarkStart w:id="894" w:name="__RefHeading___Toc9424452_73709187"/>
      <w:bookmarkStart w:id="895" w:name="_Toc340"/>
      <w:bookmarkEnd w:id="894"/>
      <w:r>
        <w:rPr>
          <w:rtl w:val="true"/>
        </w:rPr>
        <w:t>یتفرّع علی التساوی أمور</w:t>
      </w:r>
      <w:bookmarkEnd w:id="895"/>
    </w:p>
    <w:p>
      <w:pPr>
        <w:pStyle w:val="BookText"/>
        <w:rPr/>
      </w:pPr>
      <w:r>
        <w:rPr>
          <w:rFonts w:ascii="IRNazanin" w:hAnsi="IRNazanin" w:eastAsia="IRNazanin"/>
          <w:color w:val="111111"/>
          <w:sz w:val="28"/>
          <w:sz w:val="28"/>
          <w:szCs w:val="28"/>
          <w:rtl w:val="true"/>
          <w:lang w:bidi="fa-IR"/>
        </w:rPr>
        <w:t>یقول صاحب الحدائق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ممّا یتفرّع علی القرب و التساوی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أمور</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الأب و الأمّ معسِرَیْن و لا یجد الولد سوی نفقة أحدهما، فالظاهر أنّهما یکونان فیه بالتساوی؛ لتساوی رتبتهما، و عدم الترجیح، و کذا لو</w:t>
      </w:r>
    </w:p>
    <w:p>
      <w:pPr>
        <w:pStyle w:val="BookText"/>
        <w:rPr/>
      </w:pPr>
      <w:r>
        <w:rPr>
          <w:rFonts w:ascii="IRNazanin" w:hAnsi="IRNazanin" w:eastAsia="IRNazanin"/>
          <w:color w:val="111111"/>
          <w:sz w:val="28"/>
          <w:sz w:val="28"/>
          <w:szCs w:val="28"/>
          <w:rtl w:val="true"/>
          <w:lang w:bidi="fa-IR"/>
        </w:rPr>
        <w:t>کان له أب معسر و ابن کذلک ذکراً کان أو أنثی، أمّا لو کان له أب معسر و جدّ کذلک و عجز عن نفقتهما جمیعاً فإنّه یقدّم نفقة الأب؛ لأنّه الأقرب، و کذا لو کان له جدّ و جدّ أب أو ابن و ابن ابن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له ولدان و لم یقدر إلاّ علی نفقة أحدهما و له أب موسر وجب علی الأب نفقة الآخر، فإن اختلفا فی قدر النفقة و کان مال الأب یسع أحدهما بعینه کالأقلّ نفقة اختصّ به، و وجبت نفقة الآخر علی جدّه، و إن تساویا فی النفقة و اتّفقا علی الشرکة أو علی أن یختصّ کلّ واحدٍ منهما بواحدٍ فذاک، و إلاّ رجعا إلی القرعة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للمعسر أب و ابن موسران کانت النفقة علیهما بالسویّة؛ لتساویهما فی المرتبة، أمّا لو کان له أب و جدّ فالنفقة علی أبیه دون جدّه، و کذا القول فیما لو کان له أب و ابن ابن، فإنّ النفقة علی الأب؛ لأنّه الأقرب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فقیراً و له أمّ و ابن موسران، قیل فی تساویهما فی وجوب الإنفاق أو تقدّم الولد علی الأمّ وجهان، منشؤهما اتّحاد المرتبة، و کون الولد مقدّماً علی الجدّ المقدّم علیها، فیکون أولی بالتقدّم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 بترجیح تقدیم الولد فی وجوب الإنفاق؛ لأنّه المستفاد من النصوص المتقدّمة، و أمّا الأمّ فلم یقم دلیل علی وجوب الإنفاق علیها علی الولد، غایة الأمر أنّهم ذکروا أنّه مع فقد مَن یجب علیه من الأب و إن علا و الابن و إن سفل فإنّه یجب علی الأمّ ثمّ آبائها و أمهاتها الأقرب فالأقرب، و الولد هنا موجود</w:t>
      </w:r>
      <w:r>
        <w:rPr>
          <w:rFonts w:eastAsia="IRNazanin" w:cs="IRNazanin"/>
          <w:color w:val="111111"/>
          <w:sz w:val="28"/>
          <w:szCs w:val="28"/>
          <w:rtl w:val="true"/>
          <w:lang w:bidi="fa-IR"/>
        </w:rPr>
        <w:t>»</w:t>
      </w:r>
      <w:r>
        <w:rPr>
          <w:rStyle w:val="FootnoteAnchor"/>
          <w:rtl w:val="true"/>
        </w:rPr>
        <w:footnoteReference w:id="1867"/>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ذکره صاحب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فرض عدم الانتفاع فی الفاضل لأحد من کان فی الدرجة مع شرکة غیره فالوجه القرعة؛ لأنّ النفقة علیهم</w:t>
      </w:r>
      <w:bookmarkStart w:id="896" w:name="pg11752_146443"/>
    </w:p>
    <w:p>
      <w:pPr>
        <w:pStyle w:val="BookText"/>
        <w:rPr/>
      </w:pPr>
      <w:bookmarkEnd w:id="896"/>
      <w:r>
        <w:rPr>
          <w:rFonts w:ascii="IRNazanin" w:hAnsi="IRNazanin" w:eastAsia="IRNazanin"/>
          <w:color w:val="111111"/>
          <w:sz w:val="28"/>
          <w:sz w:val="28"/>
          <w:szCs w:val="28"/>
          <w:rtl w:val="true"/>
          <w:lang w:bidi="fa-IR"/>
        </w:rPr>
        <w:t>إنّما هی لسدّ الخلّة، فإذا لم تنسدّ خلّة الجمیع لزمه الإنفاق علی مَن تنسدّ به خلّته واحداً کان أو أکثر، و لا یمکن الترجیح إلاّ بالقرعة</w:t>
      </w:r>
      <w:r>
        <w:rPr>
          <w:rFonts w:eastAsia="IRNazanin" w:cs="IRNazanin"/>
          <w:color w:val="111111"/>
          <w:sz w:val="28"/>
          <w:szCs w:val="28"/>
          <w:rtl w:val="true"/>
          <w:lang w:bidi="fa-IR"/>
        </w:rPr>
        <w:t>»</w:t>
      </w:r>
      <w:r>
        <w:rPr>
          <w:rStyle w:val="FootnoteAnchor"/>
          <w:rtl w:val="true"/>
        </w:rPr>
        <w:footnoteReference w:id="18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7" w:name="__RefHeading___Toc9424454_73709187"/>
      <w:bookmarkStart w:id="898" w:name="_Toc341"/>
      <w:bookmarkEnd w:id="897"/>
      <w:r>
        <w:rPr>
          <w:rtl w:val="true"/>
        </w:rPr>
        <w:t>نظر أهل السنّة فی المسألة</w:t>
      </w:r>
      <w:bookmarkEnd w:id="898"/>
    </w:p>
    <w:p>
      <w:pPr>
        <w:pStyle w:val="BookText"/>
        <w:rPr/>
      </w:pPr>
      <w:r>
        <w:rPr>
          <w:rFonts w:ascii="IRNazanin" w:hAnsi="IRNazanin" w:eastAsia="IRNazanin"/>
          <w:color w:val="111111"/>
          <w:sz w:val="28"/>
          <w:sz w:val="28"/>
          <w:szCs w:val="28"/>
          <w:rtl w:val="true"/>
          <w:lang w:bidi="fa-IR"/>
        </w:rPr>
        <w:t>للمذاهب الأربعة من أهل السنّة فی هذه المسألة آراء مختلفة نذکر شطراً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الحنابلة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الحنابلة قد وضعوا جملة ضوابط و قواعد لمعرفة الأحقّ فی التقدّم علی غیره فی صرف النفقة إلیه عند عدم قدرة مَن تجب علیه النفقة الإنفاقَ علی جمیع مستحقّی النفقة،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یفضل عن قوته إلاّ نفقة شخص و له امرأة فالنفقة لها دون الأقارب؛ لقول النبیّ صلی الله علیه و آله فی حدیث جابر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أحدکم فقیراً فلیبدأ بنفسه، فإن کان له فضل فعلی عیاله، فإن کان له فضل فعلی قرابته</w:t>
      </w:r>
      <w:r>
        <w:rPr>
          <w:rFonts w:eastAsia="IRNazanin" w:cs="IRNazanin"/>
          <w:color w:val="111111"/>
          <w:sz w:val="28"/>
          <w:szCs w:val="28"/>
          <w:rtl w:val="true"/>
          <w:lang w:bidi="fa-IR"/>
        </w:rPr>
        <w:t>»</w:t>
      </w:r>
      <w:r>
        <w:rPr>
          <w:rStyle w:val="FootnoteAnchor"/>
          <w:rtl w:val="true"/>
        </w:rPr>
        <w:footnoteReference w:id="18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لأنّ نفقة القریب مواساة و نفقة المرأة تجب علی سبیل المعاوضة، فقدّمت علی مجرّد المواساة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بعدها نفقة الرقیق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بعد ذلک الأقرب فالأقرب، فإن اجتمع أب و جدّ و ابن و ابن ابن قدّم الأب علی الجدّ و الابن علی ابنه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اجتمع أب و ابن، فقال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الابن صغیراً أو مجنوناً قدّم؛ لأنّ نفقته وجبت بالنصّ، مع أنّه عاجز عن الکسب و الأب قد یقدر علیه، و إن کان الابن کبیراً و الأب زمن فهو أحقّ؛ لأنّ حرمته آکد و حاجته أشدّ، و یحتمل تقدیم الابن؛ لأنّ نفقته وجبت بالنصّ، و إن کانا صحیحین فقیرین ففیهما ثلاثة أوجه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التسویة بینهما؛ لتساویهما فی القرب، و تقابل مرتبتهما</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الابن؛ لوجوب نفقته بالنصّ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الأب؛ لتأکّد حرمته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اجتمع أبوان ففیهما الوجوه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التسویة؛ لما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الأمّ؛ لأنّها أحقّ بالبرّ، و لها فضیلة الحمل و الرضاع و زیادة الشفقة، و هی أضعف و أعجز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الأب؛ لفضیلته، و انفراده بالولایة علی ولده، و استحقاق الأخذ من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أولی</w:t>
      </w:r>
      <w:r>
        <w:rPr>
          <w:rStyle w:val="FootnoteAnchor"/>
          <w:rtl w:val="true"/>
        </w:rPr>
        <w:footnoteReference w:id="18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القاعدة عند الحنفیة عند تزاحم من تجب لهم النفقة أن تعطی النفقة لمن هو الأحقّ بها ما دام من وجبت علیه النفقة لا یقدر إلاّ علی نفقة واحدٍ منهم، فقد جاء فی الدرّ المختار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 لم یقدر إلاّ علی نفقة أحد والدیه فالأمّ أحقّ، و لو له أب و طفل فالطفل أحقّ به،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یقسّمها فیهما، و علّق علی هذا القول ابن عابدین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فالأمّ أحقّ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لا تقدر علی الکسب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 أحقّ؛ لأنّه هو الذی یجب علیه نفقة الابن فی صغره دون الأمّ،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یقسّمها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 الأوّل ما رواه أحمد و أبو داود و الترمذی، و حسّنه عن أبی معاویة بن القشیری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أبرّ؟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أباک، ثمّ الأقرب فالأقرب</w:t>
      </w:r>
      <w:r>
        <w:rPr>
          <w:rStyle w:val="FootnoteAnchor"/>
          <w:rtl w:val="true"/>
        </w:rPr>
        <w:footnoteReference w:id="187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72"/>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الشافعیة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یشترط فی وجوب النفقة أن یقدر المنفق علیها فاضلة عن نفقة نفسه، فإن لم تفضل عنها سقطت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نفقة نفسة یقدّم الزوجة، و بعد الزوجة ولده الصغیر؛ لشدّة عجزه، و مثله المجنون و إن کان بالغاً، ثمّ</w:t>
      </w:r>
    </w:p>
    <w:p>
      <w:pPr>
        <w:pStyle w:val="BookText"/>
        <w:rPr/>
      </w:pPr>
      <w:r>
        <w:rPr>
          <w:rFonts w:ascii="IRNazanin" w:hAnsi="IRNazanin" w:eastAsia="IRNazanin"/>
          <w:color w:val="111111"/>
          <w:sz w:val="28"/>
          <w:sz w:val="28"/>
          <w:szCs w:val="28"/>
          <w:rtl w:val="true"/>
          <w:lang w:bidi="fa-IR"/>
        </w:rPr>
        <w:t>یقدّم الأمّ لعجزها، و لتأکّد حقّها بالحمل و الوضع و قیامها بالرضاعة و التربیة، ثمّ بعد الأمّ یقدّم الأب، و بعد الأب یقدّم الولد الکبیر المستحقّ للنفقة، ثمّ الجدّ و إن علا</w:t>
      </w:r>
      <w:r>
        <w:rPr>
          <w:rFonts w:eastAsia="IRNazanin" w:cs="IRNazanin"/>
          <w:color w:val="111111"/>
          <w:sz w:val="28"/>
          <w:szCs w:val="28"/>
          <w:rtl w:val="true"/>
          <w:lang w:bidi="fa-IR"/>
        </w:rPr>
        <w:t>...»</w:t>
      </w:r>
      <w:r>
        <w:rPr>
          <w:rStyle w:val="FootnoteAnchor"/>
          <w:rtl w:val="true"/>
        </w:rPr>
        <w:footnoteReference w:id="1873"/>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المالکیّة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الأمّ علی الأب عندهم، فقد جاء فی حاشیة الدسوقی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له أب و أمّ فقیران تقدّم الأم علی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أنّ نفقة الولد ذکراً أو انثی آکد من نفقة الأبوین؛ لأنّه إذا لم یجد إلاّ ما یکفی الأبوین أو الأولاد فقط،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نفقة الأولاد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یحاصّان، و أمّا القول بتقدیم الأبوین فهو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من وجبت لهم النفقة أولاداً، فإنّ الأَولی بالنفقة الصغیر فیقدّم علی الکبیر، و کذلک تقدّم الأنثی من الأولاد علی الذکر، و لو تساوی الأولاد صغراً أو کبراً أو أنوثة تحاصّوا بالنفقة</w:t>
      </w:r>
      <w:r>
        <w:rPr>
          <w:rFonts w:eastAsia="IRNazanin" w:cs="IRNazanin"/>
          <w:color w:val="111111"/>
          <w:sz w:val="28"/>
          <w:szCs w:val="28"/>
          <w:rtl w:val="true"/>
          <w:lang w:bidi="fa-IR"/>
        </w:rPr>
        <w:t>»</w:t>
      </w:r>
      <w:r>
        <w:rPr>
          <w:rStyle w:val="FootnoteAnchor"/>
          <w:rtl w:val="true"/>
        </w:rPr>
        <w:footnoteReference w:id="18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تُقسم علیهم بالسویة؛ لتساویهم</w:t>
      </w:r>
      <w:r>
        <w:rPr>
          <w:rFonts w:eastAsia="IRNazanin" w:cs="IRNazanin"/>
          <w:color w:val="111111"/>
          <w:sz w:val="28"/>
          <w:szCs w:val="28"/>
          <w:rtl w:val="true"/>
          <w:lang w:bidi="fa-IR"/>
        </w:rPr>
        <w:t>.</w:t>
      </w:r>
      <w:bookmarkStart w:id="899" w:name="pg11752_146446"/>
    </w:p>
    <w:p>
      <w:pPr>
        <w:pStyle w:val="Heading5"/>
        <w:numPr>
          <w:ilvl w:val="4"/>
          <w:numId w:val="1"/>
        </w:numPr>
        <w:rPr/>
      </w:pPr>
      <w:bookmarkStart w:id="900" w:name="__RefHeading___Toc9424456_73709187"/>
      <w:bookmarkStart w:id="901" w:name="_Toc342"/>
      <w:bookmarkEnd w:id="899"/>
      <w:bookmarkEnd w:id="900"/>
      <w:r>
        <w:rPr>
          <w:rtl w:val="true"/>
        </w:rPr>
        <w:t>المبحث الرابع</w:t>
      </w:r>
      <w:r>
        <w:rPr>
          <w:rtl w:val="true"/>
        </w:rPr>
        <w:t xml:space="preserve">: </w:t>
      </w:r>
      <w:r>
        <w:rPr>
          <w:rtl w:val="true"/>
        </w:rPr>
        <w:t>حکم الامتناع عن النفقة</w:t>
      </w:r>
      <w:bookmarkEnd w:id="901"/>
    </w:p>
    <w:p>
      <w:pPr>
        <w:pStyle w:val="BookText"/>
        <w:rPr/>
      </w:pPr>
      <w:r>
        <w:rPr>
          <w:rFonts w:ascii="IRNazanin" w:hAnsi="IRNazanin" w:eastAsia="IRNazanin"/>
          <w:color w:val="111111"/>
          <w:sz w:val="28"/>
          <w:sz w:val="28"/>
          <w:szCs w:val="28"/>
          <w:rtl w:val="true"/>
          <w:lang w:bidi="fa-IR"/>
        </w:rPr>
        <w:t>المشهور بین الفقهاء أنّه إذا امتنع مَن تجب النفقة علیه، الأب أو الجدّ للأب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متّحداً أو متعدّداً فی حال کونه موسراً أجبره الحاکم علی أدائها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نفقة القرابة یومه،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أنفق، فإن أنفق و إلاّ کلّفه السلطان، فإن أبی حبسه، فإن أبی عزّره، فإن أبی فالحکم فیه فی هذه المسألة، و فیه إن کان غائباً هارباً سواء</w:t>
      </w:r>
      <w:r>
        <w:rPr>
          <w:rFonts w:eastAsia="IRNazanin" w:cs="IRNazanin"/>
          <w:color w:val="111111"/>
          <w:sz w:val="28"/>
          <w:szCs w:val="28"/>
          <w:rtl w:val="true"/>
          <w:lang w:bidi="fa-IR"/>
        </w:rPr>
        <w:t>»</w:t>
      </w:r>
      <w:r>
        <w:rPr>
          <w:rStyle w:val="FootnoteAnchor"/>
          <w:rtl w:val="true"/>
        </w:rPr>
        <w:footnoteReference w:id="18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العلاّمة فی التحریر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نفقة الأقارب تجب علی طریق المواساة لیسدّ الخلّة، فلو امتنع الموسر من الإنفاق جاز لمن یجب له النفقة منهم أخذ ما یحتاج إلیه من ماله إن لم یتمکّن من الحاکم، و لو تمکّن منه دفع أمره إلیه و ألزمه الإنفاق، فإن امتنع حبسه أبداً حتّی ینفق، و لو وجد له مالاً أنفق منه و یبیع علیه عقاره و متاعه و یصرفه فی النفقة</w:t>
      </w:r>
      <w:r>
        <w:rPr>
          <w:rFonts w:eastAsia="IRNazanin" w:cs="IRNazanin"/>
          <w:color w:val="111111"/>
          <w:sz w:val="28"/>
          <w:szCs w:val="28"/>
          <w:rtl w:val="true"/>
          <w:lang w:bidi="fa-IR"/>
        </w:rPr>
        <w:t>»</w:t>
      </w:r>
      <w:r>
        <w:rPr>
          <w:rStyle w:val="FootnoteAnchor"/>
          <w:rtl w:val="true"/>
        </w:rPr>
        <w:footnoteReference w:id="18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هکذا قال الشهید فی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فرق فی هذا الحکم بین نفقة الزوجة و الأقارب؛ لاشتراکهما فی الوجوب و إن اختلفا بالقوّة و الضعف، و للحاکم إجبار من یقصّر فی دفع الواجب، فإن امتنع من الدفع مع أمره تخیّر الحاکم بین حبسه و تأدیبه لینفق بنفسه، و بین أن یدفع من ماله مقدار النفقة إن کان له مال ظاهر، و لو توقّف علی بیع شیء من عقاره أو ماله جاز</w:t>
      </w:r>
      <w:r>
        <w:rPr>
          <w:rFonts w:eastAsia="IRNazanin" w:cs="IRNazanin"/>
          <w:color w:val="111111"/>
          <w:sz w:val="28"/>
          <w:szCs w:val="28"/>
          <w:rtl w:val="true"/>
          <w:lang w:bidi="fa-IR"/>
        </w:rPr>
        <w:t>»</w:t>
      </w:r>
      <w:r>
        <w:rPr>
          <w:rStyle w:val="FootnoteAnchor"/>
          <w:rtl w:val="true"/>
        </w:rPr>
        <w:footnoteReference w:id="1877"/>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الجواهر ممزوجاً مع متن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دافع بالنفقة الواجبة من</w:t>
      </w:r>
    </w:p>
    <w:p>
      <w:pPr>
        <w:pStyle w:val="BookText"/>
        <w:rPr/>
      </w:pPr>
      <w:r>
        <w:rPr>
          <w:rFonts w:ascii="IRNazanin" w:hAnsi="IRNazanin" w:eastAsia="IRNazanin"/>
          <w:color w:val="111111"/>
          <w:sz w:val="28"/>
          <w:sz w:val="28"/>
          <w:szCs w:val="28"/>
          <w:rtl w:val="true"/>
          <w:lang w:bidi="fa-IR"/>
        </w:rPr>
        <w:t>خوطب بها متّحداً أو متعدّداً أجبره الحاکم حسبةً، فإن لم یکن فعدول المؤمنین، بل إن لم یکونوا ففسّاقهم فی وجه، فإن امتنع حبسه</w:t>
      </w:r>
      <w:r>
        <w:rPr>
          <w:rFonts w:eastAsia="IRNazanin" w:cs="IRNazanin"/>
          <w:color w:val="111111"/>
          <w:sz w:val="28"/>
          <w:szCs w:val="28"/>
          <w:rtl w:val="true"/>
          <w:lang w:bidi="fa-IR"/>
        </w:rPr>
        <w:t>»</w:t>
      </w:r>
      <w:r>
        <w:rPr>
          <w:rStyle w:val="FootnoteAnchor"/>
          <w:rtl w:val="true"/>
        </w:rPr>
        <w:footnoteReference w:id="18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السیّد السبزواری فی وجه حسبیّة هذه المسألة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لأنّ المقام من الأمور الحسبیّة التی لا بدّ من القیام بها، فمع وجود الحاکم هو یقوم به، و مع عدمه فالعدول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یکونوا ففسّاقهم؛ لأنّه یکفی صدور العمل موافقاً للوظیفة الشرعیّة و لو لم یکن من العدول</w:t>
      </w:r>
      <w:r>
        <w:rPr>
          <w:rFonts w:eastAsia="IRNazanin" w:cs="IRNazanin"/>
          <w:color w:val="111111"/>
          <w:sz w:val="28"/>
          <w:szCs w:val="28"/>
          <w:rtl w:val="true"/>
          <w:lang w:bidi="fa-IR"/>
        </w:rPr>
        <w:t>»</w:t>
      </w:r>
      <w:r>
        <w:rPr>
          <w:rStyle w:val="FootnoteAnchor"/>
          <w:rtl w:val="true"/>
        </w:rPr>
        <w:footnoteReference w:id="18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هکذا جاء الحکم أی جواز إجبار مَن تجب النفقة علیه فی الخلاف و القواعد و کشف اللثام و الریاض و الحدائق و تحریر الوسیلة و</w:t>
      </w:r>
      <w:r>
        <w:rPr>
          <w:rFonts w:eastAsia="IRNazanin" w:cs="IRNazanin"/>
          <w:color w:val="111111"/>
          <w:sz w:val="28"/>
          <w:szCs w:val="28"/>
          <w:rtl w:val="true"/>
          <w:lang w:bidi="fa-IR"/>
        </w:rPr>
        <w:t>...</w:t>
      </w:r>
      <w:r>
        <w:rPr>
          <w:rStyle w:val="FootnoteAnchor"/>
          <w:rtl w:val="true"/>
        </w:rPr>
        <w:footnoteReference w:id="18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کلّ حال، المفهوم من کلماتهم فی هذه المسألة الأحکام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تمکّن من تجب النفقة له من الرجوع إلی الحاکم وجب، و جاز للحاکم إجبار من تجب علیه النفقة علی الإنفاق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کان مَن تجب النفقة علیه موسراً جاز لمن یجب له النفقة أخذ ما یصحّ للنفقة من ماله إن لم یتمکّن من الرجوع إلی الحاکم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امتنع عن أداء النفقة جاز للحاکم حبسه حتّی یؤدّی ما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إن امتنع أیضاً بعد الحبس و وجد له مالاً أنفق منه</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لو توقّف الإنفاق علی بیع شیء من ماله أو عقاره جاز علی ترتیب درجة الأهمیّة، أی یجوز أوّلاً بیع شیء من ماله الذی لا یکون فی الأهمیّة فی درجة عقاره، فإن لم یمکن فیجوز بیع عقاره و هکذا</w:t>
      </w:r>
      <w:r>
        <w:rPr>
          <w:rFonts w:eastAsia="IRNazanin" w:cs="IRNazanin"/>
          <w:color w:val="111111"/>
          <w:sz w:val="28"/>
          <w:szCs w:val="28"/>
          <w:rtl w:val="true"/>
          <w:lang w:bidi="fa-IR"/>
        </w:rPr>
        <w:t>.</w:t>
      </w:r>
      <w:bookmarkStart w:id="902" w:name="pg11752_146448"/>
    </w:p>
    <w:p>
      <w:pPr>
        <w:pStyle w:val="Heading5"/>
        <w:numPr>
          <w:ilvl w:val="4"/>
          <w:numId w:val="1"/>
        </w:numPr>
        <w:rPr/>
      </w:pPr>
      <w:bookmarkStart w:id="903" w:name="__RefHeading___Toc9424458_73709187"/>
      <w:bookmarkStart w:id="904" w:name="_Toc343"/>
      <w:bookmarkEnd w:id="902"/>
      <w:bookmarkEnd w:id="903"/>
      <w:r>
        <w:rPr>
          <w:rtl w:val="true"/>
        </w:rPr>
        <w:t>وجه نظر الفقهاء فی هذه الأحکام</w:t>
      </w:r>
      <w:bookmarkEnd w:id="904"/>
    </w:p>
    <w:p>
      <w:pPr>
        <w:pStyle w:val="BookText"/>
        <w:rPr/>
      </w:pPr>
      <w:r>
        <w:rPr>
          <w:rFonts w:ascii="IRNazanin" w:hAnsi="IRNazanin" w:eastAsia="IRNazanin"/>
          <w:color w:val="111111"/>
          <w:sz w:val="28"/>
          <w:sz w:val="28"/>
          <w:szCs w:val="28"/>
          <w:rtl w:val="true"/>
          <w:lang w:bidi="fa-IR"/>
        </w:rPr>
        <w:t>و أمّا وجه نظر الفقهاء فی هذه الأحکام أنّ النفقة الواجبة هی کالدیْن یجب أداؤها، فإن خالف مَن وجبت علیه النفقة و ترک الواجب جاز للحاکم إجباره و تعزیره بالحبس أو الجلد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الأداء من ماله؛ لأنّه ثبت فی موضعه أنّ للحاکم تعزیر من ترک واجباً أو ارتکب حراماً</w:t>
      </w:r>
      <w:r>
        <w:rPr>
          <w:rStyle w:val="FootnoteAnchor"/>
          <w:rtl w:val="true"/>
        </w:rPr>
        <w:footnoteReference w:id="18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قال فی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حقّ النفقة واجب فکانت فی ذلک کالدین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الکلام هنا فی حکمها</w:t>
      </w:r>
      <w:r>
        <w:rPr>
          <w:rFonts w:eastAsia="IRNazanin" w:cs="IRNazanin"/>
          <w:color w:val="111111"/>
          <w:sz w:val="28"/>
          <w:szCs w:val="28"/>
          <w:rtl w:val="true"/>
          <w:lang w:bidi="fa-IR"/>
        </w:rPr>
        <w:t>»</w:t>
      </w:r>
      <w:r>
        <w:rPr>
          <w:rStyle w:val="FootnoteAnchor"/>
          <w:rtl w:val="true"/>
        </w:rPr>
        <w:footnoteReference w:id="18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الجواهر فی شرح کلام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النفقة حقّ کالدین</w:t>
      </w:r>
      <w:r>
        <w:rPr>
          <w:rFonts w:eastAsia="IRNazanin" w:cs="IRNazanin"/>
          <w:color w:val="111111"/>
          <w:sz w:val="28"/>
          <w:szCs w:val="28"/>
          <w:rtl w:val="true"/>
          <w:lang w:bidi="fa-IR"/>
        </w:rPr>
        <w:t>»</w:t>
      </w:r>
      <w:r>
        <w:rPr>
          <w:rStyle w:val="FootnoteAnchor"/>
          <w:rtl w:val="true"/>
        </w:rPr>
        <w:footnoteReference w:id="1883"/>
      </w:r>
      <w:r>
        <w:rPr>
          <w:rFonts w:ascii="IRNazanin" w:hAnsi="IRNazanin" w:eastAsia="IRNazanin"/>
          <w:color w:val="111111"/>
          <w:sz w:val="28"/>
          <w:sz w:val="28"/>
          <w:szCs w:val="28"/>
          <w:rtl w:val="true"/>
          <w:lang w:bidi="fa-IR"/>
        </w:rPr>
        <w:t>الذی لا ریب فی بیع الحاکم ذلک فی الوفاء مع فرض امتناعه بل هی أعظم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یصیر من تجب النفقة علیه مدیوناً، و أمّا الدلیل علی أنّه یجوز حبس المدیون إذا امتنع عن أداء دینه ما ورد من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أفتی فقهاؤنا القدماء و المتأخّرون و المعاصرون علی طبقها، فقد ورد فی الصحیح عن عمّار، عن أبی عبد اللّه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 سلامه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یحبس الرجل إذا التوی علی غرمائه، ثمّ یأمر فیقسّم ماله بینهم بالحصص، فإن أبی باعه فیقسّم، یعنی ماله</w:t>
      </w:r>
      <w:r>
        <w:rPr>
          <w:rFonts w:eastAsia="IRNazanin" w:cs="IRNazanin"/>
          <w:color w:val="111111"/>
          <w:sz w:val="28"/>
          <w:szCs w:val="28"/>
          <w:rtl w:val="true"/>
          <w:lang w:bidi="fa-IR"/>
        </w:rPr>
        <w:t>»</w:t>
      </w:r>
      <w:r>
        <w:rPr>
          <w:rStyle w:val="FootnoteAnchor"/>
          <w:rtl w:val="true"/>
        </w:rPr>
        <w:footnoteReference w:id="18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المجلسی الأوّل فی معنی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یلتوی أی یتثاقل و یدافع</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حلول الدین أنّه یحبس، أی فی السجن، أو عن التصرّف فی ماله، و هو أظهر</w:t>
      </w:r>
      <w:r>
        <w:rPr>
          <w:rFonts w:eastAsia="IRNazanin" w:cs="IRNazanin"/>
          <w:color w:val="111111"/>
          <w:sz w:val="28"/>
          <w:szCs w:val="28"/>
          <w:rtl w:val="true"/>
          <w:lang w:bidi="fa-IR"/>
        </w:rPr>
        <w:t>»</w:t>
      </w:r>
      <w:r>
        <w:rPr>
          <w:rStyle w:val="FootnoteAnchor"/>
          <w:rtl w:val="true"/>
        </w:rPr>
        <w:footnoteReference w:id="18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فإنّ هذه الصحیحة دلّت علی جواز حبس المدیون إذا تثاقل و امتنع عن أداء دینه بعد حلوله، و یؤیّدها ما جاء فی أمالی الطوسی عن علی</w:t>
      </w:r>
    </w:p>
    <w:p>
      <w:pPr>
        <w:pStyle w:val="BookText"/>
        <w:rPr/>
      </w:pPr>
      <w:r>
        <w:rPr>
          <w:rFonts w:ascii="IRNazanin" w:hAnsi="IRNazanin" w:eastAsia="IRNazanin"/>
          <w:color w:val="111111"/>
          <w:sz w:val="28"/>
          <w:sz w:val="28"/>
          <w:szCs w:val="28"/>
          <w:rtl w:val="true"/>
          <w:lang w:bidi="fa-IR"/>
        </w:rPr>
        <w:t>ابن موسی الرضا، عن آبائه، عن أمیر المؤمنین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الواجد بالدین یحلّ عرضه و عقوبته ما لم یکن دینه فیما یکره اللّه عزّ و جلّ</w:t>
      </w:r>
      <w:r>
        <w:rPr>
          <w:rFonts w:eastAsia="IRNazanin" w:cs="IRNazanin"/>
          <w:color w:val="111111"/>
          <w:sz w:val="28"/>
          <w:szCs w:val="28"/>
          <w:rtl w:val="true"/>
          <w:lang w:bidi="fa-IR"/>
        </w:rPr>
        <w:t>»</w:t>
      </w:r>
      <w:r>
        <w:rPr>
          <w:rStyle w:val="FootnoteAnchor"/>
          <w:rtl w:val="true"/>
        </w:rPr>
        <w:footnoteReference w:id="18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المحقّق النراقی فی معنی حدیث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الالتواء من اللیّ، و هو سوء الأداء و المطل</w:t>
      </w:r>
      <w:r>
        <w:rPr>
          <w:rFonts w:eastAsia="IRNazanin" w:cs="IRNazanin"/>
          <w:color w:val="111111"/>
          <w:sz w:val="28"/>
          <w:szCs w:val="28"/>
          <w:rtl w:val="true"/>
          <w:lang w:bidi="fa-IR"/>
        </w:rPr>
        <w:t>»</w:t>
      </w:r>
      <w:r>
        <w:rPr>
          <w:rStyle w:val="FootnoteAnchor"/>
          <w:rtl w:val="true"/>
        </w:rPr>
        <w:footnoteReference w:id="18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أفتی أکثر الفقهاء بمضمونه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فی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وجب علیه دین حالّ، و عرف له مال یستره و لم یکن له مال سواه، فإنّ السلطان یجبره علی قضاء الدین فإن فعل و إلاّ حبسه تعزیراً، فإن فعل و إلاّ أخرجه و عزّره، و لا یزال یحبسه و یعزّره حتّی یظهر المال و یقضی الدین</w:t>
      </w:r>
      <w:r>
        <w:rPr>
          <w:rFonts w:eastAsia="IRNazanin" w:cs="IRNazanin"/>
          <w:color w:val="111111"/>
          <w:sz w:val="28"/>
          <w:szCs w:val="28"/>
          <w:rtl w:val="true"/>
          <w:lang w:bidi="fa-IR"/>
        </w:rPr>
        <w:t>»</w:t>
      </w:r>
      <w:r>
        <w:rPr>
          <w:rStyle w:val="FootnoteAnchor"/>
          <w:rtl w:val="true"/>
        </w:rPr>
        <w:footnoteReference w:id="18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تناکرا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الغریم و صاحب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له مال ظاهر أمر بالتسلیم، فإن امتنع فالحاکم بالخیار بین حبسه یوفّی و بیع أمواله و قسمتها بین غرمائه</w:t>
      </w:r>
      <w:r>
        <w:rPr>
          <w:rFonts w:eastAsia="IRNazanin" w:cs="IRNazanin"/>
          <w:color w:val="111111"/>
          <w:sz w:val="28"/>
          <w:szCs w:val="28"/>
          <w:rtl w:val="true"/>
          <w:lang w:bidi="fa-IR"/>
        </w:rPr>
        <w:t>»</w:t>
      </w:r>
      <w:r>
        <w:rPr>
          <w:rStyle w:val="FootnoteAnchor"/>
          <w:rtl w:val="true"/>
        </w:rPr>
        <w:footnoteReference w:id="1889"/>
      </w:r>
      <w:r>
        <w:rPr>
          <w:rFonts w:ascii="IRNazanin" w:hAnsi="IRNazanin" w:eastAsia="IRNazanin"/>
          <w:color w:val="111111"/>
          <w:sz w:val="28"/>
          <w:sz w:val="28"/>
          <w:szCs w:val="28"/>
          <w:rtl w:val="true"/>
          <w:lang w:bidi="fa-IR"/>
        </w:rPr>
        <w:t>، و إلی ذلک ذهب فی المختصر النافع، و هو رأی ابن حمزة فی الوسیلة، و العلاّمة الحلّی فی تذکرة الفقهاء و القواعد، و الشهید الأوّل فی القواعد و الفوائد، و السیّد الخمینی فی تحریر الوسیلة، و السیّد الخوئی فی مبانی تکملة المنهاج، و السیّد الگلبایگانی فی مجمع المسائل</w:t>
      </w:r>
      <w:r>
        <w:rPr>
          <w:rStyle w:val="FootnoteAnchor"/>
          <w:rtl w:val="true"/>
        </w:rPr>
        <w:footnoteReference w:id="1890"/>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الروایة واردة فی الدین المتعارف و النفقة و إن کانت کالدَّین فی</w:t>
      </w:r>
      <w:bookmarkStart w:id="905" w:name="pg11752_146450"/>
    </w:p>
    <w:p>
      <w:pPr>
        <w:pStyle w:val="BookText"/>
        <w:rPr/>
      </w:pPr>
      <w:bookmarkEnd w:id="905"/>
      <w:r>
        <w:rPr>
          <w:rFonts w:ascii="IRNazanin" w:hAnsi="IRNazanin" w:eastAsia="IRNazanin"/>
          <w:color w:val="111111"/>
          <w:sz w:val="28"/>
          <w:sz w:val="28"/>
          <w:szCs w:val="28"/>
          <w:rtl w:val="true"/>
          <w:lang w:bidi="fa-IR"/>
        </w:rPr>
        <w:t>وجوب الأداء إلاّ أنّه لا یصدق علی المنفق علیهم عنوان الغرماء حتّی جاز حبس مَنْ وجبت علیه النفقة و امتنع عن أدائها استناداً لها؟</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قبول هذا الاحتمال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بعیداً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 حبس الممتنع عن أداء النفقة؛ لأنّ أداءها واجب و ترکها محرّمة، و ثبت فی موضعه بأنّ للحاکم تعزیر من ترک واجباً أو ارتکب محرّماً</w:t>
      </w:r>
      <w:r>
        <w:rPr>
          <w:rStyle w:val="FootnoteAnchor"/>
          <w:rtl w:val="true"/>
        </w:rPr>
        <w:footnoteReference w:id="18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6" w:name="__RefHeading___Toc9424460_73709187"/>
      <w:bookmarkStart w:id="907" w:name="_Toc344"/>
      <w:bookmarkEnd w:id="906"/>
      <w:r>
        <w:rPr>
          <w:rtl w:val="true"/>
        </w:rPr>
        <w:t>نظر أهل السنّة فی المسألة</w:t>
      </w:r>
      <w:bookmarkEnd w:id="907"/>
    </w:p>
    <w:p>
      <w:pPr>
        <w:pStyle w:val="BookText"/>
        <w:rPr/>
      </w:pPr>
      <w:r>
        <w:rPr>
          <w:rFonts w:ascii="IRNazanin" w:hAnsi="IRNazanin" w:eastAsia="IRNazanin"/>
          <w:color w:val="111111"/>
          <w:sz w:val="28"/>
          <w:sz w:val="28"/>
          <w:szCs w:val="28"/>
          <w:rtl w:val="true"/>
          <w:lang w:bidi="fa-IR"/>
        </w:rPr>
        <w:t>فی هذه المسألة نظر فقهاء أهل السنّة یوافق نظر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الفقیه الحنفی فی البدائع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یحبس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یجب علیه الإنفاق فی صورة الامتناع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نفقة الأقارب کما یحبس فی نفقة الزوجات، أمّا غیر الأب فلا شکّ فیه، و أمّا الأب فیحبس فی نفقة الولد أیضاً و لا یحبس فی سائر دیونه؛ لأنّ ایذاءَ الأب حرام فی الأصل، و فی الحبس ایذاؤه، إلاّ أنّ فی النفقة ضرورة، و هی ضرورة دفع الهلاک عن الولد؛ إذ لو لم ینفق علیه لهلک، فکان هو بالامتناع من الإنفاق علیه کالقاصد إهلاکه، فدفع قصده بالحبس، و یحمل هذا القدر من الأذی لهذه الضرورة</w:t>
      </w:r>
      <w:r>
        <w:rPr>
          <w:rFonts w:eastAsia="IRNazanin" w:cs="IRNazanin"/>
          <w:color w:val="111111"/>
          <w:sz w:val="28"/>
          <w:szCs w:val="28"/>
          <w:rtl w:val="true"/>
          <w:lang w:bidi="fa-IR"/>
        </w:rPr>
        <w:t>»</w:t>
      </w:r>
      <w:r>
        <w:rPr>
          <w:rStyle w:val="FootnoteAnchor"/>
          <w:rtl w:val="true"/>
        </w:rPr>
        <w:footnoteReference w:id="1892"/>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فی الفقه الشافعی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طالب الفریقان بالنفقات المستحقّة و هی للأقارب یوم واحد، و للزوجات یوم و أکثر أخذ بها المنفق جبراً، إن امتنع منها طوعاً و حبس بها إن أقام علی امتناعه و أخذت من ماله عند امتناعه أو غیبته، فان کان فی ماله من جنس النفقة أخذت و لم یتجاوز غیر جنسها، فإن لم یوجد فیه من جنس النفقة بیع فیها ما سوی العقار من العروض؛ لأنّه أسهل خلفاً</w:t>
      </w:r>
      <w:bookmarkStart w:id="908" w:name="pg11752_146451"/>
    </w:p>
    <w:p>
      <w:pPr>
        <w:pStyle w:val="BookText"/>
        <w:rPr/>
      </w:pPr>
      <w:bookmarkEnd w:id="908"/>
      <w:r>
        <w:rPr>
          <w:rFonts w:ascii="IRNazanin" w:hAnsi="IRNazanin" w:eastAsia="IRNazanin"/>
          <w:color w:val="111111"/>
          <w:sz w:val="28"/>
          <w:sz w:val="28"/>
          <w:szCs w:val="28"/>
          <w:rtl w:val="true"/>
          <w:lang w:bidi="fa-IR"/>
        </w:rPr>
        <w:t>من بیع العقار، فإن لم یوجد غیر العقار بیع علیه فیها بقدر ما استحقّ علیه منها</w:t>
      </w:r>
      <w:r>
        <w:rPr>
          <w:rFonts w:eastAsia="IRNazanin" w:cs="IRNazanin"/>
          <w:color w:val="111111"/>
          <w:sz w:val="28"/>
          <w:szCs w:val="28"/>
          <w:rtl w:val="true"/>
          <w:lang w:bidi="fa-IR"/>
        </w:rPr>
        <w:t>»</w:t>
      </w:r>
      <w:r>
        <w:rPr>
          <w:rStyle w:val="FootnoteAnchor"/>
          <w:rtl w:val="true"/>
        </w:rPr>
        <w:footnoteReference w:id="18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فصّل فی الفقه الحنبلی بین الأولاد الصغار المحتاجین و غیرهم، فقد قال فی المحلّی بالآثار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بأنّه یجبر الرجل علی النفقة علی أولاده الصغار المحتاجین 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ذکوراً کانوا أو إناثاً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کانوا کباراً محتاجین أجبر علی نفقة الإناث منهم و لم یجبر علی نفقة الذکور إلاّ أن یکونوا زمنی</w:t>
      </w:r>
      <w:r>
        <w:rPr>
          <w:rFonts w:eastAsia="IRNazanin" w:cs="IRNazanin"/>
          <w:color w:val="111111"/>
          <w:sz w:val="28"/>
          <w:szCs w:val="28"/>
          <w:rtl w:val="true"/>
          <w:lang w:bidi="fa-IR"/>
        </w:rPr>
        <w:t>»</w:t>
      </w:r>
      <w:r>
        <w:rPr>
          <w:rStyle w:val="FootnoteAnchor"/>
          <w:rtl w:val="true"/>
        </w:rPr>
        <w:footnoteReference w:id="18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هکذا 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مغنی ابن قدامة و شرح الزرکشی</w:t>
      </w:r>
      <w:r>
        <w:rPr>
          <w:rStyle w:val="FootnoteAnchor"/>
          <w:rtl w:val="true"/>
        </w:rPr>
        <w:footnoteReference w:id="18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9" w:name="__RefHeading___Toc9424462_73709187"/>
      <w:bookmarkStart w:id="910" w:name="_Toc345"/>
      <w:bookmarkEnd w:id="909"/>
      <w:r>
        <w:rPr>
          <w:rtl w:val="true"/>
        </w:rPr>
        <w:t>ما الفرق بین نفقة الأولاد و نفقة الزوجة؟</w:t>
      </w:r>
      <w:bookmarkEnd w:id="910"/>
    </w:p>
    <w:p>
      <w:pPr>
        <w:pStyle w:val="BookText"/>
        <w:rPr/>
      </w:pPr>
      <w:r>
        <w:rPr>
          <w:rFonts w:ascii="IRNazanin" w:hAnsi="IRNazanin" w:eastAsia="IRNazanin"/>
          <w:color w:val="111111"/>
          <w:sz w:val="28"/>
          <w:sz w:val="28"/>
          <w:szCs w:val="28"/>
          <w:rtl w:val="true"/>
          <w:lang w:bidi="fa-IR"/>
        </w:rPr>
        <w:t>ممّا ذکرنا من کلمات الفقهاء فی نفقة الزوجة و الأولاد و الأقارب و غیرها یظهر أنّ بینهما تفاوتاً من جهات نذکر الأهمّ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نفقة الزوجة مقدّمة علی الأقارب الواجبی النفقة؛ لکونها من المعاوضة</w:t>
      </w:r>
      <w:r>
        <w:rPr>
          <w:rStyle w:val="FootnoteAnchor"/>
          <w:rtl w:val="true"/>
        </w:rPr>
        <w:footnoteReference w:id="1896"/>
      </w:r>
    </w:p>
    <w:p>
      <w:pPr>
        <w:pStyle w:val="BookText"/>
        <w:rPr/>
      </w:pPr>
      <w:r>
        <w:rPr>
          <w:rFonts w:ascii="IRNazanin" w:hAnsi="IRNazanin" w:eastAsia="IRNazanin"/>
          <w:color w:val="111111"/>
          <w:sz w:val="28"/>
          <w:sz w:val="28"/>
          <w:szCs w:val="28"/>
          <w:rtl w:val="true"/>
          <w:lang w:bidi="fa-IR"/>
        </w:rPr>
        <w:t>بخلاف نفقة الأقارب التی هی من المواساة</w:t>
      </w:r>
      <w:r>
        <w:rPr>
          <w:rStyle w:val="FootnoteAnchor"/>
          <w:rtl w:val="true"/>
        </w:rPr>
        <w:footnoteReference w:id="18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نفقة الزوجة مع غناها و فقرها مع غنی الزوج و فقره، بخلاف نفقة الأقارب فإنها تشترط فی وجوب الإنفاق الفقر فی المنفق علیه</w:t>
      </w:r>
      <w:r>
        <w:rPr>
          <w:rStyle w:val="FootnoteAnchor"/>
          <w:rtl w:val="true"/>
        </w:rPr>
        <w:footnoteReference w:id="1898"/>
      </w:r>
      <w:r>
        <w:rPr>
          <w:rFonts w:ascii="IRNazanin" w:hAnsi="IRNazanin" w:eastAsia="IRNazanin"/>
          <w:color w:val="111111"/>
          <w:sz w:val="28"/>
          <w:sz w:val="28"/>
          <w:szCs w:val="28"/>
          <w:rtl w:val="true"/>
          <w:lang w:bidi="fa-IR"/>
        </w:rPr>
        <w:t>کما ذکرنا فی شرائط الإنفاق علی الأقارب مفصّلاً فراجع</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نفقة الزوجة تجب و لو بأن تکون دَیْناً علی الزوجة؛ و لذا تقضی، بخلاف نفقة الأقارب التی هی من المواساة، و لذا لا تقضی و لا تکون دیناً</w:t>
      </w:r>
    </w:p>
    <w:p>
      <w:pPr>
        <w:pStyle w:val="BookText"/>
        <w:rPr/>
      </w:pPr>
      <w:r>
        <w:rPr>
          <w:rFonts w:ascii="IRNazanin" w:hAnsi="IRNazanin" w:eastAsia="IRNazanin"/>
          <w:color w:val="111111"/>
          <w:sz w:val="28"/>
          <w:sz w:val="28"/>
          <w:szCs w:val="28"/>
          <w:rtl w:val="true"/>
          <w:lang w:bidi="fa-IR"/>
        </w:rPr>
        <w:t>مع الإعسار</w:t>
      </w:r>
      <w:r>
        <w:rPr>
          <w:rStyle w:val="FootnoteAnchor"/>
          <w:rtl w:val="true"/>
        </w:rPr>
        <w:footnoteReference w:id="18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الزوج التکسّب لنفقة زوجته اتّفاقاً؛ لأنّها من المعاوضة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وجوب التکسّب لنفقة الأولاد و الأقارب فإیراد، و لیست المسألة اتفاقیّاً و قد تقدم البحث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بین الفقهاء أنّ الزوجة تملک النفقة إذا قبضتها</w:t>
      </w:r>
      <w:r>
        <w:rPr>
          <w:rStyle w:val="FootnoteAnchor"/>
          <w:rtl w:val="true"/>
        </w:rPr>
        <w:footnoteReference w:id="1900"/>
      </w:r>
      <w:r>
        <w:rPr>
          <w:rFonts w:ascii="IRNazanin" w:hAnsi="IRNazanin" w:eastAsia="IRNazanin"/>
          <w:color w:val="111111"/>
          <w:sz w:val="28"/>
          <w:sz w:val="28"/>
          <w:szCs w:val="28"/>
          <w:rtl w:val="true"/>
          <w:lang w:bidi="fa-IR"/>
        </w:rPr>
        <w:t>و تخیّرت بین التصرّف فیها بما شاءت، فلو أنفقت علی نفسها من غیرها کانت ملکاً لها؛ لما قد ورد فی الصحیح عن أبی عبد اللّه علیه السلام، أنّه قال فی جواب السؤال عن حقّ المرأة علی</w:t>
      </w:r>
    </w:p>
    <w:p>
      <w:pPr>
        <w:pStyle w:val="BookText"/>
        <w:rPr/>
      </w:pPr>
      <w:r>
        <w:rPr>
          <w:rFonts w:ascii="IRNazanin" w:hAnsi="IRNazanin" w:eastAsia="IRNazanin"/>
          <w:color w:val="111111"/>
          <w:sz w:val="28"/>
          <w:sz w:val="28"/>
          <w:szCs w:val="28"/>
          <w:rtl w:val="true"/>
          <w:lang w:bidi="fa-IR"/>
        </w:rPr>
        <w:t>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شاء أکله، و إن شاء وهبه، و إن شاء تصدّق به</w:t>
      </w:r>
      <w:r>
        <w:rPr>
          <w:rFonts w:eastAsia="IRNazanin" w:cs="IRNazanin"/>
          <w:color w:val="111111"/>
          <w:sz w:val="28"/>
          <w:szCs w:val="28"/>
          <w:rtl w:val="true"/>
          <w:lang w:bidi="fa-IR"/>
        </w:rPr>
        <w:t>»</w:t>
      </w:r>
      <w:r>
        <w:rPr>
          <w:rStyle w:val="FootnoteAnchor"/>
          <w:rtl w:val="true"/>
        </w:rPr>
        <w:footnoteReference w:id="19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الأقارب و الأولاد، فهل یملکون</w:t>
      </w:r>
      <w:r>
        <w:rPr>
          <w:rStyle w:val="FootnoteAnchor"/>
          <w:rtl w:val="true"/>
        </w:rPr>
        <w:footnoteReference w:id="1902"/>
      </w:r>
      <w:r>
        <w:rPr>
          <w:rFonts w:ascii="IRNazanin" w:hAnsi="IRNazanin" w:eastAsia="IRNazanin"/>
          <w:color w:val="111111"/>
          <w:sz w:val="28"/>
          <w:sz w:val="28"/>
          <w:szCs w:val="28"/>
          <w:rtl w:val="true"/>
          <w:lang w:bidi="fa-IR"/>
        </w:rPr>
        <w:t>النفقة بعد القبض أو لا؟ الظاهر أنّهم لا یملکون کما صرّح به بعضهم</w:t>
      </w:r>
      <w:r>
        <w:rPr>
          <w:rStyle w:val="FootnoteAnchor"/>
          <w:rtl w:val="true"/>
        </w:rPr>
        <w:footnoteReference w:id="1903"/>
      </w:r>
      <w:r>
        <w:rPr>
          <w:rFonts w:ascii="IRNazanin" w:hAnsi="IRNazanin" w:eastAsia="IRNazanin"/>
          <w:color w:val="111111"/>
          <w:sz w:val="28"/>
          <w:sz w:val="28"/>
          <w:szCs w:val="28"/>
          <w:rtl w:val="true"/>
          <w:lang w:bidi="fa-IR"/>
        </w:rPr>
        <w:t>؛ لأنّ ما هو الواجب فی موردهم النفقة لسدّ الجوع و الخلّة، و هی لا تقتضی الملکیّة، فلو قبضها واحد منها و لم یصرفها و أنفق علی نفسه من غیرها کان ملکاً للمنفق و له إرجاعها، إلاّ فی الصورة التی وهبها المنفق فهی خارج عن الکلام</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الدیة فی القتل الخطأ موجودة و یصدق القتل أیضاً مع عدم وجود الحرمة التکلیفیّة، فلا ملازمة بین صدق القتل و بینها، فتدبّر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ج ف</w:t>
      </w:r>
      <w:bookmarkStart w:id="911" w:name="pg11752_146453"/>
    </w:p>
    <w:p>
      <w:pPr>
        <w:pStyle w:val="Heading3"/>
        <w:numPr>
          <w:ilvl w:val="2"/>
          <w:numId w:val="1"/>
        </w:numPr>
        <w:rPr/>
      </w:pPr>
      <w:bookmarkStart w:id="912" w:name="__RefHeading___Toc9424464_73709187"/>
      <w:bookmarkStart w:id="913" w:name="_Toc346"/>
      <w:bookmarkEnd w:id="911"/>
      <w:bookmarkEnd w:id="912"/>
      <w:r>
        <w:rPr>
          <w:rtl w:val="true"/>
        </w:rPr>
        <w:t>الفصل الثانی فی نفقة الأیتام و أطفال الفقراء و المساکین</w:t>
      </w:r>
      <w:bookmarkEnd w:id="913"/>
    </w:p>
    <w:p>
      <w:pPr>
        <w:pStyle w:val="Heading4"/>
        <w:numPr>
          <w:ilvl w:val="3"/>
          <w:numId w:val="1"/>
        </w:numPr>
        <w:rPr/>
      </w:pPr>
      <w:bookmarkStart w:id="914" w:name="__RefHeading___Toc9424466_73709187"/>
      <w:bookmarkStart w:id="915" w:name="_Toc347"/>
      <w:bookmarkEnd w:id="914"/>
      <w:r>
        <w:rPr>
          <w:rtl w:val="true"/>
        </w:rPr>
        <w:t>تمهیدٌ</w:t>
      </w:r>
      <w:bookmarkEnd w:id="915"/>
    </w:p>
    <w:p>
      <w:pPr>
        <w:pStyle w:val="BookText"/>
        <w:rPr/>
      </w:pPr>
      <w:r>
        <w:rPr>
          <w:rFonts w:ascii="IRNazanin" w:hAnsi="IRNazanin" w:eastAsia="IRNazanin"/>
          <w:color w:val="111111"/>
          <w:sz w:val="28"/>
          <w:sz w:val="28"/>
          <w:szCs w:val="28"/>
          <w:rtl w:val="true"/>
          <w:lang w:bidi="fa-IR"/>
        </w:rPr>
        <w:t>الیتیم من الناس مَن فقد أباه و لم یبلغ مبلغ الرجال</w:t>
      </w:r>
      <w:r>
        <w:rPr>
          <w:rStyle w:val="FootnoteAnchor"/>
          <w:rtl w:val="true"/>
        </w:rPr>
        <w:footnoteReference w:id="19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اللّطیم من مات أبواه</w:t>
      </w:r>
      <w:r>
        <w:rPr>
          <w:rStyle w:val="FootnoteAnchor"/>
          <w:rtl w:val="true"/>
        </w:rPr>
        <w:footnoteReference w:id="19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المحتاج</w:t>
      </w:r>
      <w:r>
        <w:rPr>
          <w:rStyle w:val="FootnoteAnchor"/>
          <w:rtl w:val="true"/>
        </w:rPr>
        <w:footnoteReference w:id="1906"/>
      </w:r>
      <w:r>
        <w:rPr>
          <w:rFonts w:ascii="IRNazanin" w:hAnsi="IRNazanin" w:eastAsia="IRNazanin"/>
          <w:color w:val="111111"/>
          <w:sz w:val="28"/>
          <w:sz w:val="28"/>
          <w:szCs w:val="28"/>
          <w:rtl w:val="true"/>
          <w:lang w:bidi="fa-IR"/>
        </w:rPr>
        <w:t>و المسکین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شیء له یکفی عیاله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الذلیل المقهور هذا فی اللغة</w:t>
      </w:r>
      <w:r>
        <w:rPr>
          <w:rStyle w:val="FootnoteAnchor"/>
          <w:rtl w:val="true"/>
        </w:rPr>
        <w:footnoteReference w:id="1907"/>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اصطلاح الفقهاء فالمشهور بین المتأخّرین منهم بل مطلقاً أنّ الفقیر شرعاً من یقصر ماله عن مئونة سنة له و لعیاله، و المراد بماله أعمّ من المال المملوک له بالفعل أو بالقوّة، فصاحب الحرفة و الصنعة اللائقة بحاله الوافیة بمئونته غنیّ لیس بفقیر، کما أنّ المراد بالمال الوافی بمئونته هو المال الذی من شأنه التصرّف فی</w:t>
      </w:r>
    </w:p>
    <w:p>
      <w:pPr>
        <w:pStyle w:val="BookText"/>
        <w:rPr/>
      </w:pPr>
      <w:r>
        <w:rPr>
          <w:rFonts w:ascii="IRNazanin" w:hAnsi="IRNazanin" w:eastAsia="IRNazanin"/>
          <w:color w:val="111111"/>
          <w:sz w:val="28"/>
          <w:sz w:val="28"/>
          <w:szCs w:val="28"/>
          <w:rtl w:val="true"/>
          <w:lang w:bidi="fa-IR"/>
        </w:rPr>
        <w:t>نفقته، لا مثل أثاث بیته أو رأس مال تجارته المحتاج إلیه فی تکسّبه، أو البستان و الضیعة التی یتعیّش بنمائها، و أیضاً المشهور بینهم فتوی و نصّاً أنّ المسکین أسوأ حالاً من الفقیر، أی فی الاحتیاج إلی المال الذی یصرفه فی نفقته، قد یشتدّ إلی أن یوقعه فی مذلّة السؤال و شبهه،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المسکین من المسکنة بمعنی المذلّة، و یطلق فی العرف علی الذلیل أصابه الذُّلّ من فقره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ما ذکرنا الروایات الواردة عن أئمّة أهل البیت علیهم السلام، و کلمات المشهور من الفقهاء</w:t>
      </w:r>
      <w:r>
        <w:rPr>
          <w:rStyle w:val="FootnoteAnchor"/>
          <w:rtl w:val="true"/>
        </w:rPr>
        <w:footnoteReference w:id="19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جاء فی صحیحة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الصَّدَقاتُ لِلْفُقَراءِ وَ الْمَساکِینِ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 یسأل الناس، و المسکین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أجهد منه، و البائس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أَجهدهم</w:t>
      </w:r>
      <w:r>
        <w:rPr>
          <w:rFonts w:eastAsia="Amiri" w:cs="Amiri" w:ascii="Amiri" w:hAnsi="Amiri"/>
          <w:color w:val="111111"/>
          <w:sz w:val="28"/>
          <w:szCs w:val="28"/>
          <w:rtl w:val="true"/>
          <w:lang w:bidi="ar-SA"/>
        </w:rPr>
        <w:t>»</w:t>
      </w:r>
      <w:r>
        <w:rPr>
          <w:rStyle w:val="FootnoteAnchor"/>
          <w:rtl w:val="true"/>
        </w:rPr>
        <w:footnoteReference w:id="19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ممّا قلنا فی وجوب النفقة علی الآباء و الأجداد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وُجد أطفال و کان آباؤهم و أمّهاتهم و أجدادهم و جدّاتهم فقراء أو مساکین و لم یقدروا علی کفایة أولادهم، و لم یتمکّنوا من تحصیل ما به معاشهم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الیتیم إذا کان فقیراً أو مسکیناً، و لم یکن له مال یتعیّش به و فقد جدّه و جدّته، أو کانوا من الفقراء، ففی هذه الحالة التی یکون فیها هؤلاء الأطفال ضعفاء محتاجین فقراء، من</w:t>
      </w:r>
    </w:p>
    <w:p>
      <w:pPr>
        <w:pStyle w:val="BookText"/>
        <w:rPr/>
      </w:pPr>
      <w:r>
        <w:rPr>
          <w:rFonts w:ascii="IRNazanin" w:hAnsi="IRNazanin" w:eastAsia="IRNazanin"/>
          <w:color w:val="111111"/>
          <w:sz w:val="28"/>
          <w:sz w:val="28"/>
          <w:szCs w:val="28"/>
          <w:rtl w:val="true"/>
          <w:lang w:bidi="fa-IR"/>
        </w:rPr>
        <w:t>أین تجب نفقتهم؟ و علی مَن تجب کفایتهم و تأمین معیشتهم حتّی یبلغوا و یقدروا علی التکسّب و تنتهی حاجتهم إلی غیرهم؟</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الإسلام الذی هو دین المعاش و المعاد، و هو قادر علی سدّ حاجات الإنسان فی الحالات المختلفة فلم یترک الأیتام و صبیان الفقراء و المساکین سدیً بلا نفقة، بل کلّف بعض الناس و أوجب علیهم نفقة هؤلاء، و هکذا یمکن کفایتهم بإعطائهم من بیت المال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فنذکر ما هو الأهمّ من موارد تأمین معیشتهم علی الترتیب التالی فی ضمن مباحث</w:t>
      </w:r>
      <w:r>
        <w:rPr>
          <w:rFonts w:eastAsia="IRNazanin" w:cs="IRNazanin"/>
          <w:color w:val="111111"/>
          <w:sz w:val="28"/>
          <w:szCs w:val="28"/>
          <w:rtl w:val="true"/>
          <w:lang w:bidi="fa-IR"/>
        </w:rPr>
        <w:t>:</w:t>
      </w:r>
      <w:bookmarkStart w:id="916" w:name="pg11752_146456"/>
    </w:p>
    <w:p>
      <w:pPr>
        <w:pStyle w:val="Heading4"/>
        <w:numPr>
          <w:ilvl w:val="3"/>
          <w:numId w:val="1"/>
        </w:numPr>
        <w:rPr/>
      </w:pPr>
      <w:bookmarkStart w:id="917" w:name="__RefHeading___Toc9424468_73709187"/>
      <w:bookmarkStart w:id="918" w:name="_Toc348"/>
      <w:bookmarkEnd w:id="916"/>
      <w:bookmarkEnd w:id="917"/>
      <w:r>
        <w:rPr>
          <w:rtl w:val="true"/>
        </w:rPr>
        <w:t>المبحث الأوّل</w:t>
      </w:r>
      <w:r>
        <w:rPr>
          <w:rtl w:val="true"/>
        </w:rPr>
        <w:t xml:space="preserve">: </w:t>
      </w:r>
      <w:r>
        <w:rPr>
          <w:rtl w:val="true"/>
        </w:rPr>
        <w:t>تحصیل نفقة الأیتام من الزکاة</w:t>
      </w:r>
      <w:bookmarkEnd w:id="918"/>
    </w:p>
    <w:p>
      <w:pPr>
        <w:pStyle w:val="Heading5"/>
        <w:numPr>
          <w:ilvl w:val="4"/>
          <w:numId w:val="1"/>
        </w:numPr>
        <w:rPr/>
      </w:pPr>
      <w:bookmarkStart w:id="919" w:name="__RefHeading___Toc9424470_73709187"/>
      <w:bookmarkStart w:id="920" w:name="_Toc349"/>
      <w:bookmarkEnd w:id="919"/>
      <w:r>
        <w:rPr>
          <w:rtl w:val="true"/>
        </w:rPr>
        <w:t>اشارة</w:t>
      </w:r>
      <w:bookmarkEnd w:id="920"/>
    </w:p>
    <w:p>
      <w:pPr>
        <w:pStyle w:val="BookText"/>
        <w:rPr/>
      </w:pPr>
      <w:r>
        <w:rPr>
          <w:rFonts w:ascii="Amiri" w:hAnsi="Amiri" w:eastAsia="Amiri" w:cs="Amiri"/>
          <w:color w:val="111111"/>
          <w:sz w:val="28"/>
          <w:sz w:val="28"/>
          <w:szCs w:val="28"/>
          <w:rtl w:val="true"/>
          <w:lang w:bidi="ar-SA"/>
        </w:rPr>
        <w:t>إنّ اللّه عزّ و جلّ وضع زکاة الأموال قوتاً للفقراءِ</w:t>
      </w:r>
      <w:r>
        <w:rPr>
          <w:rStyle w:val="FootnoteAnchor"/>
          <w:rtl w:val="true"/>
        </w:rPr>
        <w:footnoteReference w:id="1910"/>
      </w:r>
      <w:r>
        <w:rPr>
          <w:rFonts w:ascii="IRNazanin" w:hAnsi="IRNazanin" w:eastAsia="IRNazanin"/>
          <w:color w:val="111111"/>
          <w:sz w:val="28"/>
          <w:sz w:val="28"/>
          <w:szCs w:val="28"/>
          <w:rtl w:val="true"/>
          <w:lang w:bidi="fa-IR"/>
        </w:rPr>
        <w:t>لأنّه تعالی أشرک بین الأغنیاء و الفقراء فی الأموال، فلیس لهم أن یصرفوها إلی غیر شرکائهم</w:t>
      </w:r>
      <w:r>
        <w:rPr>
          <w:rStyle w:val="FootnoteAnchor"/>
          <w:rtl w:val="true"/>
        </w:rPr>
        <w:footnoteReference w:id="19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کفانا فی ذلک دلیلاً ما کتبه الرضا علیّ بن موسی علیهما السلام إلی محمد بن سنان فیما کتب إلیه من جواب مسائله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علّة الزکاة من أجل قوت الفقراء و تحصین أموال الأغنیاء؛ لأنّ اللّه عزّ و جلّ کلّف أهل الصحّة القیام بشأن أهل الزمانة و البلوی، کما قال اللّه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لَتُبْلَوُنَّ فِی أَمْوالِکُمْ وَ أَنْفُسِکُمْ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فی أموالکم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إخراج الزکاة، و فی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توطین الأنفس علی 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العطف علی أهل المسکنة و الحثّ لهم علی المواساة، و تقویة الفقراء و المعونة لهم</w:t>
      </w:r>
      <w:r>
        <w:rPr>
          <w:rStyle w:val="FootnoteAnchor"/>
          <w:rtl w:val="true"/>
        </w:rPr>
        <w:footnoteReference w:id="1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علی هذا، فالفقراء و المساکین و الأیتام من أصناف المستحقّین للزکاة، الذین یجب علی صاحبی الأموال الزکویة کفایتهم؛ لأنّ أصناف المستحقّین بإجماع العلماء ثمانیة، و هم الذین ذکرهم اللّه تعالی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الصَّدَقاتُ لِلْفُقَراءِ وَ الْمَساکِینِ وَ الْعامِلِینَ عَلَیْها وَ الْمُؤَلَّفَةِ قُلُوبُهُمْ وَ فِی الرِّقابِ وَ الْغارِمِینَ وَ فِی سَبِیلِ اللّهِ وَ ابْنِ السَّبِیلِ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لیست الصدقات التی هی زکاة الأموال إلاّ لهؤلاء</w:t>
      </w:r>
      <w:r>
        <w:rPr>
          <w:rStyle w:val="FootnoteAnchor"/>
          <w:rtl w:val="true"/>
        </w:rPr>
        <w:footnoteReference w:id="1913"/>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المفسّرین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اتّفق العلماء علی أنّ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یشمل الزکاة الواجبة، و اختلفوا فی الصدقة المندوبة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بدخولها فی لفظ الآیة الکریمة یری أنّ اللفظ عام یتناول کلّ صدقة، سواء الواجبة و المندوبة، بل إنّ المتبادر من لفظ الصدقة هو المندوبة، فإذا أدخلنا فیه الزکاة الواجبة، فلا أقلّ من أن تدخل فیه أیضاً الصدقة المندوبة، و تکون الفائدة بیان أنّ مصارف جمیع الصدقات لیس إلاّ هؤلاء الأصناف الثمانیة</w:t>
      </w:r>
      <w:r>
        <w:rPr>
          <w:rFonts w:eastAsia="IRNazanin" w:cs="IRNazanin"/>
          <w:color w:val="111111"/>
          <w:sz w:val="28"/>
          <w:szCs w:val="28"/>
          <w:rtl w:val="true"/>
          <w:lang w:bidi="fa-IR"/>
        </w:rPr>
        <w:t>»</w:t>
      </w:r>
      <w:r>
        <w:rPr>
          <w:rStyle w:val="FootnoteAnchor"/>
          <w:rtl w:val="true"/>
        </w:rPr>
        <w:footnoteReference w:id="19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الآیة الکریمة تدلّ علی جواز تناول الفقراء و المساکین و أولادهم الزکاة الواجبة لتحصیل مئونتهم و نفقاتهم من هذا الطریق، مضافاً إلی أنّ الروایات الواردة عن المعصومین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بالصراحة علی جواز تناول الزکاة لمن لا یملک فعلاً أو قوّةً مئونة سنته، مثل صحیحة علیّ بن إسماعیل الدغشی المرویّة فی العلل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السائل و عنده قوت یوم أ یحلّ له أن یسأل؟ و إن اعطی شیئاً من قبل أن یسأل یحلّ له أن یقبله؟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یأخذ و عنده قوت شهر ما یکفیه لسنته من الزکاة؛ لأنّها إنّما هی من سنة إلی سنة</w:t>
      </w:r>
      <w:r>
        <w:rPr>
          <w:rFonts w:eastAsia="IRNazanin" w:cs="IRNazanin"/>
          <w:color w:val="111111"/>
          <w:sz w:val="28"/>
          <w:szCs w:val="28"/>
          <w:rtl w:val="true"/>
          <w:lang w:bidi="fa-IR"/>
        </w:rPr>
        <w:t>»</w:t>
      </w:r>
      <w:r>
        <w:rPr>
          <w:rStyle w:val="FootnoteAnchor"/>
          <w:rtl w:val="true"/>
        </w:rPr>
        <w:footnoteReference w:id="1915"/>
      </w:r>
    </w:p>
    <w:p>
      <w:pPr>
        <w:pStyle w:val="BookText"/>
        <w:rPr/>
      </w:pPr>
      <w:r>
        <w:rPr>
          <w:rFonts w:ascii="IRNazanin" w:hAnsi="IRNazanin" w:eastAsia="IRNazanin"/>
          <w:color w:val="111111"/>
          <w:sz w:val="28"/>
          <w:sz w:val="28"/>
          <w:szCs w:val="28"/>
          <w:rtl w:val="true"/>
          <w:lang w:bidi="fa-IR"/>
        </w:rPr>
        <w:t>و غیرها</w:t>
      </w:r>
      <w:r>
        <w:rPr>
          <w:rStyle w:val="FootnoteAnchor"/>
          <w:rtl w:val="true"/>
        </w:rPr>
        <w:footnoteReference w:id="1916"/>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الصحیحة دلّ علی أنّ العلّة فی جواز أخذ مقدار کفایة السنة أنّه لو منع</w:t>
      </w:r>
      <w:bookmarkStart w:id="921" w:name="pg11752_146458"/>
    </w:p>
    <w:p>
      <w:pPr>
        <w:pStyle w:val="BookText"/>
        <w:rPr/>
      </w:pPr>
      <w:bookmarkEnd w:id="921"/>
      <w:r>
        <w:rPr>
          <w:rFonts w:ascii="IRNazanin" w:hAnsi="IRNazanin" w:eastAsia="IRNazanin"/>
          <w:color w:val="111111"/>
          <w:sz w:val="28"/>
          <w:sz w:val="28"/>
          <w:szCs w:val="28"/>
          <w:rtl w:val="true"/>
          <w:lang w:bidi="fa-IR"/>
        </w:rPr>
        <w:t>من ذلک لبقی محتاجاً فی بعض السنة، و مقتضاها جواز الأخذ لمن یقصر ماله عن مئونة السنة مطلقاً و لو بمقدار شهر فما دون، کما أنّ المستفاد من مفهومها أنّه لا یجوز تناولها لمن ملک مئونة سنته و إن لم یملک أزید من ذلک؛ لأنّه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هی سنة إلی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فمفهومها أنّه إذا وجد ما یکفیهم بمقدار السنة فلا یجوز أخذها، و یؤید هذا المعنی ما جاء فی روایة یونس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الصادق علیه السلام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تحرم الزکاة علی من عنده قوت السنة، و تجب الفطرة علی من عنده قوت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19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لا یخفی أنّ الفقهاء رضوان اللّه تعالی علیهم اشترطوا للمستحقّین للزکاة و منهم الفقراء و المساکین و أولادهم أوصافاً، مثل الإیمان بمعنی الإسلام مع الولایة للأئمّة الاثنی عشر علیهم السلام، و أن لا یکون هاشمیّاً، و العدالة علی قول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فی کیفیّة الإخراج، مثل نیّة القربة و غیرها، لا نذکرها هنا خوفاً من الإطالة فمن أرادها فلیطلبها من مظانّها</w:t>
      </w:r>
      <w:r>
        <w:rPr>
          <w:rFonts w:eastAsia="IRNazanin" w:cs="IRNazanin"/>
          <w:color w:val="111111"/>
          <w:sz w:val="28"/>
          <w:szCs w:val="28"/>
          <w:rtl w:val="true"/>
          <w:lang w:bidi="fa-IR"/>
        </w:rPr>
        <w:t>.</w:t>
      </w:r>
    </w:p>
    <w:p>
      <w:pPr>
        <w:pStyle w:val="Heading5"/>
        <w:numPr>
          <w:ilvl w:val="4"/>
          <w:numId w:val="1"/>
        </w:numPr>
        <w:rPr/>
      </w:pPr>
      <w:bookmarkStart w:id="922" w:name="__RefHeading___Toc9424472_73709187"/>
      <w:bookmarkStart w:id="923" w:name="_Toc350"/>
      <w:bookmarkEnd w:id="922"/>
      <w:r>
        <w:rPr>
          <w:rtl w:val="true"/>
        </w:rPr>
        <w:t>زکاة الفطرة قوت للفقراء</w:t>
      </w:r>
      <w:bookmarkEnd w:id="923"/>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هکذا زکاة الفطرة جعلت قوتاً للفقراء و تقویتاً لمعاشهم؛ لأنّ المعروف المشهور بین الفقهاء رضوان اللّه تعالی علیهم أنّ مصرف زکاة الفطرة مصرف زکاة المال</w:t>
      </w:r>
      <w:r>
        <w:rPr>
          <w:rStyle w:val="FootnoteAnchor"/>
          <w:rtl w:val="true"/>
        </w:rPr>
        <w:footnoteReference w:id="19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المدارک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الحکم مقطوع به فی کلام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 فی المنتهی</w:t>
      </w:r>
      <w:r>
        <w:rPr>
          <w:rStyle w:val="FootnoteAnchor"/>
          <w:rtl w:val="true"/>
        </w:rPr>
        <w:footnoteReference w:id="1919"/>
      </w:r>
      <w:r>
        <w:rPr>
          <w:rFonts w:ascii="IRNazanin" w:hAnsi="IRNazanin" w:eastAsia="IRNazanin"/>
          <w:color w:val="111111"/>
          <w:sz w:val="28"/>
          <w:sz w:val="28"/>
          <w:szCs w:val="28"/>
          <w:rtl w:val="true"/>
          <w:lang w:bidi="fa-IR"/>
        </w:rPr>
        <w:t>بأنّها زکاة، فتصرف إلی مَن تصرف إلیه الزکوات، و بأنّها صدقةٌ فتدخل</w:t>
      </w:r>
    </w:p>
    <w:p>
      <w:pPr>
        <w:pStyle w:val="BookText"/>
        <w:rPr/>
      </w:pPr>
      <w:r>
        <w:rPr>
          <w:rFonts w:ascii="Amiri" w:hAnsi="Amiri" w:eastAsia="Amiri" w:cs="Amiri"/>
          <w:color w:val="111111"/>
          <w:sz w:val="28"/>
          <w:sz w:val="28"/>
          <w:szCs w:val="28"/>
          <w:rtl w:val="true"/>
          <w:lang w:bidi="ar-SA"/>
        </w:rPr>
        <w:t>تحت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الصَّدَقاتُ لِلْفُقَراءِ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ربما ظهر من کلام المفید فی المقنعة</w:t>
      </w:r>
      <w:r>
        <w:rPr>
          <w:rStyle w:val="FootnoteAnchor"/>
          <w:rtl w:val="true"/>
        </w:rPr>
        <w:footnoteReference w:id="1920"/>
      </w:r>
    </w:p>
    <w:p>
      <w:pPr>
        <w:pStyle w:val="BookText"/>
        <w:rPr/>
      </w:pPr>
      <w:r>
        <w:rPr>
          <w:rFonts w:ascii="IRNazanin" w:hAnsi="IRNazanin" w:eastAsia="IRNazanin"/>
          <w:color w:val="111111"/>
          <w:sz w:val="28"/>
          <w:sz w:val="28"/>
          <w:szCs w:val="28"/>
          <w:rtl w:val="true"/>
          <w:lang w:bidi="fa-IR"/>
        </w:rPr>
        <w:t>اختصاص الفطرة بالمساکین</w:t>
      </w:r>
      <w:r>
        <w:rPr>
          <w:rFonts w:eastAsia="IRNazanin" w:cs="IRNazanin"/>
          <w:color w:val="111111"/>
          <w:sz w:val="28"/>
          <w:szCs w:val="28"/>
          <w:rtl w:val="true"/>
          <w:lang w:bidi="fa-IR"/>
        </w:rPr>
        <w:t>»</w:t>
      </w:r>
      <w:r>
        <w:rPr>
          <w:rStyle w:val="FootnoteAnchor"/>
          <w:rtl w:val="true"/>
        </w:rPr>
        <w:footnoteReference w:id="19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یبعد صحّته بمقتضی النصوص الخاصّة التی سنذکرها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فإنّ أحد المصارف بل أفضلها أن تصرف زکاة الفطرة فی نفقة الفقراء و المساکین و أولادهم، و یدلّ علیه صحیحة الحلبی،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صدقة الفطرة علی کلّ رأس من أهلک الصغیر و الکبیر و الحرّ و المملوک و الغنیّ و الفقیر، عن کلّ إنسان نصف صاع من حنطة أو شعیر، أو صاع من تمر، أو زبیب لفقراء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19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الفضیل،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تحلّ الفطرة؟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لمن لا یجد</w:t>
      </w:r>
      <w:r>
        <w:rPr>
          <w:rFonts w:eastAsia="IRNazanin" w:cs="IRNazanin"/>
          <w:color w:val="111111"/>
          <w:sz w:val="28"/>
          <w:szCs w:val="28"/>
          <w:rtl w:val="true"/>
          <w:lang w:bidi="fa-IR"/>
        </w:rPr>
        <w:t>»</w:t>
      </w:r>
      <w:r>
        <w:rPr>
          <w:rStyle w:val="FootnoteAnchor"/>
          <w:rtl w:val="true"/>
        </w:rPr>
        <w:footnoteReference w:id="1923"/>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روایة یونس بن یعقوب،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الفطرة مَن أهلها الذی یجب لهم؟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لا یجد شیئاً</w:t>
      </w:r>
      <w:r>
        <w:rPr>
          <w:rFonts w:eastAsia="IRNazanin" w:cs="IRNazanin"/>
          <w:color w:val="111111"/>
          <w:sz w:val="28"/>
          <w:szCs w:val="28"/>
          <w:rtl w:val="true"/>
          <w:lang w:bidi="fa-IR"/>
        </w:rPr>
        <w:t>»</w:t>
      </w:r>
      <w:r>
        <w:rPr>
          <w:rStyle w:val="FootnoteAnchor"/>
          <w:rtl w:val="true"/>
        </w:rPr>
        <w:footnoteReference w:id="1924"/>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السید الخوانساری فی جامع المدارک و نعم 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یبعد تقیید المطلقات بهذه الأخبار مع التأمّل فی شمول الآیة الشریفة لزکاة الفطرة من جهة ذکر العاملین فیها، حیث إنّ الظاهر أنّهم العاملون لأخذ زکاة الأموال بالخصوص،</w:t>
      </w:r>
      <w:bookmarkStart w:id="924" w:name="pg11752_146460"/>
    </w:p>
    <w:p>
      <w:pPr>
        <w:pStyle w:val="BookText"/>
        <w:rPr/>
      </w:pPr>
      <w:bookmarkEnd w:id="924"/>
      <w:r>
        <w:rPr>
          <w:rFonts w:ascii="IRNazanin" w:hAnsi="IRNazanin" w:eastAsia="IRNazanin"/>
          <w:color w:val="111111"/>
          <w:sz w:val="28"/>
          <w:sz w:val="28"/>
          <w:szCs w:val="28"/>
          <w:rtl w:val="true"/>
          <w:lang w:bidi="fa-IR"/>
        </w:rPr>
        <w:t>فالأحوط إن لم یکن الأقوی الاقتصار علی الفقراء و المساکین</w:t>
      </w:r>
      <w:r>
        <w:rPr>
          <w:rFonts w:eastAsia="IRNazanin" w:cs="IRNazanin"/>
          <w:color w:val="111111"/>
          <w:sz w:val="28"/>
          <w:szCs w:val="28"/>
          <w:rtl w:val="true"/>
          <w:lang w:bidi="fa-IR"/>
        </w:rPr>
        <w:t>»</w:t>
      </w:r>
      <w:r>
        <w:rPr>
          <w:rStyle w:val="FootnoteAnchor"/>
          <w:rtl w:val="true"/>
        </w:rPr>
        <w:footnoteReference w:id="19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5" w:name="__RefHeading___Toc9424474_73709187"/>
      <w:bookmarkStart w:id="926" w:name="_Toc351"/>
      <w:bookmarkEnd w:id="925"/>
      <w:r>
        <w:rPr>
          <w:rtl w:val="true"/>
        </w:rPr>
        <w:t>مصرف الزکاة فی فقه أهل السنّة</w:t>
      </w:r>
      <w:bookmarkEnd w:id="926"/>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وافق جمهور فقهاء أهل السنة</w:t>
      </w:r>
      <w:r>
        <w:rPr>
          <w:rStyle w:val="FootnoteAnchor"/>
          <w:rtl w:val="true"/>
        </w:rPr>
        <w:footnoteReference w:id="1926"/>
      </w:r>
      <w:r>
        <w:rPr>
          <w:rFonts w:ascii="IRNazanin" w:hAnsi="IRNazanin" w:eastAsia="IRNazanin"/>
          <w:color w:val="111111"/>
          <w:sz w:val="28"/>
          <w:sz w:val="28"/>
          <w:szCs w:val="28"/>
          <w:rtl w:val="true"/>
          <w:lang w:bidi="fa-IR"/>
        </w:rPr>
        <w:t>من الشافعیة و الحنفیة و المالکیة و الحنابلة ما ذهب إلیه فقهاؤنا، و لا اختلاف بینهم فی أنّ مصارف الزکاة محصورة فی ثمانیة أصناف قد نصّ علیها القرآن الکریم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الصَّدَقاتُ لِلْفُقَراءِ وَ الْمَساکِینِ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مصرف زکاة الفطرة، و علی هذا یمکن تحصیل نفقة الأیتام و صبیان الفقراء من زکاة الأموال و الأبدان، کما أوضحناه فی فقهنا</w:t>
      </w:r>
      <w:r>
        <w:rPr>
          <w:rFonts w:eastAsia="IRNazanin" w:cs="IRNazanin"/>
          <w:color w:val="111111"/>
          <w:sz w:val="28"/>
          <w:szCs w:val="28"/>
          <w:rtl w:val="true"/>
          <w:lang w:bidi="fa-IR"/>
        </w:rPr>
        <w:t>.</w:t>
      </w:r>
      <w:bookmarkStart w:id="927" w:name="pg11752_146461"/>
    </w:p>
    <w:p>
      <w:pPr>
        <w:pStyle w:val="Heading4"/>
        <w:numPr>
          <w:ilvl w:val="3"/>
          <w:numId w:val="1"/>
        </w:numPr>
        <w:rPr/>
      </w:pPr>
      <w:bookmarkStart w:id="928" w:name="__RefHeading___Toc9424476_73709187"/>
      <w:bookmarkStart w:id="929" w:name="_Toc352"/>
      <w:bookmarkEnd w:id="927"/>
      <w:bookmarkEnd w:id="928"/>
      <w:r>
        <w:rPr>
          <w:rtl w:val="true"/>
        </w:rPr>
        <w:t>المبحث الثانی</w:t>
      </w:r>
      <w:r>
        <w:rPr>
          <w:rtl w:val="true"/>
        </w:rPr>
        <w:t xml:space="preserve">: </w:t>
      </w:r>
      <w:r>
        <w:rPr>
          <w:rtl w:val="true"/>
        </w:rPr>
        <w:t>تحصیل نفقة الأیتام من الکفّارات</w:t>
      </w:r>
      <w:bookmarkEnd w:id="929"/>
    </w:p>
    <w:p>
      <w:pPr>
        <w:pStyle w:val="Heading5"/>
        <w:numPr>
          <w:ilvl w:val="4"/>
          <w:numId w:val="1"/>
        </w:numPr>
        <w:rPr/>
      </w:pPr>
      <w:bookmarkStart w:id="930" w:name="__RefHeading___Toc9424478_73709187"/>
      <w:bookmarkStart w:id="931" w:name="_Toc353"/>
      <w:bookmarkEnd w:id="930"/>
      <w:r>
        <w:rPr>
          <w:rtl w:val="true"/>
        </w:rPr>
        <w:t>اشارة</w:t>
      </w:r>
      <w:bookmarkEnd w:id="931"/>
    </w:p>
    <w:p>
      <w:pPr>
        <w:pStyle w:val="BookText"/>
        <w:rPr/>
      </w:pPr>
      <w:r>
        <w:rPr>
          <w:rFonts w:ascii="IRNazanin" w:hAnsi="IRNazanin" w:eastAsia="IRNazanin"/>
          <w:color w:val="111111"/>
          <w:sz w:val="28"/>
          <w:sz w:val="28"/>
          <w:szCs w:val="28"/>
          <w:rtl w:val="true"/>
          <w:lang w:bidi="fa-IR"/>
        </w:rPr>
        <w:t>یمکن تحصیل نفقة صبیان الفقراء و المساکین و أیتام الفقیر من الکفّارات</w:t>
      </w:r>
      <w:r>
        <w:rPr>
          <w:rStyle w:val="FootnoteAnchor"/>
          <w:rtl w:val="true"/>
        </w:rPr>
        <w:footnoteReference w:id="1927"/>
      </w:r>
      <w:r>
        <w:rPr>
          <w:rFonts w:ascii="IRNazanin" w:hAnsi="IRNazanin" w:eastAsia="IRNazanin"/>
          <w:color w:val="111111"/>
          <w:sz w:val="28"/>
          <w:sz w:val="28"/>
          <w:szCs w:val="28"/>
          <w:rtl w:val="true"/>
          <w:lang w:bidi="fa-IR"/>
        </w:rPr>
        <w:t>؛ لأنّ أحد مصادیق الکفّارات بل أعظم مواردها إطعام المساکین و الفقراء، أعم من أن یکون یتیماً أو غیره، لأنّه فی هذا العصر لا یمکن عتق الرقبة لمن وجبت علیه الکفّارة؛ لعدم وجودها و انتفاء موضوعها، و أمّا صوم شهرین متتابعین فهو أیضاً مشکل و موجب للحرج لبعض المکلّفین بل أکثرهم، فینحصر مورد الکفارات بإطعام المساکین و الفقراء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للکفّارات أنواع مختلفة من المرتّبة</w:t>
      </w:r>
      <w:r>
        <w:rPr>
          <w:rStyle w:val="FootnoteAnchor"/>
          <w:rtl w:val="true"/>
        </w:rPr>
        <w:footnoteReference w:id="1928"/>
      </w:r>
      <w:r>
        <w:rPr>
          <w:rFonts w:ascii="IRNazanin" w:hAnsi="IRNazanin" w:eastAsia="IRNazanin"/>
          <w:color w:val="111111"/>
          <w:sz w:val="28"/>
          <w:sz w:val="28"/>
          <w:szCs w:val="28"/>
          <w:rtl w:val="true"/>
          <w:lang w:bidi="fa-IR"/>
        </w:rPr>
        <w:t>و المخیّرة، و ما یحصل فیه الأمران أی التخییر و الترتیب و کفّارة الجمع، و لها مصادیق کثیرة ذکرت فی المطوّلات، و الکلام عنها خارج عن موضوع بحثنا</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نذکر هنا بعض مصادیقها التی أشیر فی دلیلها إلی مورد مصرفها، و منها إطعام المساکین و الفقراء و أیتام الفقیر، الذین نبحث الآن عن تحصیل نفقتهم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کفّارة الظهار</w:t>
      </w:r>
      <w:r>
        <w:rPr>
          <w:rStyle w:val="FootnoteAnchor"/>
          <w:rtl w:val="true"/>
        </w:rPr>
        <w:footnoteReference w:id="1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الَّذِینَ یُظاهِرُونَ مِنْ نِسائِهِمْ ثُمَّ یَعُودُونَ لِما قالُوا فَتَحْرِیرُ رَقَبَةٍ مِنْ قَبْلِ أَنْ یَتَمَاسّا ذلِکُمْ تُوعَظُونَ بِهِ وَ اللّهُ بِما تَعْمَلُونَ خَبِیرٌ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یَجِدْ فَصِیامُ شَهْرَیْنِ مُتَتابِعَیْنِ مِنْ قَبْلِ أَنْ یَتَمَاسّا فَمَنْ لَمْ یَسْتَطِعْ فَإِطْعامُ سِتِّینَ مِسْکِیناً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کفّارة القتل خطأً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ورد فی الصحیح عن عبد اللّه بن سنان،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قتل خطأً أدّی دیته إلی أولیائه، ثمّ أعتق رقبةً فإن لم یجد فصام شهرین متتابعین، فإن لم یستطع أطعم ستّین مسکیناً مدّاً 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19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کفّارة مَن أفطر یوماً من قضاء شهر رمضان بعد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مورد هذا أیضاً ورد فی الصحیح عن أبی جعفر علیه السلام فی رجل أتی أهله فی یوم یقضیه من شهر رمضان،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أتی أهله قبل الزوال فلا شیء علیه إلاّ یوماً مکان یوم، و إن کان أتی أهله فی یوم بعد الزوال فإنّ علیه أن یتصدّق علی عشرة مساکین، فإن لم یقدر صام یوماً مکان یوم، و صام ثلاثة أیّام کفّارة لما صنع</w:t>
      </w:r>
      <w:r>
        <w:rPr>
          <w:rFonts w:eastAsia="IRNazanin" w:cs="IRNazanin"/>
          <w:color w:val="111111"/>
          <w:sz w:val="28"/>
          <w:szCs w:val="28"/>
          <w:rtl w:val="true"/>
          <w:lang w:bidi="fa-IR"/>
        </w:rPr>
        <w:t>»</w:t>
      </w:r>
      <w:r>
        <w:rPr>
          <w:rStyle w:val="FootnoteAnchor"/>
          <w:rtl w:val="true"/>
        </w:rPr>
        <w:footnoteReference w:id="1931"/>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الثلاثة مرتّبة علی المشهور بین الفقهاء</w:t>
      </w:r>
      <w:r>
        <w:rPr>
          <w:rStyle w:val="FootnoteAnchor"/>
          <w:rtl w:val="true"/>
        </w:rPr>
        <w:footnoteReference w:id="1932"/>
      </w:r>
      <w:r>
        <w:rPr>
          <w:rFonts w:ascii="IRNazanin" w:hAnsi="IRNazanin" w:eastAsia="IRNazanin"/>
          <w:color w:val="111111"/>
          <w:sz w:val="28"/>
          <w:sz w:val="28"/>
          <w:szCs w:val="28"/>
          <w:rtl w:val="true"/>
          <w:lang w:bidi="fa-IR"/>
        </w:rPr>
        <w:t>موضوعها بعد العجز عن عتق</w:t>
      </w:r>
    </w:p>
    <w:p>
      <w:pPr>
        <w:pStyle w:val="BookText"/>
        <w:rPr/>
      </w:pPr>
      <w:r>
        <w:rPr>
          <w:rFonts w:ascii="IRNazanin" w:hAnsi="IRNazanin" w:eastAsia="IRNazanin"/>
          <w:color w:val="111111"/>
          <w:sz w:val="28"/>
          <w:sz w:val="28"/>
          <w:szCs w:val="28"/>
          <w:rtl w:val="true"/>
          <w:lang w:bidi="fa-IR"/>
        </w:rPr>
        <w:t>الرقبة و صیام شهرین متتابعین و إطعام ستّین مسکیناً أو عشرة منهم، 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هذه الکفّارات بعد العجز عن بعض موضوعاتها، إطعام المساکین، و منهم صبیان الفقراء و أیتامهم، الذین تحدّثنا الآن فی تحصیل نفقتهم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کفّارة من أفطر فی یوم من شهر رمضان متعمّداً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أفطر یوماً من شهر رمضان بأحد الأسباب الموجبة للتکفیر، مثل الأکل و الشرب و الجماع و غیرها متعمّداً و من غیر عذر، فعلیه الکفّارة فقد ورد فی الصحیح عن أبی عبد اللّه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یعتق نسمة، أو یصوم شهرین متتابعین، أو یطعم ستّین مسکیناً، فإن لم یقدر تصدّق بما یطیق</w:t>
      </w:r>
      <w:r>
        <w:rPr>
          <w:rFonts w:eastAsia="IRNazanin" w:cs="IRNazanin"/>
          <w:color w:val="111111"/>
          <w:sz w:val="28"/>
          <w:szCs w:val="28"/>
          <w:rtl w:val="true"/>
          <w:lang w:bidi="fa-IR"/>
        </w:rPr>
        <w:t>»</w:t>
      </w:r>
      <w:r>
        <w:rPr>
          <w:rStyle w:val="FootnoteAnchor"/>
          <w:rtl w:val="true"/>
        </w:rPr>
        <w:footnoteReference w:id="19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کفّارة خلف النذر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تکون ککفارة شهر رمضان، دلّت علیها صحیحة عبد الملک بن عمرو،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عمّن جعل للّه علیه أن لا یرکب محرّماً سمّاه فرکبه؟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لا أعلمه إلاّ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فلیعتق رقبة، أو لیصم شهرین متتابعین، أو لیطعم ستین مسکیناً</w:t>
      </w:r>
      <w:r>
        <w:rPr>
          <w:rStyle w:val="FootnoteAnchor"/>
          <w:rtl w:val="true"/>
        </w:rPr>
        <w:footnoteReference w:id="19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کفّارة خلف العهد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أیضاً ککفّارة مَن أفطر فی شهر رمضان</w:t>
      </w:r>
      <w:r>
        <w:rPr>
          <w:rStyle w:val="FootnoteAnchor"/>
          <w:rtl w:val="true"/>
        </w:rPr>
        <w:footnoteReference w:id="19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علیها خبر أبی بصیر، عن أحدهما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جعل علیه عهد اللّه و میثاقه فی أمر اللّه طاعة فحنث فعلیه عتق رقبة، أو صیام شهرین متتابعین، أو إطعام ستّین مسکیناً</w:t>
      </w:r>
      <w:r>
        <w:rPr>
          <w:rFonts w:eastAsia="IRNazanin" w:cs="IRNazanin"/>
          <w:color w:val="111111"/>
          <w:sz w:val="28"/>
          <w:szCs w:val="28"/>
          <w:rtl w:val="true"/>
          <w:lang w:bidi="fa-IR"/>
        </w:rPr>
        <w:t>»</w:t>
      </w:r>
      <w:r>
        <w:rPr>
          <w:rStyle w:val="FootnoteAnchor"/>
          <w:rtl w:val="true"/>
        </w:rPr>
        <w:footnoteReference w:id="19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خبر علی بن جعفر، عن أخیه موسی بن جعفر علیهما السلام</w:t>
      </w:r>
      <w:r>
        <w:rPr>
          <w:rStyle w:val="FootnoteAnchor"/>
          <w:rtl w:val="true"/>
        </w:rPr>
        <w:footnoteReference w:id="1937"/>
      </w:r>
      <w:r>
        <w:rPr>
          <w:rFonts w:ascii="Amiri" w:hAnsi="Amiri" w:eastAsia="Amiri" w:cs="Amiri"/>
          <w:color w:val="111111"/>
          <w:sz w:val="28"/>
          <w:sz w:val="28"/>
          <w:szCs w:val="28"/>
          <w:rtl w:val="true"/>
          <w:lang w:bidi="ar-SA"/>
        </w:rPr>
        <w:t>و قصور سندها مجبر بالشهرة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کفّارة الجماع فی الاعتکاف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أیضاً تکون ککفّارة من أفطر فی شهر رمضان</w:t>
      </w:r>
      <w:r>
        <w:rPr>
          <w:rStyle w:val="FootnoteAnchor"/>
          <w:rtl w:val="true"/>
        </w:rPr>
        <w:footnoteReference w:id="19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دلت علیها موثقة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معتکف واقع أهله؟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بمنزلة من أفطر یوماً من شهر رمضان</w:t>
      </w:r>
      <w:r>
        <w:rPr>
          <w:rFonts w:eastAsia="IRNazanin" w:cs="IRNazanin"/>
          <w:color w:val="111111"/>
          <w:sz w:val="28"/>
          <w:szCs w:val="28"/>
          <w:rtl w:val="true"/>
          <w:lang w:bidi="fa-IR"/>
        </w:rPr>
        <w:t>»</w:t>
      </w:r>
      <w:r>
        <w:rPr>
          <w:rStyle w:val="FootnoteAnchor"/>
          <w:rtl w:val="true"/>
        </w:rPr>
        <w:footnoteReference w:id="19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کفّارة جزّ المرأة شعرها فی المصاب</w:t>
      </w:r>
    </w:p>
    <w:p>
      <w:pPr>
        <w:pStyle w:val="BookText"/>
        <w:rPr/>
      </w:pPr>
      <w:r>
        <w:rPr>
          <w:rFonts w:ascii="IRNazanin" w:hAnsi="IRNazanin" w:eastAsia="IRNazanin"/>
          <w:color w:val="111111"/>
          <w:sz w:val="28"/>
          <w:sz w:val="28"/>
          <w:szCs w:val="28"/>
          <w:rtl w:val="true"/>
          <w:lang w:bidi="fa-IR"/>
        </w:rPr>
        <w:t>دلّ علیها بعد الاجماع خبر خالد بن سدیر المنجبر ضعفها بعمل الأصحاب، قال سألت أبا عبد اللّه علیه السلام عن رجل شقّ ثوبه علی أبیه، أو علی امّه، أو علی أخیه، أو علی قریب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بشقّ الجیوب، قد شقّ موسی بن عمران علی أخیه هارون، و لا یشقّ الوالد علی ولده، و لا زوج علی امراته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خدشت المرأةُ وجهها، أو جزّت شعرها، أو نتفته، ففی جزّ الشعر عتق رقبة، أو صیام شهرین متتابعین، أو إطعام ستّین مسکیناً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19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أی الخمسة الأخیرة مخیّرة عند کثیر من الفقهاء بل المشهور بینهم</w:t>
      </w:r>
      <w:r>
        <w:rPr>
          <w:rStyle w:val="FootnoteAnchor"/>
          <w:rtl w:val="true"/>
        </w:rPr>
        <w:footnoteReference w:id="19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تخیّر المکلّف فی إتیان کلّ واحد من متعلّقاتها، و منها إطعام المساکین أو کسوتهم، الذین منهم صبیان الفقراء و المساکین و أیتام الفقراء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کفّارة حنث الیمین</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الحنث یحصل بفعل ما حلف علی عدم فعله، أو ترکه ما حلف علی فعله، و یدلّ علیها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یُؤاخِذُکُمُ اللّهُ بِاللَّغْوِ فِی أَیْمانِکُمْ وَ لکِنْ یُؤاخِذُکُمْ بِما</w:t>
      </w:r>
    </w:p>
    <w:p>
      <w:pPr>
        <w:pStyle w:val="BookText"/>
        <w:rPr/>
      </w:pPr>
      <w:r>
        <w:rPr>
          <w:rFonts w:ascii="Amiri" w:hAnsi="Amiri" w:eastAsia="Amiri" w:cs="Amiri"/>
          <w:color w:val="111111"/>
          <w:sz w:val="28"/>
          <w:sz w:val="28"/>
          <w:szCs w:val="28"/>
          <w:rtl w:val="true"/>
          <w:lang w:bidi="ar-SA"/>
        </w:rPr>
        <w:t>عَقَّدْتُمُ الْأَیْمانَ فَکَفّارَتُهُ إِطْعامُ عَشَرَةِ مَساکِینَ مِنْ أَوْسَطِ ما تُطْعِمُونَ أَهْلِیکُمْ أَوْ کِسْوَتُهُمْ أَوْ تَحْرِیرُ رَقَبَةٍ فَمَنْ لَمْ یَجِدْ فَصِیامُ ثَلاثَةِ أَیّامٍ ذلِکَ کَفّارَةُ أَیْمانِکُمْ إِذا حَلَفْتُمْ وَ احْفَظُوا أَیْمانَکُمْ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هکذا تدلّ علیها الاخبار،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الحلبی، عن أبی عبد اللّه علیه السلام فی کفّارة الیمین یطعم عشرة مساکین لکلّ مسکین مدّ من حنطة، أو مدّ من دقیق و حفنة، أو کسوتهم لکلّ إنسان ثوبان، أو عتق رقبة و هو فی ذلک بالخیار أیّ الثلاثة صنع، فإن لم یقدر علی واحدة من الثلاثة فالصیام علیه ثلاثة أیّام</w:t>
      </w:r>
      <w:r>
        <w:rPr>
          <w:rStyle w:val="FootnoteAnchor"/>
          <w:rtl w:val="true"/>
        </w:rPr>
        <w:footnoteReference w:id="19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کفّارة الإیلاء</w:t>
      </w:r>
      <w:r>
        <w:rPr>
          <w:rStyle w:val="FootnoteAnchor"/>
          <w:rtl w:val="true"/>
        </w:rPr>
        <w:footnoteReference w:id="1943"/>
      </w:r>
      <w:r>
        <w:rPr>
          <w:rFonts w:ascii="IRNazanin" w:hAnsi="IRNazanin" w:eastAsia="IRNazanin"/>
          <w:color w:val="111111"/>
          <w:sz w:val="28"/>
          <w:sz w:val="28"/>
          <w:szCs w:val="28"/>
          <w:rtl w:val="true"/>
          <w:lang w:bidi="fa-IR"/>
        </w:rPr>
        <w:t>مثل کفّارة الیمین؛ لأنّه من الیمین، و إن کانت لها أحکام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فهذان ممّا یحصل فیهما الأمران أی التخییر و الترتیب، و أحد متعلّقاتهما إطعام المساکین أو کسوتهم، کما بیّناه فی غیرهما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کفّارة القتل عمداً</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قتل مؤمناً متعمِّداً یجب علیه کفّارة الجمع، أی عتق الرقبة و صیام شهرین متتابعین و إطعام ستّین مسکیناً، تدلّ علیها الأخبار التی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ابن بکیر،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المؤمن یقتل المؤمن متعمّداً أ لَهُ توبة؟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قتله لإیمانه فلا توبة له، و إن کان قتلهُ لغضب أو لسبب شیء من أمر الدنیا فإنّ توبته أن یُقاد منه، و إن لم یکن علم به انطلق إلی أولیاء المقتول فأقرّ عندهم بقتل صاحبهم، فإن عفوا عنه فلم یقتلوه أعطاهم الدیة و أعتق نسمة و صام شهرین</w:t>
      </w:r>
    </w:p>
    <w:p>
      <w:pPr>
        <w:pStyle w:val="BookText"/>
        <w:rPr/>
      </w:pPr>
      <w:r>
        <w:rPr>
          <w:rFonts w:ascii="Amiri" w:hAnsi="Amiri" w:eastAsia="Amiri" w:cs="Amiri"/>
          <w:color w:val="111111"/>
          <w:sz w:val="28"/>
          <w:sz w:val="28"/>
          <w:szCs w:val="28"/>
          <w:rtl w:val="true"/>
          <w:lang w:bidi="ar-SA"/>
        </w:rPr>
        <w:t>متتابعین و أطعم ستّین مسکیناً توبةً إلی اللّه عزّ و جلّ</w:t>
      </w:r>
      <w:r>
        <w:rPr>
          <w:rFonts w:eastAsia="Amiri" w:cs="Amiri" w:ascii="Amiri" w:hAnsi="Amiri"/>
          <w:color w:val="111111"/>
          <w:sz w:val="28"/>
          <w:szCs w:val="28"/>
          <w:rtl w:val="true"/>
          <w:lang w:bidi="ar-SA"/>
        </w:rPr>
        <w:t>»</w:t>
      </w:r>
      <w:r>
        <w:rPr>
          <w:rStyle w:val="FootnoteAnchor"/>
          <w:rtl w:val="true"/>
        </w:rPr>
        <w:footnoteReference w:id="19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العشرة هی الکفّارات المعروفة التی اتّفق الفقهاء فی حکمها أو کان المشهور بینهم، و لکن توجد أفراد کثیرةٌ من الکفّارات التی یجب علی المکلفین بسببها إطعام المساکین أو کسوتهم، و یمکن تحصیل نفقة صبیان الفقراء و أیتامهم منها، مثل کفّارة وط‌ء الزوجة فی الحیض</w:t>
      </w:r>
      <w:r>
        <w:rPr>
          <w:rStyle w:val="FootnoteAnchor"/>
          <w:rtl w:val="true"/>
        </w:rPr>
        <w:footnoteReference w:id="1945"/>
      </w:r>
      <w:r>
        <w:rPr>
          <w:rFonts w:ascii="IRNazanin" w:hAnsi="IRNazanin" w:eastAsia="IRNazanin"/>
          <w:color w:val="111111"/>
          <w:sz w:val="28"/>
          <w:sz w:val="28"/>
          <w:szCs w:val="28"/>
          <w:rtl w:val="true"/>
          <w:lang w:bidi="fa-IR"/>
        </w:rPr>
        <w:t>مع التعمّد و العلم بالتحریم علی اختلاف فی وجوبها أو استحبابها</w:t>
      </w:r>
      <w:r>
        <w:rPr>
          <w:rStyle w:val="FootnoteAnchor"/>
          <w:rtl w:val="true"/>
        </w:rPr>
        <w:footnoteReference w:id="1946"/>
      </w:r>
      <w:r>
        <w:rPr>
          <w:rFonts w:ascii="IRNazanin" w:hAnsi="IRNazanin" w:eastAsia="IRNazanin"/>
          <w:color w:val="111111"/>
          <w:sz w:val="28"/>
          <w:sz w:val="28"/>
          <w:szCs w:val="28"/>
          <w:rtl w:val="true"/>
          <w:lang w:bidi="fa-IR"/>
        </w:rPr>
        <w:t>، و کفّارة مَن حلف بالبراءة من اللّه تعالی و رسوله</w:t>
      </w:r>
      <w:r>
        <w:rPr>
          <w:rStyle w:val="FootnoteAnchor"/>
          <w:rtl w:val="true"/>
        </w:rPr>
        <w:footnoteReference w:id="1947"/>
      </w:r>
      <w:r>
        <w:rPr>
          <w:rFonts w:ascii="IRNazanin" w:hAnsi="IRNazanin" w:eastAsia="IRNazanin"/>
          <w:color w:val="111111"/>
          <w:sz w:val="28"/>
          <w:sz w:val="28"/>
          <w:szCs w:val="28"/>
          <w:rtl w:val="true"/>
          <w:lang w:bidi="fa-IR"/>
        </w:rPr>
        <w:t>و ما فی معناها، و کفّارة نتف المرأة شعرها فی المصاب و خدش وجهها، و شقّ الرجل ثوبه فی موت ولده أو زوجته</w:t>
      </w:r>
      <w:r>
        <w:rPr>
          <w:rStyle w:val="FootnoteAnchor"/>
          <w:rtl w:val="true"/>
        </w:rPr>
        <w:footnoteReference w:id="19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کفّارة الأموال و هی کثیرة ککفّارة الصید بأنواعه، و الاستمتاع بالنساء، و کفّارة مَن نظر إلی أهله أو غیره بشهوة فأمنی، و مَسّ النساء بشهوةٍ، و کفارة استعمال المحرم الطیب و غیرها التی ذکرت فی المطوّلات</w:t>
      </w:r>
      <w:r>
        <w:rPr>
          <w:rStyle w:val="FootnoteAnchor"/>
          <w:rtl w:val="true"/>
        </w:rPr>
        <w:footnoteReference w:id="1949"/>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من جمیع ما ذکرنا أنّ أحد أفراد و مصادیق کلّ واحدة من هذه الکفّارات هو إطعام المساکین أو کسوتهم، الذین منهم صبیان الفقراء و المساکین و الأیتام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کنّا فی صدد إثبات مورد لتحصیل نفقتهم، و ذکرنا عشرة أفراد منها حتّی یعلم المخاطب أنّ الکفّارات الواجبة و المندوبة کثیرةٌ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عمل</w:t>
      </w:r>
      <w:bookmarkStart w:id="932" w:name="pg11752_146467"/>
    </w:p>
    <w:p>
      <w:pPr>
        <w:pStyle w:val="BookText"/>
        <w:rPr/>
      </w:pPr>
      <w:bookmarkEnd w:id="932"/>
      <w:r>
        <w:rPr>
          <w:rFonts w:ascii="IRNazanin" w:hAnsi="IRNazanin" w:eastAsia="IRNazanin"/>
          <w:color w:val="111111"/>
          <w:sz w:val="28"/>
          <w:sz w:val="28"/>
          <w:szCs w:val="28"/>
          <w:rtl w:val="true"/>
          <w:lang w:bidi="fa-IR"/>
        </w:rPr>
        <w:t>المسلمون بوظیفتهم و أدّوا ما وجب علیهم من الحقوق المالیة من الکفّارات و غیرها، فحینئذ یمکن تأمین نفقة عدد کبیر من الفقراء و الأیتام، الأمر الذی یؤدّی إلی تماسک و إشاعة روح التکافل الاجتماعی فیه</w:t>
      </w:r>
      <w:r>
        <w:rPr>
          <w:rFonts w:eastAsia="IRNazanin" w:cs="IRNazanin"/>
          <w:color w:val="111111"/>
          <w:sz w:val="28"/>
          <w:szCs w:val="28"/>
          <w:rtl w:val="true"/>
          <w:lang w:bidi="fa-IR"/>
        </w:rPr>
        <w:t>.</w:t>
      </w:r>
    </w:p>
    <w:p>
      <w:pPr>
        <w:pStyle w:val="Heading5"/>
        <w:numPr>
          <w:ilvl w:val="4"/>
          <w:numId w:val="1"/>
        </w:numPr>
        <w:rPr/>
      </w:pPr>
      <w:bookmarkStart w:id="933" w:name="__RefHeading___Toc9424480_73709187"/>
      <w:bookmarkStart w:id="934" w:name="_Toc354"/>
      <w:bookmarkEnd w:id="933"/>
      <w:r>
        <w:rPr>
          <w:rtl w:val="true"/>
        </w:rPr>
        <w:t>مصرف الکفّارات فی فقه أهل السنّة</w:t>
      </w:r>
      <w:bookmarkEnd w:id="934"/>
    </w:p>
    <w:p>
      <w:pPr>
        <w:pStyle w:val="BookText"/>
        <w:rPr/>
      </w:pPr>
      <w:r>
        <w:rPr>
          <w:rFonts w:ascii="IRNazanin" w:hAnsi="IRNazanin" w:eastAsia="IRNazanin"/>
          <w:color w:val="111111"/>
          <w:sz w:val="28"/>
          <w:sz w:val="28"/>
          <w:szCs w:val="28"/>
          <w:rtl w:val="true"/>
          <w:lang w:bidi="fa-IR"/>
        </w:rPr>
        <w:t>یستفاد من کلمات فقهاء أهل السنة أنّ فی الکفّارات المخیّرة أن یخیّر المکلف، و فی المرتّبة إذا انتهی الأمر إلی الإطعام أو الکسوة یجب علیه أن یُطعم أو یکسو الفقراء و المساکین کما قال به فقهاء الشیعة، و لا اختلاف بینهم من هذه الجهة، و نحن نذکر فی هذا المقام شطراً من کلماتهم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بدائع الصنائع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الذی یرجع إلی المحلّ المنصرف إلیه الطعام، 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فقیراً، فلا یجوز إطعام الغنیّ عن الکفّارة تملیکاً و إباحةً</w:t>
      </w:r>
      <w:r>
        <w:rPr>
          <w:rFonts w:eastAsia="IRNazanin" w:cs="IRNazanin"/>
          <w:color w:val="111111"/>
          <w:sz w:val="28"/>
          <w:szCs w:val="28"/>
          <w:rtl w:val="true"/>
          <w:lang w:bidi="fa-IR"/>
        </w:rPr>
        <w:t>»</w:t>
      </w:r>
      <w:r>
        <w:rPr>
          <w:rStyle w:val="FootnoteAnchor"/>
          <w:rtl w:val="true"/>
        </w:rPr>
        <w:footnoteReference w:id="19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موضع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مصرف الکسوة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فمصرفها هو مصرف الطعام و قد ذکرناه</w:t>
      </w:r>
      <w:r>
        <w:rPr>
          <w:rFonts w:eastAsia="IRNazanin" w:cs="IRNazanin"/>
          <w:color w:val="111111"/>
          <w:sz w:val="28"/>
          <w:szCs w:val="28"/>
          <w:rtl w:val="true"/>
          <w:lang w:bidi="fa-IR"/>
        </w:rPr>
        <w:t>»</w:t>
      </w:r>
      <w:r>
        <w:rPr>
          <w:rStyle w:val="FootnoteAnchor"/>
          <w:rtl w:val="true"/>
        </w:rPr>
        <w:footnoteReference w:id="19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المالکیة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مواهب الجلیل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یجزی أن یطعم فی الکفارات کلّها إلاّ حراً مسلماً مسکیناً</w:t>
      </w:r>
      <w:r>
        <w:rPr>
          <w:rFonts w:eastAsia="IRNazanin" w:cs="IRNazanin"/>
          <w:color w:val="111111"/>
          <w:sz w:val="28"/>
          <w:szCs w:val="28"/>
          <w:rtl w:val="true"/>
          <w:lang w:bidi="fa-IR"/>
        </w:rPr>
        <w:t>»</w:t>
      </w:r>
      <w:r>
        <w:rPr>
          <w:rStyle w:val="FootnoteAnchor"/>
          <w:rtl w:val="true"/>
        </w:rPr>
        <w:footnoteReference w:id="19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هکذا قال فی بدایة المجتهد</w:t>
      </w:r>
      <w:r>
        <w:rPr>
          <w:rStyle w:val="FootnoteAnchor"/>
          <w:rtl w:val="true"/>
        </w:rPr>
        <w:footnoteReference w:id="1953"/>
      </w:r>
      <w:r>
        <w:rPr>
          <w:rFonts w:ascii="IRNazanin" w:hAnsi="IRNazanin" w:eastAsia="IRNazanin"/>
          <w:color w:val="111111"/>
          <w:sz w:val="28"/>
          <w:sz w:val="28"/>
          <w:szCs w:val="28"/>
          <w:rtl w:val="true"/>
          <w:lang w:bidi="fa-IR"/>
        </w:rPr>
        <w:t>و حاشیة الدسوقی</w:t>
      </w:r>
      <w:r>
        <w:rPr>
          <w:rStyle w:val="FootnoteAnchor"/>
          <w:rtl w:val="true"/>
        </w:rPr>
        <w:footnoteReference w:id="1954"/>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الحنابلة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المغنی لابن قدامة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یعتبر فی المدفوع إلیهم أربعة أوصاف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یکونوا مساکین و هم الصنفان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اللذان تدفع الیهم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المذکوران فی أوّل</w:t>
      </w:r>
      <w:bookmarkStart w:id="935" w:name="pg11752_146468"/>
    </w:p>
    <w:p>
      <w:pPr>
        <w:pStyle w:val="BookText"/>
        <w:rPr/>
      </w:pPr>
      <w:bookmarkEnd w:id="935"/>
      <w:r>
        <w:rPr>
          <w:rFonts w:ascii="Amiri" w:hAnsi="Amiri" w:eastAsia="Amiri" w:cs="Amiri"/>
          <w:color w:val="111111"/>
          <w:sz w:val="28"/>
          <w:sz w:val="28"/>
          <w:szCs w:val="28"/>
          <w:rtl w:val="true"/>
          <w:lang w:bidi="ar-SA"/>
        </w:rPr>
        <w:t>أصنافهم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الصَّدَقاتُ لِلْفُقَراءِ وَ الْمَساکِینِ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الفقراء مساکین و زیادة، لکون الفقیر أشدّ حاجة من المسکین</w:t>
      </w:r>
      <w:r>
        <w:rPr>
          <w:rFonts w:eastAsia="Amiri" w:cs="Amiri" w:ascii="Amiri" w:hAnsi="Amiri"/>
          <w:color w:val="111111"/>
          <w:sz w:val="28"/>
          <w:szCs w:val="28"/>
          <w:rtl w:val="true"/>
          <w:lang w:bidi="ar-SA"/>
        </w:rPr>
        <w:t>»</w:t>
      </w:r>
      <w:r>
        <w:rPr>
          <w:rStyle w:val="FootnoteAnchor"/>
          <w:rtl w:val="true"/>
        </w:rPr>
        <w:footnoteReference w:id="19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الشافعیة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جاء فی المهذب للشیرازی فی کفّارة الظهار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لم یقدر علی الصوم لکبر لا یطیق معه الصوم، أو لمرض لا یُرجی برؤه منه لزمه أن یطعم ستّین مسکیناً؛ للآیة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کفّارة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الکفارة إطعام عشرة مساکین، أو کسوتهم، أو تحریر رقبة، و هو مخیّر بین الثلاثة</w:t>
      </w:r>
      <w:r>
        <w:rPr>
          <w:rFonts w:eastAsia="IRNazanin" w:cs="IRNazanin"/>
          <w:color w:val="111111"/>
          <w:sz w:val="28"/>
          <w:szCs w:val="28"/>
          <w:rtl w:val="true"/>
          <w:lang w:bidi="fa-IR"/>
        </w:rPr>
        <w:t>»</w:t>
      </w:r>
      <w:r>
        <w:rPr>
          <w:rStyle w:val="FootnoteAnchor"/>
          <w:rtl w:val="true"/>
        </w:rPr>
        <w:footnoteReference w:id="19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فعلی رأی جمهور الفقهاء من أهل السنة أیضاً یمکن تأمین نفقة صبیان الفقراء و أیتام الفقیر من الکفّارات</w:t>
      </w:r>
      <w:r>
        <w:rPr>
          <w:rFonts w:eastAsia="IRNazanin" w:cs="IRNazanin"/>
          <w:color w:val="111111"/>
          <w:sz w:val="28"/>
          <w:szCs w:val="28"/>
          <w:rtl w:val="true"/>
          <w:lang w:bidi="fa-IR"/>
        </w:rPr>
        <w:t>.</w:t>
      </w:r>
    </w:p>
    <w:p>
      <w:pPr>
        <w:pStyle w:val="Heading5"/>
        <w:numPr>
          <w:ilvl w:val="4"/>
          <w:numId w:val="1"/>
        </w:numPr>
        <w:rPr/>
      </w:pPr>
      <w:bookmarkStart w:id="936" w:name="__RefHeading___Toc9424482_73709187"/>
      <w:bookmarkStart w:id="937" w:name="_Toc355"/>
      <w:bookmarkEnd w:id="936"/>
      <w:r>
        <w:rPr>
          <w:rtl w:val="true"/>
        </w:rPr>
        <w:t>«</w:t>
      </w:r>
      <w:r>
        <w:rPr>
          <w:rtl w:val="true"/>
        </w:rPr>
        <w:t>ثلاث مسائل ترتبط بالمقام</w:t>
      </w:r>
      <w:r>
        <w:rPr>
          <w:rtl w:val="true"/>
        </w:rPr>
        <w:t>»</w:t>
      </w:r>
      <w:bookmarkEnd w:id="937"/>
    </w:p>
    <w:p>
      <w:pPr>
        <w:pStyle w:val="BookText"/>
        <w:rPr/>
      </w:pPr>
      <w:r>
        <w:rPr>
          <w:rFonts w:ascii="IRNazanin" w:hAnsi="IRNazanin" w:eastAsia="IRNazanin"/>
          <w:color w:val="111111"/>
          <w:sz w:val="28"/>
          <w:sz w:val="28"/>
          <w:szCs w:val="28"/>
          <w:rtl w:val="true"/>
          <w:lang w:bidi="fa-IR"/>
        </w:rPr>
        <w:t xml:space="preserve">قد اهتم الإسلام بأمر النفقة خصوصاً نفقة الصبیان و کسوتهم و بالأخصّ الأیتام و الفقراء؛ و لذا وردت روایات مختلفة بیّن فیها جزئیاتها، و طرح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تعالی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کتبهم الفقهیة استناداً إلیها مسائل یکشف منها هذه الأهمیة، و نذکر فی هذا المقام بعض تلک المسائل التی ترتبط بنفقة الصبیان</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بین الفقهاء</w:t>
      </w:r>
      <w:r>
        <w:rPr>
          <w:rStyle w:val="FootnoteAnchor"/>
          <w:rtl w:val="true"/>
        </w:rPr>
        <w:footnoteReference w:id="1957"/>
      </w:r>
      <w:r>
        <w:rPr>
          <w:rFonts w:ascii="IRNazanin" w:hAnsi="IRNazanin" w:eastAsia="IRNazanin"/>
          <w:color w:val="111111"/>
          <w:sz w:val="28"/>
          <w:sz w:val="28"/>
          <w:szCs w:val="28"/>
          <w:rtl w:val="true"/>
          <w:lang w:bidi="fa-IR"/>
        </w:rPr>
        <w:t>أنّه لا یجرئ فی أداء الکفّارات إطعام الصغار منفردین محتسباً بهم من العدد، و یجوز إطعامهم منضمّین إلاّ مع احتساب الاثنین بواحد، قال فی الریاض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 خلاف أجده إلاّ من بعض المتأخّرین فقال بالإجزاء؛</w:t>
      </w:r>
    </w:p>
    <w:p>
      <w:pPr>
        <w:pStyle w:val="BookText"/>
        <w:rPr/>
      </w:pPr>
      <w:r>
        <w:rPr>
          <w:rFonts w:ascii="IRNazanin" w:hAnsi="IRNazanin" w:eastAsia="IRNazanin"/>
          <w:color w:val="111111"/>
          <w:sz w:val="28"/>
          <w:sz w:val="28"/>
          <w:szCs w:val="28"/>
          <w:rtl w:val="true"/>
          <w:lang w:bidi="fa-IR"/>
        </w:rPr>
        <w:t>للإطلاق، و هو کما تری؛ لعدم انصرافه إلیهم عند الإطلاق</w:t>
      </w:r>
      <w:r>
        <w:rPr>
          <w:rFonts w:eastAsia="IRNazanin" w:cs="IRNazanin"/>
          <w:color w:val="111111"/>
          <w:sz w:val="28"/>
          <w:szCs w:val="28"/>
          <w:rtl w:val="true"/>
          <w:lang w:bidi="fa-IR"/>
        </w:rPr>
        <w:t>»</w:t>
      </w:r>
      <w:r>
        <w:rPr>
          <w:rStyle w:val="FootnoteAnchor"/>
          <w:rtl w:val="true"/>
        </w:rPr>
        <w:footnoteReference w:id="19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یدلّ علی هذا خبر غیاث بن إبراهیم،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یجزی إطعام الصغیر فی کفّارة الیمین، و لکن صغیرین بکبیرٍ</w:t>
      </w:r>
      <w:r>
        <w:rPr>
          <w:rFonts w:eastAsia="IRNazanin" w:cs="IRNazanin"/>
          <w:color w:val="111111"/>
          <w:sz w:val="28"/>
          <w:szCs w:val="28"/>
          <w:rtl w:val="true"/>
          <w:lang w:bidi="fa-IR"/>
        </w:rPr>
        <w:t>»</w:t>
      </w:r>
      <w:r>
        <w:rPr>
          <w:rStyle w:val="FootnoteAnchor"/>
          <w:rtl w:val="true"/>
        </w:rPr>
        <w:footnoteReference w:id="19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الروایة ضعیفة السند، لکن ضعفها منجبر بالشهرة عندهم، و ظاهرها و إن کان یقتضی عدم إجزاء الصغیر مطلقاً إلاّ أنّها محمولة علی حالة انفراد الصغار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خبر السکونی، عن جعفر، عن أبیه، أنّ علیّاً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أطعم فی کفّارة الیمین صغاراً و کباراً فلیزوِّد الصغیر بقدر ما أکل الکبیر</w:t>
      </w:r>
      <w:r>
        <w:rPr>
          <w:rFonts w:eastAsia="IRNazanin" w:cs="IRNazanin"/>
          <w:color w:val="111111"/>
          <w:sz w:val="28"/>
          <w:szCs w:val="28"/>
          <w:rtl w:val="true"/>
          <w:lang w:bidi="fa-IR"/>
        </w:rPr>
        <w:t>»</w:t>
      </w:r>
      <w:r>
        <w:rPr>
          <w:rStyle w:val="FootnoteAnchor"/>
          <w:rtl w:val="true"/>
        </w:rPr>
        <w:footnoteReference w:id="19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فی صحیحة یونس بن عبد الرحمن، عن أبی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علیه کفّارة إطعام عشرة مساکین أ یعطی الصغار و الکبار سواء و النساء و الرجال، أو یفضّل الکبار علی الصغار، و الرجال علی النساء؟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کلّهم سواءٌ</w:t>
      </w:r>
      <w:r>
        <w:rPr>
          <w:rFonts w:eastAsia="IRNazanin" w:cs="IRNazanin"/>
          <w:color w:val="111111"/>
          <w:sz w:val="28"/>
          <w:szCs w:val="28"/>
          <w:rtl w:val="true"/>
          <w:lang w:bidi="fa-IR"/>
        </w:rPr>
        <w:t>»</w:t>
      </w:r>
      <w:r>
        <w:rPr>
          <w:rStyle w:val="FootnoteAnchor"/>
          <w:rtl w:val="true"/>
        </w:rPr>
        <w:footnoteReference w:id="19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الصحیح ظاهرٌ فی فرد التسلیم الذی لا خلاف فی اتحادهم فیه إنّما الکلام فی فرد الإشباع</w:t>
      </w:r>
      <w:r>
        <w:rPr>
          <w:rStyle w:val="FootnoteAnchor"/>
          <w:rtl w:val="true"/>
        </w:rPr>
        <w:footnoteReference w:id="19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أجاد المحقّق الخوانساری فی جوابه، حیث قال</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فرد التسلیم یشکل إعطاء الصغیر؛ لکونه محجوراً، کما لا یجوز تأدیة الدین بإعطائه، و هذا بخلاف الإشباع، مضافاً إلی منع عدم صدق الإعطاء علی الإشباع خصوصاً مع ما فی ذیله من التتمیم</w:t>
      </w:r>
      <w:r>
        <w:rPr>
          <w:rStyle w:val="FootnoteAnchor"/>
          <w:rtl w:val="true"/>
        </w:rPr>
        <w:footnoteReference w:id="196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64"/>
      </w:r>
    </w:p>
    <w:p>
      <w:pPr>
        <w:pStyle w:val="BookText"/>
        <w:rPr/>
      </w:pPr>
      <w:r>
        <w:rPr>
          <w:rFonts w:ascii="IRNazanin" w:hAnsi="IRNazanin" w:eastAsia="IRNazanin"/>
          <w:color w:val="111111"/>
          <w:sz w:val="28"/>
          <w:sz w:val="28"/>
          <w:szCs w:val="28"/>
          <w:rtl w:val="true"/>
          <w:lang w:bidi="fa-IR"/>
        </w:rPr>
        <w:t>علی هذا یستفاد من الصحیحة جواز کون الصغار معدودین من العدد إذا کانوا منضمّین مع الکبار، و إلاّ یلزم احتساب صغیرین بکبیرٍ علی ما هو الظاهر من خبر غیاث بن إبراهیم و السکونی المتقدّمین، و لیعلم أنّ مورد الخبرین کفّارة الیمین، فلا بدّ من إثبات ذلک فی غیرها بعدم القول بالفصل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بین الفقهاء فی أنّ مَن علیه الکفّارة إذا انتقل الفرض إلی إطعام المساکین فی المعیّنة، و فی غیرها ابتداءً یتخیّر بین التسلیم إلی المستحقّ و بین أن یطعمه</w:t>
      </w:r>
      <w:r>
        <w:rPr>
          <w:rStyle w:val="FootnoteAnchor"/>
          <w:rtl w:val="true"/>
        </w:rPr>
        <w:footnoteReference w:id="19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إن اختار التسلیم فالأشهر بین المتأخّرین أن یعطی لکلّ واحد مدّاً من الطعام، و یجب علیه أیضاً إتمام العدد أی عدد ستّین مسکیناً، و استدلّ علی وجوب تسلیم مدّ من الطعام باُمور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بأنّ الأصل براءة الذمّة من الزائد، أی الاقتصار فیما خالف الأصل علی أقلّ ما یتحقّق به الامتثال، و هو ذلک غالباً</w:t>
      </w:r>
      <w:r>
        <w:rPr>
          <w:rStyle w:val="FootnoteAnchor"/>
          <w:rtl w:val="true"/>
        </w:rPr>
        <w:footnoteReference w:id="19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أنّ جریان الأصل مع غضّ النظر عن ورود النصوص فی المورد، و إلاّ فمع وجود النصوص لا معنی لجریان الأصل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النصوص المستفیضة أو المتواترة الواردة فی کفّارة الیمین، و یتمّ فی غیرها بعدم القول بالفصل إجماعاً</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صحیحة محمد بن قیس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عزّ و جلّ لنبیّه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النَّبِیُّ لِمَ تُحَرِّمُ ما أَحَلَّ اللّهُ لَکَ تَبْتَغِی مَرْضاتَ أَزْواجِکَ وَ اللّهُ غَفُورٌ 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فَرَضَ اللّهُ لَکُمْ تَحِلَّةَ أَیْمانِکُمْ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فجعلها یمیناً، و کفّرها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کفّر؟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 عشرة مساکین لکلّ مسکین 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وجد الکسوة؟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 یواری به عورته</w:t>
      </w:r>
      <w:r>
        <w:rPr>
          <w:rFonts w:eastAsia="IRNazanin" w:cs="IRNazanin"/>
          <w:color w:val="111111"/>
          <w:sz w:val="28"/>
          <w:szCs w:val="28"/>
          <w:rtl w:val="true"/>
          <w:lang w:bidi="fa-IR"/>
        </w:rPr>
        <w:t>»</w:t>
      </w:r>
      <w:r>
        <w:rPr>
          <w:rStyle w:val="FootnoteAnchor"/>
          <w:rtl w:val="true"/>
        </w:rPr>
        <w:footnoteReference w:id="19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هکذا صحیحة عبد اللّه بن سنان التی وردت فی کفارة القتل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کفّارة الدم إذا قتل الرجل مؤمناً متعمّداً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قتل خطأً أدّی دیته إلی أولیائه، ثمّ أعتق رقبة، فإن لم یجد صام شهرین متتابعین، فإن لم یستطع أطعم ستّین مسکیناً مدّاً مدّاً</w:t>
      </w:r>
      <w:r>
        <w:rPr>
          <w:rFonts w:eastAsia="IRNazanin" w:cs="IRNazanin"/>
          <w:color w:val="111111"/>
          <w:sz w:val="28"/>
          <w:szCs w:val="28"/>
          <w:rtl w:val="true"/>
          <w:lang w:bidi="fa-IR"/>
        </w:rPr>
        <w:t>»</w:t>
      </w:r>
      <w:r>
        <w:rPr>
          <w:rStyle w:val="FootnoteAnchor"/>
          <w:rtl w:val="true"/>
        </w:rPr>
        <w:footnoteReference w:id="1968"/>
      </w:r>
      <w:r>
        <w:rPr>
          <w:rFonts w:ascii="IRNazanin" w:hAnsi="IRNazanin" w:eastAsia="IRNazanin"/>
          <w:color w:val="111111"/>
          <w:sz w:val="28"/>
          <w:sz w:val="28"/>
          <w:szCs w:val="28"/>
          <w:rtl w:val="true"/>
          <w:lang w:bidi="fa-IR"/>
        </w:rPr>
        <w:t>و الدلالة 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الأخبار الأخری</w:t>
      </w:r>
      <w:r>
        <w:rPr>
          <w:rStyle w:val="FootnoteAnchor"/>
          <w:rtl w:val="true"/>
        </w:rPr>
        <w:footnoteReference w:id="1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کذلک إطلاق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لَمْ یَسْتَطِعْ فَإِطْعامُ سِتِّینَ مِسْکِیناً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یشمل المدّ و ما فوقه و ما دونه، لکن خرج ما دونه بالإجماع فیبقی الباقی مجزیاً</w:t>
      </w:r>
      <w:r>
        <w:rPr>
          <w:rStyle w:val="FootnoteAnchor"/>
          <w:rtl w:val="true"/>
        </w:rPr>
        <w:footnoteReference w:id="19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اتّفقت کلمات الفقهاء</w:t>
      </w:r>
      <w:r>
        <w:rPr>
          <w:rStyle w:val="FootnoteAnchor"/>
          <w:rtl w:val="true"/>
        </w:rPr>
        <w:footnoteReference w:id="1971"/>
      </w:r>
      <w:r>
        <w:rPr>
          <w:rFonts w:ascii="IRNazanin" w:hAnsi="IRNazanin" w:eastAsia="IRNazanin"/>
          <w:color w:val="111111"/>
          <w:sz w:val="28"/>
          <w:sz w:val="28"/>
          <w:szCs w:val="28"/>
          <w:rtl w:val="true"/>
          <w:lang w:bidi="fa-IR"/>
        </w:rPr>
        <w:t>علی أنّه لا تصرف الکفّارة إلی مَن تجب نفقته علی الدافع، کالأب و الأمّ و الأولاد و الزوجة و المملوک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فی المبسوط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أن یدفع الکفّارة إلی مَن یلزمه نفقته، کالآباء و الأمّهات و الأجداد و الجدّات و إن علوا، و الأولاد و أولاد الأولاد و إن نزلوا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موضع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جملته أنّ کلّ من یجوز صرف زکاة الفطرة إلیه، یجوز صرف الکفّارة إلیه، و من لا یجوّز هناک لا یجوّزها هنا</w:t>
      </w:r>
      <w:r>
        <w:rPr>
          <w:rFonts w:eastAsia="IRNazanin" w:cs="IRNazanin"/>
          <w:color w:val="111111"/>
          <w:sz w:val="28"/>
          <w:szCs w:val="28"/>
          <w:rtl w:val="true"/>
          <w:lang w:bidi="fa-IR"/>
        </w:rPr>
        <w:t>»</w:t>
      </w:r>
      <w:r>
        <w:rPr>
          <w:rStyle w:val="FootnoteAnchor"/>
          <w:rtl w:val="true"/>
        </w:rPr>
        <w:footnoteReference w:id="1972"/>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المستند لهذا أنّ ظاهر الأدلّة بل صریحها دلّ علی أنّ الفقر شرط فی المستحق، و کلّ من کانت نفقته واجبة غنیّ بشرط أن یکون من تجب علیه قادراً</w:t>
      </w:r>
    </w:p>
    <w:p>
      <w:pPr>
        <w:pStyle w:val="BookText"/>
        <w:rPr/>
      </w:pPr>
      <w:r>
        <w:rPr>
          <w:rFonts w:ascii="IRNazanin" w:hAnsi="IRNazanin" w:eastAsia="IRNazanin"/>
          <w:color w:val="111111"/>
          <w:sz w:val="28"/>
          <w:sz w:val="28"/>
          <w:szCs w:val="28"/>
          <w:rtl w:val="true"/>
          <w:lang w:bidi="fa-IR"/>
        </w:rPr>
        <w:t>علی أدائها، فینتج عدم جواز صرف الکفّارة إلیهم؛ لأنّهم أغنیاء، و هکذا الظاهر من الأدلّة بل صریحها أنّه یجب دفع الکفارة إلی غیرهم، خصوصاً مع ملاحظة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أَوْسَطِ ما تُطْعِمُونَ أَهْلِیکُمْ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المشعر بکون المساکین الذین هم موضوع لدفع الکفارات إلیهم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یدلّ علیه ما جاء فی صحیح عبد الرحمن بن الحجّاج،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خمسةٌ لا یعطون من الزکاة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 و الأمّ و الولد و المملوک و المرأة، و ذلک أنّهم عیاله لازمون له</w:t>
      </w:r>
      <w:r>
        <w:rPr>
          <w:rFonts w:eastAsia="IRNazanin" w:cs="IRNazanin"/>
          <w:color w:val="111111"/>
          <w:sz w:val="28"/>
          <w:szCs w:val="28"/>
          <w:rtl w:val="true"/>
          <w:lang w:bidi="fa-IR"/>
        </w:rPr>
        <w:t>»</w:t>
      </w:r>
      <w:r>
        <w:rPr>
          <w:rStyle w:val="FootnoteAnchor"/>
          <w:rtl w:val="true"/>
        </w:rPr>
        <w:footnoteReference w:id="1973"/>
      </w:r>
      <w:r>
        <w:rPr>
          <w:rFonts w:ascii="IRNazanin" w:hAnsi="IRNazanin" w:eastAsia="IRNazanin"/>
          <w:color w:val="111111"/>
          <w:sz w:val="28"/>
          <w:sz w:val="28"/>
          <w:szCs w:val="28"/>
          <w:rtl w:val="true"/>
          <w:lang w:bidi="fa-IR"/>
        </w:rPr>
        <w:t>و یستفاد منها أنّ ما هو اللازم دفع الزکاة إلی غیر من هو عیال للدافع؛ لأنّ الإعطاء إلیهم یرجع إلیه بنوع من الاعتبار، و کذا الصدقة التی منها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قد یدّعی معلومیة هذا الحکم فی الشرع علی وجه یعرفه کلّ تابع له</w:t>
      </w:r>
      <w:r>
        <w:rPr>
          <w:rStyle w:val="FootnoteAnchor"/>
          <w:rtl w:val="true"/>
        </w:rPr>
        <w:footnoteReference w:id="1974"/>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ممّا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کان الأیتام فقراء، و لکن کان لهم جدّ قادراً و متمکِّناً علی إیتاء نفقتهم فحینئذٍ یجب علیه ذلک، و لا یجوز له إطعامهم محتسباً من الکفّارة</w:t>
      </w:r>
      <w:r>
        <w:rPr>
          <w:rFonts w:eastAsia="IRNazanin" w:cs="IRNazanin"/>
          <w:color w:val="111111"/>
          <w:sz w:val="28"/>
          <w:szCs w:val="28"/>
          <w:rtl w:val="true"/>
          <w:lang w:bidi="fa-IR"/>
        </w:rPr>
        <w:t>.</w:t>
      </w:r>
      <w:bookmarkStart w:id="938" w:name="pg11752_146473"/>
    </w:p>
    <w:p>
      <w:pPr>
        <w:pStyle w:val="Heading4"/>
        <w:numPr>
          <w:ilvl w:val="3"/>
          <w:numId w:val="1"/>
        </w:numPr>
        <w:rPr/>
      </w:pPr>
      <w:bookmarkStart w:id="939" w:name="__RefHeading___Toc9424484_73709187"/>
      <w:bookmarkStart w:id="940" w:name="_Toc356"/>
      <w:bookmarkEnd w:id="938"/>
      <w:bookmarkEnd w:id="939"/>
      <w:r>
        <w:rPr>
          <w:rtl w:val="true"/>
        </w:rPr>
        <w:t>المبحث الثالث</w:t>
      </w:r>
      <w:r>
        <w:rPr>
          <w:rtl w:val="true"/>
        </w:rPr>
        <w:t xml:space="preserve">: </w:t>
      </w:r>
      <w:r>
        <w:rPr>
          <w:rtl w:val="true"/>
        </w:rPr>
        <w:t>کون الخمس نفقةً لأیتام ذرّیّة الرسول صلی الله علیه و آله</w:t>
      </w:r>
      <w:bookmarkEnd w:id="940"/>
    </w:p>
    <w:p>
      <w:pPr>
        <w:pStyle w:val="Heading5"/>
        <w:numPr>
          <w:ilvl w:val="4"/>
          <w:numId w:val="1"/>
        </w:numPr>
        <w:rPr/>
      </w:pPr>
      <w:bookmarkStart w:id="941" w:name="__RefHeading___Toc9424486_73709187"/>
      <w:bookmarkStart w:id="942" w:name="_Toc357"/>
      <w:bookmarkEnd w:id="941"/>
      <w:r>
        <w:rPr>
          <w:rtl w:val="true"/>
        </w:rPr>
        <w:t>اشارة</w:t>
      </w:r>
      <w:bookmarkEnd w:id="942"/>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زکاة الأموال و الأبدان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زکاة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لنفقة الأیتام و المساکین إلاّ أنّها تکون نفقة لأیتام غیر السادة من ذرّیّة النبیّ صلی الله علیه و آله، و أمّا أیتام السادة فتأمین نفقتهم من سهم خاصّ من الخمس، و لإثبات هذا المدّعی نحتاج أن نذکر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وجوب الخمس، و أنّ سهماً منه لأیتام السادة خاصّاً،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یجوز أن تُصرف الزکوات الواجبة لنفقة أیتام السادة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بین فقهاء الشیعة</w:t>
      </w:r>
      <w:r>
        <w:rPr>
          <w:rStyle w:val="FootnoteAnchor"/>
          <w:rtl w:val="true"/>
        </w:rPr>
        <w:footnoteReference w:id="1975"/>
      </w:r>
      <w:r>
        <w:rPr>
          <w:rFonts w:ascii="Amiri" w:hAnsi="Amiri" w:eastAsia="Amiri" w:cs="Amiri"/>
          <w:color w:val="111111"/>
          <w:sz w:val="28"/>
          <w:sz w:val="28"/>
          <w:szCs w:val="28"/>
          <w:rtl w:val="true"/>
          <w:lang w:bidi="ar-SA"/>
        </w:rPr>
        <w:t>و هو الحقّ أنّه یقسم الخمس ستّة أقسام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نصفه للرسول صلی الله علیه و آله و سلم و بعده للإمام علیه السلام القائم مقامه، و النصف الآخر للیتامی و المساکین و أبناء السبیل من الهاشمیّین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فی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الخمس إذا أخذه الإمام ینبغی أن یقسّمه ستة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للّه و لرسوله، و سهم لذی لقربی، فهذه الثلاثة أقسام للإمام القائم مقام النبیّ صلی الله علیه و آله، یصرفه فیما شاء من نفقته و نفقة عیاله، و ما یلزمه من تحمّل الأثقال و مؤن غیره، و سهم لیتامی آل محمد صلی الله علیه و آله و لمساکینهم، و سهم لأبناء سبیلهم، و لیس لغیرهم من سائر الأصناف شیء علی حال</w:t>
      </w:r>
      <w:r>
        <w:rPr>
          <w:rFonts w:eastAsia="IRNazanin" w:cs="IRNazanin"/>
          <w:color w:val="111111"/>
          <w:sz w:val="28"/>
          <w:szCs w:val="28"/>
          <w:rtl w:val="true"/>
          <w:lang w:bidi="fa-IR"/>
        </w:rPr>
        <w:t>»</w:t>
      </w:r>
      <w:r>
        <w:rPr>
          <w:rStyle w:val="FootnoteAnchor"/>
          <w:rtl w:val="true"/>
        </w:rPr>
        <w:footnoteReference w:id="1976"/>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بمثل هذا قال فی التذکرة</w:t>
      </w:r>
      <w:r>
        <w:rPr>
          <w:rStyle w:val="FootnoteAnchor"/>
          <w:rtl w:val="true"/>
        </w:rPr>
        <w:footnoteReference w:id="1977"/>
      </w:r>
      <w:r>
        <w:rPr>
          <w:rFonts w:ascii="IRNazanin" w:hAnsi="IRNazanin" w:eastAsia="IRNazanin"/>
          <w:color w:val="111111"/>
          <w:sz w:val="28"/>
          <w:sz w:val="28"/>
          <w:szCs w:val="28"/>
          <w:rtl w:val="true"/>
          <w:lang w:bidi="fa-IR"/>
        </w:rPr>
        <w:t xml:space="preserve">و أضاف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جمهور علمائنا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الشرائع</w:t>
      </w:r>
      <w:r>
        <w:rPr>
          <w:rStyle w:val="FootnoteAnchor"/>
          <w:rtl w:val="true"/>
        </w:rPr>
        <w:footnoteReference w:id="1978"/>
      </w:r>
    </w:p>
    <w:p>
      <w:pPr>
        <w:pStyle w:val="BookText"/>
        <w:rPr/>
      </w:pPr>
      <w:r>
        <w:rPr>
          <w:rFonts w:ascii="IRNazanin" w:hAnsi="IRNazanin" w:eastAsia="IRNazanin"/>
          <w:color w:val="111111"/>
          <w:sz w:val="28"/>
          <w:sz w:val="28"/>
          <w:szCs w:val="28"/>
          <w:rtl w:val="true"/>
          <w:lang w:bidi="fa-IR"/>
        </w:rPr>
        <w:t>و أضاف فی الجواهر</w:t>
      </w:r>
      <w:r>
        <w:rPr>
          <w:rStyle w:val="FootnoteAnchor"/>
          <w:rtl w:val="true"/>
        </w:rPr>
        <w:footnoteReference w:id="1979"/>
      </w:r>
      <w:r>
        <w:rPr>
          <w:rFonts w:ascii="IRNazanin" w:hAnsi="IRNazanin" w:eastAsia="IRNazanin"/>
          <w:color w:val="111111"/>
          <w:sz w:val="28"/>
          <w:sz w:val="28"/>
          <w:szCs w:val="28"/>
          <w:rtl w:val="true"/>
          <w:lang w:bidi="fa-IR"/>
        </w:rPr>
        <w:t>و مصباح الفقیه</w:t>
      </w:r>
      <w:r>
        <w:rPr>
          <w:rStyle w:val="FootnoteAnchor"/>
          <w:rtl w:val="true"/>
        </w:rPr>
        <w:footnoteReference w:id="1980"/>
      </w:r>
      <w:r>
        <w:rPr>
          <w:rFonts w:ascii="IRNazanin" w:hAnsi="IRNazanin" w:eastAsia="IRNazanin"/>
          <w:color w:val="111111"/>
          <w:sz w:val="28"/>
          <w:sz w:val="28"/>
          <w:szCs w:val="28"/>
          <w:rtl w:val="true"/>
          <w:lang w:bidi="fa-IR"/>
        </w:rPr>
        <w:t>شهرة عظیمة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کادت تکون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هی کذلک فی صریح الانتصار</w:t>
      </w:r>
      <w:r>
        <w:rPr>
          <w:rStyle w:val="FootnoteAnchor"/>
          <w:rtl w:val="true"/>
        </w:rPr>
        <w:footnoteReference w:id="1981"/>
      </w:r>
      <w:r>
        <w:rPr>
          <w:rFonts w:ascii="IRNazanin" w:hAnsi="IRNazanin" w:eastAsia="IRNazanin"/>
          <w:color w:val="111111"/>
          <w:sz w:val="28"/>
          <w:sz w:val="28"/>
          <w:szCs w:val="28"/>
          <w:rtl w:val="true"/>
          <w:lang w:bidi="fa-IR"/>
        </w:rPr>
        <w:t>و ظاهر الغنیة و کشف الرموز</w:t>
      </w:r>
      <w:r>
        <w:rPr>
          <w:rStyle w:val="FootnoteAnchor"/>
          <w:rtl w:val="true"/>
        </w:rPr>
        <w:footnoteReference w:id="19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یدلّ علی أنّ سهماً من الخمس لأیتام السادة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 مِنْ شَیْ‌ءٍ فَأَنَّ لِلّهِ خُمُسَهُ وَ لِلرَّسُولِ وَ لِذِی الْقُرْبی وَ الْیَتامی وَ الْمَساکِینِ وَ ابْنِ السَّبِیلِ إِنْ کُنْتُمْ آمَنْتُمْ بِاللّهِ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ورد فی تفسیر الآیة عن مولانا أمیر المؤمنین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و اللّه عنی بذی القربی، الذین قرننا اللّه بنفسه و برسوله،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 لِلّهِ خُمُسَهُ وَ لِلرَّسُولِ وَ لِذِی الْقُرْبی وَ الْیَتامی وَ الْمَساکِینِ وَ ابْنِ السَّبِیلِ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فینا خاصّة</w:t>
      </w:r>
      <w:r>
        <w:rPr>
          <w:rFonts w:eastAsia="Amiri" w:cs="Amiri" w:ascii="Amiri" w:hAnsi="Amiri"/>
          <w:color w:val="111111"/>
          <w:sz w:val="28"/>
          <w:szCs w:val="28"/>
          <w:rtl w:val="true"/>
          <w:lang w:bidi="ar-SA"/>
        </w:rPr>
        <w:t>»</w:t>
      </w:r>
      <w:r>
        <w:rPr>
          <w:rStyle w:val="FootnoteAnchor"/>
          <w:rtl w:val="true"/>
        </w:rPr>
        <w:footnoteReference w:id="19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هکذا النصوص المستفیضة، کموثّقة ابن بکیر، عن بعض أصحابه، عن أحدهما علیهما 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 مِنْ شَیْ‌ءٍ فَأَنَّ لِلّهِ خُمُسَهُ وَ لِلرَّسُولِ وَ لِذِی الْقُرْبی وَ الْیَتامی وَ الْمَساکِینِ وَ ابْنِ السَّبِیلِ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اللّه للإمام، و خمس الرسول للإمام، و خمس ذوی القربی لقرابة الرسول الإمام، و الیتامی یتامی الرسول، و المساکین منهم، و أبناء السبیل منهم، فلا یخرج منهم إلی غیرهم</w:t>
      </w:r>
      <w:r>
        <w:rPr>
          <w:rFonts w:eastAsia="Amiri" w:cs="Amiri" w:ascii="Amiri" w:hAnsi="Amiri"/>
          <w:color w:val="111111"/>
          <w:sz w:val="28"/>
          <w:szCs w:val="28"/>
          <w:rtl w:val="true"/>
          <w:lang w:bidi="ar-SA"/>
        </w:rPr>
        <w:t>»</w:t>
      </w:r>
      <w:r>
        <w:rPr>
          <w:rStyle w:val="FootnoteAnchor"/>
          <w:rtl w:val="true"/>
        </w:rPr>
        <w:footnoteReference w:id="1984"/>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مرفوعة أحمد بن محمد، عن بعض أصحابنا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الخمس من خمسة</w:t>
      </w:r>
    </w:p>
    <w:p>
      <w:pPr>
        <w:pStyle w:val="BookText"/>
        <w:rPr/>
      </w:pPr>
      <w:r>
        <w:rPr>
          <w:rFonts w:ascii="IRNazanin" w:hAnsi="IRNazanin" w:eastAsia="IRNazanin"/>
          <w:color w:val="111111"/>
          <w:sz w:val="28"/>
          <w:sz w:val="28"/>
          <w:szCs w:val="28"/>
          <w:rtl w:val="true"/>
          <w:lang w:bidi="fa-IR"/>
        </w:rPr>
        <w:t xml:space="preserve">أشیاء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فأمّا الخمس فیقسّم علی ستّة أسهم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للّه، و سهم للرسول صلی الله علیه و آله، و سهم لذوی القربی، و سهم للیتامی، و سهم للمساکین، و سهم لأبناء السبیل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النصف للیتامی و المساکین و أبناء السبیل من آل محمد علیهم السلام، الذین لا تحلّ لهم الصدقة و لا الزکاة، عوّضهم اللّه مکان ذلک بالخمس، فهو یعطیهم علی قدر کفایتهم، فإن فضل منهم شیء فهو له، و إن نقص عنهم و لم یکفهم أتمّه لهم من عنده، کما صار له الفضل کذلک یلزمه النقصان</w:t>
      </w:r>
      <w:r>
        <w:rPr>
          <w:rFonts w:eastAsia="IRNazanin" w:cs="IRNazanin"/>
          <w:color w:val="111111"/>
          <w:sz w:val="28"/>
          <w:szCs w:val="28"/>
          <w:rtl w:val="true"/>
          <w:lang w:bidi="fa-IR"/>
        </w:rPr>
        <w:t>»</w:t>
      </w:r>
      <w:r>
        <w:rPr>
          <w:rStyle w:val="FootnoteAnchor"/>
          <w:rtl w:val="true"/>
        </w:rPr>
        <w:footnoteReference w:id="19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أیضاً یدلّ علیه مرسلة حماد بن عیسی، عن العبد الصالح علیه السلام، فإنّه جاء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سهم للیتامی، و سهم للمساکین، و سهم لأبناء السبیل، فسهم اللّه و سهم رسول اللّه صلی الله علیه و آله لأولی الأمر من بعد رسول اللّه وراثة، و له ثلاثة أسهم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سهمان وراثة، و سهم مقسومٌ له من اللّه، و له نصف الخمس کملاً، و نصف الخمس الباقی بین أهل بیته، فسهم لیتاماهم، و سهم لمساکینهم، و سهم لأبناء سبیلهم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19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استدلّ فی المعتبر علی هذه المسألة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یعتبر فی الطوائف الثلاث الذین هم شرکاء فی الخمس انتسابهم إلی عبد المطّلب بدلائل تجری فی المقام، و نذکرها تلخیصاً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الخمس عوض عن الزکاة فیختصّ به مَن یُمنع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النبیّ صلی الله علیه و آله و سلم بخیر بنی هاشم أتمّ من اهتمامه بغیرهم، فلو شارک غیرهم لکان اهتمامه بذلک الغیر أتمّ؛ لانفراده بالزکاة، و مشارکته بالخمس</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بنی هاشم أشرف الأمة، و الخمس أرفع درجة من الزکاة</w:t>
      </w:r>
      <w:bookmarkStart w:id="943" w:name="pg11752_146476"/>
    </w:p>
    <w:p>
      <w:pPr>
        <w:pStyle w:val="BookText"/>
        <w:rPr/>
      </w:pPr>
      <w:bookmarkEnd w:id="943"/>
      <w:r>
        <w:rPr>
          <w:rFonts w:ascii="IRNazanin" w:hAnsi="IRNazanin" w:eastAsia="IRNazanin"/>
          <w:color w:val="111111"/>
          <w:sz w:val="28"/>
          <w:sz w:val="28"/>
          <w:szCs w:val="28"/>
          <w:rtl w:val="true"/>
          <w:lang w:bidi="fa-IR"/>
        </w:rPr>
        <w:t>فیخصّ به القبیل</w:t>
      </w:r>
      <w:r>
        <w:rPr>
          <w:rStyle w:val="FootnoteAnchor"/>
          <w:rtl w:val="true"/>
        </w:rPr>
        <w:footnoteReference w:id="1987"/>
      </w:r>
      <w:r>
        <w:rPr>
          <w:rFonts w:ascii="IRNazanin" w:hAnsi="IRNazanin" w:eastAsia="IRNazanin"/>
          <w:color w:val="111111"/>
          <w:sz w:val="28"/>
          <w:sz w:val="28"/>
          <w:szCs w:val="28"/>
          <w:rtl w:val="true"/>
          <w:lang w:bidi="fa-IR"/>
        </w:rPr>
        <w:t>الأشرف، و کما لا یشارک الهاشمی غیره من الزکاة یجب أن لا یشارکه غیره فی الخمس</w:t>
      </w:r>
      <w:r>
        <w:rPr>
          <w:rFonts w:eastAsia="IRNazanin" w:cs="IRNazanin"/>
          <w:color w:val="111111"/>
          <w:sz w:val="28"/>
          <w:szCs w:val="28"/>
          <w:rtl w:val="true"/>
          <w:lang w:bidi="fa-IR"/>
        </w:rPr>
        <w:t>»</w:t>
      </w:r>
      <w:r>
        <w:rPr>
          <w:rStyle w:val="FootnoteAnchor"/>
          <w:rtl w:val="true"/>
        </w:rPr>
        <w:footnoteReference w:id="19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لقد أجاد المحقّق العاملی فی المدارک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یخفی أنّ هذه الوجوه إنّما تصلح توجیهات للنصّ الدالّ علی الاختصاص، لا أدلّة مستقلّة علی الحکم</w:t>
      </w:r>
      <w:r>
        <w:rPr>
          <w:rFonts w:eastAsia="IRNazanin" w:cs="IRNazanin"/>
          <w:color w:val="111111"/>
          <w:sz w:val="28"/>
          <w:szCs w:val="28"/>
          <w:rtl w:val="true"/>
          <w:lang w:bidi="fa-IR"/>
        </w:rPr>
        <w:t>»</w:t>
      </w:r>
      <w:r>
        <w:rPr>
          <w:rStyle w:val="FootnoteAnchor"/>
          <w:rtl w:val="true"/>
        </w:rPr>
        <w:footnoteReference w:id="19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4" w:name="__RefHeading___Toc9424488_73709187"/>
      <w:bookmarkStart w:id="945" w:name="_Toc358"/>
      <w:bookmarkEnd w:id="944"/>
      <w:r>
        <w:rPr>
          <w:rtl w:val="true"/>
        </w:rPr>
        <w:t>ما الذی نستفیده من الأخبار؟</w:t>
      </w:r>
      <w:bookmarkEnd w:id="945"/>
    </w:p>
    <w:p>
      <w:pPr>
        <w:pStyle w:val="BookText"/>
        <w:rPr/>
      </w:pPr>
      <w:r>
        <w:rPr>
          <w:rFonts w:ascii="IRNazanin" w:hAnsi="IRNazanin" w:eastAsia="IRNazanin"/>
          <w:color w:val="111111"/>
          <w:sz w:val="28"/>
          <w:sz w:val="28"/>
          <w:szCs w:val="28"/>
          <w:rtl w:val="true"/>
          <w:lang w:bidi="fa-IR"/>
        </w:rPr>
        <w:t>یستفاد من الآیة الکریمة و هذه الأخبار 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الخمس و أنّه یقسّم ستّة أقسام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سهماً منه کان لأیتام السادة، و هم الذین ینتسبون إلی أمیر المؤمنین علیه السلام و جعفر بن أبی طالب و عقیل بن أبی طالب و العبّاس بن عبد المطلب، لا یخرج منهم إلی غیرهم، و لا تحلّ لهم الصدقة و لا الزکاة، و قد عوّضهم اللّه مکان ذلک بالخمس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نصف الخمس یختصّ بالنبیّ صلی الله علیه و آله و سلم أو الإمام القائم مقامه، و فی غیبة الإمام یختصّ بالحاکم الجامع للشرائط، النائب عن الإمام المعصوم علیه السلام علی سبیل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یجوز أن یعطی أیتام السادة الصدقة الواجبة مثل الزکاة، کما یأتی بیانه</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هو العمدة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یجوز صرف الخمس لنفقة أیتام السادة و صبیان الفقراء منهم؛ لأنّ سهماً منه شرِّع لذلک، و ثلاثة أسهم التی للإمام علیه السلام فهی فی زمان</w:t>
      </w:r>
      <w:bookmarkStart w:id="946" w:name="pg11752_146477"/>
    </w:p>
    <w:p>
      <w:pPr>
        <w:pStyle w:val="BookText"/>
        <w:rPr/>
      </w:pPr>
      <w:bookmarkEnd w:id="946"/>
      <w:r>
        <w:rPr>
          <w:rFonts w:ascii="IRNazanin" w:hAnsi="IRNazanin" w:eastAsia="IRNazanin"/>
          <w:color w:val="111111"/>
          <w:sz w:val="28"/>
          <w:sz w:val="28"/>
          <w:szCs w:val="28"/>
          <w:rtl w:val="true"/>
          <w:lang w:bidi="fa-IR"/>
        </w:rPr>
        <w:t>غیبته فوِّض أمرها بید الفقیه الجامع للشرائط، و أحد مصارفها أیتام السادة؛ لأنّهم من ذوی القربی الذین کانوا ذا سهم منه</w:t>
      </w:r>
      <w:r>
        <w:rPr>
          <w:rFonts w:eastAsia="IRNazanin" w:cs="IRNazanin"/>
          <w:color w:val="111111"/>
          <w:sz w:val="28"/>
          <w:szCs w:val="28"/>
          <w:rtl w:val="true"/>
          <w:lang w:bidi="fa-IR"/>
        </w:rPr>
        <w:t>.</w:t>
      </w:r>
    </w:p>
    <w:p>
      <w:pPr>
        <w:pStyle w:val="Heading5"/>
        <w:numPr>
          <w:ilvl w:val="4"/>
          <w:numId w:val="1"/>
        </w:numPr>
        <w:rPr/>
      </w:pPr>
      <w:bookmarkStart w:id="947" w:name="__RefHeading___Toc9424490_73709187"/>
      <w:bookmarkStart w:id="948" w:name="_Toc359"/>
      <w:bookmarkEnd w:id="947"/>
      <w:r>
        <w:rPr>
          <w:rtl w:val="true"/>
        </w:rPr>
        <w:t>عدم اختصاص الخمس بأیتام السادة فی فقه أهل السنّة</w:t>
      </w:r>
      <w:bookmarkEnd w:id="948"/>
    </w:p>
    <w:p>
      <w:pPr>
        <w:pStyle w:val="BookText"/>
        <w:rPr/>
      </w:pPr>
      <w:r>
        <w:rPr>
          <w:rFonts w:ascii="IRNazanin" w:hAnsi="IRNazanin" w:eastAsia="IRNazanin"/>
          <w:color w:val="111111"/>
          <w:sz w:val="28"/>
          <w:sz w:val="28"/>
          <w:szCs w:val="28"/>
          <w:rtl w:val="true"/>
          <w:lang w:bidi="fa-IR"/>
        </w:rPr>
        <w:t>فقهاء المذاهب الأربعة من أهل السنة لا یعتقدون باختصاص سهم من الخمس بأیتام السادة، کما قال به فقهاء الشیعة، بل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سهم الأیتام فی الخمس لکلّ یتیم، سواء کان من أولاد بنی هاشم أو من غیرهم، کما قالوا به فی المساکین و ابن السبیل، لإثبات هذا نذکر شطراً من کلماتهم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الشافعیة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الفقیه الشافعی النووی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یقسّم الخمس علی خمسة أسهم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لرسول اللّه صلی الله علیه و آله و سلم، و سهم لذوی القربی، و سهم للیتامی، و سهم للمساکین، و سهم لابن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سهم رسول اللّه صلی الله علیه و آله و سلم فإنّه یصرف فی مصالح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أمّا سهم ذوی القربی فهو لمن ینتسب إلی هاشم و المطّلب ابنی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سهم الیتامی فهو لکلّ صغیر فقیر لا أب له، فأمّا من له أب فلا حقّ له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سهم المساکین فهو لکلّ محتاج من الفقراء و المساکین</w:t>
      </w:r>
      <w:r>
        <w:rPr>
          <w:rFonts w:eastAsia="IRNazanin" w:cs="IRNazanin"/>
          <w:color w:val="111111"/>
          <w:sz w:val="28"/>
          <w:szCs w:val="28"/>
          <w:rtl w:val="true"/>
          <w:lang w:bidi="fa-IR"/>
        </w:rPr>
        <w:t>...»</w:t>
      </w:r>
      <w:r>
        <w:rPr>
          <w:rStyle w:val="FootnoteAnchor"/>
          <w:rtl w:val="true"/>
        </w:rPr>
        <w:footnoteReference w:id="19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الکاسانی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فیقسّم الخمس عندنا علی ثلاثة أسهم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للیتامی، و سهم للمساکین و سهم لأبناء السبیل، و یدخل فقراء ذوی القربی فیهم و یقدّمون، و لا یدفع إلی أغنیائهم شیء، و عند الشافعی لذوی القربی سهم علی حدّه یصرف إلی غنیّهم و فقیرهم</w:t>
      </w:r>
      <w:r>
        <w:rPr>
          <w:rFonts w:eastAsia="IRNazanin" w:cs="IRNazanin"/>
          <w:color w:val="111111"/>
          <w:sz w:val="28"/>
          <w:szCs w:val="28"/>
          <w:rtl w:val="true"/>
          <w:lang w:bidi="fa-IR"/>
        </w:rPr>
        <w:t>»</w:t>
      </w:r>
      <w:r>
        <w:rPr>
          <w:rStyle w:val="FootnoteAnchor"/>
          <w:rtl w:val="true"/>
        </w:rPr>
        <w:footnoteReference w:id="1991"/>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من کلامه أنّه یدخل فقراء ذوی القربی فی الثلاثة الذین یستحقّون</w:t>
      </w:r>
    </w:p>
    <w:p>
      <w:pPr>
        <w:pStyle w:val="BookText"/>
        <w:rPr/>
      </w:pPr>
      <w:r>
        <w:rPr>
          <w:rFonts w:ascii="IRNazanin" w:hAnsi="IRNazanin" w:eastAsia="IRNazanin"/>
          <w:color w:val="111111"/>
          <w:sz w:val="28"/>
          <w:sz w:val="28"/>
          <w:szCs w:val="28"/>
          <w:rtl w:val="true"/>
          <w:lang w:bidi="fa-IR"/>
        </w:rPr>
        <w:t>الخمس، و أنّ سهماً من الخمس لا اختصاص بأیتام السادة کما لا یختصّ بذوی القربی، و الأظهر منه کلام الجصّاص فی أحکام القرآن، فإنّه ذکر کلمات عدّة من الفقهاء و المفسّرین و الرواة،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عکرمة و قتادة و ابن عبّاس و أبو العالیة و محمّد ابن مسلم و غیرهم الظاهر منها عدم اشتراط انتساب الأصناف الثلاثة إلی هاشم و المطلب ابنی عبد مناف</w:t>
      </w:r>
      <w:r>
        <w:rPr>
          <w:rStyle w:val="FootnoteAnchor"/>
          <w:rtl w:val="true"/>
        </w:rPr>
        <w:footnoteReference w:id="19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الحنابلة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قدامة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الخمس مقسوم علی خمسة 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فسهم رسول اللّه یصرف فی مصالح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السهم الثانی لذی القربی و هم بنو هاشم و بنو المطلب حیث کانوا غنیّهم و فقیرهم فیه سواء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السهم الثالث للیتامی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یفرّقه الإمام فی جمیع الأقطار و لا یختصّ به أهل ذلک المغزی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السهم الرابع للمساکین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یدخل فیهم 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السهم الخامس لأبناء السبیل</w:t>
      </w:r>
      <w:r>
        <w:rPr>
          <w:rFonts w:eastAsia="IRNazanin" w:cs="IRNazanin"/>
          <w:color w:val="111111"/>
          <w:sz w:val="28"/>
          <w:szCs w:val="28"/>
          <w:rtl w:val="true"/>
          <w:lang w:bidi="fa-IR"/>
        </w:rPr>
        <w:t>...»</w:t>
      </w:r>
      <w:r>
        <w:rPr>
          <w:rStyle w:val="FootnoteAnchor"/>
          <w:rtl w:val="true"/>
        </w:rPr>
        <w:footnoteReference w:id="1993"/>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المالکیة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یضع الإمام الخمس إن شاء فی بیت المال، أو یصرفه فی مصالح المسلمین من شراء سلاح و غیره، و إن شاء قسّمه فیدفعه لآل النبیّ صلی الله علیه و آله أو لغیرهم، أو یجعل بعضه فیهم و بقیّته فی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فالخمس موکول إلی نظر الإمام و اجتهاده، فیأخذ منه من غیر تقدیر، و یعطی القرابة باجتهاده، و یصرف الباقی فی مصالح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 الخلفاء الأربعة و به عملوا و علیه یدلّ قوله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یحلّ لی ممّا أفاء اللّه علیکم قدر هذه إلا الخمس، و الخمس مردود فیکم</w:t>
      </w:r>
      <w:r>
        <w:rPr>
          <w:rStyle w:val="FootnoteAnchor"/>
          <w:rtl w:val="true"/>
        </w:rPr>
        <w:footnoteReference w:id="199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95"/>
      </w:r>
      <w:bookmarkStart w:id="949" w:name="pg11752_146479"/>
    </w:p>
    <w:p>
      <w:pPr>
        <w:pStyle w:val="Heading5"/>
        <w:numPr>
          <w:ilvl w:val="4"/>
          <w:numId w:val="1"/>
        </w:numPr>
        <w:rPr/>
      </w:pPr>
      <w:bookmarkStart w:id="950" w:name="__RefHeading___Toc9424492_73709187"/>
      <w:bookmarkStart w:id="951" w:name="_Toc360"/>
      <w:bookmarkEnd w:id="949"/>
      <w:bookmarkEnd w:id="950"/>
      <w:r>
        <w:rPr>
          <w:rtl w:val="true"/>
        </w:rPr>
        <w:t>تأمین نفقة أیتام السادة من الزکاة</w:t>
      </w:r>
      <w:bookmarkEnd w:id="951"/>
    </w:p>
    <w:p>
      <w:pPr>
        <w:pStyle w:val="BookText"/>
        <w:rPr/>
      </w:pPr>
      <w:r>
        <w:rPr>
          <w:rFonts w:ascii="IRNazanin" w:hAnsi="IRNazanin" w:eastAsia="IRNazanin"/>
          <w:color w:val="111111"/>
          <w:sz w:val="28"/>
          <w:sz w:val="28"/>
          <w:szCs w:val="28"/>
          <w:rtl w:val="true"/>
          <w:lang w:bidi="fa-IR"/>
        </w:rPr>
        <w:t>قلنا فی العنوان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الخمس شرّع للأصناف الثلاثة غیر الإمام علیه السلام و منهم أیتام السادة، و لا یجوز لهم أخذ الزکاة و لا نفقتهم من الزکاة؛ لأنّ أحد الشرائط فی المستحقّین من الزکاة أن لا یکون هاشمیاً، قال الشیخ فی النهایة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تحلّ الصدقة الواجبة فی الأموال لبنی هاشم قاطبة، و هم ینتسبون إلی أمیر المؤمنین علیه السلام، و جعفر بن أبی طالب، و عقیل بن أبی طالب، و عبّاس بن عبد المطلب</w:t>
      </w:r>
      <w:r>
        <w:rPr>
          <w:rFonts w:eastAsia="IRNazanin" w:cs="IRNazanin"/>
          <w:color w:val="111111"/>
          <w:sz w:val="28"/>
          <w:szCs w:val="28"/>
          <w:rtl w:val="true"/>
          <w:lang w:bidi="fa-IR"/>
        </w:rPr>
        <w:t>»</w:t>
      </w:r>
      <w:r>
        <w:rPr>
          <w:rStyle w:val="FootnoteAnchor"/>
          <w:rtl w:val="true"/>
        </w:rPr>
        <w:footnoteReference w:id="19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بمثله قال فی المبسوط‌</w:t>
      </w:r>
      <w:r>
        <w:rPr>
          <w:rStyle w:val="FootnoteAnchor"/>
          <w:rtl w:val="true"/>
        </w:rPr>
        <w:footnoteReference w:id="19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غیره کما فی المقنعة</w:t>
      </w:r>
      <w:r>
        <w:rPr>
          <w:rStyle w:val="FootnoteAnchor"/>
          <w:rtl w:val="true"/>
        </w:rPr>
        <w:footnoteReference w:id="1998"/>
      </w:r>
      <w:r>
        <w:rPr>
          <w:rFonts w:ascii="IRNazanin" w:hAnsi="IRNazanin" w:eastAsia="IRNazanin"/>
          <w:color w:val="111111"/>
          <w:sz w:val="28"/>
          <w:sz w:val="28"/>
          <w:szCs w:val="28"/>
          <w:rtl w:val="true"/>
          <w:lang w:bidi="fa-IR"/>
        </w:rPr>
        <w:t>و جامع المقاصد</w:t>
      </w:r>
      <w:r>
        <w:rPr>
          <w:rStyle w:val="FootnoteAnchor"/>
          <w:rtl w:val="true"/>
        </w:rPr>
        <w:footnoteReference w:id="1999"/>
      </w:r>
    </w:p>
    <w:p>
      <w:pPr>
        <w:pStyle w:val="BookText"/>
        <w:rPr/>
      </w:pPr>
      <w:r>
        <w:rPr>
          <w:rFonts w:ascii="IRNazanin" w:hAnsi="IRNazanin" w:eastAsia="IRNazanin"/>
          <w:color w:val="111111"/>
          <w:sz w:val="28"/>
          <w:sz w:val="28"/>
          <w:szCs w:val="28"/>
          <w:rtl w:val="true"/>
          <w:lang w:bidi="fa-IR"/>
        </w:rPr>
        <w:t>و أضاف فی المنتهی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بأنّه قد أجمع علماء الإسلام علی أنّ الصدقة المفروضة من غیر الهاشمی محرّمة علی الهاشمی</w:t>
      </w:r>
      <w:r>
        <w:rPr>
          <w:rFonts w:eastAsia="IRNazanin" w:cs="IRNazanin"/>
          <w:color w:val="111111"/>
          <w:sz w:val="28"/>
          <w:szCs w:val="28"/>
          <w:rtl w:val="true"/>
          <w:lang w:bidi="fa-IR"/>
        </w:rPr>
        <w:t>»</w:t>
      </w:r>
      <w:r>
        <w:rPr>
          <w:rStyle w:val="FootnoteAnchor"/>
          <w:rtl w:val="true"/>
        </w:rPr>
        <w:footnoteReference w:id="20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مجمع الفائدة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فالظاهر أنّه الإجماع من المسلمین فی الجملة</w:t>
      </w:r>
      <w:r>
        <w:rPr>
          <w:rFonts w:eastAsia="IRNazanin" w:cs="IRNazanin"/>
          <w:color w:val="111111"/>
          <w:sz w:val="28"/>
          <w:szCs w:val="28"/>
          <w:rtl w:val="true"/>
          <w:lang w:bidi="fa-IR"/>
        </w:rPr>
        <w:t>»</w:t>
      </w:r>
      <w:r>
        <w:rPr>
          <w:rStyle w:val="FootnoteAnchor"/>
          <w:rtl w:val="true"/>
        </w:rPr>
        <w:footnoteReference w:id="20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کلّ تقدیر، هذا الحکم مسلّم بین الفقهاء، و النصوص الواردة من طرق الشیعة و السنّة الدالّة علیه مستفیضة، فروی الجمهور عن النبیّ صلی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الصدقة لا تنبغی لآل محمّد، إنّما هی أوساخ الناس</w:t>
      </w:r>
      <w:r>
        <w:rPr>
          <w:rFonts w:eastAsia="IRNazanin" w:cs="IRNazanin"/>
          <w:color w:val="111111"/>
          <w:sz w:val="28"/>
          <w:szCs w:val="28"/>
          <w:rtl w:val="true"/>
          <w:lang w:bidi="fa-IR"/>
        </w:rPr>
        <w:t>»</w:t>
      </w:r>
      <w:r>
        <w:rPr>
          <w:rStyle w:val="FootnoteAnchor"/>
          <w:rtl w:val="true"/>
        </w:rPr>
        <w:footnoteReference w:id="2002"/>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رووا أیضاً أنّ الحسن علیه السلام أخذ تمرةً من تمر الصدقة فجعلها فی فیه، فقال له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کخ کخ ارمِ بها، أ ما علمت أنّا لا نأکل الصدقة</w:t>
      </w:r>
      <w:r>
        <w:rPr>
          <w:rFonts w:eastAsia="IRNazanin" w:cs="IRNazanin"/>
          <w:color w:val="111111"/>
          <w:sz w:val="28"/>
          <w:szCs w:val="28"/>
          <w:rtl w:val="true"/>
          <w:lang w:bidi="fa-IR"/>
        </w:rPr>
        <w:t>»</w:t>
      </w:r>
      <w:r>
        <w:rPr>
          <w:rStyle w:val="FootnoteAnchor"/>
          <w:rtl w:val="true"/>
        </w:rPr>
        <w:footnoteReference w:id="2003"/>
      </w:r>
    </w:p>
    <w:p>
      <w:pPr>
        <w:pStyle w:val="BookText"/>
        <w:rPr/>
      </w:pPr>
      <w:r>
        <w:rPr>
          <w:rFonts w:ascii="IRNazanin" w:hAnsi="IRNazanin" w:eastAsia="IRNazanin"/>
          <w:color w:val="111111"/>
          <w:sz w:val="28"/>
          <w:sz w:val="28"/>
          <w:szCs w:val="28"/>
          <w:rtl w:val="true"/>
          <w:lang w:bidi="fa-IR"/>
        </w:rPr>
        <w:t>و من طرق الشیعة روی عیص بن القاسم،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أناساً من بنی هاشم أتوا رسول اللّه صلی الله علیه و آله و سلم فسألوه أن یستعملهم علی صدقات المواشی،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لنا هذا السهم الذی جعل اللّه عزّ و جلّ للعاملین علیها فنحن أولی به،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الصدقة لا تحلّ لی و لا لکم و لکنّی قد وعدت الشفاعة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20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هکذا روی محمد بن مسلم و زرارة فی الحسن، عن أبی جعفر و أبی عبد اللّه علیهما السلام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الصدقة أوساخ أیدی الناس، و إنّ اللّه قد حرّم علیّ منها و من غیرها ما قد حرّمه، و إنّ الصدقة لا تحلّ لبنی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20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أیضاً روی ابن سنان،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تحلّ الصدقة لولد العباس و لا لنظرائهم من بنی هاشم</w:t>
      </w:r>
      <w:r>
        <w:rPr>
          <w:rFonts w:eastAsia="IRNazanin" w:cs="IRNazanin"/>
          <w:color w:val="111111"/>
          <w:sz w:val="28"/>
          <w:szCs w:val="28"/>
          <w:rtl w:val="true"/>
          <w:lang w:bidi="fa-IR"/>
        </w:rPr>
        <w:t>»</w:t>
      </w:r>
      <w:r>
        <w:rPr>
          <w:rStyle w:val="FootnoteAnchor"/>
          <w:rtl w:val="true"/>
        </w:rPr>
        <w:footnoteReference w:id="2006"/>
      </w:r>
      <w:r>
        <w:rPr>
          <w:rFonts w:ascii="Amiri" w:hAnsi="Amiri" w:eastAsia="Amiri" w:cs="Amiri"/>
          <w:color w:val="111111"/>
          <w:sz w:val="28"/>
          <w:sz w:val="28"/>
          <w:szCs w:val="28"/>
          <w:rtl w:val="true"/>
          <w:lang w:bidi="ar-SA"/>
        </w:rPr>
        <w:t>و الدلالة واضحة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الظاهر أنّ الحرمة تختصّ بحال تمکّنهم من الأخماس، فإن قصر الخمس عن کفایتهم جاز أن یعطوا من الزکاة بقدر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المنتهی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علیه فتوی علمائنا</w:t>
      </w:r>
      <w:r>
        <w:rPr>
          <w:rFonts w:eastAsia="IRNazanin" w:cs="IRNazanin"/>
          <w:color w:val="111111"/>
          <w:sz w:val="28"/>
          <w:szCs w:val="28"/>
          <w:rtl w:val="true"/>
          <w:lang w:bidi="fa-IR"/>
        </w:rPr>
        <w:t>»</w:t>
      </w:r>
      <w:r>
        <w:rPr>
          <w:rStyle w:val="FootnoteAnchor"/>
          <w:rtl w:val="true"/>
        </w:rPr>
        <w:footnoteReference w:id="2007"/>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المستند لهذا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الضرورة و الحاجة اللتین تقتضیان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الشیخ فی الموثّق عن زرارة،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لو کان العدل ما احتاج هاشمیٌّ و لا مطّلبیٌ‌ّ إلی الصدقة، إنّ اللّه جعل لهم فی کتابه ما کان فیه سعتهم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الرجل إذا لم یجد شیئاً حلّت له المیتة، و الصدقة لا تحلّ لأحد منهم إلاّ</w:t>
      </w:r>
      <w:bookmarkStart w:id="952" w:name="pg11752_146481"/>
    </w:p>
    <w:p>
      <w:pPr>
        <w:pStyle w:val="BookText"/>
        <w:rPr/>
      </w:pPr>
      <w:bookmarkEnd w:id="952"/>
      <w:r>
        <w:rPr>
          <w:rFonts w:ascii="IRNazanin" w:hAnsi="IRNazanin" w:eastAsia="IRNazanin"/>
          <w:color w:val="111111"/>
          <w:sz w:val="28"/>
          <w:sz w:val="28"/>
          <w:szCs w:val="28"/>
          <w:rtl w:val="true"/>
          <w:lang w:bidi="fa-IR"/>
        </w:rPr>
        <w:t>أن لا یجد شیئاً و یکون ممّن یحلّ له المیتة</w:t>
      </w:r>
      <w:r>
        <w:rPr>
          <w:rFonts w:eastAsia="IRNazanin" w:cs="IRNazanin"/>
          <w:color w:val="111111"/>
          <w:sz w:val="28"/>
          <w:szCs w:val="28"/>
          <w:rtl w:val="true"/>
          <w:lang w:bidi="fa-IR"/>
        </w:rPr>
        <w:t>»</w:t>
      </w:r>
      <w:r>
        <w:rPr>
          <w:rStyle w:val="FootnoteAnchor"/>
          <w:rtl w:val="true"/>
        </w:rPr>
        <w:footnoteReference w:id="20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أیضاً عدم تحریم الزکاة الواجبة لبعضهم علی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مدارک الأحکام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بحکم مذهب الأصحاب لا أعلم فیه مخالفاً</w:t>
      </w:r>
      <w:r>
        <w:rPr>
          <w:rFonts w:eastAsia="IRNazanin" w:cs="IRNazanin"/>
          <w:color w:val="111111"/>
          <w:sz w:val="28"/>
          <w:szCs w:val="28"/>
          <w:rtl w:val="true"/>
          <w:lang w:bidi="fa-IR"/>
        </w:rPr>
        <w:t>»</w:t>
      </w:r>
      <w:r>
        <w:rPr>
          <w:rStyle w:val="FootnoteAnchor"/>
          <w:rtl w:val="true"/>
        </w:rPr>
        <w:footnoteReference w:id="20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یدلّ علیه عموم آیة الزکاة و أخبارها، و تخصیص أخبار المنع بزکاة غیرهم، کما یشعر به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أوساخ أیدی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علیه أیضاً صحیحة الحلبی،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فاطمة علیها السلام جعلت صدقتها لبنی هاشم و بنی عبد المطلب</w:t>
      </w:r>
      <w:r>
        <w:rPr>
          <w:rFonts w:eastAsia="IRNazanin" w:cs="IRNazanin"/>
          <w:color w:val="111111"/>
          <w:sz w:val="28"/>
          <w:szCs w:val="28"/>
          <w:rtl w:val="true"/>
          <w:lang w:bidi="fa-IR"/>
        </w:rPr>
        <w:t>»</w:t>
      </w:r>
      <w:r>
        <w:rPr>
          <w:rStyle w:val="FootnoteAnchor"/>
          <w:rtl w:val="true"/>
        </w:rPr>
        <w:footnoteReference w:id="2010"/>
      </w:r>
    </w:p>
    <w:p>
      <w:pPr>
        <w:pStyle w:val="BookText"/>
        <w:rPr/>
      </w:pPr>
      <w:r>
        <w:rPr>
          <w:rFonts w:ascii="IRNazanin" w:hAnsi="IRNazanin" w:eastAsia="IRNazanin"/>
          <w:color w:val="111111"/>
          <w:sz w:val="28"/>
          <w:sz w:val="28"/>
          <w:szCs w:val="28"/>
          <w:rtl w:val="true"/>
          <w:lang w:bidi="fa-IR"/>
        </w:rPr>
        <w:t>و إن کان فی دلالتها وجه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رواه الشیخ فی الموثّق عن زرارة،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صدقات بنی هاشم بعضهم علی بعض تحلّ لهم؟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20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جاء فی خبر أبی أسامة زید الشحّام،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الصدقة التی حرّمت علیهم؟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الزکاة المفروضة، و لم یحرّم علینا صدقة بعضنا علی بعض</w:t>
      </w:r>
      <w:r>
        <w:rPr>
          <w:rFonts w:eastAsia="IRNazanin" w:cs="IRNazanin"/>
          <w:color w:val="111111"/>
          <w:sz w:val="28"/>
          <w:szCs w:val="28"/>
          <w:rtl w:val="true"/>
          <w:lang w:bidi="fa-IR"/>
        </w:rPr>
        <w:t>»</w:t>
      </w:r>
      <w:r>
        <w:rPr>
          <w:rStyle w:val="FootnoteAnchor"/>
          <w:rtl w:val="true"/>
        </w:rPr>
        <w:footnoteReference w:id="20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غیرها من الروایات</w:t>
      </w:r>
      <w:r>
        <w:rPr>
          <w:rStyle w:val="FootnoteAnchor"/>
          <w:rtl w:val="true"/>
        </w:rPr>
        <w:footnoteReference w:id="20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3" w:name="__RefHeading___Toc9424494_73709187"/>
      <w:bookmarkStart w:id="954" w:name="_Toc361"/>
      <w:bookmarkEnd w:id="953"/>
      <w:r>
        <w:rPr>
          <w:rtl w:val="true"/>
        </w:rPr>
        <w:t>لا تحرم نفقة أیتام السادة من الصدقات المندوبة</w:t>
      </w:r>
      <w:bookmarkEnd w:id="954"/>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المشهور بین الفقهاء</w:t>
      </w:r>
      <w:r>
        <w:rPr>
          <w:rStyle w:val="FootnoteAnchor"/>
          <w:rtl w:val="true"/>
        </w:rPr>
        <w:footnoteReference w:id="2014"/>
      </w:r>
      <w:r>
        <w:rPr>
          <w:rFonts w:ascii="IRNazanin" w:hAnsi="IRNazanin" w:eastAsia="IRNazanin"/>
          <w:color w:val="111111"/>
          <w:sz w:val="28"/>
          <w:sz w:val="28"/>
          <w:szCs w:val="28"/>
          <w:rtl w:val="true"/>
          <w:lang w:bidi="fa-IR"/>
        </w:rPr>
        <w:t>رضوان اللّه تعالی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تحریم الصدقة علی السادة یختصّ بالواجبة، و أمّا المندوبة فلا تحرم، قال فی المنتهی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تحرم علیهم الصدقة</w:t>
      </w:r>
      <w:bookmarkStart w:id="955" w:name="pg11752_146482"/>
    </w:p>
    <w:p>
      <w:pPr>
        <w:pStyle w:val="BookText"/>
        <w:rPr/>
      </w:pPr>
      <w:bookmarkEnd w:id="955"/>
      <w:r>
        <w:rPr>
          <w:rFonts w:ascii="IRNazanin" w:hAnsi="IRNazanin" w:eastAsia="IRNazanin"/>
          <w:color w:val="111111"/>
          <w:sz w:val="28"/>
          <w:sz w:val="28"/>
          <w:szCs w:val="28"/>
          <w:rtl w:val="true"/>
          <w:lang w:bidi="fa-IR"/>
        </w:rPr>
        <w:t>المندوبة، ذهب إلیه علماؤنا و هو قول أکثر أهل العلم</w:t>
      </w:r>
      <w:r>
        <w:rPr>
          <w:rFonts w:eastAsia="IRNazanin" w:cs="IRNazanin"/>
          <w:color w:val="111111"/>
          <w:sz w:val="28"/>
          <w:szCs w:val="28"/>
          <w:rtl w:val="true"/>
          <w:lang w:bidi="fa-IR"/>
        </w:rPr>
        <w:t>»</w:t>
      </w:r>
      <w:r>
        <w:rPr>
          <w:rStyle w:val="FootnoteAnchor"/>
          <w:rtl w:val="true"/>
        </w:rPr>
        <w:footnoteReference w:id="2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المستند لهذا عموم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تَعاوَنُوا عَلَی الْبِرِّ وَ التَّقْوی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رواه الشیخ فی الصحیح، عن أبی عبد اللّه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حرمت الصدقة علینا لم یحلّ لنا أن نخرج إلی مکّة؛ لأنّ کلّ ماء</w:t>
      </w:r>
      <w:r>
        <w:rPr>
          <w:rStyle w:val="FootnoteAnchor"/>
          <w:rtl w:val="true"/>
        </w:rPr>
        <w:footnoteReference w:id="2016"/>
      </w:r>
      <w:r>
        <w:rPr>
          <w:rFonts w:ascii="IRNazanin" w:hAnsi="IRNazanin" w:eastAsia="IRNazanin"/>
          <w:color w:val="111111"/>
          <w:sz w:val="28"/>
          <w:sz w:val="28"/>
          <w:szCs w:val="28"/>
          <w:rtl w:val="true"/>
          <w:lang w:bidi="fa-IR"/>
        </w:rPr>
        <w:t>بین مکّة و المدینة فهو صدقة</w:t>
      </w:r>
      <w:r>
        <w:rPr>
          <w:rFonts w:eastAsia="IRNazanin" w:cs="IRNazanin"/>
          <w:color w:val="111111"/>
          <w:sz w:val="28"/>
          <w:szCs w:val="28"/>
          <w:rtl w:val="true"/>
          <w:lang w:bidi="fa-IR"/>
        </w:rPr>
        <w:t>»</w:t>
      </w:r>
      <w:r>
        <w:rPr>
          <w:rStyle w:val="FootnoteAnchor"/>
          <w:rtl w:val="true"/>
        </w:rPr>
        <w:footnoteReference w:id="20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هکذا ما رواه فی الصحیح عن جعفر بن إبراهیم الهاشمی،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تحل الصدقة لبنی هاشم؟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تلک الصدقة الواجبة علی الناس لا تحلّ لنا، فأمّا غیر ذلک فلیس به بأس، و لو کان کذلک ما استطاعوا أن یخرجوا إلی مکّة هذه المیاه عامّتها صدقة</w:t>
      </w:r>
      <w:r>
        <w:rPr>
          <w:rFonts w:eastAsia="IRNazanin" w:cs="IRNazanin"/>
          <w:color w:val="111111"/>
          <w:sz w:val="28"/>
          <w:szCs w:val="28"/>
          <w:rtl w:val="true"/>
          <w:lang w:bidi="fa-IR"/>
        </w:rPr>
        <w:t>»</w:t>
      </w:r>
      <w:r>
        <w:rPr>
          <w:rStyle w:val="FootnoteAnchor"/>
          <w:rtl w:val="true"/>
        </w:rPr>
        <w:footnoteReference w:id="20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غیرها، مثل ما رواهُ إسماعیل بن الفضل الهاشمی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الصدقة التی حرمت علی بنی هاشم ما هی؟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الزکاة</w:t>
      </w:r>
      <w:r>
        <w:rPr>
          <w:rFonts w:eastAsia="IRNazanin" w:cs="IRNazanin"/>
          <w:color w:val="111111"/>
          <w:sz w:val="28"/>
          <w:szCs w:val="28"/>
          <w:rtl w:val="true"/>
          <w:lang w:bidi="fa-IR"/>
        </w:rPr>
        <w:t>»</w:t>
      </w:r>
      <w:r>
        <w:rPr>
          <w:rStyle w:val="FootnoteAnchor"/>
          <w:rtl w:val="true"/>
        </w:rPr>
        <w:footnoteReference w:id="20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یستفاد من هذه الروایات عدم تحریم ما عدا الزکاة من الصدقة المنذورة و الموصی بها و الکفّارة</w:t>
      </w:r>
      <w:r>
        <w:rPr>
          <w:rFonts w:eastAsia="IRNazanin" w:cs="IRNazanin"/>
          <w:color w:val="111111"/>
          <w:sz w:val="28"/>
          <w:szCs w:val="28"/>
          <w:rtl w:val="true"/>
          <w:lang w:bidi="fa-IR"/>
        </w:rPr>
        <w:t>.</w:t>
      </w:r>
    </w:p>
    <w:p>
      <w:pPr>
        <w:pStyle w:val="Heading5"/>
        <w:numPr>
          <w:ilvl w:val="4"/>
          <w:numId w:val="1"/>
        </w:numPr>
        <w:rPr/>
      </w:pPr>
      <w:bookmarkStart w:id="956" w:name="__RefHeading___Toc9424496_73709187"/>
      <w:bookmarkStart w:id="957" w:name="_Toc362"/>
      <w:bookmarkEnd w:id="956"/>
      <w:r>
        <w:rPr>
          <w:rtl w:val="true"/>
        </w:rPr>
        <w:t>اختلاف الشیعة و أهل السنّة فی أصناف الخمس</w:t>
      </w:r>
      <w:bookmarkEnd w:id="957"/>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أنّه اختلف أهل السنّة و الشیعة فیما یجب فیه الخمس فالشیعة یعتقدون</w:t>
      </w:r>
    </w:p>
    <w:p>
      <w:pPr>
        <w:pStyle w:val="BookText"/>
        <w:rPr/>
      </w:pPr>
      <w:r>
        <w:rPr>
          <w:rFonts w:ascii="IRNazanin" w:hAnsi="IRNazanin" w:eastAsia="IRNazanin"/>
          <w:color w:val="111111"/>
          <w:sz w:val="28"/>
          <w:sz w:val="28"/>
          <w:szCs w:val="28"/>
          <w:rtl w:val="true"/>
          <w:lang w:bidi="fa-IR"/>
        </w:rPr>
        <w:t>بوجوب الخمس فی سبعة أصناف</w:t>
      </w:r>
      <w:r>
        <w:rPr>
          <w:rStyle w:val="FootnoteAnchor"/>
          <w:rtl w:val="true"/>
        </w:rPr>
        <w:footnoteReference w:id="2020"/>
      </w:r>
      <w:r>
        <w:rPr>
          <w:rFonts w:ascii="IRNazanin" w:hAnsi="IRNazanin" w:eastAsia="IRNazanin"/>
          <w:color w:val="111111"/>
          <w:sz w:val="28"/>
          <w:sz w:val="28"/>
          <w:szCs w:val="28"/>
          <w:rtl w:val="true"/>
          <w:lang w:bidi="fa-IR"/>
        </w:rPr>
        <w:t>و الجمهور من أهل السنة لا یعتقدون بذلک بل قالوا فی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الغنائم المأخوذة من دار الحرب، ما حواه العسکر و ما لم یحوه مطلقاً، أمکن نقله أو لا کالأراضی و العقار، ففیها یعتقد الشیعة و السنّة بوجوب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المعادن، و هی کلّ ما خرج من الأرض ممّا یخلق فیها من غیرها ممّا له قیمة، وجب الخمس فیها عند علمائنا، و أهل السنّة قائلون بعدم وجوب الخمس فیها إلاّ أنّ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بوجوب الزکاة فیها</w:t>
      </w:r>
      <w:r>
        <w:rPr>
          <w:rStyle w:val="FootnoteAnchor"/>
          <w:rtl w:val="true"/>
        </w:rPr>
        <w:footnoteReference w:id="20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الرکاز، و هو المال المذخور تحت الأرض علی اختلاف أنواعه، یجب فیه الخمس بإجماع فقهائنا</w:t>
      </w:r>
      <w:r>
        <w:rPr>
          <w:rStyle w:val="FootnoteAnchor"/>
          <w:rtl w:val="true"/>
        </w:rPr>
        <w:footnoteReference w:id="20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 مالک و أحمد و الشافعی فی أحد قولیه</w:t>
      </w:r>
      <w:r>
        <w:rPr>
          <w:rStyle w:val="FootnoteAnchor"/>
          <w:rtl w:val="true"/>
        </w:rPr>
        <w:footnoteReference w:id="2023"/>
      </w:r>
      <w:r>
        <w:rPr>
          <w:rFonts w:ascii="IRNazanin" w:hAnsi="IRNazanin" w:eastAsia="IRNazanin"/>
          <w:color w:val="111111"/>
          <w:sz w:val="28"/>
          <w:sz w:val="28"/>
          <w:szCs w:val="28"/>
          <w:rtl w:val="true"/>
          <w:lang w:bidi="fa-IR"/>
        </w:rPr>
        <w:t>و له قول آخر بأنّه لا یؤخذ الخمس إلاّ من الذهب و الفضّة؛ لأنّه زکاة فیجب الخمس فی بعض أجناسه کالحبوب</w:t>
      </w:r>
      <w:r>
        <w:rPr>
          <w:rStyle w:val="FootnoteAnchor"/>
          <w:rtl w:val="true"/>
        </w:rPr>
        <w:footnoteReference w:id="20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الغوص، و هو کلّ ما یستخرج من البحر کاللؤلؤ و المرجان و العنبر و غیرها، یجب فیه الخمس عند علمائنا، و قال الشافعی و أبو حنیفة و مالک و أحمد و الثوری و ابن أبی لیلی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خمس فیها</w:t>
      </w:r>
      <w:r>
        <w:rPr>
          <w:rStyle w:val="FootnoteAnchor"/>
          <w:rtl w:val="true"/>
        </w:rPr>
        <w:footnoteReference w:id="20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عن أحمد قول آخر بوجوب الخمس فیه</w:t>
      </w:r>
      <w:r>
        <w:rPr>
          <w:rStyle w:val="FootnoteAnchor"/>
          <w:rtl w:val="true"/>
        </w:rPr>
        <w:footnoteReference w:id="2026"/>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أرباح التجارات و الزراعات و الصنائع و سائر الاکتسابات بعد</w:t>
      </w:r>
    </w:p>
    <w:p>
      <w:pPr>
        <w:pStyle w:val="BookText"/>
        <w:rPr/>
      </w:pPr>
      <w:r>
        <w:rPr>
          <w:rFonts w:ascii="IRNazanin" w:hAnsi="IRNazanin" w:eastAsia="IRNazanin"/>
          <w:color w:val="111111"/>
          <w:sz w:val="28"/>
          <w:sz w:val="28"/>
          <w:szCs w:val="28"/>
          <w:rtl w:val="true"/>
          <w:lang w:bidi="fa-IR"/>
        </w:rPr>
        <w:t>إخراج مئونة السنة، یجب فیها الخمس عند فقهاء الشیعة اتّفاقاً، خلافاً لجمهور أهل السنّة کما فی المعتبر</w:t>
      </w:r>
      <w:r>
        <w:rPr>
          <w:rStyle w:val="FootnoteAnchor"/>
          <w:rtl w:val="true"/>
        </w:rPr>
        <w:footnoteReference w:id="20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الذمّی إذا اشتری أرضاً من مسلم وجب علیه الخمس عند فقهاء الشیعة، و قال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تصیر أرض خراج، و قال الثوری و الشافعی و أحمد و أبی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شیء علیه</w:t>
      </w:r>
      <w:r>
        <w:rPr>
          <w:rStyle w:val="FootnoteAnchor"/>
          <w:rtl w:val="true"/>
        </w:rPr>
        <w:footnoteReference w:id="20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الحلال إذا اختلط بالحرام و لم یتمیّز و لا عرف مقدار الحرام و لا مستحقّه، فیجب فیه الخمس عند علمائنا، و لا یجب عند أهل السنّة</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ممّا ذکرنا أنّ الموارد التی حکم الشارع بثبوت الخمس فیها کثیرة، فإن عمل المسلمون بوظیفتهم و أدّوا الخمس من الصنوف السبعة لم یبق فقیر، و یمکن تأمین نفقة کلّ الأیتام و الفقراء الصبیان و غیرهم من الخمس، کما جاء فی بعض الأخبار، مثل ما عن العبد الصالح فی حدیث طویل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یبق فقیرٌ من فقراء الناس، و لم یبق فقیر من فقراء قرابة رسول اللّه صلی الله علیه و آله و سلم إلاّ و قد استغنی، فلا فقیر، و لذلک لم یکن علی مال النبیّ و الولیّ زکاة؛ لأنّه لم یبق فقیر محتاج</w:t>
      </w:r>
      <w:r>
        <w:rPr>
          <w:rFonts w:eastAsia="IRNazanin" w:cs="IRNazanin"/>
          <w:color w:val="111111"/>
          <w:sz w:val="28"/>
          <w:szCs w:val="28"/>
          <w:rtl w:val="true"/>
          <w:lang w:bidi="fa-IR"/>
        </w:rPr>
        <w:t>»</w:t>
      </w:r>
      <w:r>
        <w:rPr>
          <w:rStyle w:val="FootnoteAnchor"/>
          <w:rtl w:val="true"/>
        </w:rPr>
        <w:footnoteReference w:id="2029"/>
      </w:r>
      <w:bookmarkStart w:id="958" w:name="pg11752_146485"/>
    </w:p>
    <w:p>
      <w:pPr>
        <w:pStyle w:val="Heading4"/>
        <w:numPr>
          <w:ilvl w:val="3"/>
          <w:numId w:val="1"/>
        </w:numPr>
        <w:rPr/>
      </w:pPr>
      <w:bookmarkStart w:id="959" w:name="__RefHeading___Toc9424498_73709187"/>
      <w:bookmarkStart w:id="960" w:name="_Toc363"/>
      <w:bookmarkEnd w:id="958"/>
      <w:bookmarkEnd w:id="959"/>
      <w:r>
        <w:rPr>
          <w:rtl w:val="true"/>
        </w:rPr>
        <w:t>المبحث الرابع</w:t>
      </w:r>
      <w:r>
        <w:rPr>
          <w:rtl w:val="true"/>
        </w:rPr>
        <w:t xml:space="preserve">: </w:t>
      </w:r>
      <w:r>
        <w:rPr>
          <w:rtl w:val="true"/>
        </w:rPr>
        <w:t>تأمین نفقة الأیتام من الأنفال</w:t>
      </w:r>
      <w:bookmarkEnd w:id="960"/>
    </w:p>
    <w:p>
      <w:pPr>
        <w:pStyle w:val="Heading5"/>
        <w:numPr>
          <w:ilvl w:val="4"/>
          <w:numId w:val="1"/>
        </w:numPr>
        <w:rPr/>
      </w:pPr>
      <w:bookmarkStart w:id="961" w:name="__RefHeading___Toc9424500_73709187"/>
      <w:bookmarkStart w:id="962" w:name="_Toc364"/>
      <w:bookmarkEnd w:id="961"/>
      <w:r>
        <w:rPr>
          <w:rtl w:val="true"/>
        </w:rPr>
        <w:t>اشارة</w:t>
      </w:r>
      <w:bookmarkEnd w:id="962"/>
    </w:p>
    <w:p>
      <w:pPr>
        <w:pStyle w:val="BookText"/>
        <w:rPr/>
      </w:pPr>
      <w:r>
        <w:rPr>
          <w:rFonts w:ascii="IRNazanin" w:hAnsi="IRNazanin" w:eastAsia="IRNazanin"/>
          <w:color w:val="111111"/>
          <w:sz w:val="28"/>
          <w:sz w:val="28"/>
          <w:szCs w:val="28"/>
          <w:rtl w:val="true"/>
          <w:lang w:bidi="fa-IR"/>
        </w:rPr>
        <w:t>و من الأموال التی یمکن تأمین نفقة صبیان الفقراء و المساکین و أیتام الفقیر منها ما یسمّی بالأنفال؛ و لإثبات هذا المدّعی یلزم أن نبیّن معنی الأنفال و ماهیّتها و نثبت أنّ صاحبها هو الإمام علیه السلام یصرفها فیما یشاء من الأمور المهمّة، و من جملتها نفقة الفقراء و الصبیان منهم، و هکذا نفقة الأیتام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الأنفال جمع نَفَل بالتحریک، و هو لغة الغنیمة و الهبة، قاله فی القاموس</w:t>
      </w:r>
      <w:r>
        <w:rPr>
          <w:rStyle w:val="FootnoteAnchor"/>
          <w:rtl w:val="true"/>
        </w:rPr>
        <w:footnoteReference w:id="20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النَّفل ما کان زیادةً عن الأصل، سمّیت الغنائم بذلک لأنّ المسلمین فضّلوا بها علی سائر الأمم، و سمّیت صلاة التطوّع نافلة لأنّها زائدة علی الفرض،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وَهَبْنا لَهُ إِسْحاقَ وَ یَعْقُوبَ نافِلَةً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زیادة علی ما سأله</w:t>
      </w:r>
      <w:r>
        <w:rPr>
          <w:rStyle w:val="FootnoteAnchor"/>
          <w:rtl w:val="true"/>
        </w:rPr>
        <w:footnoteReference w:id="20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اصطلاحاً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یستحقّه الإمام علیه السلام، کما کان للنبیّ صلی الله علیه و آله و سلم سمّیت بذلک لأنّه هبةٌ من اللّه تعالی له زیادةً علی ما جعله له من الشرکة فی الخمس؛ إکراماً له و تفضیلاً له بذلک علی غیره</w:t>
      </w:r>
      <w:r>
        <w:rPr>
          <w:rStyle w:val="FootnoteAnchor"/>
          <w:rtl w:val="true"/>
        </w:rPr>
        <w:footnoteReference w:id="20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هی علی المشهور</w:t>
      </w:r>
      <w:r>
        <w:rPr>
          <w:rStyle w:val="FootnoteAnchor"/>
          <w:rtl w:val="true"/>
        </w:rPr>
        <w:footnoteReference w:id="2033"/>
      </w:r>
      <w:r>
        <w:rPr>
          <w:rFonts w:ascii="Amiri" w:hAnsi="Amiri" w:eastAsia="Amiri" w:cs="Amiri"/>
          <w:color w:val="111111"/>
          <w:sz w:val="28"/>
          <w:sz w:val="28"/>
          <w:szCs w:val="28"/>
          <w:rtl w:val="true"/>
          <w:lang w:bidi="ar-SA"/>
        </w:rPr>
        <w:t>خمسة أصناف</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أرض أخذت من الکفّار من غیر قتال، سواء انجلی أهلها أی</w:t>
      </w:r>
    </w:p>
    <w:p>
      <w:pPr>
        <w:pStyle w:val="BookText"/>
        <w:rPr/>
      </w:pPr>
      <w:r>
        <w:rPr>
          <w:rFonts w:ascii="IRNazanin" w:hAnsi="IRNazanin" w:eastAsia="IRNazanin"/>
          <w:color w:val="111111"/>
          <w:sz w:val="28"/>
          <w:sz w:val="28"/>
          <w:szCs w:val="28"/>
          <w:rtl w:val="true"/>
          <w:lang w:bidi="fa-IR"/>
        </w:rPr>
        <w:t>خرجوا منها و ترکوها للمسلمین، أو سلّموها طوعاً، أی تمکّن المسلمون من التسلط علیها مع بقائهم فیها، و هذه ممّا لا یوجف علیها بخیل و لا رکاب کما جاء فی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تدلّ علی هذا النوع من الأنفال روایات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الشیخ عن محمد بن مسلم، عن أبی عبد اللّه علیه السلام أنّه سمعه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الأنفال ما کان من أرض لم یکن فیها هراقة دم أو قومٌ صولحوا و أُعطَوا بأیدیهم، و ما کان من أرض خربة أو بطون أودیة، فهذا کلّه من الفیء، و الأنفال للّه و للرسول، فما کان للّه فهو للرسول یضعهُ حیث یحبّ</w:t>
      </w:r>
      <w:r>
        <w:rPr>
          <w:rFonts w:eastAsia="IRNazanin" w:cs="IRNazanin"/>
          <w:color w:val="111111"/>
          <w:sz w:val="28"/>
          <w:szCs w:val="28"/>
          <w:rtl w:val="true"/>
          <w:lang w:bidi="fa-IR"/>
        </w:rPr>
        <w:t>»</w:t>
      </w:r>
      <w:r>
        <w:rPr>
          <w:rStyle w:val="FootnoteAnchor"/>
          <w:rtl w:val="true"/>
        </w:rPr>
        <w:footnoteReference w:id="20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رواه عن محمد بن علیّ الحلبی،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الأنفال؟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من الأرضین باد أهلها و فی غیر ذلک الأنفال هو لنا</w:t>
      </w:r>
      <w:r>
        <w:rPr>
          <w:rFonts w:eastAsia="IRNazanin" w:cs="IRNazanin"/>
          <w:color w:val="111111"/>
          <w:sz w:val="28"/>
          <w:szCs w:val="28"/>
          <w:rtl w:val="true"/>
          <w:lang w:bidi="fa-IR"/>
        </w:rPr>
        <w:t>»</w:t>
      </w:r>
      <w:r>
        <w:rPr>
          <w:rStyle w:val="FootnoteAnchor"/>
          <w:rtl w:val="true"/>
        </w:rPr>
        <w:footnoteReference w:id="20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جاء فی مرسلة حماد بن عیسی، عن بعض أصحابنا، عن العبد الصالح علیه السلام، أنّه قال فی خبر طویل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 بعد الخمس الأنفال، و الأنفال کلّ أرض خربة قد باد أهلها، و کلّ أرض لم یوجف علیها بخیل و لا رکاب، و لکن صولحوا علیها و أعطوا بأیدیهم علی غیر قتال، و له رءوس الجبال، و بطون الأودیة، و الآجام، و کلّ أرض میتة لا ربّ لها</w:t>
      </w:r>
      <w:r>
        <w:rPr>
          <w:rFonts w:eastAsia="IRNazanin" w:cs="IRNazanin"/>
          <w:color w:val="111111"/>
          <w:sz w:val="28"/>
          <w:szCs w:val="28"/>
          <w:rtl w:val="true"/>
          <w:lang w:bidi="fa-IR"/>
        </w:rPr>
        <w:t>»</w:t>
      </w:r>
      <w:r>
        <w:rPr>
          <w:rStyle w:val="FootnoteAnchor"/>
          <w:rtl w:val="true"/>
        </w:rPr>
        <w:footnoteReference w:id="2036"/>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الموات التی لیس لها مالک معروف، سواء ملکت ثمّ باد أهلها و ماتت أو لم یجر علیها ملک، و عُرّفت الموات بأنّها ممّا لا ینتفع بها، إمّا لانقطاع الماء عنها، أو لاستیلاء الماء علیها، أو لاستیجامها، أو غیر ذلک من موانع الانتفاع</w:t>
      </w:r>
      <w:r>
        <w:rPr>
          <w:rStyle w:val="FootnoteAnchor"/>
          <w:rtl w:val="true"/>
        </w:rPr>
        <w:footnoteReference w:id="2037"/>
      </w:r>
    </w:p>
    <w:p>
      <w:pPr>
        <w:pStyle w:val="BookText"/>
        <w:rPr/>
      </w:pPr>
      <w:r>
        <w:rPr>
          <w:rFonts w:ascii="IRNazanin" w:hAnsi="IRNazanin" w:eastAsia="IRNazanin"/>
          <w:color w:val="111111"/>
          <w:sz w:val="28"/>
          <w:sz w:val="28"/>
          <w:szCs w:val="28"/>
          <w:rtl w:val="true"/>
          <w:lang w:bidi="fa-IR"/>
        </w:rPr>
        <w:t xml:space="preserve">و ممّا یدلّ علی أنّ الأرض الموات من الأنفال و هی للإمام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ما سبق من الأخبار فی القسم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حفص بن البختری،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الأنفال ما لم یوجف علیه بخیل و لا رکاب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أرض خربة و بطون الأودیة فهو لرسول اللّه صلی الله علیه و آله و سلم و هو للإمام من بعده یضعه حیث یشاء</w:t>
      </w:r>
      <w:r>
        <w:rPr>
          <w:rFonts w:eastAsia="IRNazanin" w:cs="IRNazanin"/>
          <w:color w:val="111111"/>
          <w:sz w:val="28"/>
          <w:szCs w:val="28"/>
          <w:rtl w:val="true"/>
          <w:lang w:bidi="fa-IR"/>
        </w:rPr>
        <w:t>»</w:t>
      </w:r>
      <w:r>
        <w:rPr>
          <w:rStyle w:val="FootnoteAnchor"/>
          <w:rtl w:val="true"/>
        </w:rPr>
        <w:footnoteReference w:id="20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رواه الشیخ عن سماعة بن مهران،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الأنفال؟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أرض خربة أو شیء یکون للملوک فهو خالص للإمام و لیس للناس فیها سهم،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البحرین لم یوجف علیها بخیل و لا رکاب</w:t>
      </w:r>
      <w:r>
        <w:rPr>
          <w:rFonts w:eastAsia="IRNazanin" w:cs="IRNazanin"/>
          <w:color w:val="111111"/>
          <w:sz w:val="28"/>
          <w:szCs w:val="28"/>
          <w:rtl w:val="true"/>
          <w:lang w:bidi="fa-IR"/>
        </w:rPr>
        <w:t>»</w:t>
      </w:r>
      <w:r>
        <w:rPr>
          <w:rStyle w:val="FootnoteAnchor"/>
          <w:rtl w:val="true"/>
        </w:rPr>
        <w:footnoteReference w:id="20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هکذا ما جاء فی صحیح أبی خالد الکابلی، عن أبی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وجدنا فی کتاب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الْأَرْضَ لِلّهِ یُورِثُها مَنْ یَشاءُ مِنْ عِبادِهِ وَ الْعاقِبَةُ لِلْمُتَّقِینَ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أنا و أهل بیتی الذین أورثنا اللّه الأرض، و نحن المتّقون و الأرض کلّها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2040"/>
      </w:r>
      <w:r>
        <w:rPr>
          <w:rFonts w:ascii="IRNazanin" w:hAnsi="IRNazanin" w:eastAsia="IRNazanin"/>
          <w:color w:val="111111"/>
          <w:sz w:val="28"/>
          <w:sz w:val="28"/>
          <w:szCs w:val="28"/>
          <w:rtl w:val="true"/>
          <w:lang w:bidi="fa-IR"/>
        </w:rPr>
        <w:t>؛ لأنّ الظاهر من الأرض التی قال الإمام علیه السلام کلّها لنا هو الأرض الموات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رءوس الجبال و ما یکون بها و کذا بطون الأودیة و الآجام، و الظاهر أنّ المرجع فی الأوّلین إلی العرف، و الآجام بکسر الهمزة و فتحها مع المدّ جمع أجمة بالتحریک، و هی الشجر الکثیر الملتفّ، کذا فی القاموس</w:t>
      </w:r>
      <w:r>
        <w:rPr>
          <w:rStyle w:val="FootnoteAnchor"/>
          <w:rtl w:val="true"/>
        </w:rPr>
        <w:footnoteReference w:id="2041"/>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الدلیل علی أنّها کانت من الأنفال و تختصّ بالإمام علیه السلام ما سبق فی مرسلة حمّاد بن عیسی، عن العبد الصالح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 رءوس الجبال و بطون الأودیة و الآجام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و صحیح حفص بن البختری، عن أبی عبد اللّه علیه السلام الذی جاء</w:t>
      </w:r>
    </w:p>
    <w:p>
      <w:pPr>
        <w:pStyle w:val="BookText"/>
        <w:rPr/>
      </w:pP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أرض خربة و بطون الأودیة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هکذا یدلّ علیها خبر داود بن فرقد،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الأنفال؟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بطون الأودیة و رءوس الجبال و الآجام و المعادن، و کلّ أرض لم یوجف علیها بخیل و لا رکاب، و کلّ أرض میتة قد جلا أهلها</w:t>
      </w:r>
      <w:r>
        <w:rPr>
          <w:rFonts w:eastAsia="IRNazanin" w:cs="IRNazanin"/>
          <w:color w:val="111111"/>
          <w:sz w:val="28"/>
          <w:szCs w:val="28"/>
          <w:rtl w:val="true"/>
          <w:lang w:bidi="fa-IR"/>
        </w:rPr>
        <w:t>...»</w:t>
      </w:r>
      <w:r>
        <w:rPr>
          <w:rStyle w:val="FootnoteAnchor"/>
          <w:rtl w:val="true"/>
        </w:rPr>
        <w:footnoteReference w:id="20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خبر أبی بصیر،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لنا الأنفال،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الأنفال؟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المعادن و الآجام و کلّ أرض لا ربّ لها</w:t>
      </w:r>
      <w:r>
        <w:rPr>
          <w:rFonts w:eastAsia="IRNazanin" w:cs="IRNazanin"/>
          <w:color w:val="111111"/>
          <w:sz w:val="28"/>
          <w:szCs w:val="28"/>
          <w:rtl w:val="true"/>
          <w:lang w:bidi="fa-IR"/>
        </w:rPr>
        <w:t>»</w:t>
      </w:r>
      <w:r>
        <w:rPr>
          <w:rStyle w:val="FootnoteAnchor"/>
          <w:rtl w:val="true"/>
        </w:rPr>
        <w:footnoteReference w:id="2043"/>
      </w:r>
      <w:r>
        <w:rPr>
          <w:rFonts w:ascii="Amiri" w:hAnsi="Amiri" w:eastAsia="Amiri" w:cs="Amiri"/>
          <w:color w:val="111111"/>
          <w:sz w:val="28"/>
          <w:sz w:val="28"/>
          <w:szCs w:val="28"/>
          <w:rtl w:val="true"/>
          <w:lang w:bidi="ar-SA"/>
        </w:rPr>
        <w:t>و الدلالة واضحة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قطائع و صفایا الملوک، المقصود من القطائع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و الصفایا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المنقولات النفیسة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الضابط أنّ کلّ أرض فُتحت من دار أهل الحرب، فما کان یختصّ به ملکهم فهو للإمام إذا لم یکن غصباً من مسلم أو معاهد، و یدلّ علی ذلک بعض ما سبق من الروایات، و هکذا صحیحة داود بن فرقد، عن أبی عبد اللّه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قطائع الملوک کلّها للإمام، و لیس للناس فیها شیء</w:t>
      </w:r>
      <w:r>
        <w:rPr>
          <w:rFonts w:eastAsia="IRNazanin" w:cs="IRNazanin"/>
          <w:color w:val="111111"/>
          <w:sz w:val="28"/>
          <w:szCs w:val="28"/>
          <w:rtl w:val="true"/>
          <w:lang w:bidi="fa-IR"/>
        </w:rPr>
        <w:t>»</w:t>
      </w:r>
      <w:r>
        <w:rPr>
          <w:rStyle w:val="FootnoteAnchor"/>
          <w:rtl w:val="true"/>
        </w:rPr>
        <w:footnoteReference w:id="20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للإمام أن یصطفی من الغنیمة ما شاء من فرس أو ثوب أو جاریة، و فی زماننا هذا سیارة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الدلیل علی هذا صحیحة ربعی بن عبد اللّه،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 صلی الله علیه و آله و سلم إذا أتاه المغنم أخذ صفوه، و کان ذلک له</w:t>
      </w:r>
      <w:r>
        <w:rPr>
          <w:rFonts w:eastAsia="IRNazanin" w:cs="IRNazanin"/>
          <w:color w:val="111111"/>
          <w:sz w:val="28"/>
          <w:szCs w:val="28"/>
          <w:rtl w:val="true"/>
          <w:lang w:bidi="fa-IR"/>
        </w:rPr>
        <w:t>»</w:t>
      </w:r>
      <w:r>
        <w:rPr>
          <w:rStyle w:val="FootnoteAnchor"/>
          <w:rtl w:val="true"/>
        </w:rPr>
        <w:footnoteReference w:id="2045"/>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موثّقة أبی الصباح الکنانی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قوم فرض اللّه طاعتنا، لنا الأنفال و لنا صفو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2046"/>
      </w:r>
      <w:r>
        <w:rPr>
          <w:rFonts w:ascii="IRNazanin" w:hAnsi="IRNazanin" w:eastAsia="IRNazanin"/>
          <w:color w:val="111111"/>
          <w:sz w:val="28"/>
          <w:sz w:val="28"/>
          <w:szCs w:val="28"/>
          <w:rtl w:val="true"/>
          <w:lang w:bidi="fa-IR"/>
        </w:rPr>
        <w:t>، و غیر ذلک من الروایات</w:t>
      </w:r>
      <w:r>
        <w:rPr>
          <w:rStyle w:val="FootnoteAnchor"/>
          <w:rtl w:val="true"/>
        </w:rPr>
        <w:footnoteReference w:id="2047"/>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من لا وارث له، و من الأنفال میراث من لا وارث له، قال فی المنتهی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علمائنا أجمع</w:t>
      </w:r>
      <w:r>
        <w:rPr>
          <w:rFonts w:eastAsia="IRNazanin" w:cs="IRNazanin"/>
          <w:color w:val="111111"/>
          <w:sz w:val="28"/>
          <w:szCs w:val="28"/>
          <w:rtl w:val="true"/>
          <w:lang w:bidi="fa-IR"/>
        </w:rPr>
        <w:t>»</w:t>
      </w:r>
      <w:r>
        <w:rPr>
          <w:rStyle w:val="FootnoteAnchor"/>
          <w:rtl w:val="true"/>
        </w:rPr>
        <w:footnoteReference w:id="20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یدلّ علی أنّه للإمام علیه السلام ما رواه الشیخ فی الصحیح عن محمد مسلم،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 لیس له وارث من قبل قرابته و لا مولی عتاقه قد ضمن جریرته فما له من الأنفال</w:t>
      </w:r>
      <w:r>
        <w:rPr>
          <w:rFonts w:eastAsia="IRNazanin" w:cs="IRNazanin"/>
          <w:color w:val="111111"/>
          <w:sz w:val="28"/>
          <w:szCs w:val="28"/>
          <w:rtl w:val="true"/>
          <w:lang w:bidi="fa-IR"/>
        </w:rPr>
        <w:t>»</w:t>
      </w:r>
      <w:r>
        <w:rPr>
          <w:rStyle w:val="FootnoteAnchor"/>
          <w:rtl w:val="true"/>
        </w:rPr>
        <w:footnoteReference w:id="20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هکذا خبر حماد بن عیسی، عن أبی الحسن الأوّل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وارث من لا وارث له</w:t>
      </w:r>
      <w:r>
        <w:rPr>
          <w:rFonts w:eastAsia="IRNazanin" w:cs="IRNazanin"/>
          <w:color w:val="111111"/>
          <w:sz w:val="28"/>
          <w:szCs w:val="28"/>
          <w:rtl w:val="true"/>
          <w:lang w:bidi="fa-IR"/>
        </w:rPr>
        <w:t>»</w:t>
      </w:r>
      <w:r>
        <w:rPr>
          <w:rStyle w:val="FootnoteAnchor"/>
          <w:rtl w:val="true"/>
        </w:rPr>
        <w:footnoteReference w:id="20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صحیح أبان بن تغلب، عن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 لا مولی له و لا ورثة فهو من أهل هذا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یَسْئَلُونَکَ عَنِ 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Style w:val="FootnoteAnchor"/>
          <w:rtl w:val="true"/>
        </w:rPr>
        <w:footnoteReference w:id="20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بعضهم فی الأنفال قسماً سادساً و هو ما یغنمه الغانمون بغیر إذن الإمام علیه السلام، ذکره الشیخ فی النهایة</w:t>
      </w:r>
      <w:r>
        <w:rPr>
          <w:rStyle w:val="FootnoteAnchor"/>
          <w:rtl w:val="true"/>
        </w:rPr>
        <w:footnoteReference w:id="2052"/>
      </w:r>
      <w:r>
        <w:rPr>
          <w:rFonts w:ascii="IRNazanin" w:hAnsi="IRNazanin" w:eastAsia="IRNazanin"/>
          <w:color w:val="111111"/>
          <w:sz w:val="28"/>
          <w:sz w:val="28"/>
          <w:szCs w:val="28"/>
          <w:rtl w:val="true"/>
          <w:lang w:bidi="fa-IR"/>
        </w:rPr>
        <w:t>و المفید فی المقنعة</w:t>
      </w:r>
      <w:r>
        <w:rPr>
          <w:rStyle w:val="FootnoteAnchor"/>
          <w:rtl w:val="true"/>
        </w:rPr>
        <w:footnoteReference w:id="2053"/>
      </w:r>
      <w:r>
        <w:rPr>
          <w:rFonts w:ascii="IRNazanin" w:hAnsi="IRNazanin" w:eastAsia="IRNazanin"/>
          <w:color w:val="111111"/>
          <w:sz w:val="28"/>
          <w:sz w:val="28"/>
          <w:szCs w:val="28"/>
          <w:rtl w:val="true"/>
          <w:lang w:bidi="fa-IR"/>
        </w:rPr>
        <w:t>و بعض آخر</w:t>
      </w:r>
      <w:r>
        <w:rPr>
          <w:rStyle w:val="FootnoteAnchor"/>
          <w:rtl w:val="true"/>
        </w:rPr>
        <w:footnoteReference w:id="2054"/>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استدلّوا علیه بروایة العبّاس الورّاق، عن رجل سمّاه،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غزا قومٌ بغیر إذن الإمام فغنموا کانت الغنیمة کلّها للإمام، و إذا غزوا بأمر الإمام فغنموا کان للإمام الخمس</w:t>
      </w:r>
      <w:r>
        <w:rPr>
          <w:rFonts w:eastAsia="IRNazanin" w:cs="IRNazanin"/>
          <w:color w:val="111111"/>
          <w:sz w:val="28"/>
          <w:szCs w:val="28"/>
          <w:rtl w:val="true"/>
          <w:lang w:bidi="fa-IR"/>
        </w:rPr>
        <w:t>»</w:t>
      </w:r>
      <w:r>
        <w:rPr>
          <w:rStyle w:val="FootnoteAnchor"/>
          <w:rtl w:val="true"/>
        </w:rPr>
        <w:footnoteReference w:id="2055"/>
      </w:r>
      <w:bookmarkStart w:id="963" w:name="pg11752_146490"/>
    </w:p>
    <w:p>
      <w:pPr>
        <w:pStyle w:val="BookText"/>
        <w:rPr/>
      </w:pPr>
      <w:bookmarkEnd w:id="963"/>
      <w:r>
        <w:rPr>
          <w:rFonts w:ascii="IRNazanin" w:hAnsi="IRNazanin" w:eastAsia="IRNazanin"/>
          <w:color w:val="111111"/>
          <w:sz w:val="28"/>
          <w:sz w:val="28"/>
          <w:szCs w:val="28"/>
          <w:rtl w:val="true"/>
          <w:lang w:bidi="fa-IR"/>
        </w:rPr>
        <w:t>و لکن الروایة ضعیفة السند بالإرسال؛ و لذا توقّف المحقّق فی المختصر النافع</w:t>
      </w:r>
      <w:r>
        <w:rPr>
          <w:rStyle w:val="FootnoteAnchor"/>
          <w:rtl w:val="true"/>
        </w:rPr>
        <w:footnoteReference w:id="2056"/>
      </w:r>
    </w:p>
    <w:p>
      <w:pPr>
        <w:pStyle w:val="BookText"/>
        <w:rPr/>
      </w:pPr>
      <w:r>
        <w:rPr>
          <w:rFonts w:ascii="IRNazanin" w:hAnsi="IRNazanin" w:eastAsia="IRNazanin"/>
          <w:color w:val="111111"/>
          <w:sz w:val="28"/>
          <w:sz w:val="28"/>
          <w:szCs w:val="28"/>
          <w:rtl w:val="true"/>
          <w:lang w:bidi="fa-IR"/>
        </w:rPr>
        <w:t>فی هذا الحکم، و کذا المحقّق العاملی فی مدارک الأحکام</w:t>
      </w:r>
      <w:r>
        <w:rPr>
          <w:rStyle w:val="FootnoteAnchor"/>
          <w:rtl w:val="true"/>
        </w:rPr>
        <w:footnoteReference w:id="20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فالاحتیاط حسنٌ، و اللّه هو العالم</w:t>
      </w:r>
      <w:r>
        <w:rPr>
          <w:rFonts w:eastAsia="IRNazanin" w:cs="IRNazanin"/>
          <w:color w:val="111111"/>
          <w:sz w:val="28"/>
          <w:szCs w:val="28"/>
          <w:rtl w:val="true"/>
          <w:lang w:bidi="fa-IR"/>
        </w:rPr>
        <w:t>.</w:t>
      </w:r>
    </w:p>
    <w:p>
      <w:pPr>
        <w:pStyle w:val="Heading5"/>
        <w:numPr>
          <w:ilvl w:val="4"/>
          <w:numId w:val="1"/>
        </w:numPr>
        <w:rPr/>
      </w:pPr>
      <w:bookmarkStart w:id="964" w:name="__RefHeading___Toc9424502_73709187"/>
      <w:bookmarkStart w:id="965" w:name="_Toc365"/>
      <w:bookmarkEnd w:id="964"/>
      <w:r>
        <w:rPr>
          <w:rtl w:val="true"/>
        </w:rPr>
        <w:t>إنّ الإمام علیه السلام ینفق علی الأیتام من الأنفال</w:t>
      </w:r>
      <w:bookmarkEnd w:id="965"/>
    </w:p>
    <w:p>
      <w:pPr>
        <w:pStyle w:val="BookText"/>
        <w:rPr/>
      </w:pPr>
      <w:r>
        <w:rPr>
          <w:rFonts w:ascii="Amiri" w:hAnsi="Amiri" w:eastAsia="Amiri" w:cs="Amiri"/>
          <w:color w:val="111111"/>
          <w:sz w:val="28"/>
          <w:sz w:val="28"/>
          <w:szCs w:val="28"/>
          <w:rtl w:val="true"/>
          <w:lang w:bidi="ar-SA"/>
        </w:rPr>
        <w:t>قد ثبت ممّا ذکرنا من الروایات أنّ الأنفال کانت بعد الرسول صلی الله علیه و آله للإمام علیه السلام کما هو صریح الآیة الکریمة،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یَسْئَلُونَکَ عَنِ الْأَنْفالِ قُلِ الْأَنْفالُ لِلّهِ وَ الرَّسُولِ فَاتَّقُوا اللّهَ وَ أَصْلِحُوا ذاتَ بَیْنِکُمْ وَ أَطِیعُوا اللّهَ وَ رَسُولَهُ إِنْ کُنْتُمْ مُؤْمِنِینَ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الطبرسی فی مجمع البیان فی ذیلها استناداً إلی قول الباقر و الصادق 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الأنفال للّه و للرسول و بعده لمن قام مقامه یصرفه حیث شاء من مصالح نفسه لیس لأحد فیه شیء</w:t>
      </w:r>
      <w:r>
        <w:rPr>
          <w:rFonts w:eastAsia="IRNazanin" w:cs="IRNazanin"/>
          <w:color w:val="111111"/>
          <w:sz w:val="28"/>
          <w:szCs w:val="28"/>
          <w:rtl w:val="true"/>
          <w:lang w:bidi="fa-IR"/>
        </w:rPr>
        <w:t>»</w:t>
      </w:r>
      <w:r>
        <w:rPr>
          <w:rStyle w:val="FootnoteAnchor"/>
          <w:rtl w:val="true"/>
        </w:rPr>
        <w:footnoteReference w:id="20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لأجل هذا اتّفق فقهاء الشیعة</w:t>
      </w:r>
      <w:r>
        <w:rPr>
          <w:rStyle w:val="FootnoteAnchor"/>
          <w:rtl w:val="true"/>
        </w:rPr>
        <w:footnoteReference w:id="2059"/>
      </w:r>
      <w:r>
        <w:rPr>
          <w:rFonts w:ascii="IRNazanin" w:hAnsi="IRNazanin" w:eastAsia="IRNazanin"/>
          <w:color w:val="111111"/>
          <w:sz w:val="28"/>
          <w:sz w:val="28"/>
          <w:szCs w:val="28"/>
          <w:rtl w:val="true"/>
          <w:lang w:bidi="fa-IR"/>
        </w:rPr>
        <w:t>علی أنّه فی زمان حضور الإمام المعصوم لا یجوز أن یتصرّف أحدٌ فیها بغیر إذنه علیه السلام، کما هو الشأن فی سائر الأملاک بالإضافة إلی مالکها بمقتضی القواعد و الأصول</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فی المبسوط بعد ذکر الأنفال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فجمیع ما ذکرناه کان للنبیّ صلی الله علیه و آله و سلم خاصّة، و هی لمن قام مقامه من الأئمّة فی کلّ عصر، فلا یجوز التصرّف فی شیء من</w:t>
      </w:r>
    </w:p>
    <w:p>
      <w:pPr>
        <w:pStyle w:val="BookText"/>
        <w:rPr/>
      </w:pPr>
      <w:r>
        <w:rPr>
          <w:rFonts w:ascii="IRNazanin" w:hAnsi="IRNazanin" w:eastAsia="IRNazanin"/>
          <w:color w:val="111111"/>
          <w:sz w:val="28"/>
          <w:sz w:val="28"/>
          <w:szCs w:val="28"/>
          <w:rtl w:val="true"/>
          <w:lang w:bidi="fa-IR"/>
        </w:rPr>
        <w:t>ذلک إلاّ بإذنه</w:t>
      </w:r>
      <w:r>
        <w:rPr>
          <w:rFonts w:eastAsia="IRNazanin" w:cs="IRNazanin"/>
          <w:color w:val="111111"/>
          <w:sz w:val="28"/>
          <w:szCs w:val="28"/>
          <w:rtl w:val="true"/>
          <w:lang w:bidi="fa-IR"/>
        </w:rPr>
        <w:t>»</w:t>
      </w:r>
      <w:r>
        <w:rPr>
          <w:rStyle w:val="FootnoteAnchor"/>
          <w:rtl w:val="true"/>
        </w:rPr>
        <w:footnoteReference w:id="20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المفید رحمه الله فی المقنعة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کانت الأنفال لرسول اللّه صلی الله علیه و آله و سلم خاصّةً فی حیاته و هی للإمام القائم مقامه من بعده خالصةً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لأحد أن یعمل فی شیء ممّا عددناه من الأنفال إلاّ بإذن الإمام العادل، و من عمل فیها بغیر إذنه فحکمه حکم العامل فیما لا یملکه بغیر إذن المالک من سائر المملوکات</w:t>
      </w:r>
      <w:r>
        <w:rPr>
          <w:rFonts w:eastAsia="IRNazanin" w:cs="IRNazanin"/>
          <w:color w:val="111111"/>
          <w:sz w:val="28"/>
          <w:szCs w:val="28"/>
          <w:rtl w:val="true"/>
          <w:lang w:bidi="fa-IR"/>
        </w:rPr>
        <w:t>»</w:t>
      </w:r>
      <w:r>
        <w:rPr>
          <w:rStyle w:val="FootnoteAnchor"/>
          <w:rtl w:val="true"/>
        </w:rPr>
        <w:footnoteReference w:id="20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کلّ حال، لا خلاف بینهم فی أنّ الأنفال کانت للإمام علیه السلام یتصرّف فیها بما یشاء و یحبّ، و الظاهر أنّه یصرفها فی أمور مهمّة من مصالحه و مصالح سائر المؤمنین بل الناس کلّهم، و رفع حوائجهم المادیة و تقویة المؤمنین فی مقابل الأعداء،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المُسلّم و القدر المتیقّن منها الإنفاق علی أیتام و صبیان الفقراء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ذلک ما رواه حبیب بن أبی ثابت فی الکافی،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إلی أمیر المؤمنین علیه السلام عسل وتین من همدان و حُلوان فأمر العرفاء أن یأتوا بالیتامی، فأمکنهم من رءوس الأزقاق یلعقونها و هو یقسّمها للناس قدحاً قدحاً، فقیل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أمیر المؤمنین ما لهم یلعقونها؟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الإمام أبو الیتامی و إنّما ألعقتهم هذا برعایة الآباء</w:t>
      </w:r>
      <w:r>
        <w:rPr>
          <w:rFonts w:eastAsia="IRNazanin" w:cs="IRNazanin"/>
          <w:color w:val="111111"/>
          <w:sz w:val="28"/>
          <w:szCs w:val="28"/>
          <w:rtl w:val="true"/>
          <w:lang w:bidi="fa-IR"/>
        </w:rPr>
        <w:t>»</w:t>
      </w:r>
      <w:r>
        <w:rPr>
          <w:rStyle w:val="FootnoteAnchor"/>
          <w:rtl w:val="true"/>
        </w:rPr>
        <w:footnoteReference w:id="2062"/>
      </w: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فی دولة الحقّ و فی زمان حضور الإمام علیه السلام، و أمّا فی غیبته فوقع الخلاف بین الفقهاء فی أنّه هل أبیحت الأنفال للشیعة مطلقاً أو فی الجملة، مثل الإباحة و التحلیل علی المناکح و المساکن و المتاجر و غیرها، هذا البحث موکول إلی المطوّلات الفقهیة فمن أراد فلیراجعها، و یمکن أن یستفاد من مذاق الشریعة أنّ</w:t>
      </w:r>
      <w:bookmarkStart w:id="966" w:name="pg11752_146492"/>
    </w:p>
    <w:p>
      <w:pPr>
        <w:pStyle w:val="BookText"/>
        <w:rPr/>
      </w:pPr>
      <w:bookmarkEnd w:id="966"/>
      <w:r>
        <w:rPr>
          <w:rFonts w:ascii="IRNazanin" w:hAnsi="IRNazanin" w:eastAsia="IRNazanin"/>
          <w:color w:val="111111"/>
          <w:sz w:val="28"/>
          <w:sz w:val="28"/>
          <w:szCs w:val="28"/>
          <w:rtl w:val="true"/>
          <w:lang w:bidi="fa-IR"/>
        </w:rPr>
        <w:t xml:space="preserve">الأَولی و الأوجه فی زمان الغیبة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تصرف الأنفال فی نفقة الأیتام و الفقراء و تلبیة حوائجهم</w:t>
      </w:r>
      <w:r>
        <w:rPr>
          <w:rFonts w:eastAsia="IRNazanin" w:cs="IRNazanin"/>
          <w:color w:val="111111"/>
          <w:sz w:val="28"/>
          <w:szCs w:val="28"/>
          <w:rtl w:val="true"/>
          <w:lang w:bidi="fa-IR"/>
        </w:rPr>
        <w:t>.</w:t>
      </w:r>
    </w:p>
    <w:p>
      <w:pPr>
        <w:pStyle w:val="Heading5"/>
        <w:numPr>
          <w:ilvl w:val="4"/>
          <w:numId w:val="1"/>
        </w:numPr>
        <w:rPr/>
      </w:pPr>
      <w:bookmarkStart w:id="967" w:name="__RefHeading___Toc9424504_73709187"/>
      <w:bookmarkStart w:id="968" w:name="_Toc366"/>
      <w:bookmarkEnd w:id="967"/>
      <w:r>
        <w:rPr>
          <w:rtl w:val="true"/>
        </w:rPr>
        <w:t>تأمین نفقة الأیتام من الفیء أیضاً</w:t>
      </w:r>
      <w:bookmarkEnd w:id="968"/>
    </w:p>
    <w:p>
      <w:pPr>
        <w:pStyle w:val="BookText"/>
        <w:rPr/>
      </w:pPr>
      <w:r>
        <w:rPr>
          <w:rFonts w:ascii="IRNazanin" w:hAnsi="IRNazanin" w:eastAsia="IRNazanin"/>
          <w:color w:val="111111"/>
          <w:sz w:val="28"/>
          <w:sz w:val="28"/>
          <w:szCs w:val="28"/>
          <w:rtl w:val="true"/>
          <w:lang w:bidi="fa-IR"/>
        </w:rPr>
        <w:t>و اعلم أنّه یستفاد من الأدلّة أنّ الفیء من الأنفال و أنّه للإمام خاصّة فیجری فیه ما ذکرناه عن الأنفال، أی یمکن تأمین نفقة الأیتام و صبیان الفقراء منه أیضاً کما فی الأنفال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الدلیل علی أنّ الفیء من الأنفال و مختصّ بالإمام علیه السلام من القرآن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أَفاءَ اللّهُ عَلی رَسُولِهِ مِنْهُمْ فَما أَوْجَفْتُمْ عَلَیْهِ مِنْ خَیْلٍ وَ لا رِکابٍ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أَفاءَ اللّهُ عَلی رَسُولِهِ مِنْ أَهْلِ الْقُری فَلِلّهِ وَ لِلرَّسُولِ وَ لِذِی الْقُرْبی وَ الْیَتامی وَ الْمَساکِینِ وَ ابْنِ السَّبِیلِ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فقد نقل الطبرسی رحمه الله فی تفسیره فی ذیل الآیة عن مولانا الصادق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قومٌ فرض اللّه طاعتنا و لنا الأنفال و لنا صفو المال، یعنی ما کان یصطفی لرسول اللّه صلی الله علیه و آله و سلم</w:t>
      </w:r>
      <w:r>
        <w:rPr>
          <w:rFonts w:eastAsia="IRNazanin" w:cs="IRNazanin"/>
          <w:color w:val="111111"/>
          <w:sz w:val="28"/>
          <w:szCs w:val="28"/>
          <w:rtl w:val="true"/>
          <w:lang w:bidi="fa-IR"/>
        </w:rPr>
        <w:t>»</w:t>
      </w:r>
      <w:r>
        <w:rPr>
          <w:rStyle w:val="FootnoteAnchor"/>
          <w:rtl w:val="true"/>
        </w:rPr>
        <w:footnoteReference w:id="20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السنّة روایات کثیرة</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صحیحة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الفیء و الأنفال ما کان من أرض لم یکن فیها هراقة الدماء و قوم صولحوا و أعطوا بأیدیهم، و ما کان من أرض خربة أو بطون أودیة فهو کلّه من الفیء، فهذا للّه و لرسوله، فما کان للّه فهو لرسوله یضعه حیث شاء، و هو للإمام بعد الرسول، 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أَفاءَ اللّهُ عَلی رَسُولِهِ مِنْهُمْ فَما أَوْجَفْتُمْ عَلَیْهِ مِنْ خَیْلٍ وَ لا رِکابٍ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تری هو هذا؟ 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أَفاءَ اللّهُ عَلی رَسُولِهِ مِنْ أَهْلِ الْقُری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بمنزلة المغنم، کان أبی یقول ذلک، و لیس لنا فیه غیر سهمین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الرسول و سهم القربی، ثمّ نحن شرکاء الناس فیما بقی</w:t>
      </w:r>
      <w:r>
        <w:rPr>
          <w:rFonts w:eastAsia="Amiri" w:cs="Amiri" w:ascii="Amiri" w:hAnsi="Amiri"/>
          <w:color w:val="111111"/>
          <w:sz w:val="28"/>
          <w:szCs w:val="28"/>
          <w:rtl w:val="true"/>
          <w:lang w:bidi="ar-SA"/>
        </w:rPr>
        <w:t>»</w:t>
      </w:r>
      <w:r>
        <w:rPr>
          <w:rStyle w:val="FootnoteAnchor"/>
          <w:rtl w:val="true"/>
        </w:rPr>
        <w:footnoteReference w:id="20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عبد اللّه بن سنان، عن أبی عبد اللّه علیه السلام فی الغنیمة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منه الخمس و یقسّم ما بقی بین مَن قاتل علیه و ولی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الفیء و الأنفال فهو خالص لرسول اللّه صلی الله علیه و آله و سلم</w:t>
      </w:r>
      <w:r>
        <w:rPr>
          <w:rFonts w:eastAsia="IRNazanin" w:cs="IRNazanin"/>
          <w:color w:val="111111"/>
          <w:sz w:val="28"/>
          <w:szCs w:val="28"/>
          <w:rtl w:val="true"/>
          <w:lang w:bidi="fa-IR"/>
        </w:rPr>
        <w:t>»</w:t>
      </w:r>
      <w:r>
        <w:rPr>
          <w:rStyle w:val="FootnoteAnchor"/>
          <w:rtl w:val="true"/>
        </w:rPr>
        <w:footnoteReference w:id="20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فهاتان الروایتان تدلاّن علی أنّ الفیء قسمان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منه بمنزلة الغنیمة یقسّم بین الإمام و الأصناف الأخر الذین بیّن فی الآیة الکریمة، و قسم منه اختصّ بالإمام علیه السلام کالأنفال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تعرّض الفقهاء لهذه المسألة، قال الشیخ فی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المراد بالفیء فی الشرع فیما قال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أَفاءَ اللّهُ عَلی رَسُولِهِ مِنْ أَهْلِ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ما حصل و رجع علیه من غیر قتال و لا إیجاف بخیل و لا رکاب، فما هذا حکمه کان لرسوله خاصّة، و هو لمن قام مقامه من الأئمّة علیهم السلام لیس لغیرهم فی ذلک نصیب</w:t>
      </w:r>
      <w:r>
        <w:rPr>
          <w:rFonts w:eastAsia="IRNazanin" w:cs="IRNazanin"/>
          <w:color w:val="111111"/>
          <w:sz w:val="28"/>
          <w:szCs w:val="28"/>
          <w:rtl w:val="true"/>
          <w:lang w:bidi="fa-IR"/>
        </w:rPr>
        <w:t>»</w:t>
      </w:r>
      <w:r>
        <w:rPr>
          <w:rStyle w:val="FootnoteAnchor"/>
          <w:rtl w:val="true"/>
        </w:rPr>
        <w:footnoteReference w:id="20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الخلاف</w:t>
      </w:r>
      <w:r>
        <w:rPr>
          <w:rStyle w:val="FootnoteAnchor"/>
          <w:rtl w:val="true"/>
        </w:rPr>
        <w:footnoteReference w:id="20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عدّه المحقّق من الغنیمة، کما عبّر فی کتاب الجهاد عن قسمة الغنائم بقسمة الفیء،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الأوّل فی قسمة الفیء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إخراج ما شرطه الإمام أوّلاً کالجعائل</w:t>
      </w:r>
      <w:r>
        <w:rPr>
          <w:rFonts w:eastAsia="IRNazanin" w:cs="IRNazanin"/>
          <w:color w:val="111111"/>
          <w:sz w:val="28"/>
          <w:szCs w:val="28"/>
          <w:rtl w:val="true"/>
          <w:lang w:bidi="fa-IR"/>
        </w:rPr>
        <w:t>»</w:t>
      </w:r>
      <w:r>
        <w:rPr>
          <w:rStyle w:val="FootnoteAnchor"/>
          <w:rtl w:val="true"/>
        </w:rPr>
        <w:footnoteReference w:id="2068"/>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الخلاصة أنّه یمکن للإمام علیه السلام و نائبه فی زمان الغیبة تأمین نفقة الأیتام</w:t>
      </w:r>
      <w:bookmarkStart w:id="969" w:name="pg11752_146494"/>
    </w:p>
    <w:p>
      <w:pPr>
        <w:pStyle w:val="BookText"/>
        <w:rPr/>
      </w:pPr>
      <w:bookmarkEnd w:id="969"/>
      <w:r>
        <w:rPr>
          <w:rFonts w:ascii="IRNazanin" w:hAnsi="IRNazanin" w:eastAsia="IRNazanin"/>
          <w:color w:val="111111"/>
          <w:sz w:val="28"/>
          <w:sz w:val="28"/>
          <w:szCs w:val="28"/>
          <w:rtl w:val="true"/>
          <w:lang w:bidi="fa-IR"/>
        </w:rPr>
        <w:t>و الفقراء من الفیء أیضاً، کما أوضحناه فی الأنفال</w:t>
      </w:r>
      <w:r>
        <w:rPr>
          <w:rFonts w:eastAsia="IRNazanin" w:cs="IRNazanin"/>
          <w:color w:val="111111"/>
          <w:sz w:val="28"/>
          <w:szCs w:val="28"/>
          <w:rtl w:val="true"/>
          <w:lang w:bidi="fa-IR"/>
        </w:rPr>
        <w:t>.</w:t>
      </w:r>
    </w:p>
    <w:p>
      <w:pPr>
        <w:pStyle w:val="Heading5"/>
        <w:numPr>
          <w:ilvl w:val="4"/>
          <w:numId w:val="1"/>
        </w:numPr>
        <w:rPr/>
      </w:pPr>
      <w:bookmarkStart w:id="970" w:name="__RefHeading___Toc9424506_73709187"/>
      <w:bookmarkStart w:id="971" w:name="_Toc367"/>
      <w:bookmarkEnd w:id="970"/>
      <w:r>
        <w:rPr>
          <w:rtl w:val="true"/>
        </w:rPr>
        <w:t>اعتقاد مذاهب أهل السنة فی الأنفال و الفیء</w:t>
      </w:r>
      <w:bookmarkEnd w:id="971"/>
    </w:p>
    <w:p>
      <w:pPr>
        <w:pStyle w:val="BookText"/>
        <w:rPr/>
      </w:pPr>
      <w:r>
        <w:rPr>
          <w:rFonts w:ascii="IRNazanin" w:hAnsi="IRNazanin" w:eastAsia="IRNazanin"/>
          <w:color w:val="111111"/>
          <w:sz w:val="28"/>
          <w:sz w:val="28"/>
          <w:szCs w:val="28"/>
          <w:rtl w:val="true"/>
          <w:lang w:bidi="fa-IR"/>
        </w:rPr>
        <w:t>و اعلم أنّه یستفاد من کلمات فقهاء أهل السنة من الحنفیة و المالکیة و الحنابلة و الشافعیة أنّهم خالفوا فقهاء الشیعة؛ فإنّهم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الأنفال و الفیء کانا بمعنی واحد و هو الغنیمة</w:t>
      </w:r>
      <w:r>
        <w:rPr>
          <w:rStyle w:val="FootnoteAnchor"/>
          <w:rtl w:val="true"/>
        </w:rPr>
        <w:footnoteReference w:id="2069"/>
      </w:r>
      <w:r>
        <w:rPr>
          <w:rFonts w:ascii="Amiri" w:hAnsi="Amiri" w:eastAsia="Amiri" w:cs="Amiri"/>
          <w:color w:val="111111"/>
          <w:sz w:val="28"/>
          <w:sz w:val="28"/>
          <w:szCs w:val="28"/>
          <w:rtl w:val="true"/>
          <w:lang w:bidi="ar-SA"/>
        </w:rPr>
        <w:t>سواء حصل من غیر قتال أو مع القتال، قال فی المغنی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الفیء هو الراجع إلی المسلمین من مال الکفّار بغیر 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فاء الفیء إذا رجع نحو المشرق، و الغنیمة ما أخذ منهم قهراً بالقتال، و اشتقاقها من الغُنْم و هو الفائدة، و کلّ واحدٍ منهما فی الحقیقة فیء و غنیمةٌ، و إنّما خصّ کلّ واحدٍ منهما باسم میّز به عن الآخر، و الأصل فیهما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أَفاءَ اللّهُ عَلی رَسُولِهِ مِنْ أَهْلِ الْقُری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و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 مِنْ شَیْ‌ءٍ فَأَنَّ لِلّهِ خُمُسَهُ وَ لِلرَّسُولِ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فالفیء ما أخذ من مال مشرک بحال و لم یوجف علیه بخیل و لا رکاب، و الغنیمة ما أوجف علیها</w:t>
      </w:r>
      <w:r>
        <w:rPr>
          <w:rFonts w:eastAsia="Amiri" w:cs="Amiri" w:ascii="Amiri" w:hAnsi="Amiri"/>
          <w:color w:val="111111"/>
          <w:sz w:val="28"/>
          <w:szCs w:val="28"/>
          <w:rtl w:val="true"/>
          <w:lang w:bidi="ar-SA"/>
        </w:rPr>
        <w:t>»</w:t>
      </w:r>
      <w:r>
        <w:rPr>
          <w:rStyle w:val="FootnoteAnchor"/>
          <w:rtl w:val="true"/>
        </w:rPr>
        <w:footnoteReference w:id="20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المفردات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النفل،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الغنیمة بعینها، لکن اختلفت العبارة عنه لاختلاف الاعتبار، فإنّه إذا اعتبر بکونه مظفوراً به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غنیمة، و إذا اعتبر بکونه منحةً من اللّه ابتداءً من غیر وجوب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نفل</w:t>
      </w:r>
      <w:r>
        <w:rPr>
          <w:rFonts w:eastAsia="IRNazanin" w:cs="IRNazanin"/>
          <w:color w:val="111111"/>
          <w:sz w:val="28"/>
          <w:szCs w:val="28"/>
          <w:rtl w:val="true"/>
          <w:lang w:bidi="fa-IR"/>
        </w:rPr>
        <w:t>»</w:t>
      </w:r>
      <w:r>
        <w:rPr>
          <w:rStyle w:val="FootnoteAnchor"/>
          <w:rtl w:val="true"/>
        </w:rPr>
        <w:footnoteReference w:id="2071"/>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الحافظ أبو عبید فی کتاب الأموال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صلی الله علیه و آله و سلم کان اللّه عزّ و جلّ خصّه من الأنفال و الغنائم بما لم یجعله لغیره؛ و ذلک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یَسْئَلُونَکَ</w:t>
      </w:r>
      <w:bookmarkStart w:id="972" w:name="pg11752_146495"/>
    </w:p>
    <w:p>
      <w:pPr>
        <w:pStyle w:val="BookText"/>
        <w:rPr/>
      </w:pPr>
      <w:bookmarkEnd w:id="972"/>
      <w:r>
        <w:rPr>
          <w:rFonts w:ascii="Amiri" w:hAnsi="Amiri" w:eastAsia="Amiri" w:cs="Amiri"/>
          <w:color w:val="111111"/>
          <w:sz w:val="28"/>
          <w:sz w:val="28"/>
          <w:szCs w:val="28"/>
          <w:rtl w:val="true"/>
          <w:lang w:bidi="ar-SA"/>
        </w:rPr>
        <w:t>عَنِ 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فنری هذا کان خالصاً له</w:t>
      </w:r>
      <w:r>
        <w:rPr>
          <w:rFonts w:eastAsia="Amiri" w:cs="Amiri" w:ascii="Amiri" w:hAnsi="Amiri"/>
          <w:color w:val="111111"/>
          <w:sz w:val="28"/>
          <w:szCs w:val="28"/>
          <w:rtl w:val="true"/>
          <w:lang w:bidi="ar-SA"/>
        </w:rPr>
        <w:t>»</w:t>
      </w:r>
      <w:r>
        <w:rPr>
          <w:rStyle w:val="FootnoteAnchor"/>
          <w:rtl w:val="true"/>
        </w:rPr>
        <w:footnoteReference w:id="20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یستفاد من بعض تفاسیرهم أنّ آیة الخمس ناسخة للأنفال، کما قاله الجصّاص فی أحکام القرآن</w:t>
      </w:r>
      <w:r>
        <w:rPr>
          <w:rStyle w:val="FootnoteAnchor"/>
          <w:rtl w:val="true"/>
        </w:rPr>
        <w:footnoteReference w:id="20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بعضهم بأنّ کلاًّ من الفیء و الغنیمة یقسّم، و نقل عن بعض آخر بأنّ الأمر فیهما إلی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القرطبی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الفیء فقسمته و قسمة الخمس سواء، و الأمر عند مالک فیهما إلی الإمام، فإن رأی حبسهما لنوازل تنزل بالمسلمین فعل، و إن رأی قسمتهما أو قسمة أحدهما قسّم کلّه بین الناس و سوّی فیه بین عربیهم و مولاهم</w:t>
      </w:r>
      <w:r>
        <w:rPr>
          <w:rFonts w:eastAsia="IRNazanin" w:cs="IRNazanin"/>
          <w:color w:val="111111"/>
          <w:sz w:val="28"/>
          <w:szCs w:val="28"/>
          <w:rtl w:val="true"/>
          <w:lang w:bidi="fa-IR"/>
        </w:rPr>
        <w:t>»</w:t>
      </w:r>
      <w:r>
        <w:rPr>
          <w:rStyle w:val="FootnoteAnchor"/>
          <w:rtl w:val="true"/>
        </w:rPr>
        <w:footnoteReference w:id="20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کلّ حالٍ، فعلی القول بتخمیس الفیء یأتی فیه ما قالوا فی الخمس کما ذکرناه سابقاً، و هکذا علی القول باختصاص الفیء و الأنفال بالنبیّ علی مذهبهم یأتی فیه ما قلنا فی الأنفال و الفیء من أنّ الأولی تأمین نفقة الأیتام و الفقراء منهما</w:t>
      </w:r>
      <w:r>
        <w:rPr>
          <w:rFonts w:eastAsia="IRNazanin" w:cs="IRNazanin"/>
          <w:color w:val="111111"/>
          <w:sz w:val="28"/>
          <w:szCs w:val="28"/>
          <w:rtl w:val="true"/>
          <w:lang w:bidi="fa-IR"/>
        </w:rPr>
        <w:t>.</w:t>
      </w:r>
    </w:p>
    <w:p>
      <w:pPr>
        <w:pStyle w:val="Heading5"/>
        <w:numPr>
          <w:ilvl w:val="4"/>
          <w:numId w:val="1"/>
        </w:numPr>
        <w:rPr/>
      </w:pPr>
      <w:bookmarkStart w:id="973" w:name="__RefHeading___Toc9424508_73709187"/>
      <w:bookmarkStart w:id="974" w:name="_Toc368"/>
      <w:bookmarkEnd w:id="973"/>
      <w:r>
        <w:rPr>
          <w:rtl w:val="true"/>
        </w:rPr>
        <w:t>إیضاحٌ‌</w:t>
      </w:r>
      <w:bookmarkEnd w:id="974"/>
    </w:p>
    <w:p>
      <w:pPr>
        <w:pStyle w:val="BookText"/>
        <w:rPr/>
      </w:pPr>
      <w:r>
        <w:rPr>
          <w:rFonts w:ascii="IRNazanin" w:hAnsi="IRNazanin" w:eastAsia="IRNazanin"/>
          <w:color w:val="111111"/>
          <w:sz w:val="28"/>
          <w:sz w:val="28"/>
          <w:szCs w:val="28"/>
          <w:rtl w:val="true"/>
          <w:lang w:bidi="fa-IR"/>
        </w:rPr>
        <w:t>و اعلم أنّه یوجد عند فقهاء أهل السنّة اصطلاح خاصّ فی الأنفال لا ارتباط فیه بمسألتنا هذه، أی تأمین نفقة الأیتام من الأنفال، و هو نفل الإمام أو نائبه سهماً زائداً للغازی مضافاً علی ما کان له من الخمس، قال القرطبی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مذهب مالک أنّ الأنفال مواهب الإمام من الخمس علی ما یری من الاجتهاد، و لیس فی الأربعة الأخماس نفل</w:t>
      </w:r>
      <w:r>
        <w:rPr>
          <w:rFonts w:eastAsia="IRNazanin" w:cs="IRNazanin"/>
          <w:color w:val="111111"/>
          <w:sz w:val="28"/>
          <w:szCs w:val="28"/>
          <w:rtl w:val="true"/>
          <w:lang w:bidi="fa-IR"/>
        </w:rPr>
        <w:t>»</w:t>
      </w:r>
      <w:r>
        <w:rPr>
          <w:rStyle w:val="FootnoteAnchor"/>
          <w:rtl w:val="true"/>
        </w:rPr>
        <w:footnoteReference w:id="2075"/>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قدامة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ینفل الإمام و من استخلفه الإمام، کما فعل النبیّ صلی الله علیه و آله و سلم فی</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بدأته الربع بعد الخمس، و فی رجعته الثلث بعد الخمس، و زاد شارحه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النفل زیادةٌ تزاد علی سهم الغازی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الإمام أو نائبه إذا دخل دار الحرب غازیاً بعث بین یدیه سریةً تَغیر علی العدوّ، و یجعل لهم الربع بعد الخمس، فما قدّمت به السریّة من الشیء أخرج خمسه ثمّ أعطی السریة ما جعل لهم، و هو ربع الباقی و ذلک خمس آخر</w:t>
      </w:r>
      <w:r>
        <w:rPr>
          <w:rFonts w:eastAsia="IRNazanin" w:cs="IRNazanin"/>
          <w:color w:val="111111"/>
          <w:sz w:val="28"/>
          <w:szCs w:val="28"/>
          <w:rtl w:val="true"/>
          <w:lang w:bidi="fa-IR"/>
        </w:rPr>
        <w:t>»</w:t>
      </w:r>
      <w:r>
        <w:rPr>
          <w:rStyle w:val="FootnoteAnchor"/>
          <w:rtl w:val="true"/>
        </w:rPr>
        <w:footnoteReference w:id="2076"/>
      </w:r>
      <w:bookmarkStart w:id="975" w:name="pg11752_146497"/>
    </w:p>
    <w:p>
      <w:pPr>
        <w:pStyle w:val="Heading4"/>
        <w:numPr>
          <w:ilvl w:val="3"/>
          <w:numId w:val="1"/>
        </w:numPr>
        <w:rPr/>
      </w:pPr>
      <w:bookmarkStart w:id="976" w:name="__RefHeading___Toc9424510_73709187"/>
      <w:bookmarkStart w:id="977" w:name="_Toc369"/>
      <w:bookmarkEnd w:id="975"/>
      <w:bookmarkEnd w:id="976"/>
      <w:r>
        <w:rPr>
          <w:rtl w:val="true"/>
        </w:rPr>
        <w:t>المبحث الخامس</w:t>
      </w:r>
      <w:r>
        <w:rPr>
          <w:rtl w:val="true"/>
        </w:rPr>
        <w:t xml:space="preserve">: </w:t>
      </w:r>
      <w:r>
        <w:rPr>
          <w:rtl w:val="true"/>
        </w:rPr>
        <w:t>تأمین نفقة الأیتام من الجزیة</w:t>
      </w:r>
      <w:bookmarkEnd w:id="977"/>
    </w:p>
    <w:p>
      <w:pPr>
        <w:pStyle w:val="Heading5"/>
        <w:numPr>
          <w:ilvl w:val="4"/>
          <w:numId w:val="1"/>
        </w:numPr>
        <w:rPr/>
      </w:pPr>
      <w:bookmarkStart w:id="978" w:name="__RefHeading___Toc9424512_73709187"/>
      <w:bookmarkStart w:id="979" w:name="_Toc370"/>
      <w:bookmarkEnd w:id="978"/>
      <w:r>
        <w:rPr>
          <w:rtl w:val="true"/>
        </w:rPr>
        <w:t>اشارة</w:t>
      </w:r>
      <w:bookmarkEnd w:id="979"/>
    </w:p>
    <w:p>
      <w:pPr>
        <w:pStyle w:val="BookText"/>
        <w:rPr/>
      </w:pPr>
      <w:r>
        <w:rPr>
          <w:rFonts w:ascii="IRNazanin" w:hAnsi="IRNazanin" w:eastAsia="IRNazanin"/>
          <w:color w:val="111111"/>
          <w:sz w:val="28"/>
          <w:sz w:val="28"/>
          <w:szCs w:val="28"/>
          <w:rtl w:val="true"/>
          <w:lang w:bidi="fa-IR"/>
        </w:rPr>
        <w:t>من الأموال التی یمکن أن یصرفها الإمام و الحاکم الإسلامی فی مصالح المسلمین و منها نفقة الیتامی هی الجزیة</w:t>
      </w:r>
      <w:r>
        <w:rPr>
          <w:rStyle w:val="FootnoteAnchor"/>
          <w:rtl w:val="true"/>
        </w:rPr>
        <w:footnoteReference w:id="2077"/>
      </w:r>
      <w:r>
        <w:rPr>
          <w:rFonts w:ascii="IRNazanin" w:hAnsi="IRNazanin" w:eastAsia="IRNazanin"/>
          <w:color w:val="111111"/>
          <w:sz w:val="28"/>
          <w:sz w:val="28"/>
          <w:szCs w:val="28"/>
          <w:rtl w:val="true"/>
          <w:lang w:bidi="fa-IR"/>
        </w:rPr>
        <w:t>، إذ لا شکّ فی أنّها أحد المنابع المالیة للحکومة و الإمام، بعد الاعتراف بأنّ الجزیة ثابتة فی الإسلام، و یجوز للإمام و الحاکم أخذها من الیهود و النصاری، کما استفید من الکتاب</w:t>
      </w:r>
      <w:r>
        <w:rPr>
          <w:rStyle w:val="FootnoteAnchor"/>
          <w:rtl w:val="true"/>
        </w:rPr>
        <w:footnoteReference w:id="2078"/>
      </w:r>
      <w:r>
        <w:rPr>
          <w:rFonts w:ascii="IRNazanin" w:hAnsi="IRNazanin" w:eastAsia="IRNazanin"/>
          <w:color w:val="111111"/>
          <w:sz w:val="28"/>
          <w:sz w:val="28"/>
          <w:szCs w:val="28"/>
          <w:rtl w:val="true"/>
          <w:lang w:bidi="fa-IR"/>
        </w:rPr>
        <w:t>و السنة و حقّق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البحث هنا ینصبّ علی جواز أن یصرفها الإمام و الحاکم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 الجامع للشرائط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نفقة المساکین و الأیتام إذا اقتضت المصلحة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الروایات الصحیحة علی أن الجزیة بید الإمام، یصرفها فیما یراه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ابن مسلم الواردة فی باب الجزیة،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رأیت ما یأخذ هؤلاء من هذا الخمس من أرض الجزیة، و یأخذ من الدهاقین جزیة رءوسهم؟ أما علیهم فی ذلک شیء موظّف؟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علیهم ما أجازوا علی أنفسهم، و لیس للإمام أکثر من الجزیة، إن شاء الإمام وضع ذلک علی</w:t>
      </w:r>
    </w:p>
    <w:p>
      <w:pPr>
        <w:pStyle w:val="BookText"/>
        <w:rPr/>
      </w:pPr>
      <w:r>
        <w:rPr>
          <w:rFonts w:ascii="IRNazanin" w:hAnsi="IRNazanin" w:eastAsia="IRNazanin"/>
          <w:color w:val="111111"/>
          <w:sz w:val="28"/>
          <w:sz w:val="28"/>
          <w:szCs w:val="28"/>
          <w:rtl w:val="true"/>
          <w:lang w:bidi="fa-IR"/>
        </w:rPr>
        <w:t>رءوسهم و لیس علی أموالهم شیء، و إن شاء فعلی أموالهم و لیس علی رءوسهم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الخمس؟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هذا شیء کان صالحهم علیه رسول اللّه صلی الله علیه و آله و سلم</w:t>
      </w:r>
      <w:r>
        <w:rPr>
          <w:rFonts w:eastAsia="IRNazanin" w:cs="IRNazanin"/>
          <w:color w:val="111111"/>
          <w:sz w:val="28"/>
          <w:szCs w:val="28"/>
          <w:rtl w:val="true"/>
          <w:lang w:bidi="fa-IR"/>
        </w:rPr>
        <w:t>»</w:t>
      </w:r>
      <w:r>
        <w:rPr>
          <w:rStyle w:val="FootnoteAnchor"/>
          <w:rtl w:val="true"/>
        </w:rPr>
        <w:footnoteReference w:id="20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فهذه الصحیحة تدلّ علی أنّ الجزیة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کانت علی الرءوس أو الأراضی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صالحهم علیه رسول اللّه صلی الله علیه و آله و سلم، و هی بضمیمة صحیحة حفص بن البختری،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الأنفال ما لم یوجف علیه بخیل و لا رکاب، أو قومٌ صالحوا، أو قومٌ أعطوا بأیدیهم، و کلّ أرض خربة و بطون الأودیة فهو لرسوله اللّه صلی الله علیه و آله و سلم، و هو للإمام من بعده یضعه حیث یشاء</w:t>
      </w:r>
      <w:r>
        <w:rPr>
          <w:rFonts w:eastAsia="IRNazanin" w:cs="IRNazanin"/>
          <w:color w:val="111111"/>
          <w:sz w:val="28"/>
          <w:szCs w:val="28"/>
          <w:rtl w:val="true"/>
          <w:lang w:bidi="fa-IR"/>
        </w:rPr>
        <w:t>»</w:t>
      </w:r>
      <w:r>
        <w:rPr>
          <w:rStyle w:val="FootnoteAnchor"/>
          <w:rtl w:val="true"/>
        </w:rPr>
        <w:footnoteReference w:id="2080"/>
      </w:r>
      <w:r>
        <w:rPr>
          <w:rFonts w:ascii="IRNazanin" w:hAnsi="IRNazanin" w:eastAsia="IRNazanin"/>
          <w:color w:val="111111"/>
          <w:sz w:val="28"/>
          <w:sz w:val="28"/>
          <w:szCs w:val="28"/>
          <w:rtl w:val="true"/>
          <w:lang w:bidi="fa-IR"/>
        </w:rPr>
        <w:t xml:space="preserve">تدلّ علی أنّ الجزیة کانت بید رسول اللّه و بعده الإمام یصرفه حیث یشاء، و یجوز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یجعل أحد مصارفها نفقة المساکین و الأیتام إذا رأی مصلحة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تدلّ علی هذا المعنی صحیحة أخری لمحمد بن مسلم،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أهل الذمّة ما ذا علیهم ممّا یحقنون به هم و أموالهم؟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الخراج و إن أخذ من رءوسهم الجزیة فلا سبیل علی أرضهم و إن أخذ من أرضهم فلا سبیل علی رءوسهم</w:t>
      </w:r>
      <w:r>
        <w:rPr>
          <w:rFonts w:eastAsia="IRNazanin" w:cs="IRNazanin"/>
          <w:color w:val="111111"/>
          <w:sz w:val="28"/>
          <w:szCs w:val="28"/>
          <w:rtl w:val="true"/>
          <w:lang w:bidi="fa-IR"/>
        </w:rPr>
        <w:t>»</w:t>
      </w:r>
      <w:r>
        <w:rPr>
          <w:rStyle w:val="FootnoteAnchor"/>
          <w:rtl w:val="true"/>
        </w:rPr>
        <w:footnoteReference w:id="2081"/>
      </w: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هنا روایة تدلّ علی الحصر، و هی روایة ابن أبی یعفور،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أرض الجزیة لا ترفع عنهم الجزیة، و إنّما الجزیة عطاء المهاجرین، و الصدقة لأهلها الذین سمّی اللّه فی کتابه، فلیس لهم من الجزیة شیء</w:t>
      </w:r>
      <w:r>
        <w:rPr>
          <w:rFonts w:eastAsia="IRNazanin" w:cs="IRNazanin"/>
          <w:color w:val="111111"/>
          <w:sz w:val="28"/>
          <w:szCs w:val="28"/>
          <w:rtl w:val="true"/>
          <w:lang w:bidi="fa-IR"/>
        </w:rPr>
        <w:t>»</w:t>
      </w:r>
      <w:r>
        <w:rPr>
          <w:rStyle w:val="FootnoteAnchor"/>
          <w:rtl w:val="true"/>
        </w:rPr>
        <w:footnoteReference w:id="2082"/>
      </w:r>
    </w:p>
    <w:p>
      <w:pPr>
        <w:pStyle w:val="BookText"/>
        <w:rPr/>
      </w:pPr>
      <w:r>
        <w:rPr>
          <w:rFonts w:ascii="IRNazanin" w:hAnsi="IRNazanin" w:eastAsia="IRNazanin"/>
          <w:color w:val="111111"/>
          <w:sz w:val="28"/>
          <w:sz w:val="28"/>
          <w:szCs w:val="28"/>
          <w:rtl w:val="true"/>
          <w:lang w:bidi="fa-IR"/>
        </w:rPr>
        <w:t>و وقوع سهل بن زیاد فی سند الروایة لا یوجب ضعفها؛ لأنّ الرجل موثّق علی الأصحّ؛ و لذا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الأمر فی سهل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أنّه یمکن انجبار ضعفها بعمل الأصحاب، علی هذا بمقتضی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الروایة التی تدلّ علی الحصر فینحصر مورد الجزیة لإعطاء المهاجرین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المجاهدین باختلاف النسخ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إعطاء غیرهم من الفقراء و المساکین و الأیتام الذین کان البحث فی تأمین نفقتهم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یمکن أن یقال فی الجواب عن هذا الإیراد بجوابین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المستحقّ للجزیة فی عهد رسول اللّه صلی الله علیه و آله و سلم کانوا المهاجرین أو المجاهدین، کما أفتی به الأصحاب دون غیرهم، و هی بعد رسول اللّه صلی الله علیه و آله تصرف فی مصالح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الجزیة سواء وضعت علی الرءوس أو الأراضی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کانت نتیجة الحرب؛ دفاعاً عن النفوس التی وقعت فی معرض القتل و الأسر، و عوضاً عن التصرّف فی الأراضی، ففی المرحلة الأولی یلزم أن تؤدّی إلی المهاجرین أو المجاهدین، الذین حضروا الحرب للقتال؛ لأنّها تعدّ هنا غنیمة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کونها مستمرّة لا دلیل علی ذلک، مضافاً إلی أنّ الأخبار الماضیة تدلّ علی خلاف ذلک، و فی الحقیقة بعض الأخبار مطلقة و بعضها مقیّدة، و لا یمکن حمل المطلق علی المقیّد لأنّهما مثبتان و لا تنافی بینهما، فغایة ما ینبغی أن یقال للجمع بین الأمرین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دام المجاهدون أو المهاجرون موجودین للقتال تُصرف الجزیة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حال عدمهم یصرفها الإمام فیما یری من المصلحة، و یمکن أن یجعل أحد مصارفها نفقة الیتامی، بل الأَولی ذلک</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ذهب إلی ما قلنا المفید رحمه الله فی المقنعة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کانت الجزیة علی عهد رسول اللّه صلی الله علیه و آله عطاء المهاجرین، و هی من بعده لمن قام مع الإمام مقام المهاجرین</w:t>
      </w:r>
      <w:bookmarkStart w:id="980" w:name="pg11752_146500"/>
    </w:p>
    <w:p>
      <w:pPr>
        <w:pStyle w:val="BookText"/>
        <w:rPr/>
      </w:pPr>
      <w:bookmarkEnd w:id="980"/>
      <w:r>
        <w:rPr>
          <w:rFonts w:ascii="IRNazanin" w:hAnsi="IRNazanin" w:eastAsia="IRNazanin"/>
          <w:color w:val="111111"/>
          <w:sz w:val="28"/>
          <w:sz w:val="28"/>
          <w:szCs w:val="28"/>
          <w:rtl w:val="true"/>
          <w:lang w:bidi="fa-IR"/>
        </w:rPr>
        <w:t>و فیما یراه الإمام من مصالح المسلمین</w:t>
      </w:r>
      <w:r>
        <w:rPr>
          <w:rFonts w:eastAsia="IRNazanin" w:cs="IRNazanin"/>
          <w:color w:val="111111"/>
          <w:sz w:val="28"/>
          <w:szCs w:val="28"/>
          <w:rtl w:val="true"/>
          <w:lang w:bidi="fa-IR"/>
        </w:rPr>
        <w:t>»</w:t>
      </w:r>
      <w:r>
        <w:rPr>
          <w:rStyle w:val="FootnoteAnchor"/>
          <w:rtl w:val="true"/>
        </w:rPr>
        <w:footnoteReference w:id="20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هکذا قال فی النهایة</w:t>
      </w:r>
      <w:r>
        <w:rPr>
          <w:rStyle w:val="FootnoteAnchor"/>
          <w:rtl w:val="true"/>
        </w:rPr>
        <w:footnoteReference w:id="2084"/>
      </w:r>
      <w:r>
        <w:rPr>
          <w:rFonts w:ascii="IRNazanin" w:hAnsi="IRNazanin" w:eastAsia="IRNazanin"/>
          <w:color w:val="111111"/>
          <w:sz w:val="28"/>
          <w:sz w:val="28"/>
          <w:szCs w:val="28"/>
          <w:rtl w:val="true"/>
          <w:lang w:bidi="fa-IR"/>
        </w:rPr>
        <w:t>و المراسم</w:t>
      </w:r>
      <w:r>
        <w:rPr>
          <w:rStyle w:val="FootnoteAnchor"/>
          <w:rtl w:val="true"/>
        </w:rPr>
        <w:footnoteReference w:id="2085"/>
      </w:r>
      <w:r>
        <w:rPr>
          <w:rFonts w:ascii="IRNazanin" w:hAnsi="IRNazanin" w:eastAsia="IRNazanin"/>
          <w:color w:val="111111"/>
          <w:sz w:val="28"/>
          <w:sz w:val="28"/>
          <w:szCs w:val="28"/>
          <w:rtl w:val="true"/>
          <w:lang w:bidi="fa-IR"/>
        </w:rPr>
        <w:t>و السرائر</w:t>
      </w:r>
      <w:r>
        <w:rPr>
          <w:rStyle w:val="FootnoteAnchor"/>
          <w:rtl w:val="true"/>
        </w:rPr>
        <w:footnoteReference w:id="2086"/>
      </w:r>
      <w:r>
        <w:rPr>
          <w:rFonts w:ascii="IRNazanin" w:hAnsi="IRNazanin" w:eastAsia="IRNazanin"/>
          <w:color w:val="111111"/>
          <w:sz w:val="28"/>
          <w:sz w:val="28"/>
          <w:szCs w:val="28"/>
          <w:rtl w:val="true"/>
          <w:lang w:bidi="fa-IR"/>
        </w:rPr>
        <w:t>و القواعد</w:t>
      </w:r>
      <w:r>
        <w:rPr>
          <w:rStyle w:val="FootnoteAnchor"/>
          <w:rtl w:val="true"/>
        </w:rPr>
        <w:footnoteReference w:id="2087"/>
      </w:r>
      <w:r>
        <w:rPr>
          <w:rFonts w:ascii="IRNazanin" w:hAnsi="IRNazanin" w:eastAsia="IRNazanin"/>
          <w:color w:val="111111"/>
          <w:sz w:val="28"/>
          <w:sz w:val="28"/>
          <w:szCs w:val="28"/>
          <w:rtl w:val="true"/>
          <w:lang w:bidi="fa-IR"/>
        </w:rPr>
        <w:t>و رسائل المحقّق الکرکی</w:t>
      </w:r>
      <w:r>
        <w:rPr>
          <w:rStyle w:val="FootnoteAnchor"/>
          <w:rtl w:val="true"/>
        </w:rPr>
        <w:footnoteReference w:id="2088"/>
      </w:r>
      <w:r>
        <w:rPr>
          <w:rFonts w:ascii="Amiri" w:hAnsi="Amiri" w:eastAsia="Amiri" w:cs="Amiri"/>
          <w:color w:val="111111"/>
          <w:sz w:val="28"/>
          <w:sz w:val="28"/>
          <w:szCs w:val="28"/>
          <w:rtl w:val="true"/>
          <w:lang w:bidi="ar-SA"/>
        </w:rPr>
        <w:t>، و مجمع الفائدة و البرهان</w:t>
      </w:r>
      <w:r>
        <w:rPr>
          <w:rStyle w:val="FootnoteAnchor"/>
          <w:rtl w:val="true"/>
        </w:rPr>
        <w:footnoteReference w:id="20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1" w:name="__RefHeading___Toc9424514_73709187"/>
      <w:bookmarkStart w:id="982" w:name="_Toc371"/>
      <w:bookmarkEnd w:id="981"/>
      <w:r>
        <w:rPr>
          <w:rtl w:val="true"/>
        </w:rPr>
        <w:t>آراء المذاهب الأربعة فی مصرف الجزیة</w:t>
      </w:r>
      <w:bookmarkEnd w:id="9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مذهب 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الدرّ المختار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مصرف الجزیة و الخراج و مال التغلبی و هدیتهم للإمام، و إنّما یقبلها إذا وقع عندهم إنّ قتالنا للدین لا الدنیا جوهرة، و ما أخذ منهم بلا حرب و منه ترکة ذمّی و ما أخذه عاشر منهم ظهیریة مصالحنا کسدّ ثغور و بناء قنطرة و جسر و کفایة العلماء و المتعلّمین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القضاة و العمال ککتبة قضاةٍ و شهود قسمة و رقباء سواحل و رزق المقاتلة و ذراریهم</w:t>
      </w:r>
      <w:r>
        <w:rPr>
          <w:rFonts w:eastAsia="IRNazanin" w:cs="IRNazanin"/>
          <w:color w:val="111111"/>
          <w:sz w:val="28"/>
          <w:szCs w:val="28"/>
          <w:rtl w:val="true"/>
          <w:lang w:bidi="fa-IR"/>
        </w:rPr>
        <w:t>»</w:t>
      </w:r>
      <w:r>
        <w:rPr>
          <w:rStyle w:val="FootnoteAnchor"/>
          <w:rtl w:val="true"/>
        </w:rPr>
        <w:footnoteReference w:id="20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مذهب المالکیّة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بدایة المجتهد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المسألة السادسة، و هی فی ما ذا تصرف الجزیة؟ فإنّهم اتّفقوا علی أنّها مشترکة لمصالح المسلمین من غیر تحدید کالحال فی الفیء عند مَن رأی أنّه مصروف إلی اجتهاد المجتهد حتّی لقد رأی کثیرٌ من الناس أنّ اسم الفیء إنّما ینطلق علی الجزیة فی آیة الفیء</w:t>
      </w:r>
      <w:r>
        <w:rPr>
          <w:rFonts w:eastAsia="IRNazanin" w:cs="IRNazanin"/>
          <w:color w:val="111111"/>
          <w:sz w:val="28"/>
          <w:szCs w:val="28"/>
          <w:rtl w:val="true"/>
          <w:lang w:bidi="fa-IR"/>
        </w:rPr>
        <w:t>»</w:t>
      </w:r>
      <w:r>
        <w:rPr>
          <w:rStyle w:val="FootnoteAnchor"/>
          <w:rtl w:val="true"/>
        </w:rPr>
        <w:footnoteReference w:id="2091"/>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مذهب الحنابلة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الأحکام السلطانیة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ابن منصور</w:t>
      </w:r>
    </w:p>
    <w:p>
      <w:pPr>
        <w:pStyle w:val="BookText"/>
        <w:rPr/>
      </w:pPr>
      <w:r>
        <w:rPr>
          <w:rFonts w:ascii="IRNazanin" w:hAnsi="IRNazanin" w:eastAsia="IRNazanin"/>
          <w:color w:val="111111"/>
          <w:sz w:val="28"/>
          <w:sz w:val="28"/>
          <w:szCs w:val="28"/>
          <w:rtl w:val="true"/>
          <w:lang w:bidi="fa-IR"/>
        </w:rPr>
        <w:t>و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الخراج علی الأرض مثل الجزیة علی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نصّ علی أنّ الخراج من جملة الفیء و أنّه للمسلمین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ثبت أنّ حکمه حکم الفیء فهل یخمّس ذلک أم لا؟ المنصوص عنه أنّه لا یخمّس و یصرف جمیعه فی المصالح العامة</w:t>
      </w:r>
      <w:r>
        <w:rPr>
          <w:rFonts w:eastAsia="IRNazanin" w:cs="IRNazanin"/>
          <w:color w:val="111111"/>
          <w:sz w:val="28"/>
          <w:szCs w:val="28"/>
          <w:rtl w:val="true"/>
          <w:lang w:bidi="fa-IR"/>
        </w:rPr>
        <w:t>»</w:t>
      </w:r>
      <w:r>
        <w:rPr>
          <w:rStyle w:val="FootnoteAnchor"/>
          <w:rtl w:val="true"/>
        </w:rPr>
        <w:footnoteReference w:id="2092"/>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مذهب الشافعیّة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الأحکام السلطانیة للماوردی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الجزیة و الخراج حقّان أوصل اللّه سبحانه و تعالی المسلمین إلیهما من المشرکین، یجتمعان من ثلاثة أوجه و یفترقان من ثلاثة أوجه، ثمّ تتفرّع أحکامهما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أنّهما ما لا فیء یصرفان فی أهل الفیء</w:t>
      </w:r>
      <w:r>
        <w:rPr>
          <w:rFonts w:eastAsia="IRNazanin" w:cs="IRNazanin"/>
          <w:color w:val="111111"/>
          <w:sz w:val="28"/>
          <w:szCs w:val="28"/>
          <w:rtl w:val="true"/>
          <w:lang w:bidi="fa-IR"/>
        </w:rPr>
        <w:t>»</w:t>
      </w:r>
      <w:r>
        <w:rPr>
          <w:rStyle w:val="FootnoteAnchor"/>
          <w:rtl w:val="true"/>
        </w:rPr>
        <w:footnoteReference w:id="2093"/>
      </w:r>
      <w:bookmarkStart w:id="983" w:name="pg11752_146502"/>
    </w:p>
    <w:p>
      <w:pPr>
        <w:pStyle w:val="Heading4"/>
        <w:numPr>
          <w:ilvl w:val="3"/>
          <w:numId w:val="1"/>
        </w:numPr>
        <w:rPr/>
      </w:pPr>
      <w:bookmarkStart w:id="984" w:name="__RefHeading___Toc9424516_73709187"/>
      <w:bookmarkStart w:id="985" w:name="_Toc372"/>
      <w:bookmarkEnd w:id="983"/>
      <w:bookmarkEnd w:id="984"/>
      <w:r>
        <w:rPr>
          <w:rtl w:val="true"/>
        </w:rPr>
        <w:t>المبحث السادس</w:t>
      </w:r>
      <w:r>
        <w:rPr>
          <w:rtl w:val="true"/>
        </w:rPr>
        <w:t xml:space="preserve">: </w:t>
      </w:r>
      <w:r>
        <w:rPr>
          <w:rtl w:val="true"/>
        </w:rPr>
        <w:t>تأمین نفقة الأیتام من الخراج</w:t>
      </w:r>
      <w:bookmarkEnd w:id="985"/>
    </w:p>
    <w:p>
      <w:pPr>
        <w:pStyle w:val="Heading5"/>
        <w:numPr>
          <w:ilvl w:val="4"/>
          <w:numId w:val="1"/>
        </w:numPr>
        <w:rPr/>
      </w:pPr>
      <w:bookmarkStart w:id="986" w:name="__RefHeading___Toc9424518_73709187"/>
      <w:bookmarkStart w:id="987" w:name="_Toc373"/>
      <w:bookmarkEnd w:id="986"/>
      <w:r>
        <w:rPr>
          <w:rtl w:val="true"/>
        </w:rPr>
        <w:t>اشارة</w:t>
      </w:r>
      <w:bookmarkEnd w:id="987"/>
    </w:p>
    <w:p>
      <w:pPr>
        <w:pStyle w:val="BookText"/>
        <w:rPr/>
      </w:pPr>
      <w:r>
        <w:rPr>
          <w:rFonts w:ascii="IRNazanin" w:hAnsi="IRNazanin" w:eastAsia="IRNazanin"/>
          <w:color w:val="111111"/>
          <w:sz w:val="28"/>
          <w:sz w:val="28"/>
          <w:szCs w:val="28"/>
          <w:rtl w:val="true"/>
          <w:lang w:bidi="fa-IR"/>
        </w:rPr>
        <w:t>من المصادر المالیّة التی تکون تحت ید الإمام علیه السلام و مَن قام مقامه مع بسط یده الخراج</w:t>
      </w:r>
      <w:r>
        <w:rPr>
          <w:rStyle w:val="FootnoteAnchor"/>
          <w:rtl w:val="true"/>
        </w:rPr>
        <w:footnoteReference w:id="2094"/>
      </w:r>
      <w:r>
        <w:rPr>
          <w:rFonts w:ascii="IRNazanin" w:hAnsi="IRNazanin" w:eastAsia="IRNazanin"/>
          <w:color w:val="111111"/>
          <w:sz w:val="28"/>
          <w:sz w:val="28"/>
          <w:szCs w:val="28"/>
          <w:rtl w:val="true"/>
          <w:lang w:bidi="fa-IR"/>
        </w:rPr>
        <w:t>و هو عند الفقهاء أجرة الأرض یأخذها الإمام علیه السلام من الأرض التی فتحت بالسیف قهراً</w:t>
      </w:r>
      <w:r>
        <w:rPr>
          <w:rStyle w:val="FootnoteAnchor"/>
          <w:rtl w:val="true"/>
        </w:rPr>
        <w:footnoteReference w:id="20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المحقّق الکرکی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یؤخذ من هذه الأراضی إمّا مقاسمة بالحصّة أو ضریبة تسمّی الخراج، یصرف لمن له رقبة تلک الأرض، فما کان من المفتوح عنوةً فمصرفه للمسلمین قاطبة، و کذا ما یؤخذ من أرض الصلح، أعنی الجزیة</w:t>
      </w:r>
      <w:r>
        <w:rPr>
          <w:rFonts w:eastAsia="IRNazanin" w:cs="IRNazanin"/>
          <w:color w:val="111111"/>
          <w:sz w:val="28"/>
          <w:szCs w:val="28"/>
          <w:rtl w:val="true"/>
          <w:lang w:bidi="fa-IR"/>
        </w:rPr>
        <w:t>»</w:t>
      </w:r>
      <w:r>
        <w:rPr>
          <w:rStyle w:val="FootnoteAnchor"/>
          <w:rtl w:val="true"/>
        </w:rPr>
        <w:footnoteReference w:id="20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ربما یطلق الخراج علی الجزیة أیضاً، لکن الجزیة علی الرءوس و الخراج أعمّ منها بما یجعل علی الرءوس و الأراضی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الخراج یکون بید الإمام أو نائبه مع بسط یدهما، و له أن یصرفه فی مصالح المسلمین، و منها نفقة الأیتام، فقد قال الشیخ رحمه الله فی المبسوط</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یأخذ ارتفاعها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الأرض المفتوحة عنوة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یصرفه فی مصالح المسلمین و ما ینوبهم من سدّ الثغور، و معونة المجاهدین، و بناء القناطر و غیر ذلک من المصالح، و لیس للغانمین فی هذه الأرضین خصوصاً شیء، بل هم و المسلمون فیه سواء</w:t>
      </w:r>
      <w:r>
        <w:rPr>
          <w:rFonts w:eastAsia="IRNazanin" w:cs="IRNazanin"/>
          <w:color w:val="111111"/>
          <w:sz w:val="28"/>
          <w:szCs w:val="28"/>
          <w:rtl w:val="true"/>
          <w:lang w:bidi="fa-IR"/>
        </w:rPr>
        <w:t>»</w:t>
      </w:r>
      <w:r>
        <w:rPr>
          <w:rStyle w:val="FootnoteAnchor"/>
          <w:rtl w:val="true"/>
        </w:rPr>
        <w:footnoteReference w:id="2097"/>
      </w:r>
    </w:p>
    <w:p>
      <w:pPr>
        <w:pStyle w:val="BookText"/>
        <w:rPr/>
      </w:pPr>
      <w:r>
        <w:rPr>
          <w:rFonts w:ascii="IRNazanin" w:hAnsi="IRNazanin" w:eastAsia="IRNazanin"/>
          <w:color w:val="111111"/>
          <w:sz w:val="28"/>
          <w:sz w:val="28"/>
          <w:szCs w:val="28"/>
          <w:rtl w:val="true"/>
          <w:lang w:bidi="fa-IR"/>
        </w:rPr>
        <w:t>و اختاره أیضاً فی الکافی</w:t>
      </w:r>
      <w:r>
        <w:rPr>
          <w:rStyle w:val="FootnoteAnchor"/>
          <w:rtl w:val="true"/>
        </w:rPr>
        <w:footnoteReference w:id="2098"/>
      </w:r>
      <w:r>
        <w:rPr>
          <w:rFonts w:ascii="IRNazanin" w:hAnsi="IRNazanin" w:eastAsia="IRNazanin"/>
          <w:color w:val="111111"/>
          <w:sz w:val="28"/>
          <w:sz w:val="28"/>
          <w:szCs w:val="28"/>
          <w:rtl w:val="true"/>
          <w:lang w:bidi="fa-IR"/>
        </w:rPr>
        <w:t>و السرائر</w:t>
      </w:r>
      <w:r>
        <w:rPr>
          <w:rStyle w:val="FootnoteAnchor"/>
          <w:rtl w:val="true"/>
        </w:rPr>
        <w:footnoteReference w:id="2099"/>
      </w:r>
      <w:r>
        <w:rPr>
          <w:rFonts w:ascii="IRNazanin" w:hAnsi="IRNazanin" w:eastAsia="IRNazanin"/>
          <w:color w:val="111111"/>
          <w:sz w:val="28"/>
          <w:sz w:val="28"/>
          <w:szCs w:val="28"/>
          <w:rtl w:val="true"/>
          <w:lang w:bidi="fa-IR"/>
        </w:rPr>
        <w:t>و المنتهی</w:t>
      </w:r>
      <w:r>
        <w:rPr>
          <w:rStyle w:val="FootnoteAnchor"/>
          <w:rtl w:val="true"/>
        </w:rPr>
        <w:footnoteReference w:id="2100"/>
      </w:r>
      <w:r>
        <w:rPr>
          <w:rFonts w:ascii="IRNazanin" w:hAnsi="IRNazanin" w:eastAsia="IRNazanin"/>
          <w:color w:val="111111"/>
          <w:sz w:val="28"/>
          <w:sz w:val="28"/>
          <w:szCs w:val="28"/>
          <w:rtl w:val="true"/>
          <w:lang w:bidi="fa-IR"/>
        </w:rPr>
        <w:t>و الشرائع</w:t>
      </w:r>
      <w:r>
        <w:rPr>
          <w:rStyle w:val="FootnoteAnchor"/>
          <w:rtl w:val="true"/>
        </w:rPr>
        <w:footnoteReference w:id="2101"/>
      </w:r>
      <w:r>
        <w:rPr>
          <w:rFonts w:ascii="IRNazanin" w:hAnsi="IRNazanin" w:eastAsia="IRNazanin"/>
          <w:color w:val="111111"/>
          <w:sz w:val="28"/>
          <w:sz w:val="28"/>
          <w:szCs w:val="28"/>
          <w:rtl w:val="true"/>
          <w:lang w:bidi="fa-IR"/>
        </w:rPr>
        <w:t>و مجمع الفائدة و المسالک</w:t>
      </w:r>
      <w:r>
        <w:rPr>
          <w:rStyle w:val="FootnoteAnchor"/>
          <w:rtl w:val="true"/>
        </w:rPr>
        <w:footnoteReference w:id="2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مصرف الخراج لو رفع فی ید الحاکم فالمتّجه قصره علی المصالح العامة للمسلمین، کبناء القناطر و حفظ الطرق و إعانة المجتهدین و نحو ذلک</w:t>
      </w:r>
      <w:r>
        <w:rPr>
          <w:rFonts w:eastAsia="IRNazanin" w:cs="IRNazanin"/>
          <w:color w:val="111111"/>
          <w:sz w:val="28"/>
          <w:szCs w:val="28"/>
          <w:rtl w:val="true"/>
          <w:lang w:bidi="fa-IR"/>
        </w:rPr>
        <w:t>»</w:t>
      </w:r>
      <w:r>
        <w:rPr>
          <w:rStyle w:val="FootnoteAnchor"/>
          <w:rtl w:val="true"/>
        </w:rPr>
        <w:footnoteReference w:id="2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الدلیل علی ما قلنا النصوص الواردة فی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محمد بن مسلم،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أهل الذمّة ما ذا علیهم ممّا یحقنون به دماءهم و أموالهم؟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الخراج و إن أخذ من رءوسهم الجزیة فلا سبیل علی أرضهم، و إن اخذ من أرضهم فلا سبیل علی رءوسهم</w:t>
      </w:r>
      <w:r>
        <w:rPr>
          <w:rFonts w:eastAsia="IRNazanin" w:cs="IRNazanin"/>
          <w:color w:val="111111"/>
          <w:sz w:val="28"/>
          <w:szCs w:val="28"/>
          <w:rtl w:val="true"/>
          <w:lang w:bidi="fa-IR"/>
        </w:rPr>
        <w:t>»</w:t>
      </w:r>
      <w:r>
        <w:rPr>
          <w:rStyle w:val="FootnoteAnchor"/>
          <w:rtl w:val="true"/>
        </w:rPr>
        <w:footnoteReference w:id="2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الصحیحة تدلّ علی جواز أخذ الأجرة من أراضی أهل الذمّة أی الیهود و النصاری، و معلوم أنّ الآخذ هو الإمام أو نائبه؛ لأنّ المفروض أنّ الحاکم هو الإمام، 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للإمام أو نائبه ولایة قبض الخراج و التصرّف فیه، و أیضاً معلوم أنّ ما أخذا لم یدخل فی ملکهما الشخصی، فیکون من بیت المال و تحت یدهما، فیصرفانه فی مصالح المسلمین و منها نفقة الأیتام و صبیان الفقراء</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یدلّ علی ما قلنا ما ورد فی أنّ الخراج من الفیء، و الفیء للإمام علیه السلام،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صحیحة محمد بن مسلم،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الفیء و الأنفال ما کان من أرض لم یکن فیها هراقة الدماء، و قوم صولحوا و أعطوا بأیدیهم، و ما کان من أرض خربة أو بطون أودیة فهو کلّه من الفیء، فهذا للّه و لرسوله، فما کان للّه فهو لرسوله یضعه حیث شاء و هو للإمام بعد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2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الظاهر أنّ المقصود ممّا صولحوا و أعطوا بأیدیهم هو الخراج و الجزیة، فتدلّ علی أنّ الخراج من الفیء و هو للإمام علیه السلام یضعه حیث شاء، و یؤیّده المرسلة الطویلة لحماد بن إدریس، عن بعض أصحابه، عن أبی الحسن علیه السلام، ففیها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بیان أنّ الخراج ما صالحهم الوالی علی قدر طاقتهم من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یؤخذ الباقی فیکون بعد ذلک أرزاق أعوانه علی دین اللّه، و فی مصلحة ما ینوبه من تقویة الإسلام و تقویة الدین فی وجوب الجهاد، و غیر ذلک ممّا فیه مصلحة العامة لیس لنفسه من ذلک قلیل و لا کثیر</w:t>
      </w:r>
      <w:r>
        <w:rPr>
          <w:rStyle w:val="FootnoteAnchor"/>
          <w:rtl w:val="true"/>
        </w:rPr>
        <w:footnoteReference w:id="2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غیرها</w:t>
      </w:r>
      <w:r>
        <w:rPr>
          <w:rStyle w:val="FootnoteAnchor"/>
          <w:rtl w:val="true"/>
        </w:rPr>
        <w:footnoteReference w:id="2107"/>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الخراج هو أجرة الأرض یأخذه الإمام من الأراضی بأقسامها المختلفة، فما تکون للإمام فالحکم فیه واضح، و هو أن یصرفه الإمام فی سدّ خلاّته و فیما یری من المصلحة، و ما تکون للمسلمین کالأراضی التی فتحت عنوة فخراجها أیضاً بید الإمام، فیصرفه فی مصالح المسلمین، ففی کلتا الصورتین للإمام أن یجعل أحد مصارفه نفقة الیتامی؛ لأنّ فیه مصلحة مهمّة، لأنّ الدین الإسلامی الحنیف یفرض علی مجتمعه و علی کلّ فرد رعایة الیتیم فی جمیع شئون الحیاة؛ لئلاّ تنشأ عاهة فی مجتمع المسلمین، فالاهتمام بالیتیم یساوی الاهتمام بالمجتمع، و إهماله یساوی إهمال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جاء فی مرسلة حبیب بن ثابت فی</w:t>
      </w:r>
      <w:bookmarkStart w:id="988" w:name="pg11752_146505"/>
    </w:p>
    <w:p>
      <w:pPr>
        <w:pStyle w:val="BookText"/>
        <w:rPr/>
      </w:pPr>
      <w:bookmarkEnd w:id="988"/>
      <w:r>
        <w:rPr>
          <w:rFonts w:ascii="IRNazanin" w:hAnsi="IRNazanin" w:eastAsia="IRNazanin"/>
          <w:color w:val="111111"/>
          <w:sz w:val="28"/>
          <w:sz w:val="28"/>
          <w:szCs w:val="28"/>
          <w:rtl w:val="true"/>
          <w:lang w:bidi="fa-IR"/>
        </w:rPr>
        <w:t>الکافی، أنّه 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الإمام أبو الیتامی</w:t>
      </w:r>
      <w:r>
        <w:rPr>
          <w:rFonts w:eastAsia="IRNazanin" w:cs="IRNazanin"/>
          <w:color w:val="111111"/>
          <w:sz w:val="28"/>
          <w:szCs w:val="28"/>
          <w:rtl w:val="true"/>
          <w:lang w:bidi="fa-IR"/>
        </w:rPr>
        <w:t>»</w:t>
      </w:r>
      <w:r>
        <w:rPr>
          <w:rStyle w:val="FootnoteAnchor"/>
          <w:rtl w:val="true"/>
        </w:rPr>
        <w:footnoteReference w:id="2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فمقتضی الاُبوّة أن یراعی الإمام أحوال الیتامی التی منها أن ینفق الأموال و منها الخراج فیهم</w:t>
      </w:r>
      <w:r>
        <w:rPr>
          <w:rFonts w:eastAsia="IRNazanin" w:cs="IRNazanin"/>
          <w:color w:val="111111"/>
          <w:sz w:val="28"/>
          <w:szCs w:val="28"/>
          <w:rtl w:val="true"/>
          <w:lang w:bidi="fa-IR"/>
        </w:rPr>
        <w:t>.</w:t>
      </w:r>
    </w:p>
    <w:p>
      <w:pPr>
        <w:pStyle w:val="Heading5"/>
        <w:numPr>
          <w:ilvl w:val="4"/>
          <w:numId w:val="1"/>
        </w:numPr>
        <w:rPr/>
      </w:pPr>
      <w:bookmarkStart w:id="989" w:name="__RefHeading___Toc9424520_73709187"/>
      <w:bookmarkStart w:id="990" w:name="_Toc374"/>
      <w:bookmarkEnd w:id="989"/>
      <w:r>
        <w:rPr>
          <w:rtl w:val="true"/>
        </w:rPr>
        <w:t>نظر أهل السنّة فی المسألة</w:t>
      </w:r>
      <w:bookmarkEnd w:id="990"/>
    </w:p>
    <w:p>
      <w:pPr>
        <w:pStyle w:val="BookText"/>
        <w:rPr/>
      </w:pPr>
      <w:r>
        <w:rPr>
          <w:rFonts w:ascii="IRNazanin" w:hAnsi="IRNazanin" w:eastAsia="IRNazanin"/>
          <w:color w:val="111111"/>
          <w:sz w:val="28"/>
          <w:sz w:val="28"/>
          <w:szCs w:val="28"/>
          <w:rtl w:val="true"/>
          <w:lang w:bidi="fa-IR"/>
        </w:rPr>
        <w:t>لم یفرق فقهاء أهل السنّة بین الخراج و الفیء فی المصرف، کما قال أبو عبید من فقهاء الحنفیة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یعمّ المسلمین غنیّهم و فقیرهم، فیکون فی أعطیة المقاتلة و أرزاق الذریة و ما ینوب الإمام فی أمور الناس بحسن النظر للإسلام و أهله</w:t>
      </w:r>
      <w:r>
        <w:rPr>
          <w:rFonts w:eastAsia="IRNazanin" w:cs="IRNazanin"/>
          <w:color w:val="111111"/>
          <w:sz w:val="28"/>
          <w:szCs w:val="28"/>
          <w:rtl w:val="true"/>
          <w:lang w:bidi="fa-IR"/>
        </w:rPr>
        <w:t>»</w:t>
      </w:r>
      <w:r>
        <w:rPr>
          <w:rStyle w:val="FootnoteAnchor"/>
          <w:rtl w:val="true"/>
        </w:rPr>
        <w:footnoteReference w:id="2109"/>
      </w: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صرّح المالکیّة و الحنابلة و الشافعیة، بأنّ الخراج یصرف فی مصالح المسلمین</w:t>
      </w:r>
      <w:r>
        <w:rPr>
          <w:rStyle w:val="FootnoteAnchor"/>
          <w:rtl w:val="true"/>
        </w:rPr>
        <w:footnoteReference w:id="2110"/>
      </w:r>
      <w:bookmarkStart w:id="991" w:name="pg11752_146506"/>
    </w:p>
    <w:p>
      <w:pPr>
        <w:pStyle w:val="Heading4"/>
        <w:numPr>
          <w:ilvl w:val="3"/>
          <w:numId w:val="1"/>
        </w:numPr>
        <w:rPr/>
      </w:pPr>
      <w:bookmarkStart w:id="992" w:name="__RefHeading___Toc9424522_73709187"/>
      <w:bookmarkStart w:id="993" w:name="_Toc375"/>
      <w:bookmarkEnd w:id="991"/>
      <w:bookmarkEnd w:id="992"/>
      <w:r>
        <w:rPr>
          <w:rtl w:val="true"/>
        </w:rPr>
        <w:t>المبحث السابع</w:t>
      </w:r>
      <w:r>
        <w:rPr>
          <w:rtl w:val="true"/>
        </w:rPr>
        <w:t xml:space="preserve">: </w:t>
      </w:r>
      <w:r>
        <w:rPr>
          <w:rtl w:val="true"/>
        </w:rPr>
        <w:t>تأمین نفقة الأیتام من الصدقات</w:t>
      </w:r>
      <w:bookmarkEnd w:id="993"/>
    </w:p>
    <w:p>
      <w:pPr>
        <w:pStyle w:val="Heading5"/>
        <w:numPr>
          <w:ilvl w:val="4"/>
          <w:numId w:val="1"/>
        </w:numPr>
        <w:rPr/>
      </w:pPr>
      <w:bookmarkStart w:id="994" w:name="__RefHeading___Toc9424524_73709187"/>
      <w:bookmarkStart w:id="995" w:name="_Toc376"/>
      <w:bookmarkEnd w:id="994"/>
      <w:r>
        <w:rPr>
          <w:rtl w:val="true"/>
        </w:rPr>
        <w:t>تمهید</w:t>
      </w:r>
      <w:bookmarkEnd w:id="995"/>
    </w:p>
    <w:p>
      <w:pPr>
        <w:pStyle w:val="BookText"/>
        <w:rPr/>
      </w:pPr>
      <w:r>
        <w:rPr>
          <w:rFonts w:ascii="IRNazanin" w:hAnsi="IRNazanin" w:eastAsia="IRNazanin"/>
          <w:color w:val="111111"/>
          <w:sz w:val="28"/>
          <w:sz w:val="28"/>
          <w:szCs w:val="28"/>
          <w:rtl w:val="true"/>
          <w:lang w:bidi="fa-IR"/>
        </w:rPr>
        <w:t>کان بحثنا فی الموارد التی یمکن تأمین نفقة الأیتام منها علی نحو الوجوب، أعنی الخمس و الزکاة، و من موارد مصرفهما نفقة الأیتام و هکذا، و لتتمیم المطلب یلزم أن نبحث فی المقام عن إمکان تأمین نفقتهم تبرّعاً و علی نحو الاستحباب و الممدوحیّة أیضاً، و نذکر فی هذا المبحث مطلبین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الصدقات علی النحو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الموقوفات علی النحو الخاصّ</w:t>
      </w:r>
      <w:r>
        <w:rPr>
          <w:rFonts w:eastAsia="IRNazanin" w:cs="IRNazanin"/>
          <w:color w:val="111111"/>
          <w:sz w:val="28"/>
          <w:szCs w:val="28"/>
          <w:rtl w:val="true"/>
          <w:lang w:bidi="fa-IR"/>
        </w:rPr>
        <w:t>.</w:t>
      </w:r>
    </w:p>
    <w:p>
      <w:pPr>
        <w:pStyle w:val="Heading5"/>
        <w:numPr>
          <w:ilvl w:val="4"/>
          <w:numId w:val="1"/>
        </w:numPr>
        <w:rPr/>
      </w:pPr>
      <w:bookmarkStart w:id="996" w:name="__RefHeading___Toc9424526_73709187"/>
      <w:bookmarkStart w:id="997" w:name="_Toc377"/>
      <w:bookmarkEnd w:id="996"/>
      <w:r>
        <w:rPr>
          <w:rtl w:val="true"/>
        </w:rPr>
        <w:t>أمّا المطلب الأوّل</w:t>
      </w:r>
      <w:r>
        <w:rPr>
          <w:rtl w:val="true"/>
        </w:rPr>
        <w:t>:</w:t>
      </w:r>
      <w:bookmarkEnd w:id="997"/>
    </w:p>
    <w:p>
      <w:pPr>
        <w:pStyle w:val="BookText"/>
        <w:rPr/>
      </w:pPr>
      <w:r>
        <w:rPr>
          <w:rFonts w:ascii="IRNazanin" w:hAnsi="IRNazanin" w:eastAsia="IRNazanin"/>
          <w:color w:val="111111"/>
          <w:sz w:val="28"/>
          <w:sz w:val="28"/>
          <w:szCs w:val="28"/>
          <w:rtl w:val="true"/>
          <w:lang w:bidi="fa-IR"/>
        </w:rPr>
        <w:t>لا شکّ فی أنّه و إن جاز أن تصرف الصدقات</w:t>
      </w:r>
      <w:r>
        <w:rPr>
          <w:rStyle w:val="FootnoteAnchor"/>
          <w:rtl w:val="true"/>
        </w:rPr>
        <w:footnoteReference w:id="2111"/>
      </w:r>
      <w:r>
        <w:rPr>
          <w:rFonts w:ascii="IRNazanin" w:hAnsi="IRNazanin" w:eastAsia="IRNazanin"/>
          <w:color w:val="111111"/>
          <w:sz w:val="28"/>
          <w:sz w:val="28"/>
          <w:szCs w:val="28"/>
          <w:rtl w:val="true"/>
          <w:lang w:bidi="fa-IR"/>
        </w:rPr>
        <w:t>المستحبّة فی کلّ مورد یحصل فیه القربة من اللّه تعالی و الخیر للمکلّف، و لکن الأَولی و الألیق أن یصرف فی نفقة الأیتام و الفقراء؛ لأنّ الدین الإسلامی الحنیف اهتمّ بشئون الأیتام بما لا مزید علیه، و رغّب المسلمین إلی رفع حوائجهم، و جعل الثواب الکثیر للمتصدّقین، فنشیر فی المقام إلی نماذج من الآیات و الروایات التی تدلّ علی ذلک المعنی علی نحو الاختصار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الْبِرَّ أَنْ تُوَلُّوا وُجُوهَکُمْ قِبَلَ الْمَشْرِقِ وَ الْمَغْرِبِ وَ لکِنَّ الْبِرَّ مَنْ آمَنَ بِاللّهِ وَ الْیَوْمِ الْآخِرِ وَ الْمَلائِکَةِ وَ الْکِتابِ وَ النَّبِیِّینَ وَ آتَی الْمالَ عَلی</w:t>
      </w:r>
    </w:p>
    <w:p>
      <w:pPr>
        <w:pStyle w:val="BookText"/>
        <w:rPr/>
      </w:pPr>
      <w:r>
        <w:rPr>
          <w:rFonts w:ascii="Amiri" w:hAnsi="Amiri" w:eastAsia="Amiri" w:cs="Amiri"/>
          <w:color w:val="111111"/>
          <w:sz w:val="28"/>
          <w:sz w:val="28"/>
          <w:szCs w:val="28"/>
          <w:rtl w:val="true"/>
          <w:lang w:bidi="ar-SA"/>
        </w:rPr>
        <w:t>حُبِّهِ ذَوِی الْقُرْبی وَ الْیَتامی وَ الْمَساکِینَ وَ ابْنَ السَّبِیلِ وَ السّائِلِینَ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إطلاق الآیة یشمل الصدقة الواجبة و المندوبة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بِالْوالِدَیْنِ إِحْساناً وَ بِذِی الْقُرْبی وَ الْیَتامی وَ الْمَساکِینِ </w:t>
      </w:r>
      <w:r>
        <w:rPr>
          <w:rFonts w:eastAsia="Amiri" w:cs="Amiri" w:ascii="Amiri" w:hAnsi="Amiri"/>
          <w:color w:val="111111"/>
          <w:sz w:val="28"/>
          <w:szCs w:val="28"/>
          <w:rtl w:val="true"/>
          <w:lang w:bidi="ar-SA"/>
        </w:rPr>
        <w:t>...)</w:t>
      </w:r>
      <w:r>
        <w:rPr>
          <w:rStyle w:val="FootnoteAnchor"/>
          <w:rtl w:val="true"/>
        </w:rPr>
        <w:footnoteReference w:id="2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الإحسان عنوان عام یشمل جمیع الاُمور التی یصدق علیه الإحسان، و منها الإطعام و الکسوة 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حَضَرَ الْقِسْمَةَ أُولُوا الْقُرْبی وَ الْیَتامی وَ الْمَساکِینُ فَارْزُقُوهُمْ مِنْهُ وَ قُولُوا لَهُمْ قَوْلاً مَعْرُوفاً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اقْتَحَمَ 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إِطْعامٌ فِی یَوْمٍ ذِی مَسْغَبَةٍ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یَتِیماً ذا مَقْرَبَةٍ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مِسْکِیناً ذا مَتْرَبَةٍ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هذه الآیات تدلّ علی أنّ الإنسان لا یصل إلی السعادة و النجاة إلاّ أن یبذل و یجود بماله خلافاً لهواه؛ لأنّ الإنسان یحبّ المال و الجاه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الأمور مانعة فی وصوله إلی المرتبة العالیة و السعادة، فینبغی أن یطعم أیّام القحط و الغلاء الأیتام و المساکین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غیرها من الآیات التی ذکرها یطوّل الکلام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الروایات</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الأخبار التی تدلّ علی المقصود فی هذا المقام کثیرة جدّاً، و متفرقة فی أبواب مختلفة، و جمعها یتطلّب أن نعقد فصولاً متعدّدة أو کتاباً مستقلاًّ؛ لذا نذکر عدّة منها، سواء کانت صحیحة سنداً أو ضعیفة، کما کان دأب الفقهاء رضوان اللّه تعالی علیهم</w:t>
      </w:r>
      <w:bookmarkStart w:id="998" w:name="pg11752_146508"/>
    </w:p>
    <w:p>
      <w:pPr>
        <w:pStyle w:val="BookText"/>
        <w:rPr/>
      </w:pPr>
      <w:bookmarkEnd w:id="998"/>
      <w:r>
        <w:rPr>
          <w:rFonts w:ascii="IRNazanin" w:hAnsi="IRNazanin" w:eastAsia="IRNazanin"/>
          <w:color w:val="111111"/>
          <w:sz w:val="28"/>
          <w:sz w:val="28"/>
          <w:szCs w:val="28"/>
          <w:rtl w:val="true"/>
          <w:lang w:bidi="fa-IR"/>
        </w:rPr>
        <w:t>التسامح فی أدلّة السنن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صحیحة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إلیّ أبو الحسن موسی علیه السلام بوصیة أمیر المؤمنین، و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فی الأیتام فلا تغبّوا أفواههم و لا یضیّعوا بحضرتکم، فقد سمعت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عال یتیماً حتی یستغنی أوجب اللّه عزّ و جلّ له بذلک الجنّة کما أوجب لآکل مال الیتیم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الخبر</w:t>
      </w:r>
      <w:r>
        <w:rPr>
          <w:rStyle w:val="FootnoteAnchor"/>
          <w:rtl w:val="true"/>
        </w:rPr>
        <w:footnoteReference w:id="21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معتبرة محمد بن حمران، عن أبیه، عن 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علیّ بن الحسین علیه السلام کان یخرج فی اللیلة الظلماء فیحمل الجراب علی ظهره و فیه الصرر من الدنانیر و الدراهم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کان یعول مائة أهل بیت من فقراء المدینة، و کان یعجبه أن یحضر طعامه الیتامی و الأضرّاء و الزمنی و المساکین الذین لا حیلة لهم، و کان یناولهم بیده</w:t>
      </w:r>
      <w:r>
        <w:rPr>
          <w:rFonts w:eastAsia="IRNazanin" w:cs="IRNazanin"/>
          <w:color w:val="111111"/>
          <w:sz w:val="28"/>
          <w:szCs w:val="28"/>
          <w:rtl w:val="true"/>
          <w:lang w:bidi="fa-IR"/>
        </w:rPr>
        <w:t>»</w:t>
      </w:r>
      <w:r>
        <w:rPr>
          <w:rStyle w:val="FootnoteAnchor"/>
          <w:rtl w:val="true"/>
        </w:rPr>
        <w:footnoteReference w:id="21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مرسلة حبیب بن أبی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إلی أمیر المؤمنین علیه السلام عسل وتین من همدان و حُلوان، فأمر العرفاء أن یأتوا بالیتامی فأمکنهم من رءوس الأزقاق</w:t>
      </w:r>
      <w:r>
        <w:rPr>
          <w:rStyle w:val="FootnoteAnchor"/>
          <w:rtl w:val="true"/>
        </w:rPr>
        <w:footnoteReference w:id="2115"/>
      </w:r>
    </w:p>
    <w:p>
      <w:pPr>
        <w:pStyle w:val="BookText"/>
        <w:rPr/>
      </w:pPr>
      <w:r>
        <w:rPr>
          <w:rFonts w:ascii="IRNazanin" w:hAnsi="IRNazanin" w:eastAsia="IRNazanin"/>
          <w:color w:val="111111"/>
          <w:sz w:val="28"/>
          <w:sz w:val="28"/>
          <w:szCs w:val="28"/>
          <w:rtl w:val="true"/>
          <w:lang w:bidi="fa-IR"/>
        </w:rPr>
        <w:t>یلعقونها و هو یقسّمها للناس، قدحاً، قدحاً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ما لهم یلعقونها؟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الإمام أبو الیتامی، و إنّما ألعقتهم</w:t>
      </w:r>
      <w:r>
        <w:rPr>
          <w:rStyle w:val="FootnoteAnchor"/>
          <w:rtl w:val="true"/>
        </w:rPr>
        <w:footnoteReference w:id="2116"/>
      </w:r>
      <w:r>
        <w:rPr>
          <w:rFonts w:ascii="IRNazanin" w:hAnsi="IRNazanin" w:eastAsia="IRNazanin"/>
          <w:color w:val="111111"/>
          <w:sz w:val="28"/>
          <w:sz w:val="28"/>
          <w:szCs w:val="28"/>
          <w:rtl w:val="true"/>
          <w:lang w:bidi="fa-IR"/>
        </w:rPr>
        <w:t>هذا برعایة الآباء</w:t>
      </w:r>
      <w:r>
        <w:rPr>
          <w:rFonts w:eastAsia="IRNazanin" w:cs="IRNazanin"/>
          <w:color w:val="111111"/>
          <w:sz w:val="28"/>
          <w:szCs w:val="28"/>
          <w:rtl w:val="true"/>
          <w:lang w:bidi="fa-IR"/>
        </w:rPr>
        <w:t>»</w:t>
      </w:r>
      <w:r>
        <w:rPr>
          <w:rStyle w:val="FootnoteAnchor"/>
          <w:rtl w:val="true"/>
        </w:rPr>
        <w:footnoteReference w:id="2117"/>
      </w:r>
      <w:r>
        <w:rPr>
          <w:rFonts w:ascii="IRNazanin" w:hAnsi="IRNazanin" w:eastAsia="IRNazanin"/>
          <w:color w:val="111111"/>
          <w:sz w:val="28"/>
          <w:sz w:val="28"/>
          <w:szCs w:val="28"/>
          <w:rtl w:val="true"/>
          <w:lang w:bidi="fa-IR"/>
        </w:rPr>
        <w:t xml:space="preserve">و فی التعبیر بجملة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ألعقتهم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یخفی من اللطافة و أهمّیة المورد</w:t>
      </w:r>
      <w:r>
        <w:rPr>
          <w:rFonts w:eastAsia="IRNazanin" w:cs="IRNazanin"/>
          <w:color w:val="111111"/>
          <w:sz w:val="28"/>
          <w:szCs w:val="28"/>
          <w:rtl w:val="true"/>
          <w:lang w:bidi="fa-IR"/>
        </w:rPr>
        <w:t>.</w:t>
      </w:r>
    </w:p>
    <w:p>
      <w:pPr>
        <w:pStyle w:val="Heading5"/>
        <w:numPr>
          <w:ilvl w:val="4"/>
          <w:numId w:val="1"/>
        </w:numPr>
        <w:rPr/>
      </w:pPr>
      <w:bookmarkStart w:id="999" w:name="__RefHeading___Toc9424528_73709187"/>
      <w:bookmarkStart w:id="1000" w:name="_Toc378"/>
      <w:bookmarkEnd w:id="999"/>
      <w:r>
        <w:rPr>
          <w:rtl w:val="true"/>
        </w:rPr>
        <w:t>المطلب الثانی</w:t>
      </w:r>
      <w:r>
        <w:rPr>
          <w:rtl w:val="true"/>
        </w:rPr>
        <w:t>:</w:t>
      </w:r>
      <w:bookmarkEnd w:id="1000"/>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یخفی أنّ الشریعة اهتمّت بأمر الصدقة عموماً و بالوقف</w:t>
      </w:r>
      <w:r>
        <w:rPr>
          <w:rStyle w:val="FootnoteAnchor"/>
          <w:rtl w:val="true"/>
        </w:rPr>
        <w:footnoteReference w:id="2118"/>
      </w:r>
    </w:p>
    <w:p>
      <w:pPr>
        <w:pStyle w:val="BookText"/>
        <w:rPr/>
      </w:pPr>
      <w:r>
        <w:rPr>
          <w:rFonts w:ascii="IRNazanin" w:hAnsi="IRNazanin" w:eastAsia="IRNazanin"/>
          <w:color w:val="111111"/>
          <w:sz w:val="28"/>
          <w:sz w:val="28"/>
          <w:szCs w:val="28"/>
          <w:rtl w:val="true"/>
          <w:lang w:bidi="fa-IR"/>
        </w:rPr>
        <w:t xml:space="preserve">علی نحو خاصّ؛ و لهذا ذکرنا الوقف فی المقام بعد بیان مصرف الصدقات، و إلاّ فإنّ الوقف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صدقة، و ینعقد بقول الواقف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تصدّقت، أو تصدّقت صدقة مؤبّدة، أو محرّمة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علی أهمّیة الوقف ما روی عن جابر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من الصحابة ذو مقدرة إلا وقف وقفاً</w:t>
      </w:r>
      <w:r>
        <w:rPr>
          <w:rStyle w:val="FootnoteAnchor"/>
          <w:rtl w:val="true"/>
        </w:rPr>
        <w:footnoteReference w:id="2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وصیّة لأمیر المؤمنین علیه السلام بما یعمل فی أمواله کتبها بعد منصرفه من صفّین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ما أمر به عبد اللّه علیُّ بن أبی طالب أمیر المؤمنین فی ماله ابتغاء وجه اللّه؛ لیولجه به الجنّة و یعطیه الأمَنَةَ منها، فإنّه یقوم بذلک الحسن بن علیّ یأکل منه بالمعروف و ینفق منه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Style w:val="FootnoteAnchor"/>
          <w:rtl w:val="true"/>
        </w:rPr>
        <w:footnoteReference w:id="2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کلّ حالٍ، الموقوفات خیر موضع لنفقة الأیتام و المساکین، و یمکن الاستدلال لهذا بقوله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إطلاق الآیة یشمل الصرف فی نفقة الأیتام أیضاً،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وقف الواقف یجب أن یصرف منافع الموقوفات علی حسب ما شرط فی الوقف بمقتضی هذه الآیة، فإن کانت الموقوفات لمصالح عامّة کالمسلمین و الفقراء و المساکین فیمکن أن یجعل الیتامی أحد مصارفها، و إن کان الوقف للأیتام فالحکم أوضح</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یدلّ علیه أیضاً مکاتبة محمد بن الحسن الصفار، أنّه کتب إلی أبی محمد الحسن بن علیّ علیهما السلام فی الوقف و ما روی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و ما روی فیها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آبائه علیهم السلام، فوقّع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الوقوف تکون علی حسب ما یوقفها أهلها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الکلینی بهذا المضمون عن محمد بن یحیی</w:t>
      </w:r>
      <w:r>
        <w:rPr>
          <w:rStyle w:val="FootnoteAnchor"/>
          <w:rtl w:val="true"/>
        </w:rPr>
        <w:footnoteReference w:id="2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فتدلّ علی أنّه یجب أن تصرف الموقوفات علی حسب ما وقف الواقف کما قرّر فی الآیة، و هذا هو المستفاد من کلمات الفقهاء من الشیعة</w:t>
      </w:r>
      <w:r>
        <w:rPr>
          <w:rStyle w:val="FootnoteAnchor"/>
          <w:rtl w:val="true"/>
        </w:rPr>
        <w:footnoteReference w:id="2122"/>
      </w:r>
      <w:r>
        <w:rPr>
          <w:rFonts w:ascii="Amiri" w:hAnsi="Amiri" w:eastAsia="Amiri" w:cs="Amiri"/>
          <w:color w:val="111111"/>
          <w:sz w:val="28"/>
          <w:sz w:val="28"/>
          <w:szCs w:val="28"/>
          <w:rtl w:val="true"/>
          <w:lang w:bidi="ar-SA"/>
        </w:rPr>
        <w:t>و أهل السنّة</w:t>
      </w:r>
      <w:r>
        <w:rPr>
          <w:rStyle w:val="FootnoteAnchor"/>
          <w:rtl w:val="true"/>
        </w:rPr>
        <w:footnoteReference w:id="2123"/>
      </w:r>
      <w:r>
        <w:rPr>
          <w:rFonts w:ascii="IRNazanin" w:hAnsi="IRNazanin" w:eastAsia="IRNazanin"/>
          <w:color w:val="111111"/>
          <w:sz w:val="28"/>
          <w:sz w:val="28"/>
          <w:szCs w:val="28"/>
          <w:rtl w:val="true"/>
          <w:lang w:bidi="fa-IR"/>
        </w:rPr>
        <w:t>فی باب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المحقّق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ذیل قول العلاّمة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وقف فی وجوه البر و أطلق فهو للفقراء و المساکین، و کلّ مصلحة یتقرّب بها إلی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فالوقف علی وجوه البر أو علی وجوه الخیر وقف علی وجوه القربات کلّها</w:t>
      </w:r>
      <w:r>
        <w:rPr>
          <w:rFonts w:eastAsia="IRNazanin" w:cs="IRNazanin"/>
          <w:color w:val="111111"/>
          <w:sz w:val="28"/>
          <w:szCs w:val="28"/>
          <w:rtl w:val="true"/>
          <w:lang w:bidi="fa-IR"/>
        </w:rPr>
        <w:t>»</w:t>
      </w:r>
      <w:r>
        <w:rPr>
          <w:rStyle w:val="FootnoteAnchor"/>
          <w:rtl w:val="true"/>
        </w:rPr>
        <w:footnoteReference w:id="2124"/>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معلوم أنّ نفقة الأیتام و المساکین خیر قربة، و لا شکّ فی ذلک و لا ریب، و الحمد للّه ربّ العالمین</w:t>
      </w:r>
      <w:r>
        <w:rPr>
          <w:rFonts w:eastAsia="IRNazanin" w:cs="IRNazanin"/>
          <w:color w:val="111111"/>
          <w:sz w:val="28"/>
          <w:szCs w:val="28"/>
          <w:rtl w:val="true"/>
          <w:lang w:bidi="fa-IR"/>
        </w:rPr>
        <w:t>.</w:t>
      </w:r>
      <w:bookmarkStart w:id="1001" w:name="pg11752_146511"/>
    </w:p>
    <w:p>
      <w:pPr>
        <w:pStyle w:val="Heading3"/>
        <w:numPr>
          <w:ilvl w:val="2"/>
          <w:numId w:val="1"/>
        </w:numPr>
        <w:rPr/>
      </w:pPr>
      <w:bookmarkStart w:id="1002" w:name="__RefHeading___Toc9424530_73709187"/>
      <w:bookmarkStart w:id="1003" w:name="_Toc379"/>
      <w:bookmarkEnd w:id="1001"/>
      <w:bookmarkEnd w:id="1002"/>
      <w:r>
        <w:rPr>
          <w:rtl w:val="true"/>
        </w:rPr>
        <w:t>الفصل الثالث حرمة تغذیة الصبیان بمال الغیر و عین النجس</w:t>
      </w:r>
      <w:bookmarkEnd w:id="1003"/>
    </w:p>
    <w:p>
      <w:pPr>
        <w:pStyle w:val="Heading4"/>
        <w:numPr>
          <w:ilvl w:val="3"/>
          <w:numId w:val="1"/>
        </w:numPr>
        <w:rPr/>
      </w:pPr>
      <w:bookmarkStart w:id="1004" w:name="__RefHeading___Toc9424532_73709187"/>
      <w:bookmarkStart w:id="1005" w:name="_Toc380"/>
      <w:bookmarkEnd w:id="1004"/>
      <w:r>
        <w:rPr>
          <w:rtl w:val="true"/>
        </w:rPr>
        <w:t>تمهید</w:t>
      </w:r>
      <w:bookmarkEnd w:id="1005"/>
    </w:p>
    <w:p>
      <w:pPr>
        <w:pStyle w:val="BookText"/>
        <w:rPr/>
      </w:pPr>
      <w:r>
        <w:rPr>
          <w:rFonts w:ascii="IRNazanin" w:hAnsi="IRNazanin" w:eastAsia="IRNazanin"/>
          <w:color w:val="111111"/>
          <w:sz w:val="28"/>
          <w:sz w:val="28"/>
          <w:szCs w:val="28"/>
          <w:rtl w:val="true"/>
          <w:lang w:bidi="fa-IR"/>
        </w:rPr>
        <w:t>قد أثبتنا فی المباحث السابقة أنّه یجب علی الأولیاء نفقة أولادهم، و هکذا بیّنا المواضع التی یمکن منها أخذ نفقة أولاد الفقراء و الأیتام الذین لا مال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الآن لأجل إتمام هذا الباب ینبغی أن نبحث عن هذه المسألة المهمّة، و هی أنّه لا یجوز تغذیة الأطفال و إطعامهم بالطعام الضارّ و من بعض الأموال، مثل مال الغیر بدون رضاه و المال المغصوب، الذی یشترک بین الشرکاء بدون إذنهم، و المال الذی تعلّق به الخمس أو الزکاة قبل دفعهما، و هکذا لا یجوز تغذیتهم بالمسکرات و عین النجس و کذا المتنجّس إن کان مضرّاً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للتحقیق فی هذه المباحث عقدنا هذا الفصل، و هو یشتمل علی المباحث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إطعام الصغار من مال الغیر</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سقی الأطفال بالمسکرات و تغذیتهم بعین النجس</w:t>
      </w:r>
      <w:r>
        <w:rPr>
          <w:rFonts w:eastAsia="IRNazanin" w:cs="IRNazanin"/>
          <w:color w:val="111111"/>
          <w:sz w:val="28"/>
          <w:szCs w:val="28"/>
          <w:rtl w:val="true"/>
          <w:lang w:bidi="fa-IR"/>
        </w:rPr>
        <w:t>.</w:t>
      </w:r>
      <w:bookmarkStart w:id="1006" w:name="pg11752_146512"/>
    </w:p>
    <w:p>
      <w:pPr>
        <w:pStyle w:val="Heading4"/>
        <w:numPr>
          <w:ilvl w:val="3"/>
          <w:numId w:val="1"/>
        </w:numPr>
        <w:rPr/>
      </w:pPr>
      <w:bookmarkStart w:id="1007" w:name="__RefHeading___Toc9424534_73709187"/>
      <w:bookmarkStart w:id="1008" w:name="_Toc381"/>
      <w:bookmarkEnd w:id="1006"/>
      <w:bookmarkEnd w:id="1007"/>
      <w:r>
        <w:rPr>
          <w:rtl w:val="true"/>
        </w:rPr>
        <w:t>المبحث الأوّل</w:t>
      </w:r>
      <w:r>
        <w:rPr>
          <w:rtl w:val="true"/>
        </w:rPr>
        <w:t xml:space="preserve">: </w:t>
      </w:r>
      <w:r>
        <w:rPr>
          <w:rtl w:val="true"/>
        </w:rPr>
        <w:t>عدم جواز إطعام الصغار من مال الغیر و ممّا تعلّق به الخمس و الزکاة</w:t>
      </w:r>
      <w:bookmarkEnd w:id="1008"/>
    </w:p>
    <w:p>
      <w:pPr>
        <w:pStyle w:val="Heading5"/>
        <w:numPr>
          <w:ilvl w:val="4"/>
          <w:numId w:val="1"/>
        </w:numPr>
        <w:rPr/>
      </w:pPr>
      <w:bookmarkStart w:id="1009" w:name="__RefHeading___Toc9424536_73709187"/>
      <w:bookmarkStart w:id="1010" w:name="_Toc382"/>
      <w:bookmarkEnd w:id="1009"/>
      <w:r>
        <w:rPr>
          <w:rtl w:val="true"/>
        </w:rPr>
        <w:t>اشارة</w:t>
      </w:r>
      <w:bookmarkEnd w:id="1010"/>
    </w:p>
    <w:p>
      <w:pPr>
        <w:pStyle w:val="BookText"/>
        <w:rPr/>
      </w:pPr>
      <w:r>
        <w:rPr>
          <w:rFonts w:ascii="IRNazanin" w:hAnsi="IRNazanin" w:eastAsia="IRNazanin"/>
          <w:color w:val="111111"/>
          <w:sz w:val="28"/>
          <w:sz w:val="28"/>
          <w:szCs w:val="28"/>
          <w:rtl w:val="true"/>
          <w:lang w:bidi="fa-IR"/>
        </w:rPr>
        <w:t>و فیه مطالب</w:t>
      </w:r>
      <w:r>
        <w:rPr>
          <w:rFonts w:eastAsia="IRNazanin" w:cs="IRNazanin"/>
          <w:color w:val="111111"/>
          <w:sz w:val="28"/>
          <w:szCs w:val="28"/>
          <w:rtl w:val="true"/>
          <w:lang w:bidi="fa-IR"/>
        </w:rPr>
        <w:t>:</w:t>
      </w:r>
    </w:p>
    <w:p>
      <w:pPr>
        <w:pStyle w:val="Heading5"/>
        <w:numPr>
          <w:ilvl w:val="4"/>
          <w:numId w:val="1"/>
        </w:numPr>
        <w:rPr/>
      </w:pPr>
      <w:bookmarkStart w:id="1011" w:name="__RefHeading___Toc9424538_73709187"/>
      <w:bookmarkStart w:id="1012" w:name="_Toc383"/>
      <w:bookmarkEnd w:id="1011"/>
      <w:r>
        <w:rPr>
          <w:rtl w:val="true"/>
        </w:rPr>
        <w:t>المطلب الأوّل</w:t>
      </w:r>
      <w:r>
        <w:rPr>
          <w:rtl w:val="true"/>
        </w:rPr>
        <w:t xml:space="preserve">: </w:t>
      </w:r>
      <w:r>
        <w:rPr>
          <w:rtl w:val="true"/>
        </w:rPr>
        <w:t>عدم جواز إطعامهم من مال الغیر</w:t>
      </w:r>
      <w:bookmarkEnd w:id="1012"/>
    </w:p>
    <w:p>
      <w:pPr>
        <w:pStyle w:val="Heading6"/>
        <w:numPr>
          <w:ilvl w:val="5"/>
          <w:numId w:val="1"/>
        </w:numPr>
        <w:rPr/>
      </w:pPr>
      <w:bookmarkStart w:id="1013" w:name="__RefHeading___Toc9424540_73709187"/>
      <w:bookmarkStart w:id="1014" w:name="_Toc384"/>
      <w:bookmarkEnd w:id="1013"/>
      <w:r>
        <w:rPr>
          <w:rtl w:val="true"/>
        </w:rPr>
        <w:t>اشارة</w:t>
      </w:r>
      <w:bookmarkEnd w:id="1014"/>
    </w:p>
    <w:p>
      <w:pPr>
        <w:pStyle w:val="BookText"/>
        <w:rPr/>
      </w:pPr>
      <w:r>
        <w:rPr>
          <w:rFonts w:ascii="IRNazanin" w:hAnsi="IRNazanin" w:eastAsia="IRNazanin"/>
          <w:color w:val="111111"/>
          <w:sz w:val="28"/>
          <w:sz w:val="28"/>
          <w:szCs w:val="28"/>
          <w:rtl w:val="true"/>
          <w:lang w:bidi="fa-IR"/>
        </w:rPr>
        <w:t>لا شک فی أنّه لا یجوز إطعام الصغار و نفقتهم من مال الغیر، سواء غصب أم لم یغصب، و لم یُحرز رضا صاحبه به، أو کان مشترکاً</w:t>
      </w:r>
      <w:r>
        <w:rPr>
          <w:rStyle w:val="FootnoteAnchor"/>
          <w:rtl w:val="true"/>
        </w:rPr>
        <w:footnoteReference w:id="2125"/>
      </w:r>
      <w:r>
        <w:rPr>
          <w:rFonts w:ascii="IRNazanin" w:hAnsi="IRNazanin" w:eastAsia="IRNazanin"/>
          <w:color w:val="111111"/>
          <w:sz w:val="28"/>
          <w:sz w:val="28"/>
          <w:szCs w:val="28"/>
          <w:rtl w:val="true"/>
          <w:lang w:bidi="fa-IR"/>
        </w:rPr>
        <w:t>بین الولیّ و غیره و لم یحصّل إذنهم، أو حصل من الربا أو المقامرة أو غیر ذلک من المحرّمات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ذلک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تَأْکُلُوا أَمْوالَکُمْ بَیْنَکُمْ بِالْباطِلِ إِلاّ أَنْ تَکُونَ تِجارَةً عَنْ تَراضٍ مِنْکُمْ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فالآیة تدلّ علی عدم جواز التصرّف فی مال الغیر و الأکل منه مطلقاً إلاّ بالتجارة التی تکون عن تراضٍ، أی سواء أکل هو أو أطعم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تَأْکُلُوا أَمْوالَکُمْ بَیْنَکُمْ بِالْباطِلِ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أظهر مصادیق الباطل التصرّف فی مال الغیر و الأکل منه بدون إذنه و إحراز رضاه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النصوص</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زید الشحّام،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 دم امرئ مسلم و لا ماله إلاّ بطیبة</w:t>
      </w:r>
      <w:bookmarkStart w:id="1015" w:name="pg11752_146513"/>
    </w:p>
    <w:p>
      <w:pPr>
        <w:pStyle w:val="BookText"/>
        <w:rPr/>
      </w:pPr>
      <w:bookmarkEnd w:id="1015"/>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w:t>
      </w:r>
      <w:r>
        <w:rPr>
          <w:rStyle w:val="FootnoteAnchor"/>
          <w:rtl w:val="true"/>
        </w:rPr>
        <w:footnoteReference w:id="2126"/>
      </w:r>
      <w:r>
        <w:rPr>
          <w:rFonts w:ascii="IRNazanin" w:hAnsi="IRNazanin" w:eastAsia="IRNazanin"/>
          <w:color w:val="111111"/>
          <w:sz w:val="28"/>
          <w:sz w:val="28"/>
          <w:szCs w:val="28"/>
          <w:rtl w:val="true"/>
          <w:lang w:bidi="fa-IR"/>
        </w:rPr>
        <w:t>، و کذا موثّقة سماعة</w:t>
      </w:r>
      <w:r>
        <w:rPr>
          <w:rStyle w:val="FootnoteAnchor"/>
          <w:rtl w:val="true"/>
        </w:rPr>
        <w:footnoteReference w:id="2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معناها روایات أُخر لم نذکرها اختصاراً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النبویّ الذی نقل عن طریق أهل السنّة، عن أبی حمید الساعدی أنّ رسول اللّه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یحلّ لامرئ أن یأخذ عصا أخیه بغیر طیب نفسه، لشدّة ما حرَّم اللّه مال المسلم علی المسلم</w:t>
      </w:r>
      <w:r>
        <w:rPr>
          <w:rFonts w:eastAsia="IRNazanin" w:cs="IRNazanin"/>
          <w:color w:val="111111"/>
          <w:sz w:val="28"/>
          <w:szCs w:val="28"/>
          <w:rtl w:val="true"/>
          <w:lang w:bidi="fa-IR"/>
        </w:rPr>
        <w:t>»</w:t>
      </w:r>
      <w:r>
        <w:rPr>
          <w:rStyle w:val="FootnoteAnchor"/>
          <w:rtl w:val="true"/>
        </w:rPr>
        <w:footnoteReference w:id="2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دلالتها واضحة فلا نطیل الکلام فیها،</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المدّعی من الشیخ فی المبسوط‌</w:t>
      </w:r>
      <w:r>
        <w:rPr>
          <w:rStyle w:val="FootnoteAnchor"/>
          <w:rtl w:val="true"/>
        </w:rPr>
        <w:footnoteReference w:id="2129"/>
      </w:r>
      <w:r>
        <w:rPr>
          <w:rFonts w:ascii="IRNazanin" w:hAnsi="IRNazanin" w:eastAsia="IRNazanin"/>
          <w:color w:val="111111"/>
          <w:sz w:val="28"/>
          <w:sz w:val="28"/>
          <w:szCs w:val="28"/>
          <w:rtl w:val="true"/>
          <w:lang w:bidi="fa-IR"/>
        </w:rPr>
        <w:t>و ابن إدریس فی السرائر</w:t>
      </w:r>
      <w:r>
        <w:rPr>
          <w:rStyle w:val="FootnoteAnchor"/>
          <w:rtl w:val="true"/>
        </w:rPr>
        <w:footnoteReference w:id="2130"/>
      </w:r>
    </w:p>
    <w:p>
      <w:pPr>
        <w:pStyle w:val="BookText"/>
        <w:rPr/>
      </w:pPr>
      <w:r>
        <w:rPr>
          <w:rFonts w:ascii="IRNazanin" w:hAnsi="IRNazanin" w:eastAsia="IRNazanin"/>
          <w:color w:val="111111"/>
          <w:sz w:val="28"/>
          <w:sz w:val="28"/>
          <w:szCs w:val="28"/>
          <w:rtl w:val="true"/>
          <w:lang w:bidi="fa-IR"/>
        </w:rPr>
        <w:t>و لا یخلو هذا من المناقشة بأنّه یمکن أن یکون الإجماع مدرکیاً، و مدرکه الأخبار الواردة فی الغصب و التصرّف فی مال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العقل بقبح التصرّف فی مال الغیر؛ لأنّه ظلم، مضافاً إلی إطلاق أدلّة تحریم الغصب و الربا و المقامرة فهو یشمل المورد أیضاً</w:t>
      </w:r>
      <w:r>
        <w:rPr>
          <w:rFonts w:eastAsia="IRNazanin" w:cs="IRNazanin"/>
          <w:color w:val="111111"/>
          <w:sz w:val="28"/>
          <w:szCs w:val="28"/>
          <w:rtl w:val="true"/>
          <w:lang w:bidi="fa-IR"/>
        </w:rPr>
        <w:t>.</w:t>
      </w:r>
    </w:p>
    <w:p>
      <w:pPr>
        <w:pStyle w:val="Heading6"/>
        <w:numPr>
          <w:ilvl w:val="5"/>
          <w:numId w:val="1"/>
        </w:numPr>
        <w:rPr/>
      </w:pPr>
      <w:bookmarkStart w:id="1016" w:name="__RefHeading___Toc9424542_73709187"/>
      <w:bookmarkStart w:id="1017" w:name="_Toc385"/>
      <w:bookmarkEnd w:id="1016"/>
      <w:r>
        <w:rPr>
          <w:rtl w:val="true"/>
        </w:rPr>
        <w:t>رأی أهل السنّة فی المسألة</w:t>
      </w:r>
      <w:bookmarkEnd w:id="1017"/>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یستفاد من کلمات فقهاء أهل السنّة أیضاً عدم جواز التصرّف و الأکل و التغذّی و إطعام الأطفال من مال الغیر، سواء غصب</w:t>
      </w:r>
      <w:r>
        <w:rPr>
          <w:rStyle w:val="FootnoteAnchor"/>
          <w:rtl w:val="true"/>
        </w:rPr>
        <w:footnoteReference w:id="2131"/>
      </w:r>
      <w:r>
        <w:rPr>
          <w:rFonts w:ascii="IRNazanin" w:hAnsi="IRNazanin" w:eastAsia="IRNazanin"/>
          <w:color w:val="111111"/>
          <w:sz w:val="28"/>
          <w:sz w:val="28"/>
          <w:szCs w:val="28"/>
          <w:rtl w:val="true"/>
          <w:lang w:bidi="fa-IR"/>
        </w:rPr>
        <w:t>أو لم یحرز رضایة مالکه، و هکذا إذا لم یأذن الشریک بمال الشرکة</w:t>
      </w:r>
      <w:r>
        <w:rPr>
          <w:rStyle w:val="FootnoteAnchor"/>
          <w:rtl w:val="true"/>
        </w:rPr>
        <w:footnoteReference w:id="2132"/>
      </w:r>
      <w:bookmarkStart w:id="1018" w:name="pg11752_146514"/>
    </w:p>
    <w:p>
      <w:pPr>
        <w:pStyle w:val="Heading6"/>
        <w:numPr>
          <w:ilvl w:val="5"/>
          <w:numId w:val="1"/>
        </w:numPr>
        <w:rPr/>
      </w:pPr>
      <w:bookmarkStart w:id="1019" w:name="__RefHeading___Toc9424544_73709187"/>
      <w:bookmarkStart w:id="1020" w:name="_Toc386"/>
      <w:bookmarkEnd w:id="1018"/>
      <w:bookmarkEnd w:id="1019"/>
      <w:r>
        <w:rPr>
          <w:rtl w:val="true"/>
        </w:rPr>
        <w:t>تنبیهان</w:t>
      </w:r>
      <w:r>
        <w:rPr>
          <w:rtl w:val="true"/>
        </w:rPr>
        <w:t>:</w:t>
      </w:r>
      <w:bookmarkEnd w:id="1020"/>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الفقهاء رضوان اللّه علیهم لم یعنونوا البحث عن نفقة الأطفال فی مطلق مال الغیر و الغصب و مال الشرکة بمثل ما طرحنا المسألة، إلاّ أنّ المستفاد من إطلاق کلماتهم ذلک، مثلاً قال الشیخ فی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تحریم الغصب معلوم بالأدلّة العقلیّة و الکتاب و السنة و الإجماع</w:t>
      </w:r>
      <w:r>
        <w:rPr>
          <w:rFonts w:eastAsia="IRNazanin" w:cs="IRNazanin"/>
          <w:color w:val="111111"/>
          <w:sz w:val="28"/>
          <w:szCs w:val="28"/>
          <w:rtl w:val="true"/>
          <w:lang w:bidi="fa-IR"/>
        </w:rPr>
        <w:t>»</w:t>
      </w:r>
      <w:r>
        <w:rPr>
          <w:rStyle w:val="FootnoteAnchor"/>
          <w:rtl w:val="true"/>
        </w:rPr>
        <w:footnoteReference w:id="2133"/>
      </w:r>
      <w:r>
        <w:rPr>
          <w:rFonts w:ascii="IRNazanin" w:hAnsi="IRNazanin" w:eastAsia="IRNazanin"/>
          <w:color w:val="111111"/>
          <w:sz w:val="28"/>
          <w:sz w:val="28"/>
          <w:szCs w:val="28"/>
          <w:rtl w:val="true"/>
          <w:lang w:bidi="fa-IR"/>
        </w:rPr>
        <w:t>، فهذا صریح فی عدم جواز التصرّف فیه مطلقاً، و الأکل و غیره، سواء أکل هو أم أطعم ولده و هکذا کلمات سائر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الغصب حکمین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تکلیفی و 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بحثنا الآن فی التکلیفی؛ لأنّ هذا یرجع إلی الولیّ، و أمّا الحکم الوضعی الذی یمکن أن یرجع إلی الطفل بعد بلوغه فسیأتی فی الباب الثانی عشر إن شاء اللّه تعالی</w:t>
      </w:r>
      <w:r>
        <w:rPr>
          <w:rFonts w:eastAsia="IRNazanin" w:cs="IRNazanin"/>
          <w:color w:val="111111"/>
          <w:sz w:val="28"/>
          <w:szCs w:val="28"/>
          <w:rtl w:val="true"/>
          <w:lang w:bidi="fa-IR"/>
        </w:rPr>
        <w:t>.</w:t>
      </w:r>
    </w:p>
    <w:p>
      <w:pPr>
        <w:pStyle w:val="Heading5"/>
        <w:numPr>
          <w:ilvl w:val="4"/>
          <w:numId w:val="1"/>
        </w:numPr>
        <w:rPr/>
      </w:pPr>
      <w:bookmarkStart w:id="1021" w:name="__RefHeading___Toc9424546_73709187"/>
      <w:bookmarkStart w:id="1022" w:name="_Toc387"/>
      <w:bookmarkEnd w:id="1021"/>
      <w:r>
        <w:rPr>
          <w:rtl w:val="true"/>
        </w:rPr>
        <w:t>المطلب الثانی</w:t>
      </w:r>
      <w:r>
        <w:rPr>
          <w:rtl w:val="true"/>
        </w:rPr>
        <w:t xml:space="preserve">: </w:t>
      </w:r>
      <w:r>
        <w:rPr>
          <w:rtl w:val="true"/>
        </w:rPr>
        <w:t>نفقة الأطفال من عین تعلّق بها الخمس</w:t>
      </w:r>
      <w:bookmarkEnd w:id="1022"/>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المشهور بین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یجوز التصرّف فی الخمس و لا فی تمام المال الذی تعلّق به و لا فی بعضه إلاّ بإذن صاحبه، فلا یجوز للأولیاء أن یطعموا أطفالهم منها، قال الشیخ فی النهایة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لأحد أن یتصرّف فیما یستحقّه الإمام من الأنفال و الأخماس إلاّ بإذنه، فمن تصرّف فی شیء من ذلک بغیر إذنه کان عاصیاً، و ارتفاع ما یتصرّف فیه مردود علی الإمام</w:t>
      </w:r>
      <w:r>
        <w:rPr>
          <w:rStyle w:val="FootnoteAnchor"/>
          <w:rtl w:val="true"/>
        </w:rPr>
        <w:footnoteReference w:id="2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ذهب جماعة من فقهائنا إلی هذا القول، کما فی المقنعة</w:t>
      </w:r>
      <w:r>
        <w:rPr>
          <w:rStyle w:val="FootnoteAnchor"/>
          <w:rtl w:val="true"/>
        </w:rPr>
        <w:footnoteReference w:id="2135"/>
      </w:r>
      <w:r>
        <w:rPr>
          <w:rFonts w:ascii="IRNazanin" w:hAnsi="IRNazanin" w:eastAsia="IRNazanin"/>
          <w:color w:val="111111"/>
          <w:sz w:val="28"/>
          <w:sz w:val="28"/>
          <w:szCs w:val="28"/>
          <w:rtl w:val="true"/>
          <w:lang w:bidi="fa-IR"/>
        </w:rPr>
        <w:t>و الکافی</w:t>
      </w:r>
      <w:r>
        <w:rPr>
          <w:rStyle w:val="FootnoteAnchor"/>
          <w:rtl w:val="true"/>
        </w:rPr>
        <w:footnoteReference w:id="2136"/>
      </w:r>
      <w:r>
        <w:rPr>
          <w:rFonts w:ascii="IRNazanin" w:hAnsi="IRNazanin" w:eastAsia="IRNazanin"/>
          <w:color w:val="111111"/>
          <w:sz w:val="28"/>
          <w:sz w:val="28"/>
          <w:szCs w:val="28"/>
          <w:rtl w:val="true"/>
          <w:lang w:bidi="fa-IR"/>
        </w:rPr>
        <w:t>و العروة الوثقی</w:t>
      </w:r>
      <w:r>
        <w:rPr>
          <w:rStyle w:val="FootnoteAnchor"/>
          <w:rtl w:val="true"/>
        </w:rPr>
        <w:footnoteReference w:id="2137"/>
      </w:r>
      <w:r>
        <w:rPr>
          <w:rFonts w:ascii="IRNazanin" w:hAnsi="IRNazanin" w:eastAsia="IRNazanin"/>
          <w:color w:val="111111"/>
          <w:sz w:val="28"/>
          <w:sz w:val="28"/>
          <w:szCs w:val="28"/>
          <w:rtl w:val="true"/>
          <w:lang w:bidi="fa-IR"/>
        </w:rPr>
        <w:t>و المستمسک</w:t>
      </w:r>
      <w:r>
        <w:rPr>
          <w:rStyle w:val="FootnoteAnchor"/>
          <w:rtl w:val="true"/>
        </w:rPr>
        <w:footnoteReference w:id="2138"/>
      </w:r>
      <w:r>
        <w:rPr>
          <w:rFonts w:ascii="IRNazanin" w:hAnsi="IRNazanin" w:eastAsia="IRNazanin"/>
          <w:color w:val="111111"/>
          <w:sz w:val="28"/>
          <w:sz w:val="28"/>
          <w:szCs w:val="28"/>
          <w:rtl w:val="true"/>
          <w:lang w:bidi="fa-IR"/>
        </w:rPr>
        <w:t>و مستند العروة الوثقی</w:t>
      </w:r>
      <w:r>
        <w:rPr>
          <w:rStyle w:val="FootnoteAnchor"/>
          <w:rtl w:val="true"/>
        </w:rPr>
        <w:footnoteReference w:id="2139"/>
      </w:r>
    </w:p>
    <w:p>
      <w:pPr>
        <w:pStyle w:val="BookText"/>
        <w:rPr/>
      </w:pPr>
      <w:r>
        <w:rPr>
          <w:rFonts w:ascii="IRNazanin" w:hAnsi="IRNazanin" w:eastAsia="IRNazanin"/>
          <w:color w:val="111111"/>
          <w:sz w:val="28"/>
          <w:sz w:val="28"/>
          <w:szCs w:val="28"/>
          <w:rtl w:val="true"/>
          <w:lang w:bidi="fa-IR"/>
        </w:rPr>
        <w:t xml:space="preserve">و یستفاد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کلام المحقّق فی الشرائع فی قسمة الخمس و مستحقّه</w:t>
      </w:r>
      <w:r>
        <w:rPr>
          <w:rStyle w:val="FootnoteAnchor"/>
          <w:rtl w:val="true"/>
        </w:rPr>
        <w:footnoteReference w:id="2140"/>
      </w:r>
    </w:p>
    <w:p>
      <w:pPr>
        <w:pStyle w:val="BookText"/>
        <w:rPr/>
      </w:pPr>
      <w:r>
        <w:rPr>
          <w:rFonts w:ascii="IRNazanin" w:hAnsi="IRNazanin" w:eastAsia="IRNazanin"/>
          <w:color w:val="111111"/>
          <w:sz w:val="28"/>
          <w:sz w:val="28"/>
          <w:szCs w:val="28"/>
          <w:rtl w:val="true"/>
          <w:lang w:bidi="fa-IR"/>
        </w:rPr>
        <w:t>و کذا فی القواعد</w:t>
      </w:r>
      <w:r>
        <w:rPr>
          <w:rStyle w:val="FootnoteAnchor"/>
          <w:rtl w:val="true"/>
        </w:rPr>
        <w:footnoteReference w:id="2141"/>
      </w:r>
      <w:r>
        <w:rPr>
          <w:rFonts w:ascii="IRNazanin" w:hAnsi="IRNazanin" w:eastAsia="IRNazanin"/>
          <w:color w:val="111111"/>
          <w:sz w:val="28"/>
          <w:sz w:val="28"/>
          <w:szCs w:val="28"/>
          <w:rtl w:val="true"/>
          <w:lang w:bidi="fa-IR"/>
        </w:rPr>
        <w:t>و الدروس</w:t>
      </w:r>
      <w:r>
        <w:rPr>
          <w:rStyle w:val="FootnoteAnchor"/>
          <w:rtl w:val="true"/>
        </w:rPr>
        <w:footnoteReference w:id="2142"/>
      </w:r>
      <w:r>
        <w:rPr>
          <w:rFonts w:ascii="Amiri" w:hAnsi="Amiri" w:eastAsia="Amiri" w:cs="Amiri"/>
          <w:color w:val="111111"/>
          <w:sz w:val="28"/>
          <w:sz w:val="28"/>
          <w:szCs w:val="28"/>
          <w:rtl w:val="true"/>
          <w:lang w:bidi="ar-SA"/>
        </w:rPr>
        <w:t>و مجمع الفائدة و البرهان</w:t>
      </w:r>
      <w:r>
        <w:rPr>
          <w:rStyle w:val="FootnoteAnchor"/>
          <w:rtl w:val="true"/>
        </w:rPr>
        <w:footnoteReference w:id="2143"/>
      </w:r>
      <w:r>
        <w:rPr>
          <w:rFonts w:ascii="IRNazanin" w:hAnsi="IRNazanin" w:eastAsia="IRNazanin"/>
          <w:color w:val="111111"/>
          <w:sz w:val="28"/>
          <w:sz w:val="28"/>
          <w:szCs w:val="28"/>
          <w:rtl w:val="true"/>
          <w:lang w:bidi="fa-IR"/>
        </w:rPr>
        <w:t>و الجواهر</w:t>
      </w:r>
      <w:r>
        <w:rPr>
          <w:rStyle w:val="FootnoteAnchor"/>
          <w:rtl w:val="true"/>
        </w:rPr>
        <w:footnoteReference w:id="2144"/>
      </w:r>
      <w:r>
        <w:rPr>
          <w:rFonts w:ascii="IRNazanin" w:hAnsi="IRNazanin" w:eastAsia="IRNazanin"/>
          <w:color w:val="111111"/>
          <w:sz w:val="28"/>
          <w:sz w:val="28"/>
          <w:szCs w:val="28"/>
          <w:rtl w:val="true"/>
          <w:lang w:bidi="fa-IR"/>
        </w:rPr>
        <w:t>و تحریر الوسیلة</w:t>
      </w:r>
      <w:r>
        <w:rPr>
          <w:rStyle w:val="FootnoteAnchor"/>
          <w:rtl w:val="true"/>
        </w:rPr>
        <w:footnoteReference w:id="2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ذهب الشیخ الأعظم فی کتاب الخمس إلی جواز التصرّف فی الأعیان الخمسیّة مع الضمان،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فالظاهر من الروایات منضمّة إلی ملاحظة سیرة الناس هو جواز التصرّف فی الأعیان الخمسیّة مع ضمان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نوی عدم إعطاء الخمس فالظاهر حرمة التصرّف فی العین و کونه غصباً؛ لأنّه مقتضی التعلّق بالعین، خرج منه صورة الضمان بالأخبار و السیرة</w:t>
      </w:r>
      <w:r>
        <w:rPr>
          <w:rFonts w:eastAsia="IRNazanin" w:cs="IRNazanin"/>
          <w:color w:val="111111"/>
          <w:sz w:val="28"/>
          <w:szCs w:val="28"/>
          <w:rtl w:val="true"/>
          <w:lang w:bidi="fa-IR"/>
        </w:rPr>
        <w:t>»</w:t>
      </w:r>
      <w:r>
        <w:rPr>
          <w:rStyle w:val="FootnoteAnchor"/>
          <w:rtl w:val="true"/>
        </w:rPr>
        <w:footnoteReference w:id="2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تعلّق الخمس بالأعیان إمّا بنحو الاشاعة أو بنحو الکلّی فی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بنحو الشرکة فی المالیة أو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بنحو الاشاعة، فتصرّف المالک فی جمیع أجزاء العین و هو غیر جائز، کما ذهب إلیه المحقّق الخوئی رحمه الله</w:t>
      </w:r>
      <w:r>
        <w:rPr>
          <w:rStyle w:val="FootnoteAnchor"/>
          <w:rtl w:val="true"/>
        </w:rPr>
        <w:footnoteReference w:id="2147"/>
      </w: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بنحو الکلّی فی المعیّن فتصرّفه جائز فی العین ما دام مقدار الخمس منه باقٍ فی یده مع قصده إخراجه من البقیّة، کما ذهب إلیه المحقّق الیزدی رحمه الله فی العروة</w:t>
      </w:r>
      <w:r>
        <w:rPr>
          <w:rStyle w:val="FootnoteAnchor"/>
          <w:rtl w:val="true"/>
        </w:rPr>
        <w:footnoteReference w:id="2148"/>
      </w:r>
    </w:p>
    <w:p>
      <w:pPr>
        <w:pStyle w:val="BookText"/>
        <w:rPr/>
      </w:pPr>
      <w:r>
        <w:rPr>
          <w:rFonts w:ascii="IRNazanin" w:hAnsi="IRNazanin" w:eastAsia="IRNazanin"/>
          <w:color w:val="111111"/>
          <w:sz w:val="28"/>
          <w:sz w:val="28"/>
          <w:szCs w:val="28"/>
          <w:rtl w:val="true"/>
          <w:lang w:bidi="fa-IR"/>
        </w:rPr>
        <w:t>و أمّا بنحو الشرکة فی المالیّة نظیر شرکة الزوجة مع الورثة فی مالیة البناء و إن لم ترث من نفس الأعیان، فتصرّفه قبل أداء الخمس غیر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لا یجوز التصرّف فی المال الذی تعلّق به الخمس فی الجملة ممّا هو معلوم فی الفقه و لا شبهة فیه، و یمکن أن یستدلّ علیه بالکتاب و السنّة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الکتاب</w:t>
      </w:r>
    </w:p>
    <w:p>
      <w:pPr>
        <w:pStyle w:val="BookText"/>
        <w:rPr/>
      </w:pPr>
      <w:r>
        <w:rPr>
          <w:rFonts w:ascii="Amiri" w:hAnsi="Amiri" w:eastAsia="Amiri" w:cs="Amiri"/>
          <w:color w:val="111111"/>
          <w:sz w:val="28"/>
          <w:sz w:val="28"/>
          <w:szCs w:val="28"/>
          <w:rtl w:val="true"/>
          <w:lang w:bidi="ar-SA"/>
        </w:rPr>
        <w:t>فقوله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 مِنْ شَیْ‌ءٍ فَأَنَّ لِلّهِ خُمُسَهُ وَ لِلرَّسُولِ وَ لِذِی الْقُرْبی وَ الْیَتامی وَ الْمَساکِینِ وَ ابْنِ السَّبِیلِ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أَفاءَ اللّهُ عَلی رَسُولِهِ مِنْ أَهْلِ الْقُری فَلِلّهِ وَ لِلرَّسُولِ وَ لِذِی الْقُرْبی وَ الْیَتامی وَ الْمَساکِینِ وَ ابْنِ السَّبِیلِ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الآیتین إمّا للمصرف و إمّا للملکیّة، ففی کلتا الصورتین خمس المال إمّا یصرف فی هذه العناوین و إمّا أنّهم مالکون له، فلا یجوز صرفه فی غیر هذه العناوین، نظیر عوائد الوقف فی الموقوف علیهم خاصّة، فلا یجوز صرفها فی غیر الموقوف علیهم؛ لأنّ صرف مال الخمس فی غیر محلّه تصرّف عدوانیّ فهو غیر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السنة، فروایات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مکاتبة محمد بن عثمان العمری إلی صاحب الزمان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ما سألت عنه من أمر مَن یستحلّ ما فی یده من أموالنا، و یتصرّف فیه تصرّفه فی ماله من غیر أمرنا، فمن فعل ذلک فهو ملعون و نحن خصماؤه، فقد قال النبیّ صلی الله علیه و آله و سلم</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المستحلّ من عترتی ما حرّم اللّه ملعون علی لسانی و لسان کلّ نبیّ مجاب، فمن ظلمنا کان من جملة الظالمین لنا، و کانت لعنة اللّه علیه بقوله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لَعْنَةُ اللّهِ عَلَی</w:t>
      </w:r>
    </w:p>
    <w:p>
      <w:pPr>
        <w:pStyle w:val="BookText"/>
        <w:rPr/>
      </w:pPr>
      <w:r>
        <w:rPr>
          <w:rFonts w:ascii="IRNazanin" w:hAnsi="IRNazanin" w:eastAsia="IRNazanin"/>
          <w:color w:val="111111"/>
          <w:sz w:val="28"/>
          <w:sz w:val="28"/>
          <w:szCs w:val="28"/>
          <w:rtl w:val="true"/>
          <w:lang w:bidi="fa-IR"/>
        </w:rPr>
        <w:t>اَلظّالِمِینَ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 یحلّ لأحد أن یتصرّف فی مال غیره بغیر إذنه، فکیف یحلّ ذلک فی مالنا؟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فعل شیئاً من ذلک لغیر أمرنا فقد استحلّ منّا ما حرّم علیه، و من أکل من مالنا شیئاً فإنما یأکل فی بطنه ناراً و سیصلی سعیراً</w:t>
      </w:r>
      <w:r>
        <w:rPr>
          <w:rFonts w:eastAsia="IRNazanin" w:cs="IRNazanin"/>
          <w:color w:val="111111"/>
          <w:sz w:val="28"/>
          <w:szCs w:val="28"/>
          <w:rtl w:val="true"/>
          <w:lang w:bidi="fa-IR"/>
        </w:rPr>
        <w:t>»</w:t>
      </w:r>
      <w:r>
        <w:rPr>
          <w:rStyle w:val="FootnoteAnchor"/>
          <w:rtl w:val="true"/>
        </w:rPr>
        <w:footnoteReference w:id="2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أنّ الحرمة هنا تعلّق بالولیّ؛ لأنّه تصرّف فی مال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أکل الصغیر لعدم علمه و عدم تعلّق التکلیف به فلا حرمة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أنّ الحکم الوضعی یتعلّق بالصغیر، و لکن هنا الحکم الوضعی منتفٍ بالنسبة إلی الصغیر أیضاً؛ لأنّه کالمغرَّر به و یتدارک ضرره من مال الولی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محمّد بن زید الطبری، عن الرضا علیه السلام فی حدیث الخمس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یحلّ مال إلاّ من وجه أحلّه اللّه</w:t>
      </w:r>
      <w:r>
        <w:rPr>
          <w:rFonts w:eastAsia="Amiri" w:cs="Amiri" w:ascii="Amiri" w:hAnsi="Amiri"/>
          <w:color w:val="111111"/>
          <w:sz w:val="28"/>
          <w:szCs w:val="28"/>
          <w:rtl w:val="true"/>
          <w:lang w:bidi="ar-SA"/>
        </w:rPr>
        <w:t>»</w:t>
      </w:r>
      <w:r>
        <w:rPr>
          <w:rStyle w:val="FootnoteAnchor"/>
          <w:rtl w:val="true"/>
        </w:rPr>
        <w:footnoteReference w:id="2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أبی بصیر،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قوتل علیه علی شهادة أن لا إله إلاّ اللّه و أنّ محمداً رسول اللّه صلی الله علیه و آله و سلم فإنّ لنا خمسه، و لا یحلّ لأحدٍ أن یشتری من الخمس شیئاً حتّی یصل إلینا حقّنا</w:t>
      </w:r>
      <w:r>
        <w:rPr>
          <w:rFonts w:eastAsia="IRNazanin" w:cs="IRNazanin"/>
          <w:color w:val="111111"/>
          <w:sz w:val="28"/>
          <w:szCs w:val="28"/>
          <w:rtl w:val="true"/>
          <w:lang w:bidi="fa-IR"/>
        </w:rPr>
        <w:t>»</w:t>
      </w:r>
      <w:r>
        <w:rPr>
          <w:rStyle w:val="FootnoteAnchor"/>
          <w:rtl w:val="true"/>
        </w:rPr>
        <w:footnoteReference w:id="2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یعذر عبد اشتری من الخمس شیئاً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اشتریته بمالی حتّی یأذن له أهل الخمس</w:t>
      </w:r>
      <w:r>
        <w:rPr>
          <w:rFonts w:eastAsia="IRNazanin" w:cs="IRNazanin"/>
          <w:color w:val="111111"/>
          <w:sz w:val="28"/>
          <w:szCs w:val="28"/>
          <w:rtl w:val="true"/>
          <w:lang w:bidi="fa-IR"/>
        </w:rPr>
        <w:t>»</w:t>
      </w:r>
      <w:r>
        <w:rPr>
          <w:rStyle w:val="FootnoteAnchor"/>
          <w:rtl w:val="true"/>
        </w:rPr>
        <w:footnoteReference w:id="2152"/>
      </w: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یستفاد من هذه النصوص و غیرها</w:t>
      </w:r>
      <w:r>
        <w:rPr>
          <w:rStyle w:val="FootnoteAnchor"/>
          <w:rtl w:val="true"/>
        </w:rPr>
        <w:footnoteReference w:id="2153"/>
      </w:r>
      <w:r>
        <w:rPr>
          <w:rFonts w:ascii="IRNazanin" w:hAnsi="IRNazanin" w:eastAsia="IRNazanin"/>
          <w:color w:val="111111"/>
          <w:sz w:val="28"/>
          <w:sz w:val="28"/>
          <w:szCs w:val="28"/>
          <w:rtl w:val="true"/>
          <w:lang w:bidi="fa-IR"/>
        </w:rPr>
        <w:t>إجمالاً أنّه لا یجوز التصرّف فی المال</w:t>
      </w:r>
    </w:p>
    <w:p>
      <w:pPr>
        <w:pStyle w:val="BookText"/>
        <w:rPr/>
      </w:pPr>
      <w:r>
        <w:rPr>
          <w:rFonts w:ascii="IRNazanin" w:hAnsi="IRNazanin" w:eastAsia="IRNazanin"/>
          <w:color w:val="111111"/>
          <w:sz w:val="28"/>
          <w:sz w:val="28"/>
          <w:szCs w:val="28"/>
          <w:rtl w:val="true"/>
          <w:lang w:bidi="fa-IR"/>
        </w:rPr>
        <w:t>الذی تعلّق به الخمس فی الجملة، أیّ نوع من التصرّف إلاّ بإذن صاحبه، و هو الإمام علیه السلام فی زمان الحضور و الحاکم الشرعی فی زمان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إطلاقها یشمل أکل الولیّ نفسه منه و التغذّی و إطعام الأطفال منه، و بعضها و إن کان مرسلاً و ضعیفاً إلاّ أنّ مضمونه فی حدّ الاستفاضة، فلا یضرّ بالاستدلال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مقابل تلک النصوص روایات أخری دلّت علی جواز التصرّف فی الخمس و المال الذی تعلّق به، و أنّ الأئمّة علیهم السلام أباحوه لشیعتهم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الفضلاء، عن أبی بصیر و زرارة و محمد بن مسلم کلّهم،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أمیر المؤمنین علیّ بن 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 الناس فی بطونهم و فروجهم؛ لأنّهم لم یؤدّوا إلینا حقّنا، ألا و إنّ شیعتنا من ذلک و آباءَ هم فی حلٍّ</w:t>
      </w:r>
      <w:r>
        <w:rPr>
          <w:rFonts w:eastAsia="IRNazanin" w:cs="IRNazanin"/>
          <w:color w:val="111111"/>
          <w:sz w:val="28"/>
          <w:szCs w:val="28"/>
          <w:rtl w:val="true"/>
          <w:lang w:bidi="fa-IR"/>
        </w:rPr>
        <w:t>»</w:t>
      </w:r>
      <w:r>
        <w:rPr>
          <w:rStyle w:val="FootnoteAnchor"/>
          <w:rtl w:val="true"/>
        </w:rPr>
        <w:footnoteReference w:id="2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ضریس الکناسی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تدری من أین دخل علی الناس الزنا؟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خمسنا أهل البیت إلاّ لشیعتنا الأطیبین، فإنّه محلّل لهم و لمیلادهم</w:t>
      </w:r>
      <w:r>
        <w:rPr>
          <w:rFonts w:eastAsia="IRNazanin" w:cs="IRNazanin"/>
          <w:color w:val="111111"/>
          <w:sz w:val="28"/>
          <w:szCs w:val="28"/>
          <w:rtl w:val="true"/>
          <w:lang w:bidi="fa-IR"/>
        </w:rPr>
        <w:t>»</w:t>
      </w:r>
      <w:r>
        <w:rPr>
          <w:rStyle w:val="FootnoteAnchor"/>
          <w:rtl w:val="true"/>
        </w:rPr>
        <w:footnoteReference w:id="2155"/>
      </w:r>
      <w:r>
        <w:rPr>
          <w:rFonts w:ascii="IRNazanin" w:hAnsi="IRNazanin" w:eastAsia="IRNazanin"/>
          <w:color w:val="111111"/>
          <w:sz w:val="28"/>
          <w:sz w:val="28"/>
          <w:szCs w:val="28"/>
          <w:rtl w:val="true"/>
          <w:lang w:bidi="fa-IR"/>
        </w:rPr>
        <w:t>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الجواب بأنّ فی زمان صدور هذه الروایات کان الناس فی شدّة و ضیق من حیث المعیشة، و الأئمّة علیهم السلام أباحوه لشیعتهم فی ذلک الزمان، مضافاً إلی أنّ تحلیل الخمس منافٍ لتشریع الخمس الذی هو لسدّ حاجات السادة و الفقراء من آل محمّد صلی الله علیه و آله و سلم إذ لو لم یجب دفع الخمس علی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المفروض امتناع أهل السنة و إنکارهم لهذا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أین یعیش فقراء السادة، و المفروض حرمة الزکاة علیهم؟ فلا یمکن الأخذ بإطلاق هذه النصوص جزماً</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لأنّها معارضة بالروایات الکثیرة الآمرة بدفع الخمس فی الموارد المتفرّقة و الأجناس المتعدّدة کما ذکروه فی کتاب الخمس، فراجع</w:t>
      </w:r>
      <w:r>
        <w:rPr>
          <w:rFonts w:eastAsia="IRNazanin" w:cs="IRNazanin"/>
          <w:color w:val="111111"/>
          <w:sz w:val="28"/>
          <w:szCs w:val="28"/>
          <w:rtl w:val="true"/>
          <w:lang w:bidi="fa-IR"/>
        </w:rPr>
        <w:t>.</w:t>
      </w:r>
      <w:bookmarkStart w:id="1023" w:name="pg11752_146519"/>
    </w:p>
    <w:p>
      <w:pPr>
        <w:pStyle w:val="BookText"/>
        <w:rPr/>
      </w:pPr>
      <w:bookmarkEnd w:id="1023"/>
      <w:r>
        <w:rPr>
          <w:rFonts w:ascii="IRNazanin" w:hAnsi="IRNazanin" w:eastAsia="IRNazanin"/>
          <w:color w:val="111111"/>
          <w:sz w:val="28"/>
          <w:sz w:val="28"/>
          <w:szCs w:val="28"/>
          <w:rtl w:val="true"/>
          <w:lang w:bidi="fa-IR"/>
        </w:rPr>
        <w:t>و الأقوی فی مقام الجمع حمل نصوص التحلیل علی ما انتقل إلی الشیعة ممّن لا یعتقد الخمس أو لا یخمس و إن اعتقد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وجب علی المکلّف نفسه فلا موجب لسقوطه، و لم یتعلّق به التحلیل، فتکون نصوص التحلیل ناظرة إلی الأوّل، و نصوص العدم إلی الثانی</w:t>
      </w:r>
      <w:r>
        <w:rPr>
          <w:rStyle w:val="FootnoteAnchor"/>
          <w:rtl w:val="true"/>
        </w:rPr>
        <w:footnoteReference w:id="2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الشاهد لهذا الجمع ما رواه یونس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 علیه السلام فدخل رجل من القماطین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تقع فی أیدینا الأموال و الأرباح و تجارات نعلم أنّ حقّک فیها ثابت و أنّا عن ذلک مقصّرون، فقال أبو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أنصفناکم إن کلّفناکم ذلک الیوم</w:t>
      </w:r>
      <w:r>
        <w:rPr>
          <w:rFonts w:eastAsia="IRNazanin" w:cs="IRNazanin"/>
          <w:color w:val="111111"/>
          <w:sz w:val="28"/>
          <w:szCs w:val="28"/>
          <w:rtl w:val="true"/>
          <w:lang w:bidi="fa-IR"/>
        </w:rPr>
        <w:t>»</w:t>
      </w:r>
      <w:r>
        <w:rPr>
          <w:rStyle w:val="FootnoteAnchor"/>
          <w:rtl w:val="true"/>
        </w:rPr>
        <w:footnoteReference w:id="2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هکذا ما رواه أبو خدیجة،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و أنا 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حلّل لی الفروج، ففزع أبو عبد اللّه علیه السلام،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یسألک أن یعترض الطریق إنّما یسألک خادماً یشتریها، أو امرأة یتزوّجها، أو میراثاً یصیبه، أو تجارة أو شیئاً أعطیه،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لشیعتنا حلال، الشاهد منهم و الغائب، و المیّت منهم و الحیّ، و ما یولد منهم إلی یوم القیامة فهو لهم حلال، أما و اللّه لا یحلّ إلاّ لمن أحللنا له</w:t>
      </w:r>
      <w:r>
        <w:rPr>
          <w:rFonts w:eastAsia="IRNazanin" w:cs="IRNazanin"/>
          <w:color w:val="111111"/>
          <w:sz w:val="28"/>
          <w:szCs w:val="28"/>
          <w:rtl w:val="true"/>
          <w:lang w:bidi="fa-IR"/>
        </w:rPr>
        <w:t>»</w:t>
      </w:r>
      <w:r>
        <w:rPr>
          <w:rStyle w:val="FootnoteAnchor"/>
          <w:rtl w:val="true"/>
        </w:rPr>
        <w:footnoteReference w:id="2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صریحة فی المدّعی، أعنی التحلیل فی المال المنتقل إلیه بشراء و نحوه</w:t>
      </w:r>
      <w:r>
        <w:rPr>
          <w:rFonts w:eastAsia="IRNazanin" w:cs="IRNazanin"/>
          <w:color w:val="111111"/>
          <w:sz w:val="28"/>
          <w:szCs w:val="28"/>
          <w:rtl w:val="true"/>
          <w:lang w:bidi="fa-IR"/>
        </w:rPr>
        <w:t>.</w:t>
      </w:r>
    </w:p>
    <w:p>
      <w:pPr>
        <w:pStyle w:val="Heading5"/>
        <w:numPr>
          <w:ilvl w:val="4"/>
          <w:numId w:val="1"/>
        </w:numPr>
        <w:rPr/>
      </w:pPr>
      <w:bookmarkStart w:id="1024" w:name="__RefHeading___Toc9424548_73709187"/>
      <w:bookmarkStart w:id="1025" w:name="_Toc388"/>
      <w:bookmarkEnd w:id="1024"/>
      <w:r>
        <w:rPr>
          <w:rtl w:val="true"/>
        </w:rPr>
        <w:t>المطلب الثالث</w:t>
      </w:r>
      <w:r>
        <w:rPr>
          <w:rtl w:val="true"/>
        </w:rPr>
        <w:t xml:space="preserve">: </w:t>
      </w:r>
      <w:r>
        <w:rPr>
          <w:rtl w:val="true"/>
        </w:rPr>
        <w:t>عدم جواز إنفاق الأطفال من مالٍ تعلّقت به الزکاة</w:t>
      </w:r>
      <w:bookmarkEnd w:id="1025"/>
    </w:p>
    <w:p>
      <w:pPr>
        <w:pStyle w:val="Heading6"/>
        <w:numPr>
          <w:ilvl w:val="5"/>
          <w:numId w:val="1"/>
        </w:numPr>
        <w:rPr/>
      </w:pPr>
      <w:bookmarkStart w:id="1026" w:name="__RefHeading___Toc9424550_73709187"/>
      <w:bookmarkStart w:id="1027" w:name="_Toc389"/>
      <w:bookmarkEnd w:id="1026"/>
      <w:r>
        <w:rPr>
          <w:rtl w:val="true"/>
        </w:rPr>
        <w:t>اشارة</w:t>
      </w:r>
      <w:bookmarkEnd w:id="1027"/>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خلاف بین الفقهاء فی أنّه لا یجوز إعطاء الزکاة و لا تمام المال الذی تعلّقت به الزکاة قبل العزل منه للولد، و لا یجوز إطعامهم من هذا، و لم أر مخالفاً فی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الصدوق فی المقنع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تعط من أهل الولایة الأبوین و الولد و لا الزوج و الزوجة</w:t>
      </w:r>
      <w:r>
        <w:rPr>
          <w:rFonts w:eastAsia="IRNazanin" w:cs="IRNazanin"/>
          <w:color w:val="111111"/>
          <w:sz w:val="28"/>
          <w:szCs w:val="28"/>
          <w:rtl w:val="true"/>
          <w:lang w:bidi="fa-IR"/>
        </w:rPr>
        <w:t>»</w:t>
      </w:r>
      <w:r>
        <w:rPr>
          <w:rStyle w:val="FootnoteAnchor"/>
          <w:rtl w:val="true"/>
        </w:rPr>
        <w:footnoteReference w:id="2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ذهب إلیه فی المقنعة</w:t>
      </w:r>
      <w:r>
        <w:rPr>
          <w:rStyle w:val="FootnoteAnchor"/>
          <w:rtl w:val="true"/>
        </w:rPr>
        <w:footnoteReference w:id="2160"/>
      </w:r>
      <w:r>
        <w:rPr>
          <w:rFonts w:ascii="IRNazanin" w:hAnsi="IRNazanin" w:eastAsia="IRNazanin"/>
          <w:color w:val="111111"/>
          <w:sz w:val="28"/>
          <w:sz w:val="28"/>
          <w:szCs w:val="28"/>
          <w:rtl w:val="true"/>
          <w:lang w:bidi="fa-IR"/>
        </w:rPr>
        <w:t>و النهایة</w:t>
      </w:r>
      <w:r>
        <w:rPr>
          <w:rStyle w:val="FootnoteAnchor"/>
          <w:rtl w:val="true"/>
        </w:rPr>
        <w:footnoteReference w:id="2161"/>
      </w:r>
      <w:r>
        <w:rPr>
          <w:rFonts w:ascii="IRNazanin" w:hAnsi="IRNazanin" w:eastAsia="IRNazanin"/>
          <w:color w:val="111111"/>
          <w:sz w:val="28"/>
          <w:sz w:val="28"/>
          <w:szCs w:val="28"/>
          <w:rtl w:val="true"/>
          <w:lang w:bidi="fa-IR"/>
        </w:rPr>
        <w:t>و الوسیلة</w:t>
      </w:r>
      <w:r>
        <w:rPr>
          <w:rStyle w:val="FootnoteAnchor"/>
          <w:rtl w:val="true"/>
        </w:rPr>
        <w:footnoteReference w:id="2162"/>
      </w:r>
      <w:r>
        <w:rPr>
          <w:rFonts w:ascii="IRNazanin" w:hAnsi="IRNazanin" w:eastAsia="IRNazanin"/>
          <w:color w:val="111111"/>
          <w:sz w:val="28"/>
          <w:sz w:val="28"/>
          <w:szCs w:val="28"/>
          <w:rtl w:val="true"/>
          <w:lang w:bidi="fa-IR"/>
        </w:rPr>
        <w:t>و الشرائع</w:t>
      </w:r>
      <w:r>
        <w:rPr>
          <w:rStyle w:val="FootnoteAnchor"/>
          <w:rtl w:val="true"/>
        </w:rPr>
        <w:footnoteReference w:id="2163"/>
      </w:r>
      <w:r>
        <w:rPr>
          <w:rFonts w:ascii="IRNazanin" w:hAnsi="IRNazanin" w:eastAsia="IRNazanin"/>
          <w:color w:val="111111"/>
          <w:sz w:val="28"/>
          <w:sz w:val="28"/>
          <w:szCs w:val="28"/>
          <w:rtl w:val="true"/>
          <w:lang w:bidi="fa-IR"/>
        </w:rPr>
        <w:t>و القواعد</w:t>
      </w:r>
      <w:r>
        <w:rPr>
          <w:rStyle w:val="FootnoteAnchor"/>
          <w:rtl w:val="true"/>
        </w:rPr>
        <w:footnoteReference w:id="2164"/>
      </w:r>
    </w:p>
    <w:p>
      <w:pPr>
        <w:pStyle w:val="BookText"/>
        <w:rPr/>
      </w:pPr>
      <w:r>
        <w:rPr>
          <w:rFonts w:ascii="IRNazanin" w:hAnsi="IRNazanin" w:eastAsia="IRNazanin"/>
          <w:color w:val="111111"/>
          <w:sz w:val="28"/>
          <w:sz w:val="28"/>
          <w:szCs w:val="28"/>
          <w:rtl w:val="true"/>
          <w:lang w:bidi="fa-IR"/>
        </w:rPr>
        <w:t>و الدروس</w:t>
      </w:r>
      <w:r>
        <w:rPr>
          <w:rStyle w:val="FootnoteAnchor"/>
          <w:rtl w:val="true"/>
        </w:rPr>
        <w:footnoteReference w:id="2165"/>
      </w:r>
      <w:r>
        <w:rPr>
          <w:rFonts w:ascii="Amiri" w:hAnsi="Amiri" w:eastAsia="Amiri" w:cs="Amiri"/>
          <w:color w:val="111111"/>
          <w:sz w:val="28"/>
          <w:sz w:val="28"/>
          <w:szCs w:val="28"/>
          <w:rtl w:val="true"/>
          <w:lang w:bidi="ar-SA"/>
        </w:rPr>
        <w:t>و مجمع الفائدة و البرهان</w:t>
      </w:r>
      <w:r>
        <w:rPr>
          <w:rStyle w:val="FootnoteAnchor"/>
          <w:rtl w:val="true"/>
        </w:rPr>
        <w:footnoteReference w:id="2166"/>
      </w:r>
      <w:r>
        <w:rPr>
          <w:rFonts w:ascii="IRNazanin" w:hAnsi="IRNazanin" w:eastAsia="IRNazanin"/>
          <w:color w:val="111111"/>
          <w:sz w:val="28"/>
          <w:sz w:val="28"/>
          <w:szCs w:val="28"/>
          <w:rtl w:val="true"/>
          <w:lang w:bidi="fa-IR"/>
        </w:rPr>
        <w:t>و الجواهر</w:t>
      </w:r>
      <w:r>
        <w:rPr>
          <w:rStyle w:val="FootnoteAnchor"/>
          <w:rtl w:val="true"/>
        </w:rPr>
        <w:footnoteReference w:id="2167"/>
      </w:r>
      <w:r>
        <w:rPr>
          <w:rFonts w:ascii="IRNazanin" w:hAnsi="IRNazanin" w:eastAsia="IRNazanin"/>
          <w:color w:val="111111"/>
          <w:sz w:val="28"/>
          <w:sz w:val="28"/>
          <w:szCs w:val="28"/>
          <w:rtl w:val="true"/>
          <w:lang w:bidi="fa-IR"/>
        </w:rPr>
        <w:t>و العروة الوثقی</w:t>
      </w:r>
      <w:r>
        <w:rPr>
          <w:rStyle w:val="FootnoteAnchor"/>
          <w:rtl w:val="true"/>
        </w:rPr>
        <w:footnoteReference w:id="2168"/>
      </w:r>
    </w:p>
    <w:p>
      <w:pPr>
        <w:pStyle w:val="BookText"/>
        <w:rPr/>
      </w:pPr>
      <w:r>
        <w:rPr>
          <w:rFonts w:ascii="IRNazanin" w:hAnsi="IRNazanin" w:eastAsia="IRNazanin"/>
          <w:color w:val="111111"/>
          <w:sz w:val="28"/>
          <w:sz w:val="28"/>
          <w:szCs w:val="28"/>
          <w:rtl w:val="true"/>
          <w:lang w:bidi="fa-IR"/>
        </w:rPr>
        <w:t>و المستمسک</w:t>
      </w:r>
      <w:r>
        <w:rPr>
          <w:rStyle w:val="FootnoteAnchor"/>
          <w:rtl w:val="true"/>
        </w:rPr>
        <w:footnoteReference w:id="2169"/>
      </w:r>
      <w:r>
        <w:rPr>
          <w:rFonts w:ascii="IRNazanin" w:hAnsi="IRNazanin" w:eastAsia="IRNazanin"/>
          <w:color w:val="111111"/>
          <w:sz w:val="28"/>
          <w:sz w:val="28"/>
          <w:szCs w:val="28"/>
          <w:rtl w:val="true"/>
          <w:lang w:bidi="fa-IR"/>
        </w:rPr>
        <w:t>و تحریر الوسیلة</w:t>
      </w:r>
      <w:r>
        <w:rPr>
          <w:rStyle w:val="FootnoteAnchor"/>
          <w:rtl w:val="true"/>
        </w:rPr>
        <w:footnoteReference w:id="2170"/>
      </w:r>
      <w:r>
        <w:rPr>
          <w:rFonts w:ascii="IRNazanin" w:hAnsi="IRNazanin" w:eastAsia="IRNazanin"/>
          <w:color w:val="111111"/>
          <w:sz w:val="28"/>
          <w:sz w:val="28"/>
          <w:szCs w:val="28"/>
          <w:rtl w:val="true"/>
          <w:lang w:bidi="fa-IR"/>
        </w:rPr>
        <w:t>و منهاج الصالحین</w:t>
      </w:r>
      <w:r>
        <w:rPr>
          <w:rStyle w:val="FootnoteAnchor"/>
          <w:rtl w:val="true"/>
        </w:rPr>
        <w:footnoteReference w:id="2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أن یستدلّ علی ذلک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الصَّدَقاتُ لِلْفُقَراءِ وَ الْمَساکِینِ وَ الْعامِلِینَ عَلَیْها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فالحصر فی الآیة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ذکرت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منها أنّها للمصرف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علی عدم جواز صرف الزکاة إلاّ للفقراء، و الفرض أنّ الصبیّ الذی کان له ولیّ لیس داخلاً فیهم، فإطعامه منها غیر جائز</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تعلّقت الزکاة و حقّ الفقراء بالمال، و کانوا فیه شرکاء بنحو الکلّی فی المعیّن أو الإشاعة أو الاشتراک بالمالیة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کلّ تقدیر لا یجوز التصرّف</w:t>
      </w:r>
    </w:p>
    <w:p>
      <w:pPr>
        <w:pStyle w:val="BookText"/>
        <w:rPr/>
      </w:pPr>
      <w:r>
        <w:rPr>
          <w:rFonts w:ascii="IRNazanin" w:hAnsi="IRNazanin" w:eastAsia="IRNazanin"/>
          <w:color w:val="111111"/>
          <w:sz w:val="28"/>
          <w:sz w:val="28"/>
          <w:szCs w:val="28"/>
          <w:rtl w:val="true"/>
          <w:lang w:bidi="fa-IR"/>
        </w:rPr>
        <w:t>فی تمامه؛ لأنّ الآیة تحصر الزکاة للفقراء، فلا تجوز لغیرهم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عبد الرحمن بن الحجاج،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خمسة لا یعطون من الزکاة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 و الأمّ، و الولد، و المملوک، و المرأة، و ذلک أنّهم عیاله لازمون له</w:t>
      </w:r>
      <w:r>
        <w:rPr>
          <w:rFonts w:eastAsia="IRNazanin" w:cs="IRNazanin"/>
          <w:color w:val="111111"/>
          <w:sz w:val="28"/>
          <w:szCs w:val="28"/>
          <w:rtl w:val="true"/>
          <w:lang w:bidi="fa-IR"/>
        </w:rPr>
        <w:t>»</w:t>
      </w:r>
      <w:r>
        <w:rPr>
          <w:rStyle w:val="FootnoteAnchor"/>
          <w:rtl w:val="true"/>
        </w:rPr>
        <w:footnoteReference w:id="21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مثلها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تدلّ هذه الصحیحة علی حرمة إعطاء الزکاة لهؤلاء؛ لأنّ الجملة خبریة ألقیت بداعی الإنشاء، و معناها لا تعط من الزکاة شیئاً لهذه الطوائف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الجملة الخبریة إرشاد إلی المانعیّة، و هو حکم وضعیّ معناه لا یعطی شیء من الزکاة لهذه الطائفة؛ لأنّهم لا یصیرون مالکین لها، و هذا حکم وضعی، أمّا التکلیفی فهو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 فی وبر ما لا یؤکل لحمه، و هی إرشاد إلی المانعیة یعنی لا تصحّ الصلاة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التنظیر غیر تامّ؛ لأنّ لبس ما لا یؤکل لحمه فی غیر حال الصلاة لا إشکال فیه عمداً أو سهواً، و لکن فیما نحن فیه إذا وقع الإعطاء عن عمد حرم، مضافاً إلی أنّ أداء الزکاة لهم موجب لضمان المعطی و أنّ صرفه فیها عمداً محرّم علیه؛ لأنّ تصرّفه فیها تصرّف عدوانیّ؛ لعدم کونه مالکاً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إسحاق بن عمّار عن أبی الحسن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قرابة انفق علی بعضهم و افضّل بعضهم علی بعض، فیأتینی إبّان الزکاة أ فاُعطیهم منها؟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مستحقّون لها؟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أفضل من غیرهم أعطهم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2173"/>
      </w: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یستفاد من استفصال الإمام علیه السلام بین المستحقّ للزکاة و عدمه عدم جواز</w:t>
      </w:r>
    </w:p>
    <w:p>
      <w:pPr>
        <w:pStyle w:val="BookText"/>
        <w:rPr/>
      </w:pPr>
      <w:r>
        <w:rPr>
          <w:rFonts w:ascii="IRNazanin" w:hAnsi="IRNazanin" w:eastAsia="IRNazanin"/>
          <w:color w:val="111111"/>
          <w:sz w:val="28"/>
          <w:sz w:val="28"/>
          <w:szCs w:val="28"/>
          <w:rtl w:val="true"/>
          <w:lang w:bidi="fa-IR"/>
        </w:rPr>
        <w:t xml:space="preserve">الإعطاء لغیر المستحقّ، و الولد لیس من مستحقّی الزکاة، فلا یجوز جعلها طعاماً و نفقة له، کما نهی الإمام علیه السلام ما یعطی للولد و غیره أن یحتسب زکاةً فی ذیل روایة إسحاق بن عمّار، عن أبی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ذا الذی یلزمنی من ذوی قرابتی حتّی لا احتسب الزکاة علیهم؟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أبوک و 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و أمّی؟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الوالدان و الولد</w:t>
      </w:r>
      <w:r>
        <w:rPr>
          <w:rFonts w:eastAsia="IRNazanin" w:cs="IRNazanin"/>
          <w:color w:val="111111"/>
          <w:sz w:val="28"/>
          <w:szCs w:val="28"/>
          <w:rtl w:val="true"/>
          <w:lang w:bidi="fa-IR"/>
        </w:rPr>
        <w:t>»</w:t>
      </w:r>
      <w:r>
        <w:rPr>
          <w:rStyle w:val="FootnoteAnchor"/>
          <w:rtl w:val="true"/>
        </w:rPr>
        <w:footnoteReference w:id="2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أبی خدیجة،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تعط من الزکاة أحداً ممّن تعول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الحدیث</w:t>
      </w:r>
      <w:r>
        <w:rPr>
          <w:rStyle w:val="FootnoteAnchor"/>
          <w:rtl w:val="true"/>
        </w:rPr>
        <w:footnoteReference w:id="2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فالروایة مقرونة بالنهی، و النهی ظاهر فی الحرمة، فیستفاد منها عدم جواز إعطاء مال الزکاة للولد الصغیر؛ لأنّ الولد الصغیر ممّن یجب علی الولیّ نفقته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مکاتبة عمران بن إسماعیل بن عمران القمّی الذی ورد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الحسن الثالث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لی ولداً رجالاً و نساءً، أ فیجوز أن أعطیهم من الزکاة شیئاً؟ فکتب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ذلک جائز لک</w:t>
      </w:r>
      <w:r>
        <w:rPr>
          <w:rFonts w:eastAsia="IRNazanin" w:cs="IRNazanin"/>
          <w:color w:val="111111"/>
          <w:sz w:val="28"/>
          <w:szCs w:val="28"/>
          <w:rtl w:val="true"/>
          <w:lang w:bidi="fa-IR"/>
        </w:rPr>
        <w:t>»</w:t>
      </w:r>
      <w:r>
        <w:rPr>
          <w:rStyle w:val="FootnoteAnchor"/>
          <w:rtl w:val="true"/>
        </w:rPr>
        <w:footnoteReference w:id="2176"/>
      </w:r>
      <w:r>
        <w:rPr>
          <w:rFonts w:ascii="IRNazanin" w:hAnsi="IRNazanin" w:eastAsia="IRNazanin"/>
          <w:color w:val="111111"/>
          <w:sz w:val="28"/>
          <w:sz w:val="28"/>
          <w:szCs w:val="28"/>
          <w:rtl w:val="true"/>
          <w:lang w:bidi="fa-IR"/>
        </w:rPr>
        <w:t>تدلّ علی جواز إعطاء الزکاة للولد، فیجوز جعل مال الزکاة طعاماً له</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الروایة أوّلاً مخالفةٌ للإجماع</w:t>
      </w:r>
      <w:r>
        <w:rPr>
          <w:rStyle w:val="FootnoteAnchor"/>
          <w:rtl w:val="true"/>
        </w:rPr>
        <w:footnoteReference w:id="2177"/>
      </w:r>
      <w:r>
        <w:rPr>
          <w:rFonts w:ascii="IRNazanin" w:hAnsi="IRNazanin" w:eastAsia="IRNazanin"/>
          <w:color w:val="111111"/>
          <w:sz w:val="28"/>
          <w:sz w:val="28"/>
          <w:szCs w:val="28"/>
          <w:rtl w:val="true"/>
          <w:lang w:bidi="fa-IR"/>
        </w:rPr>
        <w:t>،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متروکة؛ لأنّ سندها ضعیف لوجود عمران بن إسماعیل، و دلالتها غیر تامّة؛ لاحتمال کون الزکاة هی الزکاة المندوبة، کما أنّ الجواز فی الروایة یحمل علی الندب، کما ذهب إلیه فی مجمع الفائدة</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الجواهر مع الزیادة فی ذیل هذه الروایة و روایة أخری،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هما مع ضعف سندهما و قلّة عددهما و متروکیّتهما و کونهما مکاتبة و مرسلة، و احتمال</w:t>
      </w:r>
      <w:bookmarkStart w:id="1028" w:name="pg11752_146523"/>
    </w:p>
    <w:p>
      <w:pPr>
        <w:pStyle w:val="BookText"/>
        <w:rPr/>
      </w:pPr>
      <w:bookmarkEnd w:id="1028"/>
      <w:r>
        <w:rPr>
          <w:rFonts w:ascii="IRNazanin" w:hAnsi="IRNazanin" w:eastAsia="IRNazanin"/>
          <w:color w:val="111111"/>
          <w:sz w:val="28"/>
          <w:sz w:val="28"/>
          <w:szCs w:val="28"/>
          <w:rtl w:val="true"/>
          <w:lang w:bidi="fa-IR"/>
        </w:rPr>
        <w:t>الأولی الأقارب الذین یصلح إطلاق الولد علیهم مجازاً کما عن المنتهی</w:t>
      </w:r>
      <w:r>
        <w:rPr>
          <w:rStyle w:val="FootnoteAnchor"/>
          <w:rtl w:val="true"/>
        </w:rPr>
        <w:footnoteReference w:id="2178"/>
      </w:r>
      <w:r>
        <w:rPr>
          <w:rFonts w:ascii="IRNazanin" w:hAnsi="IRNazanin" w:eastAsia="IRNazanin"/>
          <w:color w:val="111111"/>
          <w:sz w:val="28"/>
          <w:sz w:val="28"/>
          <w:szCs w:val="28"/>
          <w:rtl w:val="true"/>
          <w:lang w:bidi="fa-IR"/>
        </w:rPr>
        <w:t>، و الزکاة المندوبة، و عدم تمکّن الوالد من الإنفاق علیه، و کونهم ممّن لا یجب إنفاقه علیهم، و أنّ المراد بقرینة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اختصاصه بهذا الحکم، و دفع الزکاة الیهم للتوسعة علیهم کما عن الشیخ</w:t>
      </w:r>
      <w:r>
        <w:rPr>
          <w:rStyle w:val="FootnoteAnchor"/>
          <w:rtl w:val="true"/>
        </w:rPr>
        <w:footnoteReference w:id="2179"/>
      </w:r>
      <w:r>
        <w:rPr>
          <w:rFonts w:ascii="IRNazanin" w:hAnsi="IRNazanin" w:eastAsia="IRNazanin"/>
          <w:color w:val="111111"/>
          <w:sz w:val="28"/>
          <w:sz w:val="28"/>
          <w:szCs w:val="28"/>
          <w:rtl w:val="true"/>
          <w:lang w:bidi="fa-IR"/>
        </w:rPr>
        <w:t>مستدلاًّ علیه بخبر أبی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 قصورهما عن معارضة النصوص المزبورة المعتضدة بما سمعت و بالاحتیاط</w:t>
      </w:r>
      <w:r>
        <w:rPr>
          <w:rFonts w:eastAsia="IRNazanin" w:cs="IRNazanin"/>
          <w:color w:val="111111"/>
          <w:sz w:val="28"/>
          <w:szCs w:val="28"/>
          <w:rtl w:val="true"/>
          <w:lang w:bidi="fa-IR"/>
        </w:rPr>
        <w:t>....»</w:t>
      </w:r>
      <w:r>
        <w:rPr>
          <w:rStyle w:val="FootnoteAnchor"/>
          <w:rtl w:val="true"/>
        </w:rPr>
        <w:footnoteReference w:id="2180"/>
      </w:r>
    </w:p>
    <w:p>
      <w:pPr>
        <w:pStyle w:val="BookText"/>
        <w:rPr/>
      </w:pPr>
      <w:r>
        <w:rPr>
          <w:rFonts w:ascii="IRNazanin" w:hAnsi="IRNazanin" w:eastAsia="IRNazanin"/>
          <w:color w:val="111111"/>
          <w:sz w:val="28"/>
          <w:sz w:val="28"/>
          <w:szCs w:val="28"/>
          <w:rtl w:val="true"/>
          <w:lang w:bidi="fa-IR"/>
        </w:rPr>
        <w:t>و الذی قلنا فی البحث عن الزکاة و العین التی تعلّقت بها الزکاة یجری فی زکاة الفطرة أیضاً، فلا یجوز إطعام الولد منه کما أوضحناه فی نفقة الأیتام فلا نعیده</w:t>
      </w:r>
      <w:r>
        <w:rPr>
          <w:rFonts w:eastAsia="IRNazanin" w:cs="IRNazanin"/>
          <w:color w:val="111111"/>
          <w:sz w:val="28"/>
          <w:szCs w:val="28"/>
          <w:rtl w:val="true"/>
          <w:lang w:bidi="fa-IR"/>
        </w:rPr>
        <w:t>.</w:t>
      </w:r>
    </w:p>
    <w:p>
      <w:pPr>
        <w:pStyle w:val="Heading6"/>
        <w:numPr>
          <w:ilvl w:val="5"/>
          <w:numId w:val="1"/>
        </w:numPr>
        <w:rPr/>
      </w:pPr>
      <w:bookmarkStart w:id="1029" w:name="__RefHeading___Toc9424552_73709187"/>
      <w:bookmarkStart w:id="1030" w:name="_Toc390"/>
      <w:bookmarkEnd w:id="1029"/>
      <w:r>
        <w:rPr>
          <w:rtl w:val="true"/>
        </w:rPr>
        <w:t>رأی أهل السنّة فی المسألة</w:t>
      </w:r>
      <w:bookmarkEnd w:id="1030"/>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اتّفق فقهاء أهل السنّة علی أنّه لا یجوز إعطاء تمام المال الذی تعلّقت به الزکاة للولد؛ لأنّ الغرض أنّ المال صار متعلّقاً للزکاة و لمستحقّیها من المذکورین فی الآیة، فلا یجوز الإعطاء لغیرهم، حیث ورد فی کلماتهم عدم جواز دفعها إلی من یلزمه نفقته من ولده و ولد ولده و أبویه و أجداده، و کلّ من ینسب إلی المؤدّی بالولادة، و لا یجوز صرف الزکاة إلیه؛ لأنّ تمام الإیتاء بانقطاع منفعة المؤدّی عمّا أدّی، و المنافع بین الآباء و الأبناء متّصلة</w:t>
      </w:r>
      <w:r>
        <w:rPr>
          <w:rStyle w:val="FootnoteAnchor"/>
          <w:rtl w:val="true"/>
        </w:rPr>
        <w:footnoteReference w:id="2181"/>
      </w:r>
      <w:bookmarkStart w:id="1031" w:name="pg11752_146524"/>
    </w:p>
    <w:p>
      <w:pPr>
        <w:pStyle w:val="Heading4"/>
        <w:numPr>
          <w:ilvl w:val="3"/>
          <w:numId w:val="1"/>
        </w:numPr>
        <w:rPr/>
      </w:pPr>
      <w:bookmarkStart w:id="1032" w:name="__RefHeading___Toc9424554_73709187"/>
      <w:bookmarkStart w:id="1033" w:name="_Toc391"/>
      <w:bookmarkEnd w:id="1031"/>
      <w:bookmarkEnd w:id="1032"/>
      <w:r>
        <w:rPr>
          <w:rtl w:val="true"/>
        </w:rPr>
        <w:t>المبحث الثانی</w:t>
      </w:r>
      <w:r>
        <w:rPr>
          <w:rtl w:val="true"/>
        </w:rPr>
        <w:t>:</w:t>
      </w:r>
      <w:bookmarkEnd w:id="1033"/>
    </w:p>
    <w:p>
      <w:pPr>
        <w:pStyle w:val="Heading5"/>
        <w:numPr>
          <w:ilvl w:val="4"/>
          <w:numId w:val="1"/>
        </w:numPr>
        <w:rPr/>
      </w:pPr>
      <w:bookmarkStart w:id="1034" w:name="__RefHeading___Toc9424556_73709187"/>
      <w:bookmarkStart w:id="1035" w:name="_Toc392"/>
      <w:bookmarkEnd w:id="1034"/>
      <w:r>
        <w:rPr>
          <w:rtl w:val="true"/>
        </w:rPr>
        <w:t>اشارة</w:t>
      </w:r>
      <w:bookmarkEnd w:id="1035"/>
    </w:p>
    <w:p>
      <w:pPr>
        <w:pStyle w:val="BookText"/>
        <w:rPr/>
      </w:pPr>
      <w:r>
        <w:rPr>
          <w:rFonts w:ascii="IRNazanin" w:hAnsi="IRNazanin" w:eastAsia="IRNazanin"/>
          <w:color w:val="111111"/>
          <w:sz w:val="28"/>
          <w:sz w:val="28"/>
          <w:szCs w:val="28"/>
          <w:rtl w:val="true"/>
          <w:lang w:bidi="fa-IR"/>
        </w:rPr>
        <w:t>حرمة سقی الأطفال بالمسکرات و تغذیتهم بعین النجس</w:t>
      </w:r>
    </w:p>
    <w:p>
      <w:pPr>
        <w:pStyle w:val="BookText"/>
        <w:rPr/>
      </w:pPr>
      <w:r>
        <w:rPr>
          <w:rFonts w:ascii="IRNazanin" w:hAnsi="IRNazanin" w:eastAsia="IRNazanin"/>
          <w:color w:val="111111"/>
          <w:sz w:val="28"/>
          <w:sz w:val="28"/>
          <w:szCs w:val="28"/>
          <w:rtl w:val="true"/>
          <w:lang w:bidi="fa-IR"/>
        </w:rPr>
        <w:t>و فیه مطالب</w:t>
      </w:r>
      <w:r>
        <w:rPr>
          <w:rFonts w:eastAsia="IRNazanin" w:cs="IRNazanin"/>
          <w:color w:val="111111"/>
          <w:sz w:val="28"/>
          <w:szCs w:val="28"/>
          <w:rtl w:val="true"/>
          <w:lang w:bidi="fa-IR"/>
        </w:rPr>
        <w:t>:</w:t>
      </w:r>
    </w:p>
    <w:p>
      <w:pPr>
        <w:pStyle w:val="Heading5"/>
        <w:numPr>
          <w:ilvl w:val="4"/>
          <w:numId w:val="1"/>
        </w:numPr>
        <w:rPr/>
      </w:pPr>
      <w:bookmarkStart w:id="1036" w:name="__RefHeading___Toc9424558_73709187"/>
      <w:bookmarkStart w:id="1037" w:name="_Toc393"/>
      <w:bookmarkEnd w:id="1036"/>
      <w:r>
        <w:rPr>
          <w:rtl w:val="true"/>
        </w:rPr>
        <w:t>المطلب الأوّل</w:t>
      </w:r>
      <w:r>
        <w:rPr>
          <w:rtl w:val="true"/>
        </w:rPr>
        <w:t xml:space="preserve">: </w:t>
      </w:r>
      <w:r>
        <w:rPr>
          <w:rtl w:val="true"/>
        </w:rPr>
        <w:t>فی حرمة سقی المسکر للطفل</w:t>
      </w:r>
      <w:bookmarkEnd w:id="1037"/>
    </w:p>
    <w:p>
      <w:pPr>
        <w:pStyle w:val="Heading6"/>
        <w:numPr>
          <w:ilvl w:val="5"/>
          <w:numId w:val="1"/>
        </w:numPr>
        <w:rPr/>
      </w:pPr>
      <w:bookmarkStart w:id="1038" w:name="__RefHeading___Toc9424560_73709187"/>
      <w:bookmarkStart w:id="1039" w:name="_Toc394"/>
      <w:bookmarkEnd w:id="1038"/>
      <w:r>
        <w:rPr>
          <w:rtl w:val="true"/>
        </w:rPr>
        <w:t>اشارة</w:t>
      </w:r>
      <w:bookmarkEnd w:id="1039"/>
    </w:p>
    <w:p>
      <w:pPr>
        <w:pStyle w:val="BookText"/>
        <w:rPr/>
      </w:pPr>
      <w:r>
        <w:rPr>
          <w:rFonts w:ascii="IRNazanin" w:hAnsi="IRNazanin" w:eastAsia="IRNazanin"/>
          <w:color w:val="111111"/>
          <w:sz w:val="28"/>
          <w:sz w:val="28"/>
          <w:szCs w:val="28"/>
          <w:rtl w:val="true"/>
          <w:lang w:bidi="fa-IR"/>
        </w:rPr>
        <w:t>قد صرّح الفقهاء بعدم جواز سقی المسکر للطفل، قال فی المهذّب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یجوز أن یسقی بشیء من البهائم و الأطفال شیئاً من الخمر و المسکر</w:t>
      </w:r>
      <w:r>
        <w:rPr>
          <w:rFonts w:eastAsia="IRNazanin" w:cs="IRNazanin"/>
          <w:color w:val="111111"/>
          <w:sz w:val="28"/>
          <w:szCs w:val="28"/>
          <w:rtl w:val="true"/>
          <w:lang w:bidi="fa-IR"/>
        </w:rPr>
        <w:t>»</w:t>
      </w:r>
      <w:r>
        <w:rPr>
          <w:rStyle w:val="FootnoteAnchor"/>
          <w:rtl w:val="true"/>
        </w:rPr>
        <w:footnoteReference w:id="2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بمثل هذا قال فی الدروس</w:t>
      </w:r>
      <w:r>
        <w:rPr>
          <w:rStyle w:val="FootnoteAnchor"/>
          <w:rtl w:val="true"/>
        </w:rPr>
        <w:footnoteReference w:id="2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 فی کشف اللثام قول القاضی عبد العزیز ابن البرّاج،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حرّمه القاضی لما روی من نهی رسول اللّه صلی الله علیه و آله و سلم أن تعالج بالخمر و المسکر، و أن یسقی الأطفال و البهائم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الإثم علی من سقاها</w:t>
      </w:r>
      <w:r>
        <w:rPr>
          <w:rStyle w:val="FootnoteAnchor"/>
          <w:rtl w:val="true"/>
        </w:rPr>
        <w:footnoteReference w:id="2184"/>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85"/>
      </w: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المحقّق الاردبیلی فی مسألة سقی الدواب المسکر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یقاس علیه الأطفال، فإنّهم و إن لم یکونوا مکلّفین بالفعل، و لکن یصیرون مکلّفین و یتعوّدون، و الناس مکلّفون بإجراء أحکام المکلّفین علیهم</w:t>
      </w:r>
      <w:r>
        <w:rPr>
          <w:rFonts w:eastAsia="IRNazanin" w:cs="IRNazanin"/>
          <w:color w:val="111111"/>
          <w:sz w:val="28"/>
          <w:szCs w:val="28"/>
          <w:rtl w:val="true"/>
          <w:lang w:bidi="fa-IR"/>
        </w:rPr>
        <w:t>»</w:t>
      </w:r>
      <w:r>
        <w:rPr>
          <w:rStyle w:val="FootnoteAnchor"/>
          <w:rtl w:val="true"/>
        </w:rPr>
        <w:footnoteReference w:id="21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أفتی بالحرمة المحدِّث الکاشانی</w:t>
      </w:r>
      <w:r>
        <w:rPr>
          <w:rStyle w:val="FootnoteAnchor"/>
          <w:rtl w:val="true"/>
        </w:rPr>
        <w:footnoteReference w:id="2187"/>
      </w:r>
      <w:r>
        <w:rPr>
          <w:rFonts w:ascii="IRNazanin" w:hAnsi="IRNazanin" w:eastAsia="IRNazanin"/>
          <w:color w:val="111111"/>
          <w:sz w:val="28"/>
          <w:sz w:val="28"/>
          <w:szCs w:val="28"/>
          <w:rtl w:val="true"/>
          <w:lang w:bidi="fa-IR"/>
        </w:rPr>
        <w:t>و المحدث النوری فی مستدرک وسائل الشیعة</w:t>
      </w:r>
      <w:r>
        <w:rPr>
          <w:rStyle w:val="FootnoteAnchor"/>
          <w:rtl w:val="true"/>
        </w:rPr>
        <w:footnoteReference w:id="2188"/>
      </w:r>
      <w:r>
        <w:rPr>
          <w:rFonts w:ascii="Amiri" w:hAnsi="Amiri" w:eastAsia="Amiri" w:cs="Amiri"/>
          <w:color w:val="111111"/>
          <w:sz w:val="28"/>
          <w:sz w:val="28"/>
          <w:szCs w:val="28"/>
          <w:rtl w:val="true"/>
          <w:lang w:bidi="ar-SA"/>
        </w:rPr>
        <w:t>، و المحقّق</w:t>
      </w:r>
      <w:bookmarkStart w:id="1040" w:name="pg11752_146525"/>
    </w:p>
    <w:p>
      <w:pPr>
        <w:pStyle w:val="BookText"/>
        <w:rPr/>
      </w:pPr>
      <w:bookmarkEnd w:id="1040"/>
      <w:r>
        <w:rPr>
          <w:rFonts w:ascii="IRNazanin" w:hAnsi="IRNazanin" w:eastAsia="IRNazanin"/>
          <w:color w:val="111111"/>
          <w:sz w:val="28"/>
          <w:sz w:val="28"/>
          <w:szCs w:val="28"/>
          <w:rtl w:val="true"/>
          <w:lang w:bidi="fa-IR"/>
        </w:rPr>
        <w:t>الیزدی</w:t>
      </w:r>
      <w:r>
        <w:rPr>
          <w:rStyle w:val="FootnoteAnchor"/>
          <w:rtl w:val="true"/>
        </w:rPr>
        <w:footnoteReference w:id="2189"/>
      </w:r>
      <w:r>
        <w:rPr>
          <w:rFonts w:ascii="IRNazanin" w:hAnsi="IRNazanin" w:eastAsia="IRNazanin"/>
          <w:color w:val="111111"/>
          <w:sz w:val="28"/>
          <w:sz w:val="28"/>
          <w:szCs w:val="28"/>
          <w:rtl w:val="true"/>
          <w:lang w:bidi="fa-IR"/>
        </w:rPr>
        <w:t>، و السید الحکیم</w:t>
      </w:r>
      <w:r>
        <w:rPr>
          <w:rStyle w:val="FootnoteAnchor"/>
          <w:rtl w:val="true"/>
        </w:rPr>
        <w:footnoteReference w:id="2190"/>
      </w:r>
      <w:r>
        <w:rPr>
          <w:rFonts w:ascii="IRNazanin" w:hAnsi="IRNazanin" w:eastAsia="IRNazanin"/>
          <w:color w:val="111111"/>
          <w:sz w:val="28"/>
          <w:sz w:val="28"/>
          <w:szCs w:val="28"/>
          <w:rtl w:val="true"/>
          <w:lang w:bidi="fa-IR"/>
        </w:rPr>
        <w:t>، و المحقّق الخوئی</w:t>
      </w:r>
      <w:r>
        <w:rPr>
          <w:rStyle w:val="FootnoteAnchor"/>
          <w:rtl w:val="true"/>
        </w:rPr>
        <w:footnoteReference w:id="2191"/>
      </w:r>
      <w:r>
        <w:rPr>
          <w:rFonts w:ascii="IRNazanin" w:hAnsi="IRNazanin" w:eastAsia="IRNazanin"/>
          <w:color w:val="111111"/>
          <w:sz w:val="28"/>
          <w:sz w:val="28"/>
          <w:szCs w:val="28"/>
          <w:rtl w:val="true"/>
          <w:lang w:bidi="fa-IR"/>
        </w:rPr>
        <w:t>، و المحقّق السبزواری</w:t>
      </w:r>
      <w:r>
        <w:rPr>
          <w:rStyle w:val="FootnoteAnchor"/>
          <w:rtl w:val="true"/>
        </w:rPr>
        <w:footnoteReference w:id="2192"/>
      </w: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 بیان أدلّة التحریم فی ذلک لا بدّ من تحریر المسألة؛ فإنّ سقی المسکر إمّا من الولیّ أو غیره، و علی کلا التقدیرین إمّا أن یکون مباشرة أو تسبیباً أو عدم الردع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لو کان من غیر الولیّ مباشرة فلا إشکال فی حرمته؛ للتصرّف غیر الجائز فی الطفل، و إن کان بنحو التسبیب فهذا أیضاً کالصورة الأولی إذا لم یکن للطفل إرادة بحیث إذا سقیه استند الفعل إلی المسبّب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کان له إرادة کالطفل الممیّز فهذا أیضاً حرام لوجوب الردع؛ لأنّ الشارع أراد أن لا یتحقّق شرب مسکر أصلاً، و أمّا إذا کان بنحو عدم الردع فیظهر حکمه من وجوب الردع من الشقّ الثانی من الصورة الثانیة، هذا إذا تحقّق من غیر الولیّ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الساقی ولیّاً، فلا یجوز له سقی المسکر للولد فی جمیع الصور</w:t>
      </w:r>
      <w:r>
        <w:rPr>
          <w:rStyle w:val="FootnoteAnchor"/>
          <w:rtl w:val="true"/>
        </w:rPr>
        <w:footnoteReference w:id="2193"/>
      </w:r>
    </w:p>
    <w:p>
      <w:pPr>
        <w:pStyle w:val="BookText"/>
        <w:rPr/>
      </w:pPr>
      <w:r>
        <w:rPr>
          <w:rFonts w:ascii="IRNazanin" w:hAnsi="IRNazanin" w:eastAsia="IRNazanin"/>
          <w:color w:val="111111"/>
          <w:sz w:val="28"/>
          <w:sz w:val="28"/>
          <w:szCs w:val="28"/>
          <w:rtl w:val="true"/>
          <w:lang w:bidi="fa-IR"/>
        </w:rPr>
        <w:t>و سنبیّن دلیله فیما یلی إن شاء اللّه تعالی</w:t>
      </w:r>
      <w:r>
        <w:rPr>
          <w:rFonts w:eastAsia="IRNazanin" w:cs="IRNazanin"/>
          <w:color w:val="111111"/>
          <w:sz w:val="28"/>
          <w:szCs w:val="28"/>
          <w:rtl w:val="true"/>
          <w:lang w:bidi="fa-IR"/>
        </w:rPr>
        <w:t>.</w:t>
      </w:r>
    </w:p>
    <w:p>
      <w:pPr>
        <w:pStyle w:val="Heading6"/>
        <w:numPr>
          <w:ilvl w:val="5"/>
          <w:numId w:val="1"/>
        </w:numPr>
        <w:rPr/>
      </w:pPr>
      <w:bookmarkStart w:id="1041" w:name="__RefHeading___Toc9424562_73709187"/>
      <w:bookmarkStart w:id="1042" w:name="_Toc395"/>
      <w:bookmarkEnd w:id="1041"/>
      <w:r>
        <w:rPr>
          <w:rtl w:val="true"/>
        </w:rPr>
        <w:t>أدلّة تحریم سقی المسکر للأطفال</w:t>
      </w:r>
      <w:bookmarkEnd w:id="1042"/>
    </w:p>
    <w:p>
      <w:pPr>
        <w:pStyle w:val="BookText"/>
        <w:rPr/>
      </w:pPr>
      <w:r>
        <w:rPr>
          <w:rFonts w:ascii="IRNazanin" w:hAnsi="IRNazanin" w:eastAsia="IRNazanin"/>
          <w:color w:val="111111"/>
          <w:sz w:val="28"/>
          <w:sz w:val="28"/>
          <w:szCs w:val="28"/>
          <w:rtl w:val="true"/>
          <w:lang w:bidi="fa-IR"/>
        </w:rPr>
        <w:t>یمکن أن یستدلّ علی حرمة سقی المسکر للطفل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إِنَّمَا الْخَمْرُ وَ الْمَیْسِرُ وَ الْأَنْصابُ وَ الْأَزْلامُ رِجْسٌ مِنْ عَمَلِ الشَّیْطانِ فَاجْتَنِبُوهُ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یدلّ إطلاق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اجتناب العناوین المذکورة، و منها الخمر</w:t>
      </w:r>
    </w:p>
    <w:p>
      <w:pPr>
        <w:pStyle w:val="BookText"/>
        <w:rPr/>
      </w:pPr>
      <w:r>
        <w:rPr>
          <w:rFonts w:ascii="IRNazanin" w:hAnsi="IRNazanin" w:eastAsia="IRNazanin"/>
          <w:color w:val="111111"/>
          <w:sz w:val="28"/>
          <w:sz w:val="28"/>
          <w:szCs w:val="28"/>
          <w:rtl w:val="true"/>
          <w:lang w:bidi="fa-IR"/>
        </w:rPr>
        <w:t>الشامل لجمیع أوصافها</w:t>
      </w:r>
      <w:r>
        <w:rPr>
          <w:rStyle w:val="FootnoteAnchor"/>
          <w:rtl w:val="true"/>
        </w:rPr>
        <w:footnoteReference w:id="21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فیشمل صورة سقیه للصبیّ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عمّار الساباطی،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المائدة إذا شرب علیها الخمر أو مسکر؟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المائدة</w:t>
      </w:r>
      <w:r>
        <w:rPr>
          <w:rFonts w:eastAsia="IRNazanin" w:cs="IRNazanin"/>
          <w:color w:val="111111"/>
          <w:sz w:val="28"/>
          <w:szCs w:val="28"/>
          <w:rtl w:val="true"/>
          <w:lang w:bidi="fa-IR"/>
        </w:rPr>
        <w:t>»</w:t>
      </w:r>
      <w:r>
        <w:rPr>
          <w:rStyle w:val="FootnoteAnchor"/>
          <w:rtl w:val="true"/>
        </w:rPr>
        <w:footnoteReference w:id="2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تدلّ هذه الروایة صریحاً علی حرمة الجلوس علی مائدة فیها الخمر و المسکر، فإطلاقها یشمل فیما إذا کان علی المائدة صبیّ أو صبیّة، فإذا کان الجلوس علی المائدة التی علیها الخمر و المسکر حراماً، فسقیه أیضاً حرام للطفل و غیره بطریق أولی، سواء سقی نفسَه أو سقاه الولیّ، کما قال به الشهید الصدر فی البحوث</w:t>
      </w:r>
      <w:r>
        <w:rPr>
          <w:rStyle w:val="FootnoteAnchor"/>
          <w:rtl w:val="true"/>
        </w:rPr>
        <w:footnoteReference w:id="2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أبی ربیع الشامی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 اللّه علیه السلام عن الخمر،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یسقیها عبد لی صبیّاً صغیراً أو مملوکاً إلاّ سقیته مثل ما سقاه من الحمیم یوم القیامة معذّباً أو مغفوراً له</w:t>
      </w:r>
      <w:r>
        <w:rPr>
          <w:rFonts w:eastAsia="IRNazanin" w:cs="IRNazanin"/>
          <w:color w:val="111111"/>
          <w:sz w:val="28"/>
          <w:szCs w:val="28"/>
          <w:rtl w:val="true"/>
          <w:lang w:bidi="fa-IR"/>
        </w:rPr>
        <w:t>»</w:t>
      </w:r>
      <w:r>
        <w:rPr>
          <w:rStyle w:val="FootnoteAnchor"/>
          <w:rtl w:val="true"/>
        </w:rPr>
        <w:footnoteReference w:id="2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الروایة صریحة فی حرمة سقی الخمر للصبیّ الصغیر؛ لأنّه لو لم یکن السقی حراماً فلِمَ یعذّب اللّه سبحانه و تعالی ساقیها یوم القیامة؛ لأنّ الجزاء أثر العمل</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عجلان أبی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المولود یولد فنسقیه الخمر؟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من سقی مولوداً مسکراً سقاه اللّه من الحمیم و ان غفر له</w:t>
      </w:r>
      <w:r>
        <w:rPr>
          <w:rFonts w:eastAsia="IRNazanin" w:cs="IRNazanin"/>
          <w:color w:val="111111"/>
          <w:sz w:val="28"/>
          <w:szCs w:val="28"/>
          <w:rtl w:val="true"/>
          <w:lang w:bidi="fa-IR"/>
        </w:rPr>
        <w:t>»</w:t>
      </w:r>
      <w:r>
        <w:rPr>
          <w:rStyle w:val="FootnoteAnchor"/>
          <w:rtl w:val="true"/>
        </w:rPr>
        <w:footnoteReference w:id="21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قریب منها الروایة الأخری لعجلان أبی صالح</w:t>
      </w:r>
      <w:r>
        <w:rPr>
          <w:rStyle w:val="FootnoteAnchor"/>
          <w:rtl w:val="true"/>
        </w:rPr>
        <w:footnoteReference w:id="2199"/>
      </w:r>
      <w:r>
        <w:rPr>
          <w:rFonts w:ascii="IRNazanin" w:hAnsi="IRNazanin" w:eastAsia="IRNazanin"/>
          <w:color w:val="111111"/>
          <w:sz w:val="28"/>
          <w:sz w:val="28"/>
          <w:szCs w:val="28"/>
          <w:rtl w:val="true"/>
          <w:lang w:bidi="fa-IR"/>
        </w:rPr>
        <w:t>و کذا غیرها</w:t>
      </w:r>
      <w:r>
        <w:rPr>
          <w:rStyle w:val="FootnoteAnchor"/>
          <w:rtl w:val="true"/>
        </w:rPr>
        <w:footnoteReference w:id="2200"/>
      </w:r>
      <w:bookmarkStart w:id="1043" w:name="pg11752_146527"/>
    </w:p>
    <w:p>
      <w:pPr>
        <w:pStyle w:val="BookText"/>
        <w:rPr/>
      </w:pPr>
      <w:bookmarkEnd w:id="1043"/>
      <w:r>
        <w:rPr>
          <w:rFonts w:ascii="IRNazanin" w:hAnsi="IRNazanin" w:eastAsia="IRNazanin"/>
          <w:color w:val="111111"/>
          <w:sz w:val="28"/>
          <w:sz w:val="28"/>
          <w:szCs w:val="28"/>
          <w:rtl w:val="true"/>
          <w:lang w:bidi="fa-IR"/>
        </w:rPr>
        <w:t>و یؤیّده أیضاً عموم التعلیل فی روایة المفضّل بن عمر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أخبرنی جعلت فداک لِمَ حرّم اللّه الخمر و المیتة و الدم و لحم الخنزیر؟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أمّا الخمر فإنّه حرّمها لفعلها و فسادها،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مدمن الخمر کعابد وثن یورثه الارتعاش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2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أنّ الولیّ إذا سقی الطفل الخمر یکون ذلک موجباً لتحقّق الفساد، و هو محرّم کما صرّحت الروایة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أیضاً أنّ ضعف سند بعض الروایات التی ذکرناها لا یضرّ بالاستدلال بها؛ لکونها کثیرة وصلت حدّ التواتر الإجمالی، مضافاً إلی أنّ عمل الأصحاب بمضمونها یجبر ضعفها</w:t>
      </w:r>
      <w:r>
        <w:rPr>
          <w:rFonts w:eastAsia="IRNazanin" w:cs="IRNazanin"/>
          <w:color w:val="111111"/>
          <w:sz w:val="28"/>
          <w:szCs w:val="28"/>
          <w:rtl w:val="true"/>
          <w:lang w:bidi="fa-IR"/>
        </w:rPr>
        <w:t>.</w:t>
      </w:r>
    </w:p>
    <w:p>
      <w:pPr>
        <w:pStyle w:val="Heading6"/>
        <w:numPr>
          <w:ilvl w:val="5"/>
          <w:numId w:val="1"/>
        </w:numPr>
        <w:rPr/>
      </w:pPr>
      <w:bookmarkStart w:id="1044" w:name="__RefHeading___Toc9424564_73709187"/>
      <w:bookmarkStart w:id="1045" w:name="_Toc396"/>
      <w:bookmarkEnd w:id="1044"/>
      <w:r>
        <w:rPr>
          <w:rtl w:val="true"/>
        </w:rPr>
        <w:t>آراء أهل السنّة فی المسألة</w:t>
      </w:r>
      <w:bookmarkEnd w:id="1045"/>
    </w:p>
    <w:p>
      <w:pPr>
        <w:pStyle w:val="BookText"/>
        <w:rPr/>
      </w:pPr>
      <w:r>
        <w:rPr>
          <w:rFonts w:ascii="IRNazanin" w:hAnsi="IRNazanin" w:eastAsia="IRNazanin"/>
          <w:color w:val="111111"/>
          <w:sz w:val="28"/>
          <w:sz w:val="28"/>
          <w:szCs w:val="28"/>
          <w:rtl w:val="true"/>
          <w:lang w:bidi="fa-IR"/>
        </w:rPr>
        <w:t>یستفاد من کلماتهم</w:t>
      </w:r>
      <w:r>
        <w:rPr>
          <w:rStyle w:val="FootnoteAnchor"/>
          <w:rtl w:val="true"/>
        </w:rPr>
        <w:footnoteReference w:id="2202"/>
      </w:r>
      <w:r>
        <w:rPr>
          <w:rFonts w:ascii="IRNazanin" w:hAnsi="IRNazanin" w:eastAsia="IRNazanin"/>
          <w:color w:val="111111"/>
          <w:sz w:val="28"/>
          <w:sz w:val="28"/>
          <w:szCs w:val="28"/>
          <w:rtl w:val="true"/>
          <w:lang w:bidi="fa-IR"/>
        </w:rPr>
        <w:t>اتّفاقهم علی حرمة سقی المسکر للطفل، قال فی الاشباه و النظائر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یجوز أن یسقیه الخمر</w:t>
      </w:r>
      <w:r>
        <w:rPr>
          <w:rFonts w:eastAsia="IRNazanin" w:cs="IRNazanin"/>
          <w:color w:val="111111"/>
          <w:sz w:val="28"/>
          <w:szCs w:val="28"/>
          <w:rtl w:val="true"/>
          <w:lang w:bidi="fa-IR"/>
        </w:rPr>
        <w:t>»</w:t>
      </w:r>
      <w:r>
        <w:rPr>
          <w:rStyle w:val="FootnoteAnchor"/>
          <w:rtl w:val="true"/>
        </w:rPr>
        <w:footnoteReference w:id="2203"/>
      </w:r>
      <w:r>
        <w:rPr>
          <w:rFonts w:eastAsia="Times New Roman" w:cs="Times New Roman" w:ascii="Times New Roman" w:hAnsi="Times New Roman"/>
          <w:color w:val="111111"/>
          <w:sz w:val="28"/>
          <w:szCs w:val="28"/>
          <w:rtl w:val="true"/>
          <w:lang w:val="en-US" w:bidi="en-US"/>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یستفاد من إطلاق الأدلّة التی تمسّکوا بها أنّ الولیّ أو المکلّف إذا سقی الخمر للطفل فإثمه علیه بلا خلاف بینهم، کما استدلّ فی المغنی و الشرح الکبیر بروایة النبوی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الخمر و شاربها و ساقیها و بائعها و مبتاعها</w:t>
      </w:r>
      <w:r>
        <w:rPr>
          <w:rFonts w:eastAsia="IRNazanin" w:cs="IRNazanin"/>
          <w:color w:val="111111"/>
          <w:sz w:val="28"/>
          <w:szCs w:val="28"/>
          <w:rtl w:val="true"/>
          <w:lang w:bidi="fa-IR"/>
        </w:rPr>
        <w:t>.</w:t>
      </w:r>
      <w:r>
        <w:rPr>
          <w:rStyle w:val="FootnoteAnchor"/>
          <w:rtl w:val="true"/>
        </w:rPr>
        <w:footnoteReference w:id="22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2205"/>
      </w:r>
      <w:bookmarkStart w:id="1046" w:name="pg11752_146528"/>
    </w:p>
    <w:p>
      <w:pPr>
        <w:pStyle w:val="Heading5"/>
        <w:numPr>
          <w:ilvl w:val="4"/>
          <w:numId w:val="1"/>
        </w:numPr>
        <w:rPr/>
      </w:pPr>
      <w:bookmarkStart w:id="1047" w:name="__RefHeading___Toc9424566_73709187"/>
      <w:bookmarkStart w:id="1048" w:name="_Toc397"/>
      <w:bookmarkEnd w:id="1046"/>
      <w:bookmarkEnd w:id="1047"/>
      <w:r>
        <w:rPr>
          <w:rtl w:val="true"/>
        </w:rPr>
        <w:t>المطلب الثانی</w:t>
      </w:r>
      <w:r>
        <w:rPr>
          <w:rtl w:val="true"/>
        </w:rPr>
        <w:t xml:space="preserve">: </w:t>
      </w:r>
      <w:r>
        <w:rPr>
          <w:rtl w:val="true"/>
        </w:rPr>
        <w:t>فی حکم الإطعام أو سقی الماء المتنجس للأطفال</w:t>
      </w:r>
      <w:bookmarkEnd w:id="1048"/>
    </w:p>
    <w:p>
      <w:pPr>
        <w:pStyle w:val="Heading6"/>
        <w:numPr>
          <w:ilvl w:val="5"/>
          <w:numId w:val="1"/>
        </w:numPr>
        <w:rPr/>
      </w:pPr>
      <w:bookmarkStart w:id="1049" w:name="__RefHeading___Toc9424568_73709187"/>
      <w:bookmarkStart w:id="1050" w:name="_Toc398"/>
      <w:bookmarkEnd w:id="1049"/>
      <w:r>
        <w:rPr>
          <w:rtl w:val="true"/>
        </w:rPr>
        <w:t>اشارة</w:t>
      </w:r>
      <w:bookmarkEnd w:id="1050"/>
    </w:p>
    <w:p>
      <w:pPr>
        <w:pStyle w:val="BookText"/>
        <w:rPr/>
      </w:pPr>
      <w:r>
        <w:rPr>
          <w:rFonts w:ascii="IRNazanin" w:hAnsi="IRNazanin" w:eastAsia="IRNazanin"/>
          <w:color w:val="111111"/>
          <w:sz w:val="28"/>
          <w:sz w:val="28"/>
          <w:szCs w:val="28"/>
          <w:rtl w:val="true"/>
          <w:lang w:bidi="fa-IR"/>
        </w:rPr>
        <w:t>هل یجوز للمکلّف إطعام المتنجّس للأطفال و کذا سقی الماء المتنجّس لهم أم لا؟ فیه خلاف، قد تعرّض المعاصرون من الفقهاء إلی حکم سقی الماء المتنجّس للطفل، و لا فرق فی الحکم بین أن یکون المتنجّس طعاماً أو شراباً، ففی المسألة ثلاثة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السقی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هو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ذهب إلیه المحقّق الیزدی،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شرب الماء النجس إلاّ فی الضرورة، و یجوز سقیه للحیوانات بل و للأطفال أیضاً</w:t>
      </w:r>
      <w:r>
        <w:rPr>
          <w:rStyle w:val="FootnoteAnchor"/>
          <w:rtl w:val="true"/>
        </w:rPr>
        <w:footnoteReference w:id="2206"/>
      </w:r>
    </w:p>
    <w:p>
      <w:pPr>
        <w:pStyle w:val="BookText"/>
        <w:rPr/>
      </w:pPr>
      <w:r>
        <w:rPr>
          <w:rFonts w:ascii="IRNazanin" w:hAnsi="IRNazanin" w:eastAsia="IRNazanin"/>
          <w:color w:val="111111"/>
          <w:sz w:val="28"/>
          <w:sz w:val="28"/>
          <w:szCs w:val="28"/>
          <w:rtl w:val="true"/>
          <w:lang w:bidi="fa-IR"/>
        </w:rPr>
        <w:t>و اختاره فی المستمسک</w:t>
      </w:r>
      <w:r>
        <w:rPr>
          <w:rStyle w:val="FootnoteAnchor"/>
          <w:rtl w:val="true"/>
        </w:rPr>
        <w:footnoteReference w:id="2207"/>
      </w:r>
      <w:r>
        <w:rPr>
          <w:rFonts w:ascii="IRNazanin" w:hAnsi="IRNazanin" w:eastAsia="IRNazanin"/>
          <w:color w:val="111111"/>
          <w:sz w:val="28"/>
          <w:sz w:val="28"/>
          <w:szCs w:val="28"/>
          <w:rtl w:val="true"/>
          <w:lang w:bidi="fa-IR"/>
        </w:rPr>
        <w:t>و التنقیح</w:t>
      </w:r>
      <w:r>
        <w:rPr>
          <w:rStyle w:val="FootnoteAnchor"/>
          <w:rtl w:val="true"/>
        </w:rPr>
        <w:footnoteReference w:id="2208"/>
      </w:r>
      <w:r>
        <w:rPr>
          <w:rFonts w:ascii="IRNazanin" w:hAnsi="IRNazanin" w:eastAsia="IRNazanin"/>
          <w:color w:val="111111"/>
          <w:sz w:val="28"/>
          <w:sz w:val="28"/>
          <w:szCs w:val="28"/>
          <w:rtl w:val="true"/>
          <w:lang w:bidi="fa-IR"/>
        </w:rPr>
        <w:t>، و الدروس فی فقه الشیعة</w:t>
      </w:r>
      <w:r>
        <w:rPr>
          <w:rStyle w:val="FootnoteAnchor"/>
          <w:rtl w:val="true"/>
        </w:rPr>
        <w:footnoteReference w:id="2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مستند العروة</w:t>
      </w:r>
      <w:r>
        <w:rPr>
          <w:rStyle w:val="FootnoteAnchor"/>
          <w:rtl w:val="true"/>
        </w:rPr>
        <w:footnoteReference w:id="2210"/>
      </w:r>
      <w:r>
        <w:rPr>
          <w:rFonts w:ascii="IRNazanin" w:hAnsi="IRNazanin" w:eastAsia="IRNazanin"/>
          <w:color w:val="111111"/>
          <w:sz w:val="28"/>
          <w:sz w:val="28"/>
          <w:szCs w:val="28"/>
          <w:rtl w:val="true"/>
          <w:lang w:bidi="fa-IR"/>
        </w:rPr>
        <w:t>و مهذّب الأحکام</w:t>
      </w:r>
      <w:r>
        <w:rPr>
          <w:rStyle w:val="FootnoteAnchor"/>
          <w:rtl w:val="true"/>
        </w:rPr>
        <w:footnoteReference w:id="2211"/>
      </w:r>
      <w:r>
        <w:rPr>
          <w:rFonts w:eastAsia="Times New Roman" w:cs="Times New Roman" w:ascii="Times New Roman" w:hAnsi="Times New Roman"/>
          <w:color w:val="111111"/>
          <w:sz w:val="28"/>
          <w:szCs w:val="28"/>
          <w:rtl w:val="true"/>
          <w:lang w:val="en-US" w:bidi="en-US"/>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ذهب إلیه الشیخ حسین الحلّی فی دلیل العروة الوثقی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سقی الطفل بذلک فمحلّ الکلام، و الظاهر عدم الجواز مطلقاً ولیّاً کان الساقی أو غیره</w:t>
      </w:r>
      <w:r>
        <w:rPr>
          <w:rFonts w:eastAsia="IRNazanin" w:cs="IRNazanin"/>
          <w:color w:val="111111"/>
          <w:sz w:val="28"/>
          <w:szCs w:val="28"/>
          <w:rtl w:val="true"/>
          <w:lang w:bidi="fa-IR"/>
        </w:rPr>
        <w:t>»</w:t>
      </w:r>
      <w:r>
        <w:rPr>
          <w:rStyle w:val="FootnoteAnchor"/>
          <w:rtl w:val="true"/>
        </w:rPr>
        <w:footnoteReference w:id="2212"/>
      </w:r>
    </w:p>
    <w:p>
      <w:pPr>
        <w:pStyle w:val="BookText"/>
        <w:rPr/>
      </w:pPr>
      <w:r>
        <w:rPr>
          <w:rFonts w:ascii="IRNazanin" w:hAnsi="IRNazanin" w:eastAsia="IRNazanin"/>
          <w:color w:val="111111"/>
          <w:sz w:val="28"/>
          <w:sz w:val="28"/>
          <w:szCs w:val="28"/>
          <w:rtl w:val="true"/>
          <w:lang w:bidi="fa-IR"/>
        </w:rPr>
        <w:t>و أمّا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مختار السیّد الشهید الصدر فی البحوث، فقال بعد کلام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فصّلنا فی الأطفال بین الشراب و الطعام المتنجّس بغیر عین النجس، فیجوز إعطاؤه للأطفال؛ لعدم شمول روایات الأمر بالإراقة له، و بین الشراب و الطعام المتنجس بعین النجس، فالأحوط وجوباً عدم إعطائه للأطفال بلحاظ الروایات المذکورة</w:t>
      </w:r>
      <w:r>
        <w:rPr>
          <w:rFonts w:eastAsia="IRNazanin" w:cs="IRNazanin"/>
          <w:color w:val="111111"/>
          <w:sz w:val="28"/>
          <w:szCs w:val="28"/>
          <w:rtl w:val="true"/>
          <w:lang w:bidi="fa-IR"/>
        </w:rPr>
        <w:t>»</w:t>
      </w:r>
      <w:r>
        <w:rPr>
          <w:rStyle w:val="FootnoteAnchor"/>
          <w:rtl w:val="true"/>
        </w:rPr>
        <w:footnoteReference w:id="2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أن یستدلّ للقول بالأصل، و المقصود منه الإباحة الشرعیّة، أی عدم جعل الحرمة بالنسبة لسقی الولیّ للأطفال أو إطعامهم المتنجّس؛ لأنّ الأصل فی فعل المکلفین الإباحة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 أنّ للشارع أحکاماً و هی تشمل المکلّفین فقط؛ لأنّ الحرمة تستکشف من نهی الشارع، و الفرض أنّه لم یصدر منه نهی بالنسبة لسقی الأطفال المتنجّس، و ما ورد فی حقّ المکلّفین لا یشمل الأطفال و هو منصرف عنهم، لحدیث رفع القلم</w:t>
      </w:r>
      <w:r>
        <w:rPr>
          <w:rStyle w:val="FootnoteAnchor"/>
          <w:rtl w:val="true"/>
        </w:rPr>
        <w:footnoteReference w:id="2214"/>
      </w:r>
      <w:r>
        <w:rPr>
          <w:rFonts w:ascii="IRNazanin" w:hAnsi="IRNazanin" w:eastAsia="IRNazanin"/>
          <w:color w:val="111111"/>
          <w:sz w:val="28"/>
          <w:sz w:val="28"/>
          <w:szCs w:val="28"/>
          <w:rtl w:val="true"/>
          <w:lang w:bidi="fa-IR"/>
        </w:rPr>
        <w:t>و غیره المستفاد منه رفع الحکم التکلیفی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ببیان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الشارع حرّم المحرّمات فی حقّ المکلّفین أباحها فی حقّ جماعة آخرین من الصبیان و المجانین، فالفعل أی الأکل و السقی یصدر من غیر المکلّف علی وجه مباح، و من الظاهر أنّ التسبیب إلی المباح 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فیما إذا علم الاهتمام من الشارع و أنّه لا یرضی بوقوعه کیف ما اتّفق یحرم التسبیب بلا إشکال، و من هنا ورد المنع عن سقی المسکرات للأطفال</w:t>
      </w:r>
      <w:r>
        <w:rPr>
          <w:rStyle w:val="FootnoteAnchor"/>
          <w:rtl w:val="true"/>
        </w:rPr>
        <w:footnoteReference w:id="2215"/>
      </w:r>
      <w:r>
        <w:rPr>
          <w:rFonts w:ascii="Amiri" w:hAnsi="Amiri" w:eastAsia="Amiri" w:cs="Amiri"/>
          <w:color w:val="111111"/>
          <w:sz w:val="28"/>
          <w:sz w:val="28"/>
          <w:szCs w:val="28"/>
          <w:rtl w:val="true"/>
          <w:lang w:bidi="ar-SA"/>
        </w:rPr>
        <w:t>کما بیّناه آنفاً</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هذا، ما یُعلم من الأحکام الشرعیّة المتعلّقة بالبالغین بالنسبة إلی الصبیّ فیعمل به، و ما شکّ فی حرمة شیء فی حقّه تجری البراءة الشرعیّة، و هذا هو</w:t>
      </w:r>
    </w:p>
    <w:p>
      <w:pPr>
        <w:pStyle w:val="BookText"/>
        <w:rPr/>
      </w:pPr>
      <w:r>
        <w:rPr>
          <w:rFonts w:ascii="IRNazanin" w:hAnsi="IRNazanin" w:eastAsia="IRNazanin"/>
          <w:color w:val="111111"/>
          <w:sz w:val="28"/>
          <w:sz w:val="28"/>
          <w:szCs w:val="28"/>
          <w:rtl w:val="true"/>
          <w:lang w:bidi="fa-IR"/>
        </w:rPr>
        <w:t>المشهور عند الأصولیین فی الشبهة التکلیفیة التحریمیة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ظهر عدم تمامیّة القول الثانی، و هو عدم الجواز؛ لانصراف الأدلّة عن خصوص المورد، و عدم تمامیة مقدّمات الحکمة التی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بشمول الروایات المانعة من وجوب الإعلام لبیع المتنجّس و للسقی و الإطعام للصبیّ أیضاً، و هکذا القول الثالث بالإضافة إلی الفقرة الثانیة، أی وجوب عدم إعطائه للأطفال احتیاطاً إذا تنجّس بعین النجس، إلا أنّ الاحتیاط مطلوب علی کلّ حالٍ، فلا 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الأخبار الواردة فی أبواب مختلفة، و منها صحیحة معاویة بن وهب عن أبی عبد اللّه علیه السلام فی بیع الزیت الذی مات فیه جرز،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یبیعه و یبیّنه لمن اشتراه لیستصبح به</w:t>
      </w:r>
      <w:r>
        <w:rPr>
          <w:rFonts w:eastAsia="IRNazanin" w:cs="IRNazanin"/>
          <w:color w:val="111111"/>
          <w:sz w:val="28"/>
          <w:szCs w:val="28"/>
          <w:rtl w:val="true"/>
          <w:lang w:bidi="fa-IR"/>
        </w:rPr>
        <w:t>»</w:t>
      </w:r>
      <w:r>
        <w:rPr>
          <w:rStyle w:val="FootnoteAnchor"/>
          <w:rtl w:val="true"/>
        </w:rPr>
        <w:footnoteReference w:id="2216"/>
      </w:r>
      <w:r>
        <w:rPr>
          <w:rFonts w:ascii="IRNazanin" w:hAnsi="IRNazanin" w:eastAsia="IRNazanin"/>
          <w:color w:val="111111"/>
          <w:sz w:val="28"/>
          <w:sz w:val="28"/>
          <w:szCs w:val="28"/>
          <w:rtl w:val="true"/>
          <w:lang w:bidi="fa-IR"/>
        </w:rPr>
        <w:t>، تدلّ علی وجوب الإعلام فی بیع زیت المتنجّس حتی لا یستعمله المشتری فی الأکل، بل یستصبح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هذه الروایة و کذا ما تضمّن الأمر بإراقة الماء المتنجّس</w:t>
      </w:r>
      <w:r>
        <w:rPr>
          <w:rStyle w:val="FootnoteAnchor"/>
          <w:rtl w:val="true"/>
        </w:rPr>
        <w:footnoteReference w:id="2217"/>
      </w:r>
      <w:r>
        <w:rPr>
          <w:rFonts w:ascii="IRNazanin" w:hAnsi="IRNazanin" w:eastAsia="IRNazanin"/>
          <w:color w:val="111111"/>
          <w:sz w:val="28"/>
          <w:sz w:val="28"/>
          <w:szCs w:val="28"/>
          <w:rtl w:val="true"/>
          <w:lang w:bidi="fa-IR"/>
        </w:rPr>
        <w:t>و المرق</w:t>
      </w:r>
      <w:r>
        <w:rPr>
          <w:rStyle w:val="FootnoteAnchor"/>
          <w:rtl w:val="true"/>
        </w:rPr>
        <w:footnoteReference w:id="2218"/>
      </w:r>
      <w:r>
        <w:rPr>
          <w:rFonts w:ascii="IRNazanin" w:hAnsi="IRNazanin" w:eastAsia="IRNazanin"/>
          <w:color w:val="111111"/>
          <w:sz w:val="28"/>
          <w:sz w:val="28"/>
          <w:szCs w:val="28"/>
          <w:rtl w:val="true"/>
          <w:lang w:bidi="fa-IR"/>
        </w:rPr>
        <w:t>یستفاد أنّه إذا باعه و لم یبیّنه للمشتری فربما یستعمله المشتری للأکل، و یکون البائع سبباً لأکل المتنجّس، و هو غیر جائز، فالروایة تدلّ علی وجوب الإعلام علی البائع حتی لا یستعمله المشتری فی الأکل، و إطلاقها یشمل الصبیّ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الإعلام بالنجاسة و الأمر بإراقة الماء المتنجّس و غیره واجب لمن یتأثّر عقیب الأمر و الإعلام، و هذا ممکن للمشتری المکلّف البالغ، و لکن الروایات منصرفة عن الصبیّ و المجنون لعدم تأثّره بعد الإعلام</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الأحکام تابعة للمصالح و المفاسد الواقعیة فی طبیعة الأشیاء،</w:t>
      </w:r>
    </w:p>
    <w:p>
      <w:pPr>
        <w:pStyle w:val="BookText"/>
        <w:rPr/>
      </w:pPr>
      <w:r>
        <w:rPr>
          <w:rFonts w:ascii="IRNazanin" w:hAnsi="IRNazanin" w:eastAsia="IRNazanin"/>
          <w:color w:val="111111"/>
          <w:sz w:val="28"/>
          <w:sz w:val="28"/>
          <w:szCs w:val="28"/>
          <w:rtl w:val="true"/>
          <w:lang w:bidi="fa-IR"/>
        </w:rPr>
        <w:t>فکما أنّ فی شرب النجس مفسدة للمکلّف، مفسدة للصبی أیضاً، فیحرم فی حقّه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المفسدة و المصلحة فی الأشیاء تستکشف من الأمر و النهی عن الشارع، فإذا لم یصل إلینا دلیل علی حرمة سقی المتنجّس للصبیّ فمن أین نستکشف أنّ فیه مفسدة حتّی یحرم علی الولد و المکلّف سقیه؟ بل یحتمل أنّ الحکم مختصّ بالمکلّفین دون الأطفال و المجانین، و الشاهد علی ذلک أنّ مشروعیة الصلاة للصبیّ تستکشف من الأمر بالأمر الوارد فی صحیحة الحلبی عن أبی عبد اللّه علیه السلام عن أبیه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نأمر صبیاننا بالصلاة إذا کانوا بنی خمس سنین، فمروا صبیانکم بالصلاة إذا کانوا بنی سبع سنین</w:t>
      </w:r>
      <w:r>
        <w:rPr>
          <w:rFonts w:eastAsia="IRNazanin" w:cs="IRNazanin"/>
          <w:color w:val="111111"/>
          <w:sz w:val="28"/>
          <w:szCs w:val="28"/>
          <w:rtl w:val="true"/>
          <w:lang w:bidi="fa-IR"/>
        </w:rPr>
        <w:t>»</w:t>
      </w:r>
      <w:r>
        <w:rPr>
          <w:rStyle w:val="FootnoteAnchor"/>
          <w:rtl w:val="true"/>
        </w:rPr>
        <w:footnoteReference w:id="22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فالأمر بالصلاة فی هذه الصحیحة دلیل علی وجود الملاک و المصلحة فی عبادة الصبیّ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بالنسبة إلی ملاک المفسدة فی مثل سقی المسکر مطلقاً، حتّی بالنسبة إلی الطفل، تدلّ علیه الروایات الواردة فی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روایة عجلان أبی صالح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بدّ من دلیل خاصّ حتّی یمکن الحکم بحرمة الإطعام و سقی الماء المتنجّس للطفل، و الفرض أنّه لم یرد فیه نصّ، فالأصل إباحته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ما ذکرنا علی القول بنجاسة الکافر الأخبار الواردة فی استرضاع الیهودیة و النصرانیة، کصحیحة سعید بن یسار، عن أبی عبد اللّه علیه السلام قال</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تسترضع الصبیّ المجوسیّةُ و تسترضع الیهودیّة و النصرانیّة، و لا یشربن الخمر یمنعن من ذلک</w:t>
      </w:r>
      <w:r>
        <w:rPr>
          <w:rFonts w:eastAsia="IRNazanin" w:cs="IRNazanin"/>
          <w:color w:val="111111"/>
          <w:sz w:val="28"/>
          <w:szCs w:val="28"/>
          <w:rtl w:val="true"/>
          <w:lang w:bidi="fa-IR"/>
        </w:rPr>
        <w:t>»</w:t>
      </w:r>
      <w:r>
        <w:rPr>
          <w:rStyle w:val="FootnoteAnchor"/>
          <w:rtl w:val="true"/>
        </w:rPr>
        <w:footnoteReference w:id="2220"/>
      </w:r>
      <w:bookmarkStart w:id="1051" w:name="pg11752_146532"/>
    </w:p>
    <w:p>
      <w:pPr>
        <w:pStyle w:val="Heading6"/>
        <w:numPr>
          <w:ilvl w:val="5"/>
          <w:numId w:val="1"/>
        </w:numPr>
        <w:rPr/>
      </w:pPr>
      <w:bookmarkStart w:id="1052" w:name="__RefHeading___Toc9424570_73709187"/>
      <w:bookmarkStart w:id="1053" w:name="_Toc399"/>
      <w:bookmarkEnd w:id="1051"/>
      <w:bookmarkEnd w:id="1052"/>
      <w:r>
        <w:rPr>
          <w:rtl w:val="true"/>
        </w:rPr>
        <w:t>رأی أهل السنّة فی المسألة</w:t>
      </w:r>
      <w:bookmarkEnd w:id="1053"/>
    </w:p>
    <w:p>
      <w:pPr>
        <w:pStyle w:val="BookText"/>
        <w:rPr/>
      </w:pPr>
      <w:r>
        <w:rPr>
          <w:rFonts w:ascii="IRNazanin" w:hAnsi="IRNazanin" w:eastAsia="IRNazanin"/>
          <w:color w:val="111111"/>
          <w:sz w:val="28"/>
          <w:sz w:val="28"/>
          <w:szCs w:val="28"/>
          <w:rtl w:val="true"/>
          <w:lang w:bidi="fa-IR"/>
        </w:rPr>
        <w:t>یستفاد من کلماتهم أنّه لا یجوز إطعام و سقی المتنجّس للطفل، و عمدة دلیلهم فی هذا الروایة الواردة عن رسول اللّه صلی الله علیه و آله و سلم، فقد نقل الجصّاص من فقهاء الحنفیّة عن ابن عمر أنه کان عند رسول اللّه صلی الله علیه و آله و سلم، حیث سأله رجل عن فأرة وقعت فی ودک لهم،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جامد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اطرحوها و اطرحوا ما حولها و کُلُوا ودککم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إنّه مائع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فانتفعوا به و لا تأکلوه</w:t>
      </w:r>
      <w:r>
        <w:rPr>
          <w:rFonts w:eastAsia="IRNazanin" w:cs="IRNazanin"/>
          <w:color w:val="111111"/>
          <w:sz w:val="28"/>
          <w:szCs w:val="28"/>
          <w:rtl w:val="true"/>
          <w:lang w:bidi="fa-IR"/>
        </w:rPr>
        <w:t>»</w:t>
      </w:r>
      <w:r>
        <w:rPr>
          <w:rStyle w:val="FootnoteAnchor"/>
          <w:rtl w:val="true"/>
        </w:rPr>
        <w:footnoteReference w:id="22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فأطلق النبیّ صلی الله علیه و آله و سلم جواز الانتفاع به من غیر جهة الأکل</w:t>
      </w:r>
      <w:r>
        <w:rPr>
          <w:rStyle w:val="FootnoteAnchor"/>
          <w:rtl w:val="true"/>
        </w:rPr>
        <w:footnoteReference w:id="2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فإطلاق کلامه یشمل المکلّف و غیره، سواء أکل المکلّف بنفسه أو أطعمه البالغ أو الصبیّ، ذهب إلی هذا القول أیضاً الحنابلة</w:t>
      </w:r>
      <w:r>
        <w:rPr>
          <w:rStyle w:val="FootnoteAnchor"/>
          <w:rtl w:val="true"/>
        </w:rPr>
        <w:footnoteReference w:id="2223"/>
      </w:r>
      <w:r>
        <w:rPr>
          <w:rFonts w:ascii="Amiri" w:hAnsi="Amiri" w:eastAsia="Amiri" w:cs="Amiri"/>
          <w:color w:val="111111"/>
          <w:sz w:val="28"/>
          <w:sz w:val="28"/>
          <w:szCs w:val="28"/>
          <w:rtl w:val="true"/>
          <w:lang w:bidi="ar-SA"/>
        </w:rPr>
        <w:t>و الشافعیّة</w:t>
      </w:r>
      <w:r>
        <w:rPr>
          <w:rStyle w:val="FootnoteAnchor"/>
          <w:rtl w:val="true"/>
        </w:rPr>
        <w:footnoteReference w:id="2224"/>
      </w:r>
      <w:r>
        <w:rPr>
          <w:rFonts w:ascii="IRNazanin" w:hAnsi="IRNazanin" w:eastAsia="IRNazanin"/>
          <w:color w:val="111111"/>
          <w:sz w:val="28"/>
          <w:sz w:val="28"/>
          <w:szCs w:val="28"/>
          <w:rtl w:val="true"/>
          <w:lang w:bidi="fa-IR"/>
        </w:rPr>
        <w:t>و مالک فی أحد قولیه</w:t>
      </w:r>
      <w:r>
        <w:rPr>
          <w:rStyle w:val="FootnoteAnchor"/>
          <w:rtl w:val="true"/>
        </w:rPr>
        <w:footnoteReference w:id="22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ابن نجیم فی الأشباه و النظائر قاعدة، و 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ما حرم علی البالغ فعله حرم علیه فعله لولده الصغیر، فلا یجوز أن یسقیه خمراً، و لا أن یلبسه حریراً</w:t>
      </w:r>
      <w:r>
        <w:rPr>
          <w:rFonts w:eastAsia="IRNazanin" w:cs="IRNazanin"/>
          <w:color w:val="111111"/>
          <w:sz w:val="28"/>
          <w:szCs w:val="28"/>
          <w:rtl w:val="true"/>
          <w:lang w:bidi="fa-IR"/>
        </w:rPr>
        <w:t>...»</w:t>
      </w:r>
      <w:r>
        <w:rPr>
          <w:rStyle w:val="FootnoteAnchor"/>
          <w:rtl w:val="true"/>
        </w:rPr>
        <w:footnoteReference w:id="2226"/>
      </w:r>
      <w:r>
        <w:rPr>
          <w:rFonts w:ascii="IRNazanin" w:hAnsi="IRNazanin" w:eastAsia="IRNazanin"/>
          <w:color w:val="111111"/>
          <w:sz w:val="28"/>
          <w:sz w:val="28"/>
          <w:szCs w:val="28"/>
          <w:rtl w:val="true"/>
          <w:lang w:bidi="fa-IR"/>
        </w:rPr>
        <w:t>هذه أیضاً تؤیّد ما استفدنا من کلماتهم</w:t>
      </w:r>
      <w:r>
        <w:rPr>
          <w:rFonts w:eastAsia="IRNazanin" w:cs="IRNazanin"/>
          <w:color w:val="111111"/>
          <w:sz w:val="28"/>
          <w:szCs w:val="28"/>
          <w:rtl w:val="true"/>
          <w:lang w:bidi="fa-IR"/>
        </w:rPr>
        <w:t>.</w:t>
      </w:r>
    </w:p>
    <w:p>
      <w:pPr>
        <w:pStyle w:val="Heading5"/>
        <w:numPr>
          <w:ilvl w:val="4"/>
          <w:numId w:val="1"/>
        </w:numPr>
        <w:rPr/>
      </w:pPr>
      <w:bookmarkStart w:id="1054" w:name="__RefHeading___Toc9424572_73709187"/>
      <w:bookmarkStart w:id="1055" w:name="_Toc400"/>
      <w:bookmarkEnd w:id="1054"/>
      <w:r>
        <w:rPr>
          <w:rtl w:val="true"/>
        </w:rPr>
        <w:t>المطلب الثالث</w:t>
      </w:r>
      <w:r>
        <w:rPr>
          <w:rtl w:val="true"/>
        </w:rPr>
        <w:t xml:space="preserve">: </w:t>
      </w:r>
      <w:r>
        <w:rPr>
          <w:rtl w:val="true"/>
        </w:rPr>
        <w:t>فی التسبیب إلی تناول الأطفال عین النجس</w:t>
      </w:r>
      <w:bookmarkEnd w:id="1055"/>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یجوز للولیّ أو غیره إطعام عین النجس للطفل إذا لم یکن مضرّاً بحاله أم لا؟ کما لو افترضنا إعطاؤه الطعام من لحم ذبیحة لم یذکر اسم اللّه علیها، الذی لا یترتّب علیه ضرر مادّی محرّم أو استرضاع الکافرة علی القول بنجاستها؟</w:t>
      </w:r>
    </w:p>
    <w:p>
      <w:pPr>
        <w:pStyle w:val="BookText"/>
        <w:rPr/>
      </w:pPr>
      <w:r>
        <w:rPr>
          <w:rFonts w:ascii="IRNazanin" w:hAnsi="IRNazanin" w:eastAsia="IRNazanin"/>
          <w:color w:val="111111"/>
          <w:sz w:val="28"/>
          <w:sz w:val="28"/>
          <w:szCs w:val="28"/>
          <w:rtl w:val="true"/>
          <w:lang w:bidi="fa-IR"/>
        </w:rPr>
        <w:t>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یستفاد من کلام السیّد الخوئی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الجواز حیث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لم یکن ضرراً فی أکله و شربه فلا موجب لحرمة التسبیب حینئذٍ؛ لما عرفت من عدم دلالة الدلیل علی حرمته فی غیر المکلّفین، و إنّما استفدنا حرمته بالإضافة إلی المکلّفین من إطلاق أدلّة المحرّمات</w:t>
      </w:r>
      <w:r>
        <w:rPr>
          <w:rFonts w:eastAsia="IRNazanin" w:cs="IRNazanin"/>
          <w:color w:val="111111"/>
          <w:sz w:val="28"/>
          <w:szCs w:val="28"/>
          <w:rtl w:val="true"/>
          <w:lang w:bidi="fa-IR"/>
        </w:rPr>
        <w:t>»</w:t>
      </w:r>
      <w:r>
        <w:rPr>
          <w:rStyle w:val="FootnoteAnchor"/>
          <w:rtl w:val="true"/>
        </w:rPr>
        <w:footnoteReference w:id="2227"/>
      </w:r>
      <w:r>
        <w:rPr>
          <w:rFonts w:ascii="IRNazanin" w:hAnsi="IRNazanin" w:eastAsia="IRNazanin"/>
          <w:color w:val="111111"/>
          <w:sz w:val="28"/>
          <w:sz w:val="28"/>
          <w:szCs w:val="28"/>
          <w:rtl w:val="true"/>
          <w:lang w:bidi="fa-IR"/>
        </w:rPr>
        <w:t>و هکذا فی المستند</w:t>
      </w:r>
      <w:r>
        <w:rPr>
          <w:rStyle w:val="FootnoteAnchor"/>
          <w:rtl w:val="true"/>
        </w:rPr>
        <w:footnoteReference w:id="2228"/>
      </w:r>
      <w:r>
        <w:rPr>
          <w:rFonts w:ascii="IRNazanin" w:hAnsi="IRNazanin" w:eastAsia="IRNazanin"/>
          <w:color w:val="111111"/>
          <w:sz w:val="28"/>
          <w:sz w:val="28"/>
          <w:szCs w:val="28"/>
          <w:rtl w:val="true"/>
          <w:lang w:bidi="fa-IR"/>
        </w:rPr>
        <w:t>و اختاره فی المستمسک</w:t>
      </w:r>
      <w:r>
        <w:rPr>
          <w:rStyle w:val="FootnoteAnchor"/>
          <w:rtl w:val="true"/>
        </w:rPr>
        <w:footnoteReference w:id="2229"/>
      </w:r>
      <w:r>
        <w:rPr>
          <w:rFonts w:ascii="IRNazanin" w:hAnsi="IRNazanin" w:eastAsia="IRNazanin"/>
          <w:color w:val="111111"/>
          <w:sz w:val="28"/>
          <w:sz w:val="28"/>
          <w:szCs w:val="28"/>
          <w:rtl w:val="true"/>
          <w:lang w:bidi="fa-IR"/>
        </w:rPr>
        <w:t>و فی منهاج الصالحین أشکل أوّلاً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الأظهر الجواز</w:t>
      </w:r>
      <w:r>
        <w:rPr>
          <w:rFonts w:eastAsia="IRNazanin" w:cs="IRNazanin"/>
          <w:color w:val="111111"/>
          <w:sz w:val="28"/>
          <w:szCs w:val="28"/>
          <w:rtl w:val="true"/>
          <w:lang w:bidi="fa-IR"/>
        </w:rPr>
        <w:t>»</w:t>
      </w:r>
      <w:r>
        <w:rPr>
          <w:rStyle w:val="FootnoteAnchor"/>
          <w:rtl w:val="true"/>
        </w:rPr>
        <w:footnoteReference w:id="2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ذهب الشیخ حسین الحلّی إلی عدم الجواز،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بنحو التسبیب فأیضاً یرجع إلی المباشرة فی الطفل؛ إذ لا إرادة للطفل حتّی یکون الفعل مستنداً لإرادته، بل إنّ فعله یستند إلی المقدمة الإعدادیة، التی أعدّها غیر الولیّ فیدخل فی المباشرة، اللهمّ إلاّ أن یکون ممیّزاً، فیکون حاله فی هذه الجهة حال الکبیر البالغ</w:t>
      </w:r>
      <w:r>
        <w:rPr>
          <w:rFonts w:eastAsia="IRNazanin" w:cs="IRNazanin"/>
          <w:color w:val="111111"/>
          <w:sz w:val="28"/>
          <w:szCs w:val="28"/>
          <w:rtl w:val="true"/>
          <w:lang w:bidi="fa-IR"/>
        </w:rPr>
        <w:t>»</w:t>
      </w:r>
      <w:r>
        <w:rPr>
          <w:rStyle w:val="FootnoteAnchor"/>
          <w:rtl w:val="true"/>
        </w:rPr>
        <w:footnoteReference w:id="2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الاستدلال لهذا الحکم أیضاً بأصل الإباحة الشرعیّة، بالتقریب الذی أوضحناه فی بیان حکم الإطعام أو سقی ماء المتنجّس للأطفال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إذا شکّ المکلّف فی حرمة إطعام ولده بعین النجس، و تفحّص لیجد الدلیل علی أحد الطرفین و لم یجده، کانت الشبهة فی حقّه شبهة تکلیفیّة تحریمیّة، فتجری البراءة و تستفاد الإباحة الشرعیّة</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بذلک ظهر الجواب عن القول الثانی أیضاً، مضافاً إلی أنّه لا یکون تسبیب الولیّ تناول الطفل عین النجس مباشرة للولیّ، و هو معلوم لا خفاء فیه، و اللّه هو</w:t>
      </w:r>
      <w:bookmarkStart w:id="1056" w:name="pg11752_146534"/>
    </w:p>
    <w:p>
      <w:pPr>
        <w:pStyle w:val="BookText"/>
        <w:rPr/>
      </w:pPr>
      <w:bookmarkEnd w:id="1056"/>
      <w:r>
        <w:rPr>
          <w:rFonts w:ascii="IRNazanin" w:hAnsi="IRNazanin" w:eastAsia="IRNazanin"/>
          <w:color w:val="111111"/>
          <w:sz w:val="28"/>
          <w:sz w:val="28"/>
          <w:szCs w:val="28"/>
          <w:rtl w:val="true"/>
          <w:lang w:bidi="fa-IR"/>
        </w:rPr>
        <w:t>العالم بحکمه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عن فقهاء أهل السنّة فی بیان حکم الإطعام بالمتنجّس یُعلم رأیهم فی هذه المسألة أیضاً، یعنی حیث إنّهم قائلون بحرمة الإطعام بالمتنجّس، فالإطعام بعین النجس حرام علی رأیهم بطریق أَولی</w:t>
      </w:r>
      <w:r>
        <w:rPr>
          <w:rFonts w:eastAsia="IRNazanin" w:cs="IRNazanin"/>
          <w:color w:val="111111"/>
          <w:sz w:val="28"/>
          <w:szCs w:val="28"/>
          <w:rtl w:val="true"/>
          <w:lang w:bidi="fa-IR"/>
        </w:rPr>
        <w:t>.</w:t>
      </w:r>
    </w:p>
    <w:p>
      <w:pPr>
        <w:pStyle w:val="Heading5"/>
        <w:numPr>
          <w:ilvl w:val="4"/>
          <w:numId w:val="1"/>
        </w:numPr>
        <w:rPr/>
      </w:pPr>
      <w:bookmarkStart w:id="1057" w:name="__RefHeading___Toc9424574_73709187"/>
      <w:bookmarkStart w:id="1058" w:name="_Toc401"/>
      <w:bookmarkEnd w:id="1057"/>
      <w:r>
        <w:rPr>
          <w:rtl w:val="true"/>
        </w:rPr>
        <w:t>المطلب الرابع</w:t>
      </w:r>
      <w:r>
        <w:rPr>
          <w:rtl w:val="true"/>
        </w:rPr>
        <w:t xml:space="preserve">: </w:t>
      </w:r>
      <w:r>
        <w:rPr>
          <w:rtl w:val="true"/>
        </w:rPr>
        <w:t>فی التسبیب إلی الإطعام بالطعام الضارّ للطفل</w:t>
      </w:r>
      <w:bookmarkEnd w:id="1058"/>
    </w:p>
    <w:p>
      <w:pPr>
        <w:pStyle w:val="BookText"/>
        <w:rPr/>
      </w:pPr>
      <w:r>
        <w:rPr>
          <w:rFonts w:ascii="IRNazanin" w:hAnsi="IRNazanin" w:eastAsia="IRNazanin"/>
          <w:color w:val="111111"/>
          <w:sz w:val="28"/>
          <w:sz w:val="28"/>
          <w:szCs w:val="28"/>
          <w:rtl w:val="true"/>
          <w:lang w:bidi="fa-IR"/>
        </w:rPr>
        <w:t>لا شکّ فی أنّه لا یجوز إطعام الصغار بالطعام الضارّ، قال السیّد الیزدی فی العروة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 الولیّ منع الأطفال عن کلّ ما فیه ضرر علیهم أو علی غیرهم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عن أکل الأعیان النجسة و شربها ممّا فیه ضرر علیهم</w:t>
      </w:r>
      <w:r>
        <w:rPr>
          <w:rFonts w:eastAsia="IRNazanin" w:cs="IRNazanin"/>
          <w:color w:val="111111"/>
          <w:sz w:val="28"/>
          <w:szCs w:val="28"/>
          <w:rtl w:val="true"/>
          <w:lang w:bidi="fa-IR"/>
        </w:rPr>
        <w:t>»</w:t>
      </w:r>
      <w:r>
        <w:rPr>
          <w:rStyle w:val="FootnoteAnchor"/>
          <w:rtl w:val="true"/>
        </w:rPr>
        <w:footnoteReference w:id="2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اختاره فی المستمسک</w:t>
      </w:r>
      <w:r>
        <w:rPr>
          <w:rStyle w:val="FootnoteAnchor"/>
          <w:rtl w:val="true"/>
        </w:rPr>
        <w:footnoteReference w:id="2233"/>
      </w:r>
      <w:r>
        <w:rPr>
          <w:rFonts w:ascii="Amiri" w:hAnsi="Amiri" w:eastAsia="Amiri" w:cs="Amiri"/>
          <w:color w:val="111111"/>
          <w:sz w:val="28"/>
          <w:sz w:val="28"/>
          <w:szCs w:val="28"/>
          <w:rtl w:val="true"/>
          <w:lang w:bidi="ar-SA"/>
        </w:rPr>
        <w:t>و مستند العروة</w:t>
      </w:r>
      <w:r>
        <w:rPr>
          <w:rStyle w:val="FootnoteAnchor"/>
          <w:rtl w:val="true"/>
        </w:rPr>
        <w:footnoteReference w:id="2234"/>
      </w:r>
      <w:r>
        <w:rPr>
          <w:rFonts w:ascii="IRNazanin" w:hAnsi="IRNazanin" w:eastAsia="IRNazanin"/>
          <w:color w:val="111111"/>
          <w:sz w:val="28"/>
          <w:sz w:val="28"/>
          <w:szCs w:val="28"/>
          <w:rtl w:val="true"/>
          <w:lang w:bidi="fa-IR"/>
        </w:rPr>
        <w:t>و منهاج الصالحین</w:t>
      </w:r>
      <w:r>
        <w:rPr>
          <w:rStyle w:val="FootnoteAnchor"/>
          <w:rtl w:val="true"/>
        </w:rPr>
        <w:footnoteReference w:id="2235"/>
      </w:r>
      <w:r>
        <w:rPr>
          <w:rFonts w:ascii="IRNazanin" w:hAnsi="IRNazanin" w:eastAsia="IRNazanin"/>
          <w:color w:val="111111"/>
          <w:sz w:val="28"/>
          <w:sz w:val="28"/>
          <w:szCs w:val="28"/>
          <w:rtl w:val="true"/>
          <w:lang w:bidi="fa-IR"/>
        </w:rPr>
        <w:t>و مهذّب الأحکام و البحوث للشهید الصدر</w:t>
      </w:r>
      <w:r>
        <w:rPr>
          <w:rStyle w:val="FootnoteAnchor"/>
          <w:rtl w:val="true"/>
        </w:rPr>
        <w:footnoteReference w:id="2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حاصل کلامهم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الإضرار بالغیر غیر جائز، سواء کان الغیر ولداً أو غیر ولدٍ، و سواء کان الإضرار مباشرة أو تسبیباً بإطعام الطعام الضارّ أو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ذلک الکتاب و السنّة و العقل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الکتاب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تُضَارَّ والِدَةٌ بِوَلَدِها وَ لا مَوْلُودٌ لَهُ بِوَلَدِهِ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الآیة و إن کانت فی مورد الرضاع إلاّ أنّ المورد لا یخصّص الوارد، بتعبیر</w:t>
      </w:r>
    </w:p>
    <w:p>
      <w:pPr>
        <w:pStyle w:val="BookText"/>
        <w:rPr/>
      </w:pP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و إن نزلت فی منع إضرار الأمّ، بأن تمنع من إرضاع ولدها مع رغبتها فیه، و منع إضرار الأب بأن تأبی الأمّ عن إرضاع ولدها إضراراً بابنه، أو تطلب أکثر من أجر مثلها</w:t>
      </w:r>
      <w:r>
        <w:rPr>
          <w:rStyle w:val="FootnoteAnchor"/>
          <w:rtl w:val="true"/>
        </w:rPr>
        <w:footnoteReference w:id="2237"/>
      </w:r>
      <w:r>
        <w:rPr>
          <w:rFonts w:ascii="IRNazanin" w:hAnsi="IRNazanin" w:eastAsia="IRNazanin"/>
          <w:color w:val="111111"/>
          <w:sz w:val="28"/>
          <w:sz w:val="28"/>
          <w:szCs w:val="28"/>
          <w:rtl w:val="true"/>
          <w:lang w:bidi="fa-IR"/>
        </w:rPr>
        <w:t>، إلاّ أنّ الملاک فی الآیة بمنزلة تعلیل عدم جواز الإضرار، سواء کان من ناحیة الأمّ أو الأب، و سواء کان علی الوالدین أو علی الأولاد من ناحیة الطعام الضارّ أو غیره، فتدلّ علی المقصود بالالتزام، مضافاً إلی أنّ کلاًّ من الرضاع و الإطعام تغذیة فیشترکان من هذه الجهة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یدلّ علیه أیضاً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تُمْسِکُوهُنَّ ضِراراً لِتَعْتَدُوا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تقریب الاستدلال بهذه الآیة کسابقتها، أی أنّ ما تعلّق به النهی و التحریم هو الإمساک للمطلّقة إذا کان بداعی الإضرار، فالإضرار علّة لتحریم الإمساک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فیمکن أن یستفاد منها أنّ فی کلّ مورد تحقّق فیه موضوع الإضرار یأتی حکمه، و هو التحریم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زرارة، عن أبی جعفر علیه السلام فی حدیث، أنّ رسول اللّه صلی الله علیه و آله و سلم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r>
        <w:rPr>
          <w:rStyle w:val="FootnoteAnchor"/>
          <w:rtl w:val="true"/>
        </w:rPr>
        <w:footnoteReference w:id="2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مفاده یدلّ علی النهی عن إیجاد الضرر</w:t>
      </w:r>
      <w:r>
        <w:rPr>
          <w:rStyle w:val="FootnoteAnchor"/>
          <w:rtl w:val="true"/>
        </w:rPr>
        <w:footnoteReference w:id="2239"/>
      </w:r>
      <w:r>
        <w:rPr>
          <w:rFonts w:ascii="Amiri" w:hAnsi="Amiri" w:eastAsia="Amiri" w:cs="Amiri"/>
          <w:color w:val="111111"/>
          <w:sz w:val="28"/>
          <w:sz w:val="28"/>
          <w:szCs w:val="28"/>
          <w:rtl w:val="true"/>
          <w:lang w:bidi="ar-SA"/>
        </w:rPr>
        <w:t>نظیر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رَفَثَ وَ لا فُسُوقَ وَ لا جِدالَ فِی 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یشمل الإضرار عن طریق إطعام الطعام الضارّ</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تحف العقول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فیه</w:t>
      </w:r>
      <w:bookmarkStart w:id="1059" w:name="pg11752_146536"/>
    </w:p>
    <w:p>
      <w:pPr>
        <w:pStyle w:val="BookText"/>
        <w:rPr/>
      </w:pPr>
      <w:bookmarkEnd w:id="1059"/>
      <w:r>
        <w:rPr>
          <w:rFonts w:ascii="IRNazanin" w:hAnsi="IRNazanin" w:eastAsia="IRNazanin"/>
          <w:color w:val="111111"/>
          <w:sz w:val="28"/>
          <w:sz w:val="28"/>
          <w:szCs w:val="28"/>
          <w:rtl w:val="true"/>
          <w:lang w:bidi="fa-IR"/>
        </w:rPr>
        <w:t>المضرّة علی الإنسان فی أکله فحرام أکله</w:t>
      </w:r>
      <w:r>
        <w:rPr>
          <w:rFonts w:eastAsia="IRNazanin" w:cs="IRNazanin"/>
          <w:color w:val="111111"/>
          <w:sz w:val="28"/>
          <w:szCs w:val="28"/>
          <w:rtl w:val="true"/>
          <w:lang w:bidi="fa-IR"/>
        </w:rPr>
        <w:t>»</w:t>
      </w:r>
      <w:r>
        <w:rPr>
          <w:rStyle w:val="FootnoteAnchor"/>
          <w:rtl w:val="true"/>
        </w:rPr>
        <w:footnoteReference w:id="2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تقریب الاستدلال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أکل الطعام الضار إمّا یکون مباشرة أو تسبیباً، فلا شبهة فی حرمة أکل الطعام الضارّ مباشرة، کما یدلّ ظاهر الروایة علیها، و أمّا حرمة تسبیبها فی المقام من جهة أنّ السبب کالمباشر، لأقوائیة السبب و ضعف المباشر؛ لأنّ فی مسألتنا هذه یستند الفعل یعنی الضرر إلی السبب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المباشر، و ضعف سندها بالإرسال لا یوجب منع الاستدلال بها؛ لأنّه موافق لحکم العقل مع أنّه یمکن أن یجعل تأییداً للحکم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أمّا العقل، فقد حکم بأنّ مثل هذا ظلم لهم، و هو قبیح، و هکذا سیرة العقلاء أیضاً تنهی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فقهاء أهل السنّة و إن لم یعنونوا فی کلماتهم هذه المسألة و لم یبحثوا عنها إلاّ أنّه یمکن أن یستفاد من إطلاق کلامهم و استنادهم لتحریم الإضرار بالغیر فی أبواب مختلفة بالحدیث النبویّ المعروف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r>
        <w:rPr>
          <w:rStyle w:val="FootnoteAnchor"/>
          <w:rtl w:val="true"/>
        </w:rPr>
        <w:footnoteReference w:id="2241"/>
      </w:r>
      <w:r>
        <w:rPr>
          <w:rFonts w:ascii="IRNazanin" w:hAnsi="IRNazanin" w:eastAsia="IRNazanin"/>
          <w:color w:val="111111"/>
          <w:sz w:val="28"/>
          <w:sz w:val="28"/>
          <w:szCs w:val="28"/>
          <w:rtl w:val="true"/>
          <w:lang w:bidi="fa-IR"/>
        </w:rPr>
        <w:t>حکم هذه المسألة، فراجع</w:t>
      </w:r>
      <w:r>
        <w:rPr>
          <w:rFonts w:eastAsia="IRNazanin" w:cs="IRNazanin"/>
          <w:color w:val="111111"/>
          <w:sz w:val="28"/>
          <w:szCs w:val="28"/>
          <w:rtl w:val="true"/>
          <w:lang w:bidi="fa-IR"/>
        </w:rPr>
        <w:t>.</w:t>
      </w:r>
    </w:p>
    <w:p>
      <w:pPr>
        <w:pStyle w:val="Heading5"/>
        <w:numPr>
          <w:ilvl w:val="4"/>
          <w:numId w:val="1"/>
        </w:numPr>
        <w:rPr/>
      </w:pPr>
      <w:bookmarkStart w:id="1060" w:name="__RefHeading___Toc9424576_73709187"/>
      <w:bookmarkStart w:id="1061" w:name="_Toc402"/>
      <w:bookmarkEnd w:id="1060"/>
      <w:r>
        <w:rPr>
          <w:rtl w:val="true"/>
        </w:rPr>
        <w:t>المطلب الخامس</w:t>
      </w:r>
      <w:r>
        <w:rPr>
          <w:rtl w:val="true"/>
        </w:rPr>
        <w:t xml:space="preserve">: </w:t>
      </w:r>
      <w:r>
        <w:rPr>
          <w:rtl w:val="true"/>
        </w:rPr>
        <w:t>فی استتباع الولیّ ولده للضیافة</w:t>
      </w:r>
      <w:bookmarkEnd w:id="1061"/>
    </w:p>
    <w:p>
      <w:pPr>
        <w:pStyle w:val="Heading6"/>
        <w:numPr>
          <w:ilvl w:val="5"/>
          <w:numId w:val="1"/>
        </w:numPr>
        <w:rPr/>
      </w:pPr>
      <w:bookmarkStart w:id="1062" w:name="__RefHeading___Toc9424578_73709187"/>
      <w:bookmarkStart w:id="1063" w:name="_Toc403"/>
      <w:bookmarkEnd w:id="1062"/>
      <w:r>
        <w:rPr>
          <w:rtl w:val="true"/>
        </w:rPr>
        <w:t>اشارة</w:t>
      </w:r>
      <w:bookmarkEnd w:id="1063"/>
    </w:p>
    <w:p>
      <w:pPr>
        <w:pStyle w:val="BookText"/>
        <w:rPr/>
      </w:pPr>
      <w:r>
        <w:rPr>
          <w:rFonts w:ascii="IRNazanin" w:hAnsi="IRNazanin" w:eastAsia="IRNazanin"/>
          <w:color w:val="111111"/>
          <w:sz w:val="28"/>
          <w:sz w:val="28"/>
          <w:szCs w:val="28"/>
          <w:rtl w:val="true"/>
          <w:lang w:bidi="fa-IR"/>
        </w:rPr>
        <w:t>هل یجوز للولیّ إذا دعی إلی مائدة أو ضیافة أن یستصحب ولده معه أم لا؟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هو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الجواز، و قد ذهب إلیه صاحب الجواهر فقال</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یحرم استتباع ولده إذا دعی</w:t>
      </w:r>
      <w:r>
        <w:rPr>
          <w:rFonts w:eastAsia="IRNazanin" w:cs="IRNazanin"/>
          <w:color w:val="111111"/>
          <w:sz w:val="28"/>
          <w:szCs w:val="28"/>
          <w:rtl w:val="true"/>
          <w:lang w:bidi="fa-IR"/>
        </w:rPr>
        <w:t>»</w:t>
      </w:r>
      <w:r>
        <w:rPr>
          <w:rStyle w:val="FootnoteAnchor"/>
          <w:rtl w:val="true"/>
        </w:rPr>
        <w:footnoteReference w:id="2242"/>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الکراهة، و هو ما ذهب إلیه ابن إدریس،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یکره أکل طعام لم یدع إلیه بأن یتّبع غیره ممّن دعی إلیه</w:t>
      </w:r>
      <w:r>
        <w:rPr>
          <w:rFonts w:eastAsia="IRNazanin" w:cs="IRNazanin"/>
          <w:color w:val="111111"/>
          <w:sz w:val="28"/>
          <w:szCs w:val="28"/>
          <w:rtl w:val="true"/>
          <w:lang w:bidi="fa-IR"/>
        </w:rPr>
        <w:t>»</w:t>
      </w:r>
      <w:r>
        <w:rPr>
          <w:rStyle w:val="FootnoteAnchor"/>
          <w:rtl w:val="true"/>
        </w:rPr>
        <w:footnoteReference w:id="22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الدروس</w:t>
      </w:r>
      <w:r>
        <w:rPr>
          <w:rStyle w:val="FootnoteAnchor"/>
          <w:rtl w:val="true"/>
        </w:rPr>
        <w:footnoteReference w:id="2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یدلّ علی ذلک الکتاب و السنّة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تَأْکُلُوا أَمْوالَکُمْ بَیْنَکُمْ بِالْباطِلِ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هکذا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تَأْکُلُوا أَمْوالَکُمْ بَیْنَکُمْ بِالْباطِلِ إِلاّ أَنْ تَکُونَ تِجارَةً عَنْ تَراضٍ مِنْکُمْ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الدلالة واضحة،</w:t>
      </w:r>
    </w:p>
    <w:p>
      <w:pPr>
        <w:pStyle w:val="BookText"/>
        <w:rPr/>
      </w:pPr>
      <w:r>
        <w:rPr>
          <w:rFonts w:ascii="Amiri" w:hAnsi="Amiri" w:eastAsia="Amiri" w:cs="Amiri"/>
          <w:color w:val="111111"/>
          <w:sz w:val="28"/>
          <w:sz w:val="28"/>
          <w:szCs w:val="28"/>
          <w:rtl w:val="true"/>
          <w:lang w:bidi="ar-SA"/>
        </w:rPr>
        <w:t>و أمّا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السکونی،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دعی أحدکم إلی طعام فلا یتبعن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یستتبعن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ولده، فإنّه إن فعل أکل حراماً و دخل عاصیاً</w:t>
      </w:r>
      <w:r>
        <w:rPr>
          <w:rFonts w:eastAsia="IRNazanin" w:cs="IRNazanin"/>
          <w:color w:val="111111"/>
          <w:sz w:val="28"/>
          <w:szCs w:val="28"/>
          <w:rtl w:val="true"/>
          <w:lang w:bidi="fa-IR"/>
        </w:rPr>
        <w:t>»</w:t>
      </w:r>
      <w:r>
        <w:rPr>
          <w:rStyle w:val="FootnoteAnchor"/>
          <w:rtl w:val="true"/>
        </w:rPr>
        <w:footnoteReference w:id="2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الحسین بن أحمد المنقری، عن خاله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أکل طعاماً لم یُدع إلیه فإنّما أکل قطعة من النار</w:t>
      </w:r>
      <w:r>
        <w:rPr>
          <w:rFonts w:eastAsia="IRNazanin" w:cs="IRNazanin"/>
          <w:color w:val="111111"/>
          <w:sz w:val="28"/>
          <w:szCs w:val="28"/>
          <w:rtl w:val="true"/>
          <w:lang w:bidi="fa-IR"/>
        </w:rPr>
        <w:t>»</w:t>
      </w:r>
      <w:r>
        <w:rPr>
          <w:rStyle w:val="FootnoteAnchor"/>
          <w:rtl w:val="true"/>
        </w:rPr>
        <w:footnoteReference w:id="2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التعبیر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قطعة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الروایة دلیل لحرمتها</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یمکن الاستدلال بالعمومات التی تدلّ علی عدم جواز التصرّف فی مال الغیر مطلقاً، کصحیحة أبی أسامة زید الشحّام،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یحلّ دم امرئ مسلم و لا ماله إلاّ بطیبة نفسه</w:t>
      </w:r>
      <w:r>
        <w:rPr>
          <w:rFonts w:eastAsia="IRNazanin" w:cs="IRNazanin"/>
          <w:color w:val="111111"/>
          <w:sz w:val="28"/>
          <w:szCs w:val="28"/>
          <w:rtl w:val="true"/>
          <w:lang w:bidi="fa-IR"/>
        </w:rPr>
        <w:t>»</w:t>
      </w:r>
      <w:r>
        <w:rPr>
          <w:rStyle w:val="FootnoteAnchor"/>
          <w:rtl w:val="true"/>
        </w:rPr>
        <w:footnoteReference w:id="22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تدلّ علی حرمة التصرّف فی مال الغیر بغیر إذنه، فإذا دعی الولی</w:t>
      </w:r>
      <w:bookmarkStart w:id="1064" w:name="pg11752_146538"/>
    </w:p>
    <w:p>
      <w:pPr>
        <w:pStyle w:val="BookText"/>
        <w:rPr/>
      </w:pPr>
      <w:bookmarkEnd w:id="1064"/>
      <w:r>
        <w:rPr>
          <w:rFonts w:ascii="IRNazanin" w:hAnsi="IRNazanin" w:eastAsia="IRNazanin"/>
          <w:color w:val="111111"/>
          <w:sz w:val="28"/>
          <w:sz w:val="28"/>
          <w:szCs w:val="28"/>
          <w:rtl w:val="true"/>
          <w:lang w:bidi="fa-IR"/>
        </w:rPr>
        <w:t>إلی مائدة دون ولده فاستتباع الولد إلیها سبب لتصرّف الولد فی مال الغیر من غیر إذن من صاحبه، فهو غیر جائز للولیّ، و ضمان مال الغیر و إن کان علی القاعدة علی الولد لأنّه أتلفه مباشرة، إلاّ أنّ فی المقام کان علی الولیّ إمّا لقاعدة الغرور أو لأجل أقوائیة السبب عن المباشرة علی ما قرّر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قلنا ظهر ما یرد علی القول الثانی الذی استند فی وجه کلامه إلی حمل روایة السکونی و المنقری علی الکراهة؛ لأنّ حملهما علی الکراهة خلاف الظاهر منهما، و لأنّ التعلیل بالحرمة و العصیان و الوعید بالنار لا یساعد مع الکراهة، مع أنّهما موافقان لصحیحة زید الشحّام التی تدلّ علی حرمة التصرّف فی مال الغیر بدون إذن منه</w:t>
      </w:r>
      <w:r>
        <w:rPr>
          <w:rFonts w:eastAsia="IRNazanin" w:cs="IRNazanin"/>
          <w:color w:val="111111"/>
          <w:sz w:val="28"/>
          <w:szCs w:val="28"/>
          <w:rtl w:val="true"/>
          <w:lang w:bidi="fa-IR"/>
        </w:rPr>
        <w:t>.</w:t>
      </w:r>
    </w:p>
    <w:p>
      <w:pPr>
        <w:pStyle w:val="Heading6"/>
        <w:numPr>
          <w:ilvl w:val="5"/>
          <w:numId w:val="1"/>
        </w:numPr>
        <w:rPr/>
      </w:pPr>
      <w:bookmarkStart w:id="1065" w:name="__RefHeading___Toc9424580_73709187"/>
      <w:bookmarkStart w:id="1066" w:name="_Toc404"/>
      <w:bookmarkEnd w:id="1065"/>
      <w:r>
        <w:rPr>
          <w:rtl w:val="true"/>
        </w:rPr>
        <w:t>رأی أهل السنّة فی المسألة</w:t>
      </w:r>
      <w:bookmarkEnd w:id="1066"/>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صرّح الشافعیّة بحرمة التطفّل</w:t>
      </w:r>
      <w:r>
        <w:rPr>
          <w:rStyle w:val="FootnoteAnchor"/>
          <w:rtl w:val="true"/>
        </w:rPr>
        <w:footnoteReference w:id="22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یستفاد من إطلاق کلمات المالکیة و الحنابلة</w:t>
      </w:r>
      <w:r>
        <w:rPr>
          <w:rStyle w:val="FootnoteAnchor"/>
          <w:rtl w:val="true"/>
        </w:rPr>
        <w:footnoteReference w:id="2249"/>
      </w:r>
      <w:r>
        <w:rPr>
          <w:rFonts w:ascii="IRNazanin" w:hAnsi="IRNazanin" w:eastAsia="IRNazanin"/>
          <w:color w:val="111111"/>
          <w:sz w:val="28"/>
          <w:sz w:val="28"/>
          <w:szCs w:val="28"/>
          <w:rtl w:val="true"/>
          <w:lang w:bidi="fa-IR"/>
        </w:rPr>
        <w:t>ذلک أیضاً، ففی تبیین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یحرم حضور غیر مدعوٍّ إلاّ بإذن من صاحب الولیمة؛ 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دُعی فلم یجب فقد عصی اللّه و رسوله، و من دخل علی غیر دعوة دخل سارقاً و خرج مغیراً</w:t>
      </w:r>
      <w:r>
        <w:rPr>
          <w:rStyle w:val="FootnoteAnchor"/>
          <w:rtl w:val="true"/>
        </w:rPr>
        <w:footnoteReference w:id="2250"/>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51"/>
      </w:r>
      <w:bookmarkStart w:id="1067" w:name="pg11752_146539"/>
    </w:p>
    <w:p>
      <w:pPr>
        <w:pStyle w:val="Heading2"/>
        <w:numPr>
          <w:ilvl w:val="1"/>
          <w:numId w:val="1"/>
        </w:numPr>
        <w:rPr/>
      </w:pPr>
      <w:bookmarkStart w:id="1068" w:name="__RefHeading___Toc9424582_73709187"/>
      <w:bookmarkStart w:id="1069" w:name="_Toc405"/>
      <w:bookmarkEnd w:id="1067"/>
      <w:bookmarkEnd w:id="1068"/>
      <w:r>
        <w:rPr>
          <w:rtl w:val="true"/>
        </w:rPr>
        <w:t>الباب الرابع فی الولایة علی الأطفال</w:t>
      </w:r>
      <w:bookmarkEnd w:id="1069"/>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70" w:name="__RefHeading___Toc9424584_73709187"/>
      <w:bookmarkStart w:id="1071" w:name="_Toc406"/>
      <w:bookmarkEnd w:id="1070"/>
      <w:r>
        <w:rPr>
          <w:rtl w:val="true"/>
        </w:rPr>
        <w:t>اشارة</w:t>
      </w:r>
      <w:bookmarkStart w:id="1072" w:name="pg11752_146541"/>
      <w:bookmarkEnd w:id="1071"/>
    </w:p>
    <w:p>
      <w:pPr>
        <w:pStyle w:val="Heading3"/>
        <w:numPr>
          <w:ilvl w:val="2"/>
          <w:numId w:val="1"/>
        </w:numPr>
        <w:rPr/>
      </w:pPr>
      <w:bookmarkStart w:id="1073" w:name="__RefHeading___Toc9424586_73709187"/>
      <w:bookmarkStart w:id="1074" w:name="_Toc407"/>
      <w:bookmarkEnd w:id="1072"/>
      <w:bookmarkEnd w:id="1073"/>
      <w:r>
        <w:rPr>
          <w:rtl w:val="true"/>
        </w:rPr>
        <w:t>منهج البحث</w:t>
      </w:r>
      <w:bookmarkEnd w:id="1074"/>
    </w:p>
    <w:p>
      <w:pPr>
        <w:pStyle w:val="BookText"/>
        <w:rPr/>
      </w:pPr>
      <w:r>
        <w:rPr>
          <w:rFonts w:ascii="IRNazanin" w:hAnsi="IRNazanin" w:eastAsia="IRNazanin"/>
          <w:color w:val="111111"/>
          <w:sz w:val="28"/>
          <w:sz w:val="28"/>
          <w:szCs w:val="28"/>
          <w:rtl w:val="true"/>
          <w:lang w:bidi="fa-IR"/>
        </w:rPr>
        <w:t>من المباحث المهمّة الجدیرة بالتحقیق فی أحکام الصغار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ولایة الآباء و الأجداد و الوصیّ و السیّد و الحاکم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فی الأموال و النفوس و الحقوق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أنّها ثابتة مطلقاً، أو مشروطة بشرائط، و هل یکون للصغیرین بعد بلوغهما و رشدهما خیار أم لا؟</w:t>
      </w:r>
    </w:p>
    <w:p>
      <w:pPr>
        <w:pStyle w:val="BookText"/>
        <w:rPr/>
      </w:pPr>
      <w:r>
        <w:rPr>
          <w:rFonts w:ascii="IRNazanin" w:hAnsi="IRNazanin" w:eastAsia="IRNazanin"/>
          <w:color w:val="111111"/>
          <w:sz w:val="28"/>
          <w:sz w:val="28"/>
          <w:szCs w:val="28"/>
          <w:rtl w:val="true"/>
          <w:lang w:bidi="fa-IR"/>
        </w:rPr>
        <w:t>و هل یُشترط فی ولایة الجدّ بقاء الأب أو یُشترط موته؟ و متی تنتهی الولایة؟ و بما ذا تسقط؟</w:t>
      </w:r>
    </w:p>
    <w:p>
      <w:pPr>
        <w:pStyle w:val="BookText"/>
        <w:rPr/>
      </w:pPr>
      <w:r>
        <w:rPr>
          <w:rFonts w:ascii="IRNazanin" w:hAnsi="IRNazanin" w:eastAsia="IRNazanin"/>
          <w:color w:val="111111"/>
          <w:sz w:val="28"/>
          <w:sz w:val="28"/>
          <w:szCs w:val="28"/>
          <w:rtl w:val="true"/>
          <w:lang w:bidi="fa-IR"/>
        </w:rPr>
        <w:t>و هل یعتبر فی تصرّفهما رعایة المصلحة للصغیرین، أو یکفی عدم المفسدة؟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للجواب عن هذه الأسئلة و التحقیق فی أدلّة موضوعاتها عقدنا هذا الباب، و یشتمل علی 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ولایة الأب و الجدّ</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ولایة المولی و السیّد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ولایة الوصیّ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شرائط الأولیاء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ولایة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یترتّب علی تزویج الصغیرین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ولایة الأب و الجدّ علی أموال الصغار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ولایة المولی و الوصیّ علی أموالهم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ولایة الحاکم و عدول المؤمنین علی أموالهم</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الفصول الخمسة الأولی فی الولایة علی تزویج الصغار، و الثلاثة الأخیرة علی أموالهم</w:t>
      </w:r>
      <w:r>
        <w:rPr>
          <w:rFonts w:eastAsia="IRNazanin" w:cs="IRNazanin"/>
          <w:color w:val="111111"/>
          <w:sz w:val="28"/>
          <w:szCs w:val="28"/>
          <w:rtl w:val="true"/>
          <w:lang w:bidi="fa-IR"/>
        </w:rPr>
        <w:t>.</w:t>
      </w:r>
      <w:bookmarkStart w:id="1075" w:name="pg11752_146543"/>
    </w:p>
    <w:p>
      <w:pPr>
        <w:pStyle w:val="Heading3"/>
        <w:numPr>
          <w:ilvl w:val="2"/>
          <w:numId w:val="1"/>
        </w:numPr>
        <w:rPr/>
      </w:pPr>
      <w:bookmarkStart w:id="1076" w:name="__RefHeading___Toc9424588_73709187"/>
      <w:bookmarkStart w:id="1077" w:name="_Toc408"/>
      <w:bookmarkEnd w:id="1075"/>
      <w:bookmarkEnd w:id="1076"/>
      <w:r>
        <w:rPr>
          <w:rtl w:val="true"/>
        </w:rPr>
        <w:t>الفصل الأوّل فی ولایة الأب و الجد</w:t>
      </w:r>
      <w:bookmarkEnd w:id="1077"/>
    </w:p>
    <w:p>
      <w:pPr>
        <w:pStyle w:val="Heading4"/>
        <w:numPr>
          <w:ilvl w:val="3"/>
          <w:numId w:val="1"/>
        </w:numPr>
        <w:rPr/>
      </w:pPr>
      <w:bookmarkStart w:id="1078" w:name="__RefHeading___Toc9424590_73709187"/>
      <w:bookmarkStart w:id="1079" w:name="_Toc409"/>
      <w:bookmarkEnd w:id="1078"/>
      <w:r>
        <w:rPr>
          <w:rtl w:val="true"/>
        </w:rPr>
        <w:t>المبحث الأوّل</w:t>
      </w:r>
      <w:r>
        <w:rPr>
          <w:rtl w:val="true"/>
        </w:rPr>
        <w:t xml:space="preserve">: </w:t>
      </w:r>
      <w:r>
        <w:rPr>
          <w:rtl w:val="true"/>
        </w:rPr>
        <w:t>فی حکم الولایة</w:t>
      </w:r>
      <w:bookmarkEnd w:id="1079"/>
    </w:p>
    <w:p>
      <w:pPr>
        <w:pStyle w:val="Heading5"/>
        <w:numPr>
          <w:ilvl w:val="4"/>
          <w:numId w:val="1"/>
        </w:numPr>
        <w:rPr/>
      </w:pPr>
      <w:bookmarkStart w:id="1080" w:name="__RefHeading___Toc9424592_73709187"/>
      <w:bookmarkStart w:id="1081" w:name="_Toc410"/>
      <w:bookmarkEnd w:id="1080"/>
      <w:r>
        <w:rPr>
          <w:rtl w:val="true"/>
        </w:rPr>
        <w:t>اشارة</w:t>
      </w:r>
      <w:bookmarkEnd w:id="1081"/>
    </w:p>
    <w:p>
      <w:pPr>
        <w:pStyle w:val="BookText"/>
        <w:rPr/>
      </w:pPr>
      <w:r>
        <w:rPr>
          <w:rFonts w:ascii="IRNazanin" w:hAnsi="IRNazanin" w:eastAsia="IRNazanin"/>
          <w:color w:val="111111"/>
          <w:sz w:val="28"/>
          <w:sz w:val="28"/>
          <w:szCs w:val="28"/>
          <w:rtl w:val="true"/>
          <w:lang w:bidi="fa-IR"/>
        </w:rPr>
        <w:t>نذکر فی هذا المبحث العناوین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الولایة لغةً و اصطلاحاً، بیان أنواع الولایة، ثبوت الولایة للأب و الجد و آراء الفقهاء فیها، أدلّة هذا الحکم من الکتاب و السنّة، آراء فقهاء أهل السنّة فی ولایة الأب و الجدّ، عدم ولایة الأمّ و الأخ و العمّ و الخال و أولادهم و الجدّ من قِبل الأمّ</w:t>
      </w:r>
      <w:r>
        <w:rPr>
          <w:rFonts w:eastAsia="IRNazanin" w:cs="IRNazanin"/>
          <w:color w:val="111111"/>
          <w:sz w:val="28"/>
          <w:szCs w:val="28"/>
          <w:rtl w:val="true"/>
          <w:lang w:bidi="fa-IR"/>
        </w:rPr>
        <w:t>.</w:t>
      </w:r>
    </w:p>
    <w:p>
      <w:pPr>
        <w:pStyle w:val="Heading5"/>
        <w:numPr>
          <w:ilvl w:val="4"/>
          <w:numId w:val="1"/>
        </w:numPr>
        <w:rPr/>
      </w:pPr>
      <w:bookmarkStart w:id="1082" w:name="__RefHeading___Toc9424594_73709187"/>
      <w:bookmarkStart w:id="1083" w:name="_Toc411"/>
      <w:bookmarkEnd w:id="1082"/>
      <w:r>
        <w:rPr>
          <w:rtl w:val="true"/>
        </w:rPr>
        <w:t>الولایة لغةً‌</w:t>
      </w:r>
      <w:bookmarkEnd w:id="1083"/>
    </w:p>
    <w:p>
      <w:pPr>
        <w:pStyle w:val="BookText"/>
        <w:rPr/>
      </w:pPr>
      <w:r>
        <w:rPr>
          <w:rFonts w:ascii="IRNazanin" w:hAnsi="IRNazanin" w:eastAsia="IRNazanin"/>
          <w:color w:val="111111"/>
          <w:sz w:val="28"/>
          <w:sz w:val="28"/>
          <w:szCs w:val="28"/>
          <w:rtl w:val="true"/>
          <w:lang w:bidi="fa-IR"/>
        </w:rPr>
        <w:t>الولایة فی اللغة مأخوذة من مادّة ولی، و هو بمعنی القرب و الدُنوّ، یُقال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تباعدنا بَعْدَ ولیٍ‌</w:t>
      </w:r>
      <w:r>
        <w:rPr>
          <w:rStyle w:val="FootnoteAnchor"/>
          <w:rtl w:val="true"/>
        </w:rPr>
        <w:footnoteReference w:id="2252"/>
      </w:r>
      <w:r>
        <w:rPr>
          <w:rFonts w:eastAsia="Times New Roman" w:cs="Times New Roman" w:ascii="Times New Roman" w:hAnsi="Times New Roman"/>
          <w:color w:val="111111"/>
          <w:sz w:val="28"/>
          <w:szCs w:val="28"/>
          <w:rtl w:val="true"/>
          <w:lang w:val="en-US" w:bidi="en-US"/>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ولی الشیء وِلایةً و وَلایةً بالکسر و الفتح، و هی بالکسر، الاسم مثل الإمارة و النِّقابة و بالفتح المصدر</w:t>
      </w:r>
      <w:r>
        <w:rPr>
          <w:rStyle w:val="FootnoteAnchor"/>
          <w:rtl w:val="true"/>
        </w:rPr>
        <w:footnoteReference w:id="22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الولایة 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السلطان</w:t>
      </w:r>
      <w:r>
        <w:rPr>
          <w:rStyle w:val="FootnoteAnchor"/>
          <w:rtl w:val="true"/>
        </w:rPr>
        <w:footnoteReference w:id="2254"/>
      </w:r>
      <w:r>
        <w:rPr>
          <w:rFonts w:ascii="IRNazanin" w:hAnsi="IRNazanin" w:eastAsia="IRNazanin"/>
          <w:color w:val="111111"/>
          <w:sz w:val="28"/>
          <w:sz w:val="28"/>
          <w:szCs w:val="28"/>
          <w:rtl w:val="true"/>
          <w:lang w:bidi="fa-IR"/>
        </w:rPr>
        <w:t>و ولیّ الیتیم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w:t>
      </w:r>
      <w:bookmarkStart w:id="1084" w:name="pg11752_146544"/>
    </w:p>
    <w:p>
      <w:pPr>
        <w:pStyle w:val="BookText"/>
        <w:rPr/>
      </w:pPr>
      <w:bookmarkEnd w:id="1084"/>
      <w:r>
        <w:rPr>
          <w:rFonts w:ascii="IRNazanin" w:hAnsi="IRNazanin" w:eastAsia="IRNazanin"/>
          <w:color w:val="111111"/>
          <w:sz w:val="28"/>
          <w:sz w:val="28"/>
          <w:szCs w:val="28"/>
          <w:rtl w:val="true"/>
          <w:lang w:bidi="fa-IR"/>
        </w:rPr>
        <w:t>یلی أمره و یقوم بکفایته، و ولیّ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یلی عقد النکاح علیها و لا یدعها تستبدّ بعقد النکاح دونه</w:t>
      </w:r>
      <w:r>
        <w:rPr>
          <w:rStyle w:val="FootnoteAnchor"/>
          <w:rtl w:val="true"/>
        </w:rPr>
        <w:footnoteReference w:id="2255"/>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المولی من الدین هو الولیّ، و ذلک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بِأَنَّ اللّهَ مَوْلَی الَّذِینَ آمَنُوا وَ أَنَّ الْکافِرِینَ لا مَوْلی 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لا ولیّ لهم، و منه الحدیث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کنت مولاه فعلیٌّ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مَنْ کنت ولیّه</w:t>
      </w:r>
      <w:r>
        <w:rPr>
          <w:rStyle w:val="FootnoteAnchor"/>
          <w:rtl w:val="true"/>
        </w:rPr>
        <w:footnoteReference w:id="2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کأنّ الولایة تُشعر بالتدبیر و القدرة و الفعل، و ما لم یجتمع ذلک لم یُطلق علیه اسم الوالی</w:t>
      </w:r>
      <w:r>
        <w:rPr>
          <w:rStyle w:val="FootnoteAnchor"/>
          <w:rtl w:val="true"/>
        </w:rPr>
        <w:footnoteReference w:id="2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فتحصّل من جمیع ذلک أنّ معنی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التصدّی لشئون الغیر و تدبیر أمره و التصرّف فی نفسه أو ماله أو فیهما معاً</w:t>
      </w:r>
      <w:r>
        <w:rPr>
          <w:rFonts w:eastAsia="IRNazanin" w:cs="IRNazanin"/>
          <w:color w:val="111111"/>
          <w:sz w:val="28"/>
          <w:szCs w:val="28"/>
          <w:rtl w:val="true"/>
          <w:lang w:bidi="fa-IR"/>
        </w:rPr>
        <w:t>.</w:t>
      </w:r>
    </w:p>
    <w:p>
      <w:pPr>
        <w:pStyle w:val="Heading5"/>
        <w:numPr>
          <w:ilvl w:val="4"/>
          <w:numId w:val="1"/>
        </w:numPr>
        <w:rPr/>
      </w:pPr>
      <w:bookmarkStart w:id="1085" w:name="__RefHeading___Toc9424596_73709187"/>
      <w:bookmarkStart w:id="1086" w:name="_Toc412"/>
      <w:bookmarkEnd w:id="1085"/>
      <w:r>
        <w:rPr>
          <w:rtl w:val="true"/>
        </w:rPr>
        <w:t>الولایة اصطلاحاً</w:t>
      </w:r>
      <w:r>
        <w:rPr>
          <w:rtl w:val="true"/>
        </w:rPr>
        <w:t>:</w:t>
      </w:r>
      <w:bookmarkEnd w:id="1086"/>
    </w:p>
    <w:p>
      <w:pPr>
        <w:pStyle w:val="BookText"/>
        <w:rPr/>
      </w:pPr>
      <w:r>
        <w:rPr>
          <w:rFonts w:ascii="IRNazanin" w:hAnsi="IRNazanin" w:eastAsia="IRNazanin"/>
          <w:color w:val="111111"/>
          <w:sz w:val="28"/>
          <w:sz w:val="28"/>
          <w:szCs w:val="28"/>
          <w:rtl w:val="true"/>
          <w:lang w:bidi="fa-IR"/>
        </w:rPr>
        <w:t>قد عرّفوا الولایة بتعاریف مختلفة، قال 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الولایة تنفیذ القول علی الغیر شاء أو أبی، و المراد بتنفیذ القول ما یکون فی النفس أو فی المال أو فیهما معاً</w:t>
      </w:r>
      <w:r>
        <w:rPr>
          <w:rFonts w:eastAsia="IRNazanin" w:cs="IRNazanin"/>
          <w:color w:val="111111"/>
          <w:sz w:val="28"/>
          <w:szCs w:val="28"/>
          <w:rtl w:val="true"/>
          <w:lang w:bidi="fa-IR"/>
        </w:rPr>
        <w:t>»</w:t>
      </w:r>
      <w:r>
        <w:rPr>
          <w:rStyle w:val="FootnoteAnchor"/>
          <w:rtl w:val="true"/>
        </w:rPr>
        <w:footnoteReference w:id="2258"/>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الولایة هی قدرة الشخص شرعاً علی إنشاء التصرّف الصحیح النافذ علی</w:t>
      </w:r>
      <w:bookmarkStart w:id="1087" w:name="pg11752_146545"/>
    </w:p>
    <w:p>
      <w:pPr>
        <w:pStyle w:val="BookText"/>
        <w:rPr/>
      </w:pPr>
      <w:bookmarkEnd w:id="1087"/>
      <w:r>
        <w:rPr>
          <w:rFonts w:ascii="IRNazanin" w:hAnsi="IRNazanin" w:eastAsia="IRNazanin"/>
          <w:color w:val="111111"/>
          <w:sz w:val="28"/>
          <w:sz w:val="28"/>
          <w:szCs w:val="28"/>
          <w:rtl w:val="true"/>
          <w:lang w:bidi="fa-IR"/>
        </w:rPr>
        <w:t>نفسه أو ماله، أو علی نفس الغیر و ماله</w:t>
      </w:r>
      <w:r>
        <w:rPr>
          <w:rFonts w:eastAsia="IRNazanin" w:cs="IRNazanin"/>
          <w:color w:val="111111"/>
          <w:sz w:val="28"/>
          <w:szCs w:val="28"/>
          <w:rtl w:val="true"/>
          <w:lang w:bidi="fa-IR"/>
        </w:rPr>
        <w:t>»</w:t>
      </w:r>
      <w:r>
        <w:rPr>
          <w:rStyle w:val="FootnoteAnchor"/>
          <w:rtl w:val="true"/>
        </w:rPr>
        <w:footnoteReference w:id="2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الولایة فی الاصطلاح الشرعی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سلطة شرعیة یتمکّن بها صاحبُها من إنشاء العقود و التصرّفات و تنفیذها، أی ترتیب الآثار الشرعیة علیها</w:t>
      </w:r>
      <w:r>
        <w:rPr>
          <w:rFonts w:eastAsia="IRNazanin" w:cs="IRNazanin"/>
          <w:color w:val="111111"/>
          <w:sz w:val="28"/>
          <w:szCs w:val="28"/>
          <w:rtl w:val="true"/>
          <w:lang w:bidi="fa-IR"/>
        </w:rPr>
        <w:t>»</w:t>
      </w:r>
      <w:r>
        <w:rPr>
          <w:rStyle w:val="FootnoteAnchor"/>
          <w:rtl w:val="true"/>
        </w:rPr>
        <w:footnoteReference w:id="2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التعاریف الثلاثة قریبة المعنی، و تکون شاملة لولایة الأب و الجدّ و الوصیّ عنهما، و لکنّها قاصرةٌ عن شمول ولایة الحاکم؛ لأنّها تکون عامّةً بالنسبة إلی جمیع الشئون الشخصیة و المالیة و الاجتماعیة و السیاسیّة و المصالح الأخرویة و الدنیویة، و الحال أنّه اقتصر فی هذه التعاریف بالولایة علی الشئون المالیة و الشخصیة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عرّفها المحقّق النائینی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عبارةٌ عن الرئاسة علی الناس فی أمور دینهم و دنیاهم و معاشهم و معادهم</w:t>
      </w:r>
      <w:r>
        <w:rPr>
          <w:rFonts w:eastAsia="IRNazanin" w:cs="IRNazanin"/>
          <w:color w:val="111111"/>
          <w:sz w:val="28"/>
          <w:szCs w:val="28"/>
          <w:rtl w:val="true"/>
          <w:lang w:bidi="fa-IR"/>
        </w:rPr>
        <w:t>»</w:t>
      </w:r>
      <w:r>
        <w:rPr>
          <w:rStyle w:val="FootnoteAnchor"/>
          <w:rtl w:val="true"/>
        </w:rPr>
        <w:footnoteReference w:id="2261"/>
      </w:r>
      <w:r>
        <w:rPr>
          <w:rFonts w:ascii="IRNazanin" w:hAnsi="IRNazanin" w:eastAsia="IRNazanin"/>
          <w:color w:val="111111"/>
          <w:sz w:val="28"/>
          <w:sz w:val="28"/>
          <w:szCs w:val="28"/>
          <w:rtl w:val="true"/>
          <w:lang w:bidi="fa-IR"/>
        </w:rPr>
        <w:t>، و مقصوده رحمه الله من هذا ولایة الحاکم، فلا یشمل ولایة الأب و الجَدّ و نحوهما؛ لأنّ ولایتهما لا تکون جامعةً بالنسبة إلی جمیع شئون المولّی علیه المالیة و الشخصیة و الاجتماعیة و الدینیّة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 أن تعرّف بما ذکره المحقّق الأصفهانی رحمه الله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فالولایة حقیقتها کونُ زمام أمور شیءٍ بید شخص، مَن ولِیَ الأمر و یلیه</w:t>
      </w:r>
      <w:r>
        <w:rPr>
          <w:rFonts w:eastAsia="IRNazanin" w:cs="IRNazanin"/>
          <w:color w:val="111111"/>
          <w:sz w:val="28"/>
          <w:szCs w:val="28"/>
          <w:rtl w:val="true"/>
          <w:lang w:bidi="fa-IR"/>
        </w:rPr>
        <w:t>»</w:t>
      </w:r>
      <w:r>
        <w:rPr>
          <w:rStyle w:val="FootnoteAnchor"/>
          <w:rtl w:val="true"/>
        </w:rPr>
        <w:footnoteReference w:id="22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8" w:name="__RefHeading___Toc9424598_73709187"/>
      <w:bookmarkStart w:id="1089" w:name="_Toc413"/>
      <w:bookmarkEnd w:id="1088"/>
      <w:r>
        <w:rPr>
          <w:rtl w:val="true"/>
        </w:rPr>
        <w:t>أقسام الولایة</w:t>
      </w:r>
      <w:bookmarkEnd w:id="1089"/>
    </w:p>
    <w:p>
      <w:pPr>
        <w:pStyle w:val="Heading6"/>
        <w:numPr>
          <w:ilvl w:val="5"/>
          <w:numId w:val="1"/>
        </w:numPr>
        <w:rPr/>
      </w:pPr>
      <w:bookmarkStart w:id="1090" w:name="__RefHeading___Toc9424600_73709187"/>
      <w:bookmarkStart w:id="1091" w:name="_Toc414"/>
      <w:bookmarkEnd w:id="1090"/>
      <w:r>
        <w:rPr>
          <w:rtl w:val="true"/>
        </w:rPr>
        <w:t>اشارة</w:t>
      </w:r>
      <w:bookmarkEnd w:id="1091"/>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أنّه و إن کان بحثنا الآن فی أحد أقسام الولایة، أی ولایة الأب و الجدّ علی الصغار، و لکن نحتاج إلی التعرّض لأفرادها الأخری أیضاً خلال هذا المبحث</w:t>
      </w:r>
      <w:bookmarkStart w:id="1092" w:name="pg11752_146546"/>
    </w:p>
    <w:p>
      <w:pPr>
        <w:pStyle w:val="BookText"/>
        <w:rPr/>
      </w:pPr>
      <w:bookmarkEnd w:id="1092"/>
      <w:r>
        <w:rPr>
          <w:rFonts w:ascii="IRNazanin" w:hAnsi="IRNazanin" w:eastAsia="IRNazanin"/>
          <w:color w:val="111111"/>
          <w:sz w:val="28"/>
          <w:sz w:val="28"/>
          <w:szCs w:val="28"/>
          <w:rtl w:val="true"/>
          <w:lang w:bidi="fa-IR"/>
        </w:rPr>
        <w:t>و المباحث الآتیة من هذا الکتاب؛ فالمناسب أن نشیر إلی تقسیمات الولایة باختصار</w:t>
      </w:r>
      <w:r>
        <w:rPr>
          <w:rFonts w:eastAsia="IRNazanin" w:cs="IRNazanin"/>
          <w:color w:val="111111"/>
          <w:sz w:val="28"/>
          <w:szCs w:val="28"/>
          <w:rtl w:val="true"/>
          <w:lang w:bidi="fa-IR"/>
        </w:rPr>
        <w:t>:</w:t>
      </w:r>
    </w:p>
    <w:p>
      <w:pPr>
        <w:pStyle w:val="Heading6"/>
        <w:numPr>
          <w:ilvl w:val="5"/>
          <w:numId w:val="1"/>
        </w:numPr>
        <w:rPr/>
      </w:pPr>
      <w:bookmarkStart w:id="1093" w:name="__RefHeading___Toc9424602_73709187"/>
      <w:bookmarkStart w:id="1094" w:name="_Toc415"/>
      <w:bookmarkEnd w:id="1093"/>
      <w:r>
        <w:rPr>
          <w:rtl w:val="true"/>
        </w:rPr>
        <w:t xml:space="preserve">أ </w:t>
      </w:r>
      <w:r>
        <w:rPr>
          <w:rtl w:val="true"/>
        </w:rPr>
        <w:t xml:space="preserve">- </w:t>
      </w:r>
      <w:r>
        <w:rPr>
          <w:rtl w:val="true"/>
        </w:rPr>
        <w:t>تقسیم الولایة باعتبار سببها</w:t>
      </w:r>
      <w:bookmarkEnd w:id="1094"/>
    </w:p>
    <w:p>
      <w:pPr>
        <w:pStyle w:val="BookText"/>
        <w:rPr/>
      </w:pPr>
      <w:r>
        <w:rPr>
          <w:rFonts w:ascii="IRNazanin" w:hAnsi="IRNazanin" w:eastAsia="IRNazanin"/>
          <w:color w:val="111111"/>
          <w:sz w:val="28"/>
          <w:sz w:val="28"/>
          <w:szCs w:val="28"/>
          <w:rtl w:val="true"/>
          <w:lang w:bidi="fa-IR"/>
        </w:rPr>
        <w:t>تنقسم الولایة بهذا الاعتبار إلی قسمین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الولایة بالمعنی الأخصّ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الولایة بالمعنی الأعمّ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مسبّبة عن أحد الأسباب الخمسة، و هی الأبوّة و الجدودة و الملک و السلطنة و الوصایة</w:t>
      </w:r>
      <w:r>
        <w:rPr>
          <w:rStyle w:val="FootnoteAnchor"/>
          <w:rtl w:val="true"/>
        </w:rPr>
        <w:footnoteReference w:id="2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مطلق القدرة علی إنفاذ التصرّف فی الشیء، فتعمّ الوکیل و المأذون، و المتصدّق فی مجهول المالک و الملتقط فی اللقطة، و مالک الصدقة فی الزکاة بالنسبة إلی العزل و الدفع إلی المستحقّ و تبدیل العین بالقیمة، و مالک الخمس بالنسبة إلی دفع أصل المال أو قیمته، و الأمّ بالنسبة إلی الحضانة، و متولّی الوقف العامّ أو الخاصّ من الواقف، و فی القصاص و التقاصّ، و المرتهن فی بیع العین المرهونة فی الجملة، و غیر ذلک من الموارد التی وقع التعبیر فیها کثیراً بالولایة لمن له ذلک فی کلمات الفقهاء</w:t>
      </w:r>
      <w:r>
        <w:rPr>
          <w:rStyle w:val="FootnoteAnchor"/>
          <w:rtl w:val="true"/>
        </w:rPr>
        <w:footnoteReference w:id="22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تکون الولایة فی هذه الموارد بالمعنی الأعمّ، و یکون مرجعها فی الحقیقة إلی التولیة و التفویض</w:t>
      </w:r>
      <w:r>
        <w:rPr>
          <w:rFonts w:eastAsia="IRNazanin" w:cs="IRNazanin"/>
          <w:color w:val="111111"/>
          <w:sz w:val="28"/>
          <w:szCs w:val="28"/>
          <w:rtl w:val="true"/>
          <w:lang w:bidi="fa-IR"/>
        </w:rPr>
        <w:t>.</w:t>
      </w:r>
    </w:p>
    <w:p>
      <w:pPr>
        <w:pStyle w:val="Heading6"/>
        <w:numPr>
          <w:ilvl w:val="5"/>
          <w:numId w:val="1"/>
        </w:numPr>
        <w:rPr/>
      </w:pPr>
      <w:bookmarkStart w:id="1095" w:name="__RefHeading___Toc9424604_73709187"/>
      <w:bookmarkStart w:id="1096" w:name="_Toc416"/>
      <w:bookmarkEnd w:id="1095"/>
      <w:r>
        <w:rPr>
          <w:rtl w:val="true"/>
        </w:rPr>
        <w:t xml:space="preserve">ب </w:t>
      </w:r>
      <w:r>
        <w:rPr>
          <w:rtl w:val="true"/>
        </w:rPr>
        <w:t xml:space="preserve">- </w:t>
      </w:r>
      <w:r>
        <w:rPr>
          <w:rtl w:val="true"/>
        </w:rPr>
        <w:t>تقسیم الولایة باعتبار المولّی علیه</w:t>
      </w:r>
      <w:bookmarkEnd w:id="1096"/>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تنقسم الولایة بهذا الاعتبار أیضاً إلی الولایة العامّة و الولایة الخاصّة، فولایة الحاکم عامّة باعتبار عموم المولّی علیهم، تعمّ الناس جمیعاً فی أنفسهم و أموالهم، و ولایة الأب و الجدّ خاصّة علی ولده الصغیر</w:t>
      </w:r>
      <w:r>
        <w:rPr>
          <w:rFonts w:eastAsia="IRNazanin" w:cs="IRNazanin"/>
          <w:color w:val="111111"/>
          <w:sz w:val="28"/>
          <w:szCs w:val="28"/>
          <w:rtl w:val="true"/>
          <w:lang w:bidi="fa-IR"/>
        </w:rPr>
        <w:t>.</w:t>
      </w:r>
      <w:bookmarkStart w:id="1097" w:name="pg11752_146547"/>
    </w:p>
    <w:p>
      <w:pPr>
        <w:pStyle w:val="Heading6"/>
        <w:numPr>
          <w:ilvl w:val="5"/>
          <w:numId w:val="1"/>
        </w:numPr>
        <w:rPr/>
      </w:pPr>
      <w:bookmarkStart w:id="1098" w:name="__RefHeading___Toc9424606_73709187"/>
      <w:bookmarkStart w:id="1099" w:name="_Toc417"/>
      <w:bookmarkEnd w:id="1097"/>
      <w:bookmarkEnd w:id="1098"/>
      <w:r>
        <w:rPr>
          <w:rtl w:val="true"/>
        </w:rPr>
        <w:t xml:space="preserve">ج </w:t>
      </w:r>
      <w:r>
        <w:rPr>
          <w:rtl w:val="true"/>
        </w:rPr>
        <w:t xml:space="preserve">- </w:t>
      </w:r>
      <w:r>
        <w:rPr>
          <w:rtl w:val="true"/>
        </w:rPr>
        <w:t>تقسیم الولایة باعتبار التصرّف</w:t>
      </w:r>
      <w:bookmarkEnd w:id="1099"/>
    </w:p>
    <w:p>
      <w:pPr>
        <w:pStyle w:val="BookText"/>
        <w:rPr/>
      </w:pPr>
      <w:r>
        <w:rPr>
          <w:rFonts w:ascii="IRNazanin" w:hAnsi="IRNazanin" w:eastAsia="IRNazanin"/>
          <w:color w:val="111111"/>
          <w:sz w:val="28"/>
          <w:sz w:val="28"/>
          <w:szCs w:val="28"/>
          <w:rtl w:val="true"/>
          <w:lang w:bidi="fa-IR"/>
        </w:rPr>
        <w:t>و تنقسم بهذا الاعتبار إلی قسمین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یکون الولیّ فیه مستقلاًّ فی التصرّف، و یکون نظره سبباً مستقلاًّ فی جواز تصرّفه، کولایة الحاکم فی النکاح علی البالغ فاسد العقل مع الغبطة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یکون تصرّف الغیر منوطاً بإذنه، فیکون نظر الولیّ شرطاً فی تصرّف الغیر، کولایة الحاکم فی بعض أقسام الوقف؛ لأنّ تصرّف المتولّی منوط بإذنه</w:t>
      </w:r>
      <w:r>
        <w:rPr>
          <w:rFonts w:eastAsia="IRNazanin" w:cs="IRNazanin"/>
          <w:color w:val="111111"/>
          <w:sz w:val="28"/>
          <w:szCs w:val="28"/>
          <w:rtl w:val="true"/>
          <w:lang w:bidi="fa-IR"/>
        </w:rPr>
        <w:t>.</w:t>
      </w:r>
    </w:p>
    <w:p>
      <w:pPr>
        <w:pStyle w:val="Heading6"/>
        <w:numPr>
          <w:ilvl w:val="5"/>
          <w:numId w:val="1"/>
        </w:numPr>
        <w:rPr/>
      </w:pPr>
      <w:bookmarkStart w:id="1100" w:name="__RefHeading___Toc9424608_73709187"/>
      <w:bookmarkStart w:id="1101" w:name="_Toc418"/>
      <w:bookmarkEnd w:id="1100"/>
      <w:r>
        <w:rPr>
          <w:rtl w:val="true"/>
        </w:rPr>
        <w:t xml:space="preserve">د </w:t>
      </w:r>
      <w:r>
        <w:rPr>
          <w:rtl w:val="true"/>
        </w:rPr>
        <w:t xml:space="preserve">- </w:t>
      </w:r>
      <w:r>
        <w:rPr>
          <w:rtl w:val="true"/>
        </w:rPr>
        <w:t>تقسیم الولایة باعتبار کمالها</w:t>
      </w:r>
      <w:bookmarkEnd w:id="1101"/>
    </w:p>
    <w:p>
      <w:pPr>
        <w:pStyle w:val="BookText"/>
        <w:rPr/>
      </w:pPr>
      <w:r>
        <w:rPr>
          <w:rFonts w:ascii="IRNazanin" w:hAnsi="IRNazanin" w:eastAsia="IRNazanin"/>
          <w:color w:val="111111"/>
          <w:sz w:val="28"/>
          <w:sz w:val="28"/>
          <w:szCs w:val="28"/>
          <w:rtl w:val="true"/>
          <w:lang w:bidi="fa-IR"/>
        </w:rPr>
        <w:t>تنقسم بهذا الاعتبار أیضاً إلی أقسامٍ و درجاتٍ مختلفة نذکر الأهمّ منها اختصاراً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ولایة اللّه تعالی علی خلقه، التی هی أکمل الولایات و أقواها، و قوام المخلوقات و وجودها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فَاللّهُ هُوَ الْوَلِیُّ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ولایة النبیّ صلی الله علیه و آله و خلفائه المعصومین علیهم السلام بالولایة الباطنیة و الظاهریة، و کان لهم علیهم السلام جهاتٌ من 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ولایتهم التکوینیّة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ولایتهم التشریعیّة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أوامرهم فی الأحکام الشرعیّة الراجعة إلی التبلیغ، و وجوب اتّباعهم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إطاعة أوامرهم الشخصیّة</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ولایة الحاکم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 و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تکون من شئون ولایة النبیّ و الأئمّة علیهم السلام، حیث إنّ الحاکم منصوبٌ من قبلهم</w:t>
      </w:r>
      <w:r>
        <w:rPr>
          <w:rStyle w:val="FootnoteAnchor"/>
          <w:rtl w:val="true"/>
        </w:rPr>
        <w:footnoteReference w:id="22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لکلّ هذه الثلاثة أدلّة قد</w:t>
      </w:r>
      <w:bookmarkStart w:id="1102" w:name="pg11752_146548"/>
    </w:p>
    <w:p>
      <w:pPr>
        <w:pStyle w:val="BookText"/>
        <w:rPr/>
      </w:pPr>
      <w:bookmarkEnd w:id="1102"/>
      <w:r>
        <w:rPr>
          <w:rFonts w:ascii="IRNazanin" w:hAnsi="IRNazanin" w:eastAsia="IRNazanin"/>
          <w:color w:val="111111"/>
          <w:sz w:val="28"/>
          <w:sz w:val="28"/>
          <w:szCs w:val="28"/>
          <w:rtl w:val="true"/>
          <w:lang w:bidi="fa-IR"/>
        </w:rPr>
        <w:t>ذکرت فی محلّها، من أرادها فلیُراجع الکتب المفصّلة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ولایة الأب و الجدّ علی الصغار، و تنقسم إلی أقسامٍ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ولایتهما علی المال بمعنی تدبیر شئون القاصر المالیة من استثمار و تصرّفٍ و حفظ و إنفاق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بحثها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ولایتهما علی النفس، بمعنی الإشراف علی شئون القاصر الشخصیة، و تکون لهذه أنواع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ولایة الحضانة التی قد سبق الکلام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ولایة الضمّ، و المقصود منها أنّه إذا انتهت مدّة الحضانة تلیها مرحلة أخری، و هی مرحلة ضمّ الصغار إلی من لهم الولایة علی النفس، و سمّاها بعض الفقهاء بالکفالة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ولایة التزویج، و هی مورد بحثنا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ولایتهما علی استیفاء حقوق الصغار، بمعنی السلطنة علی أخذ حقوقهم کحقّ الشفعة و حقّ القصاص و حقّ الخیار و غیرها</w:t>
      </w:r>
      <w:r>
        <w:rPr>
          <w:rFonts w:eastAsia="IRNazanin" w:cs="IRNazanin"/>
          <w:color w:val="111111"/>
          <w:sz w:val="28"/>
          <w:szCs w:val="28"/>
          <w:rtl w:val="true"/>
          <w:lang w:bidi="fa-IR"/>
        </w:rPr>
        <w:t>.</w:t>
      </w:r>
    </w:p>
    <w:p>
      <w:pPr>
        <w:pStyle w:val="Heading5"/>
        <w:numPr>
          <w:ilvl w:val="4"/>
          <w:numId w:val="1"/>
        </w:numPr>
        <w:rPr/>
      </w:pPr>
      <w:bookmarkStart w:id="1103" w:name="__RefHeading___Toc9424610_73709187"/>
      <w:bookmarkStart w:id="1104" w:name="_Toc419"/>
      <w:bookmarkEnd w:id="1103"/>
      <w:r>
        <w:rPr>
          <w:rtl w:val="true"/>
        </w:rPr>
        <w:t>ولایة الأب و الجدّ علی الصغار فی التزویج</w:t>
      </w:r>
      <w:bookmarkEnd w:id="1104"/>
    </w:p>
    <w:p>
      <w:pPr>
        <w:pStyle w:val="Heading6"/>
        <w:numPr>
          <w:ilvl w:val="5"/>
          <w:numId w:val="1"/>
        </w:numPr>
        <w:rPr/>
      </w:pPr>
      <w:bookmarkStart w:id="1105" w:name="__RefHeading___Toc9424612_73709187"/>
      <w:bookmarkStart w:id="1106" w:name="_Toc420"/>
      <w:bookmarkEnd w:id="1105"/>
      <w:r>
        <w:rPr>
          <w:rtl w:val="true"/>
        </w:rPr>
        <w:t>اشارة</w:t>
      </w:r>
      <w:bookmarkEnd w:id="1106"/>
    </w:p>
    <w:p>
      <w:pPr>
        <w:pStyle w:val="BookText"/>
        <w:rPr/>
      </w:pPr>
      <w:r>
        <w:rPr>
          <w:rFonts w:ascii="IRNazanin" w:hAnsi="IRNazanin" w:eastAsia="IRNazanin"/>
          <w:color w:val="111111"/>
          <w:sz w:val="28"/>
          <w:sz w:val="28"/>
          <w:szCs w:val="28"/>
          <w:rtl w:val="true"/>
          <w:lang w:bidi="fa-IR"/>
        </w:rPr>
        <w:t>هذه الولایة هی من أنواع الولایة علی النفس، و المراد بالصغار فی بحثنا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الذکور و الإناث دون سنّ البلوغ أو الرشد</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فی ثبوت الولایة فی زواج الصغار للأب و الجدّ کما فی المقنع</w:t>
      </w:r>
      <w:r>
        <w:rPr>
          <w:rStyle w:val="FootnoteAnchor"/>
          <w:rtl w:val="true"/>
        </w:rPr>
        <w:footnoteReference w:id="2266"/>
      </w:r>
      <w:r>
        <w:rPr>
          <w:rFonts w:ascii="Amiri" w:hAnsi="Amiri" w:eastAsia="Amiri" w:cs="Amiri"/>
          <w:color w:val="111111"/>
          <w:sz w:val="28"/>
          <w:sz w:val="28"/>
          <w:szCs w:val="28"/>
          <w:rtl w:val="true"/>
          <w:lang w:bidi="ar-SA"/>
        </w:rPr>
        <w:t>و المقنعة</w:t>
      </w:r>
      <w:r>
        <w:rPr>
          <w:rStyle w:val="FootnoteAnchor"/>
          <w:rtl w:val="true"/>
        </w:rPr>
        <w:footnoteReference w:id="22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 فی الکافی</w:t>
      </w:r>
      <w:r>
        <w:rPr>
          <w:rStyle w:val="FootnoteAnchor"/>
          <w:rtl w:val="true"/>
        </w:rPr>
        <w:footnoteReference w:id="2268"/>
      </w:r>
      <w:r>
        <w:rPr>
          <w:rFonts w:ascii="IRNazanin" w:hAnsi="IRNazanin" w:eastAsia="IRNazanin"/>
          <w:color w:val="111111"/>
          <w:sz w:val="28"/>
          <w:sz w:val="28"/>
          <w:szCs w:val="28"/>
          <w:rtl w:val="true"/>
          <w:lang w:bidi="fa-IR"/>
        </w:rPr>
        <w:t>و اختاره الشیخ رحمه الله</w:t>
      </w:r>
      <w:r>
        <w:rPr>
          <w:rStyle w:val="FootnoteAnchor"/>
          <w:rtl w:val="true"/>
        </w:rPr>
        <w:footnoteReference w:id="2269"/>
      </w:r>
      <w:r>
        <w:rPr>
          <w:rFonts w:ascii="IRNazanin" w:hAnsi="IRNazanin" w:eastAsia="IRNazanin"/>
          <w:color w:val="111111"/>
          <w:sz w:val="28"/>
          <w:sz w:val="28"/>
          <w:szCs w:val="28"/>
          <w:rtl w:val="true"/>
          <w:lang w:bidi="fa-IR"/>
        </w:rPr>
        <w:t>و السید</w:t>
      </w:r>
    </w:p>
    <w:p>
      <w:pPr>
        <w:pStyle w:val="BookText"/>
        <w:rPr/>
      </w:pPr>
      <w:r>
        <w:rPr>
          <w:rFonts w:ascii="IRNazanin" w:hAnsi="IRNazanin" w:eastAsia="IRNazanin"/>
          <w:color w:val="111111"/>
          <w:sz w:val="28"/>
          <w:sz w:val="28"/>
          <w:szCs w:val="28"/>
          <w:rtl w:val="true"/>
          <w:lang w:bidi="fa-IR"/>
        </w:rPr>
        <w:t>المرتضی‌</w:t>
      </w:r>
      <w:r>
        <w:rPr>
          <w:rStyle w:val="FootnoteAnchor"/>
          <w:rtl w:val="true"/>
        </w:rPr>
        <w:footnoteReference w:id="2270"/>
      </w:r>
      <w:r>
        <w:rPr>
          <w:rFonts w:ascii="Amiri" w:hAnsi="Amiri" w:eastAsia="Amiri" w:cs="Amiri"/>
          <w:color w:val="111111"/>
          <w:sz w:val="28"/>
          <w:sz w:val="28"/>
          <w:szCs w:val="28"/>
          <w:rtl w:val="true"/>
          <w:lang w:bidi="ar-SA"/>
        </w:rPr>
        <w:t>و سلاّر</w:t>
      </w:r>
      <w:r>
        <w:rPr>
          <w:rStyle w:val="FootnoteAnchor"/>
          <w:rtl w:val="true"/>
        </w:rPr>
        <w:footnoteReference w:id="2271"/>
      </w:r>
      <w:r>
        <w:rPr>
          <w:rFonts w:ascii="IRNazanin" w:hAnsi="IRNazanin" w:eastAsia="IRNazanin"/>
          <w:color w:val="111111"/>
          <w:sz w:val="28"/>
          <w:sz w:val="28"/>
          <w:szCs w:val="28"/>
          <w:rtl w:val="true"/>
          <w:lang w:bidi="fa-IR"/>
        </w:rPr>
        <w:t>و القاضی ابن برّاج</w:t>
      </w:r>
      <w:r>
        <w:rPr>
          <w:rStyle w:val="FootnoteAnchor"/>
          <w:rtl w:val="true"/>
        </w:rPr>
        <w:footnoteReference w:id="2272"/>
      </w:r>
      <w:r>
        <w:rPr>
          <w:rFonts w:ascii="Amiri" w:hAnsi="Amiri" w:eastAsia="Amiri" w:cs="Amiri"/>
          <w:color w:val="111111"/>
          <w:sz w:val="28"/>
          <w:sz w:val="28"/>
          <w:szCs w:val="28"/>
          <w:rtl w:val="true"/>
          <w:lang w:bidi="ar-SA"/>
        </w:rPr>
        <w:t>و ابن حمزة</w:t>
      </w:r>
      <w:r>
        <w:rPr>
          <w:rStyle w:val="FootnoteAnchor"/>
          <w:rtl w:val="true"/>
        </w:rPr>
        <w:footnoteReference w:id="2273"/>
      </w:r>
      <w:r>
        <w:rPr>
          <w:rFonts w:ascii="IRNazanin" w:hAnsi="IRNazanin" w:eastAsia="IRNazanin"/>
          <w:color w:val="111111"/>
          <w:sz w:val="28"/>
          <w:sz w:val="28"/>
          <w:szCs w:val="28"/>
          <w:rtl w:val="true"/>
          <w:lang w:bidi="fa-IR"/>
        </w:rPr>
        <w:t>و الفاضلان</w:t>
      </w:r>
      <w:r>
        <w:rPr>
          <w:rStyle w:val="FootnoteAnchor"/>
          <w:rtl w:val="true"/>
        </w:rPr>
        <w:footnoteReference w:id="2274"/>
      </w:r>
      <w:r>
        <w:rPr>
          <w:rFonts w:ascii="IRNazanin" w:hAnsi="IRNazanin" w:eastAsia="IRNazanin"/>
          <w:color w:val="111111"/>
          <w:sz w:val="28"/>
          <w:sz w:val="28"/>
          <w:szCs w:val="28"/>
          <w:rtl w:val="true"/>
          <w:lang w:bidi="fa-IR"/>
        </w:rPr>
        <w:t>، و ذهب إلیه أیضاً المتأخّرون کما فی المسالک</w:t>
      </w:r>
      <w:r>
        <w:rPr>
          <w:rStyle w:val="FootnoteAnchor"/>
          <w:rtl w:val="true"/>
        </w:rPr>
        <w:footnoteReference w:id="2275"/>
      </w:r>
      <w:r>
        <w:rPr>
          <w:rFonts w:ascii="IRNazanin" w:hAnsi="IRNazanin" w:eastAsia="IRNazanin"/>
          <w:color w:val="111111"/>
          <w:sz w:val="28"/>
          <w:sz w:val="28"/>
          <w:szCs w:val="28"/>
          <w:rtl w:val="true"/>
          <w:lang w:bidi="fa-IR"/>
        </w:rPr>
        <w:t>و الحدائق</w:t>
      </w:r>
      <w:r>
        <w:rPr>
          <w:rStyle w:val="FootnoteAnchor"/>
          <w:rtl w:val="true"/>
        </w:rPr>
        <w:footnoteReference w:id="2276"/>
      </w:r>
      <w:r>
        <w:rPr>
          <w:rFonts w:ascii="IRNazanin" w:hAnsi="IRNazanin" w:eastAsia="IRNazanin"/>
          <w:color w:val="111111"/>
          <w:sz w:val="28"/>
          <w:sz w:val="28"/>
          <w:szCs w:val="28"/>
          <w:rtl w:val="true"/>
          <w:lang w:bidi="fa-IR"/>
        </w:rPr>
        <w:t>و جامع المقاصد</w:t>
      </w:r>
      <w:r>
        <w:rPr>
          <w:rStyle w:val="FootnoteAnchor"/>
          <w:rtl w:val="true"/>
        </w:rPr>
        <w:footnoteReference w:id="2277"/>
      </w:r>
      <w:r>
        <w:rPr>
          <w:rFonts w:ascii="IRNazanin" w:hAnsi="IRNazanin" w:eastAsia="IRNazanin"/>
          <w:color w:val="111111"/>
          <w:sz w:val="28"/>
          <w:sz w:val="28"/>
          <w:szCs w:val="28"/>
          <w:rtl w:val="true"/>
          <w:lang w:bidi="fa-IR"/>
        </w:rPr>
        <w:t>و الریاض</w:t>
      </w:r>
      <w:r>
        <w:rPr>
          <w:rStyle w:val="FootnoteAnchor"/>
          <w:rtl w:val="true"/>
        </w:rPr>
        <w:footnoteReference w:id="2278"/>
      </w:r>
    </w:p>
    <w:p>
      <w:pPr>
        <w:pStyle w:val="BookText"/>
        <w:rPr/>
      </w:pPr>
      <w:r>
        <w:rPr>
          <w:rFonts w:ascii="IRNazanin" w:hAnsi="IRNazanin" w:eastAsia="IRNazanin"/>
          <w:color w:val="111111"/>
          <w:sz w:val="28"/>
          <w:sz w:val="28"/>
          <w:szCs w:val="28"/>
          <w:rtl w:val="true"/>
          <w:lang w:bidi="fa-IR"/>
        </w:rPr>
        <w:t>و الجواهر</w:t>
      </w:r>
      <w:r>
        <w:rPr>
          <w:rStyle w:val="FootnoteAnchor"/>
          <w:rtl w:val="true"/>
        </w:rPr>
        <w:footnoteReference w:id="2279"/>
      </w:r>
      <w:r>
        <w:rPr>
          <w:rFonts w:ascii="IRNazanin" w:hAnsi="IRNazanin" w:eastAsia="IRNazanin"/>
          <w:color w:val="111111"/>
          <w:sz w:val="28"/>
          <w:sz w:val="28"/>
          <w:szCs w:val="28"/>
          <w:rtl w:val="true"/>
          <w:lang w:bidi="fa-IR"/>
        </w:rPr>
        <w:t>و الشیخ الأعظم الأنصاری</w:t>
      </w:r>
      <w:r>
        <w:rPr>
          <w:rStyle w:val="FootnoteAnchor"/>
          <w:rtl w:val="true"/>
        </w:rPr>
        <w:footnoteReference w:id="22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أیضاً مورد اتّفاق فقهاء العصر، کما فی العروة و التعلیقات علیها و غیرها</w:t>
      </w:r>
      <w:r>
        <w:rPr>
          <w:rStyle w:val="FootnoteAnchor"/>
          <w:rtl w:val="true"/>
        </w:rPr>
        <w:footnoteReference w:id="2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فثبوت الولایة للأب و الجدّ علی نکاح الصغار من القطعیّات و الضروریّات فی الفقه، و تطابقت علیه الفتاوی علی وجهٍ لم یظهر فیه مخالف، و ادّعی علیه الإجماع فی السرائر</w:t>
      </w:r>
      <w:r>
        <w:rPr>
          <w:rStyle w:val="FootnoteAnchor"/>
          <w:rtl w:val="true"/>
        </w:rPr>
        <w:footnoteReference w:id="2282"/>
      </w:r>
      <w:r>
        <w:rPr>
          <w:rFonts w:ascii="IRNazanin" w:hAnsi="IRNazanin" w:eastAsia="IRNazanin"/>
          <w:color w:val="111111"/>
          <w:sz w:val="28"/>
          <w:sz w:val="28"/>
          <w:szCs w:val="28"/>
          <w:rtl w:val="true"/>
          <w:lang w:bidi="fa-IR"/>
        </w:rPr>
        <w:t>و التذکرة</w:t>
      </w:r>
      <w:r>
        <w:rPr>
          <w:rStyle w:val="FootnoteAnchor"/>
          <w:rtl w:val="true"/>
        </w:rPr>
        <w:footnoteReference w:id="2283"/>
      </w:r>
      <w:r>
        <w:rPr>
          <w:rFonts w:ascii="IRNazanin" w:hAnsi="IRNazanin" w:eastAsia="IRNazanin"/>
          <w:color w:val="111111"/>
          <w:sz w:val="28"/>
          <w:sz w:val="28"/>
          <w:szCs w:val="28"/>
          <w:rtl w:val="true"/>
          <w:lang w:bidi="fa-IR"/>
        </w:rPr>
        <w:t>و غیرهما</w:t>
      </w:r>
      <w:r>
        <w:rPr>
          <w:rStyle w:val="FootnoteAnchor"/>
          <w:rtl w:val="true"/>
        </w:rPr>
        <w:footnoteReference w:id="2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أدلّة ولایة الأب و الجدّ فی التزویج</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تدلّ علی إثبات ولایة الأب و الجدّ علی الصغار فی التزویج أمور، نذکرها علی</w:t>
      </w:r>
      <w:bookmarkStart w:id="1107" w:name="pg11752_146550"/>
    </w:p>
    <w:p>
      <w:pPr>
        <w:pStyle w:val="BookText"/>
        <w:rPr/>
      </w:pPr>
      <w:bookmarkEnd w:id="1107"/>
      <w:r>
        <w:rPr>
          <w:rFonts w:ascii="IRNazanin" w:hAnsi="IRNazanin" w:eastAsia="IRNazanin"/>
          <w:color w:val="111111"/>
          <w:sz w:val="28"/>
          <w:sz w:val="28"/>
          <w:szCs w:val="28"/>
          <w:rtl w:val="true"/>
          <w:lang w:bidi="fa-IR"/>
        </w:rPr>
        <w:t>الترتیب التالی</w:t>
      </w:r>
      <w:r>
        <w:rPr>
          <w:rFonts w:eastAsia="IRNazanin" w:cs="IRNazanin"/>
          <w:color w:val="111111"/>
          <w:sz w:val="28"/>
          <w:szCs w:val="28"/>
          <w:rtl w:val="true"/>
          <w:lang w:bidi="fa-IR"/>
        </w:rPr>
        <w:t>:</w:t>
      </w:r>
    </w:p>
    <w:p>
      <w:pPr>
        <w:pStyle w:val="Heading6"/>
        <w:numPr>
          <w:ilvl w:val="5"/>
          <w:numId w:val="1"/>
        </w:numPr>
        <w:rPr/>
      </w:pPr>
      <w:bookmarkStart w:id="1108" w:name="__RefHeading___Toc9424614_73709187"/>
      <w:bookmarkStart w:id="1109" w:name="_Toc421"/>
      <w:bookmarkEnd w:id="1108"/>
      <w:r>
        <w:rPr>
          <w:rtl w:val="true"/>
        </w:rPr>
        <w:t>الأوّل</w:t>
      </w:r>
      <w:r>
        <w:rPr>
          <w:rtl w:val="true"/>
        </w:rPr>
        <w:t xml:space="preserve">: </w:t>
      </w:r>
      <w:r>
        <w:rPr>
          <w:rtl w:val="true"/>
        </w:rPr>
        <w:t>الکتاب</w:t>
      </w:r>
      <w:bookmarkEnd w:id="1109"/>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یَعْفُوَا الَّذِی بِیَدِهِ عُقْدَةُ النِّکاحِ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ظاهر</w:t>
      </w:r>
      <w:r>
        <w:rPr>
          <w:rStyle w:val="FootnoteAnchor"/>
          <w:rtl w:val="true"/>
        </w:rPr>
        <w:footnoteReference w:id="2285"/>
      </w:r>
      <w:r>
        <w:rPr>
          <w:rFonts w:ascii="IRNazanin" w:hAnsi="IRNazanin" w:eastAsia="IRNazanin"/>
          <w:color w:val="111111"/>
          <w:sz w:val="28"/>
          <w:sz w:val="28"/>
          <w:szCs w:val="28"/>
          <w:rtl w:val="true"/>
          <w:lang w:bidi="fa-IR"/>
        </w:rPr>
        <w:t>الآیة دلّ علی لزوم أن یدفع للمطلّقة بعد الفرض و قبل المسّ نصف المهر المسمّی إلاّ علی تقدیر العفو من المطلّقة، أو من ولیّها؛ لأنّ المراد من الذی بیده عقدة النکاح ولیّ أمرها، فقد ورد فی الصحیح عن عبد اللّه بن سنان،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بیده عقدة النکاح هو ولیّ أمرها</w:t>
      </w:r>
      <w:r>
        <w:rPr>
          <w:rFonts w:eastAsia="IRNazanin" w:cs="IRNazanin"/>
          <w:color w:val="111111"/>
          <w:sz w:val="28"/>
          <w:szCs w:val="28"/>
          <w:rtl w:val="true"/>
          <w:lang w:bidi="fa-IR"/>
        </w:rPr>
        <w:t>»</w:t>
      </w:r>
      <w:r>
        <w:rPr>
          <w:rStyle w:val="FootnoteAnchor"/>
          <w:rtl w:val="true"/>
        </w:rPr>
        <w:footnoteReference w:id="2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عن رفاعة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الذی بیده عقدة النکاح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الولیّ الذی یأخذ بعضاً و یترک بعضاً، و لیس له أن یدع کلّه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خلاف فی أنّ کلاًّ من الأب و الجدّ ولیّ أمرها، فعقدة النکاح بأیدیهما بمقتضی الآیة التی فسّرت بالروایتین المذکورتین، و هو المطلوب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هکذا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اللاّئِی یَئِسْنَ مِنَ الْمَحِیضِ مِنْ نِسائِکُمْ إِنِ ارْتَبْتُمْ فَعِدَّتُهُنَّ ثَلاثَةُ أَشْهُرٍ وَ اللاّئِی لَمْ یَحِضْنَ وَ أُولاتُ الْأَحْمالِ أَجَلُهُنَّ أَنْ یَضَعْنَ حَمْلَهُنَّ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أراد سبحانه و تعالی بیان عِدّة المطلّقة غیر البیّن حیضُها لکبرٍ أو صغرٍ أو حملٍ غالباً،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اللاّئِی یَئِسْنَ مِنَ الْمَحِیضِ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یئسنَ من الحیض بحسب الظاهر،</w:t>
      </w:r>
      <w:bookmarkStart w:id="1110" w:name="pg11752_146551"/>
    </w:p>
    <w:p>
      <w:pPr>
        <w:pStyle w:val="BookText"/>
        <w:rPr/>
      </w:pPr>
      <w:bookmarkEnd w:id="1110"/>
      <w:r>
        <w:rPr>
          <w:rFonts w:ascii="IRNazanin" w:hAnsi="IRNazanin" w:eastAsia="IRNazanin"/>
          <w:color w:val="111111"/>
          <w:sz w:val="28"/>
          <w:sz w:val="28"/>
          <w:szCs w:val="28"/>
          <w:rtl w:val="true"/>
          <w:lang w:bidi="fa-IR"/>
        </w:rPr>
        <w:t>و لم یتحقّق کونه لکبر و وصولها إلی حدّ الیأس، فحصل الشکّ فی ذلک، فیجب علیهنَّ العدّة، فعدّتهنّ ثلاثة أشهرٍ، و أمّا اللائی لم یحضن لا عدّة علیهنّ، و حذف لدلالة الکلام علیه</w:t>
      </w:r>
      <w:r>
        <w:rPr>
          <w:rStyle w:val="FootnoteAnchor"/>
          <w:rtl w:val="true"/>
        </w:rPr>
        <w:footnoteReference w:id="2287"/>
      </w:r>
      <w:r>
        <w:rPr>
          <w:rFonts w:ascii="IRNazanin" w:hAnsi="IRNazanin" w:eastAsia="IRNazanin"/>
          <w:color w:val="111111"/>
          <w:sz w:val="28"/>
          <w:sz w:val="28"/>
          <w:szCs w:val="28"/>
          <w:rtl w:val="true"/>
          <w:lang w:bidi="fa-IR"/>
        </w:rPr>
        <w:t>، و هو مذهب الإمامیة إلاّ السیّد المرتضی رحمه الله فإنّه وافق أهل السنّة</w:t>
      </w:r>
      <w:r>
        <w:rPr>
          <w:rStyle w:val="FootnoteAnchor"/>
          <w:rtl w:val="true"/>
        </w:rPr>
        <w:footnoteReference w:id="2288"/>
      </w:r>
      <w:r>
        <w:rPr>
          <w:rFonts w:ascii="Amiri" w:hAnsi="Amiri" w:eastAsia="Amiri" w:cs="Amiri"/>
          <w:color w:val="111111"/>
          <w:sz w:val="28"/>
          <w:sz w:val="28"/>
          <w:szCs w:val="28"/>
          <w:rtl w:val="true"/>
          <w:lang w:bidi="ar-SA"/>
        </w:rPr>
        <w:t xml:space="preserve">لأنّ مذهبهم أنّ الصغیرة التی لا تحیض فعدّتها ثلاثة أشهرٍ، و ادّعی ابن قدامة الإجماع علیه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 الخرقی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کانت من الآیسات أو ممَّن لم یحضنَ فعدّتها ثلاثة أشهرٍ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أجمع أهل العلم علی هذا؛ لأنّ اللّه تعالی ذکره فی کتابه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اللاّئِی یَئِسْنَ مِنَ الْمَحِیضِ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Style w:val="FootnoteAnchor"/>
          <w:rtl w:val="true"/>
        </w:rPr>
        <w:footnoteReference w:id="2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کلا القولین سواءً قلنا بثبوت العدّة للصغیرة کما هو مذهب أهل السنّة، أو بعدمه کما هو مذهب أکثر أصحابنا، فإنّ الآیة</w:t>
      </w:r>
      <w:r>
        <w:rPr>
          <w:rStyle w:val="FootnoteAnchor"/>
          <w:rtl w:val="true"/>
        </w:rPr>
        <w:footnoteReference w:id="2290"/>
      </w:r>
      <w:r>
        <w:rPr>
          <w:rFonts w:ascii="IRNazanin" w:hAnsi="IRNazanin" w:eastAsia="IRNazanin"/>
          <w:color w:val="111111"/>
          <w:sz w:val="28"/>
          <w:sz w:val="28"/>
          <w:szCs w:val="28"/>
          <w:rtl w:val="true"/>
          <w:lang w:bidi="fa-IR"/>
        </w:rPr>
        <w:t>تدلّ علی ثبوت ولایة التزویج للأولیاء، لأنّ العدّة لا تکون إلاّ من طلاقٍ فی نکاحٍ صحیح، فیدلّ ذلک علی أنّ الصغیرة تُزوّج و تُطلّق و زواجها صحیح، و الذی یزوّجها و یتولّی عقد زواجها هو ولیّها؛ لأنّه لا عبرة فی النکاح بعبارة الصبیّ بلا خلاف فیه، فدلالة الآیة تامّة؛ لأنّ القدر المتیقّن من الولیّ هو الأب و الجدّ</w:t>
      </w:r>
      <w:r>
        <w:rPr>
          <w:rFonts w:eastAsia="IRNazanin" w:cs="IRNazanin"/>
          <w:color w:val="111111"/>
          <w:sz w:val="28"/>
          <w:szCs w:val="28"/>
          <w:rtl w:val="true"/>
          <w:lang w:bidi="fa-IR"/>
        </w:rPr>
        <w:t>.</w:t>
      </w:r>
    </w:p>
    <w:p>
      <w:pPr>
        <w:pStyle w:val="Heading6"/>
        <w:numPr>
          <w:ilvl w:val="5"/>
          <w:numId w:val="1"/>
        </w:numPr>
        <w:rPr/>
      </w:pPr>
      <w:bookmarkStart w:id="1111" w:name="__RefHeading___Toc9424616_73709187"/>
      <w:bookmarkStart w:id="1112" w:name="_Toc422"/>
      <w:bookmarkEnd w:id="1111"/>
      <w:r>
        <w:rPr>
          <w:rtl w:val="true"/>
        </w:rPr>
        <w:t>الثانی</w:t>
      </w:r>
      <w:r>
        <w:rPr>
          <w:rtl w:val="true"/>
        </w:rPr>
        <w:t xml:space="preserve">: </w:t>
      </w:r>
      <w:r>
        <w:rPr>
          <w:rtl w:val="true"/>
        </w:rPr>
        <w:t>السنّة</w:t>
      </w:r>
      <w:bookmarkEnd w:id="1112"/>
    </w:p>
    <w:p>
      <w:pPr>
        <w:pStyle w:val="BookText"/>
        <w:rPr/>
      </w:pPr>
      <w:r>
        <w:rPr>
          <w:rFonts w:ascii="IRNazanin" w:hAnsi="IRNazanin" w:eastAsia="IRNazanin"/>
          <w:color w:val="111111"/>
          <w:sz w:val="28"/>
          <w:sz w:val="28"/>
          <w:szCs w:val="28"/>
          <w:rtl w:val="true"/>
          <w:lang w:bidi="fa-IR"/>
        </w:rPr>
        <w:t>و النصوص الدالّة علی هذا الحکم علی طوائف</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الطائفة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النصوص التی تدلّ علی جواز عقد الأب و الجدّ علی الصبیّة، و عدم الخیار لها بعد بلوغها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ابن بزیع، التی رواها المشایخ الثلاثة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الصبیّة یزوّجها أبوها ثمّ یموت و هی صغیرة، فتکبر قبل أن یدخل بها زوجها؛ یجوز علیها التزویج أو الأمر إلیها؟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علیها تزویج أبیها</w:t>
      </w:r>
      <w:r>
        <w:rPr>
          <w:rFonts w:eastAsia="IRNazanin" w:cs="IRNazanin"/>
          <w:color w:val="111111"/>
          <w:sz w:val="28"/>
          <w:szCs w:val="28"/>
          <w:rtl w:val="true"/>
          <w:lang w:bidi="fa-IR"/>
        </w:rPr>
        <w:t>»</w:t>
      </w:r>
      <w:r>
        <w:rPr>
          <w:rStyle w:val="FootnoteAnchor"/>
          <w:rtl w:val="true"/>
        </w:rPr>
        <w:footnoteReference w:id="2291"/>
      </w:r>
      <w:r>
        <w:rPr>
          <w:rFonts w:ascii="IRNazanin" w:hAnsi="IRNazanin" w:eastAsia="IRNazanin"/>
          <w:color w:val="111111"/>
          <w:sz w:val="28"/>
          <w:sz w:val="28"/>
          <w:szCs w:val="28"/>
          <w:rtl w:val="true"/>
          <w:lang w:bidi="fa-IR"/>
        </w:rPr>
        <w:t>حیث تدلّ علی نفاذ عقد الأب و جوازه حال الصغر، و لا یجوز لها الخیار بعد البلوغ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صحیحة عبد اللّه بن الصلت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الجاریة الصغیرة یزوّجها أبوها، لها أمرٌ إذا بلغت؟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لیس لها مع أبیها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سألته عن البکر إذا بلغت مبلغ النساء أَ لَها مع أبیها أمر؟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لها مع أبیها أمر ما لم تکبر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تثیب خ ل</w:t>
      </w:r>
      <w:r>
        <w:rPr>
          <w:rFonts w:eastAsia="IRNazanin" w:cs="IRNazanin"/>
          <w:color w:val="111111"/>
          <w:sz w:val="28"/>
          <w:szCs w:val="28"/>
          <w:rtl w:val="true"/>
          <w:lang w:bidi="fa-IR"/>
        </w:rPr>
        <w:t>»</w:t>
      </w:r>
      <w:r>
        <w:rPr>
          <w:rStyle w:val="FootnoteAnchor"/>
          <w:rtl w:val="true"/>
        </w:rPr>
        <w:footnoteReference w:id="22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الدلالة کسابقتها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نحوها صحیحة علیّ بن یقطین</w:t>
      </w:r>
      <w:r>
        <w:rPr>
          <w:rStyle w:val="FootnoteAnchor"/>
          <w:rtl w:val="true"/>
        </w:rPr>
        <w:footnoteReference w:id="2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الحلبی، عن أبی عبد اللّه علیه السلام فی الجاریة یُزوّجها أبوها بغیر رضاء منها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لها مع أبیها أمر، إذا أنکحها جاز نکاحه و إن کانت کارهةً</w:t>
      </w:r>
      <w:r>
        <w:rPr>
          <w:rFonts w:eastAsia="IRNazanin" w:cs="IRNazanin"/>
          <w:color w:val="111111"/>
          <w:sz w:val="28"/>
          <w:szCs w:val="28"/>
          <w:rtl w:val="true"/>
          <w:lang w:bidi="fa-IR"/>
        </w:rPr>
        <w:t>»</w:t>
      </w:r>
      <w:r>
        <w:rPr>
          <w:rStyle w:val="FootnoteAnchor"/>
          <w:rtl w:val="true"/>
        </w:rPr>
        <w:footnoteReference w:id="2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النصوص التی تدلّ علی تقدیم عقد الجدّ علی عقد الأب و أولویّته عند التعارض و التشاحّ، کصحیحة محمّد بن مسلم عن أحدهما علیهما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زوّج الرجل ابنة ابنه فهو جائز علی ابنه، و لابنه أیضاً أن یزوّجها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هوی أبوها رجلاً و جدّها رجلاً،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الجدّ أولی بنکاحها</w:t>
      </w:r>
      <w:r>
        <w:rPr>
          <w:rFonts w:eastAsia="IRNazanin" w:cs="IRNazanin"/>
          <w:color w:val="111111"/>
          <w:sz w:val="28"/>
          <w:szCs w:val="28"/>
          <w:rtl w:val="true"/>
          <w:lang w:bidi="fa-IR"/>
        </w:rPr>
        <w:t>»</w:t>
      </w:r>
      <w:r>
        <w:rPr>
          <w:rStyle w:val="FootnoteAnchor"/>
          <w:rtl w:val="true"/>
        </w:rPr>
        <w:footnoteReference w:id="2295"/>
      </w:r>
      <w:r>
        <w:rPr>
          <w:rFonts w:eastAsia="Times New Roman" w:cs="Times New Roman" w:ascii="Times New Roman" w:hAnsi="Times New Roman"/>
          <w:color w:val="111111"/>
          <w:sz w:val="28"/>
          <w:szCs w:val="28"/>
          <w:rtl w:val="true"/>
          <w:lang w:val="en-US" w:bidi="en-US"/>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فإنّها تدلّ صراحةً علی جواز عقد الأب و الجدّ و أولویّة عقد الجدّ و تقدیمه علی عقد الأب عند التشاح و التعارض، و تقدیم عقد الجدّ بعد المفروغیة عن</w:t>
      </w:r>
    </w:p>
    <w:p>
      <w:pPr>
        <w:pStyle w:val="BookText"/>
        <w:rPr/>
      </w:pPr>
      <w:r>
        <w:rPr>
          <w:rFonts w:ascii="IRNazanin" w:hAnsi="IRNazanin" w:eastAsia="IRNazanin"/>
          <w:color w:val="111111"/>
          <w:sz w:val="28"/>
          <w:sz w:val="28"/>
          <w:szCs w:val="28"/>
          <w:rtl w:val="true"/>
          <w:lang w:bidi="fa-IR"/>
        </w:rPr>
        <w:t>صحّته، و کذا موثّقة عبید بن زرارة</w:t>
      </w:r>
      <w:r>
        <w:rPr>
          <w:rStyle w:val="FootnoteAnchor"/>
          <w:rtl w:val="true"/>
        </w:rPr>
        <w:footnoteReference w:id="2296"/>
      </w:r>
      <w:r>
        <w:rPr>
          <w:rFonts w:ascii="IRNazanin" w:hAnsi="IRNazanin" w:eastAsia="IRNazanin"/>
          <w:color w:val="111111"/>
          <w:sz w:val="28"/>
          <w:sz w:val="28"/>
          <w:szCs w:val="28"/>
          <w:rtl w:val="true"/>
          <w:lang w:bidi="fa-IR"/>
        </w:rPr>
        <w:t>و صحیحة هشام بن سالم و محمّد بن حکیم</w:t>
      </w:r>
      <w:r>
        <w:rPr>
          <w:rStyle w:val="FootnoteAnchor"/>
          <w:rtl w:val="true"/>
        </w:rPr>
        <w:footnoteReference w:id="2297"/>
      </w:r>
    </w:p>
    <w:p>
      <w:pPr>
        <w:pStyle w:val="BookText"/>
        <w:rPr/>
      </w:pPr>
      <w:r>
        <w:rPr>
          <w:rFonts w:ascii="IRNazanin" w:hAnsi="IRNazanin" w:eastAsia="IRNazanin"/>
          <w:color w:val="111111"/>
          <w:sz w:val="28"/>
          <w:sz w:val="28"/>
          <w:szCs w:val="28"/>
          <w:rtl w:val="true"/>
          <w:lang w:bidi="fa-IR"/>
        </w:rPr>
        <w:t>و عبید بن زرارة</w:t>
      </w:r>
      <w:r>
        <w:rPr>
          <w:rStyle w:val="FootnoteAnchor"/>
          <w:rtl w:val="true"/>
        </w:rPr>
        <w:footnoteReference w:id="2298"/>
      </w:r>
      <w:r>
        <w:rPr>
          <w:rFonts w:ascii="IRNazanin" w:hAnsi="IRNazanin" w:eastAsia="IRNazanin"/>
          <w:color w:val="111111"/>
          <w:sz w:val="28"/>
          <w:sz w:val="28"/>
          <w:szCs w:val="28"/>
          <w:rtl w:val="true"/>
          <w:lang w:bidi="fa-IR"/>
        </w:rPr>
        <w:t xml:space="preserve">و علی بن جعفر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التعرّض لها فی بحث تعارض عقد الجدّ و الأب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التی تدلّ علی التوارث بین الصغیرین؛ لأنّ ثبوت الإرث یتوقّف علی النکاح الصحیح، کصحیحة محمّد بن مسلم، عن أبی جعفر علیه السلام فی الصبیّ یتزوّج الصبیّة یتوارثان؟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أبواهما اللذان زوّجاهما فنعم،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یجوز طلاق الأب؟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2299"/>
      </w:r>
      <w:r>
        <w:rPr>
          <w:rFonts w:ascii="IRNazanin" w:hAnsi="IRNazanin" w:eastAsia="IRNazanin"/>
          <w:color w:val="111111"/>
          <w:sz w:val="28"/>
          <w:sz w:val="28"/>
          <w:szCs w:val="28"/>
          <w:rtl w:val="true"/>
          <w:lang w:bidi="fa-IR"/>
        </w:rPr>
        <w:t>کما استدلّ بها فی تفصیل الشریعة</w:t>
      </w:r>
      <w:r>
        <w:rPr>
          <w:rStyle w:val="FootnoteAnchor"/>
          <w:rtl w:val="true"/>
        </w:rPr>
        <w:footnoteReference w:id="2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تدلّ علی أنّ التوارث یتوقّف علی تزویج الأبوین، فجواز عقد الأب قطعیّ لا شکّ فیه، و نحوها معتبرة عبید بن زرارة</w:t>
      </w:r>
      <w:r>
        <w:rPr>
          <w:rStyle w:val="FootnoteAnchor"/>
          <w:rtl w:val="true"/>
        </w:rPr>
        <w:footnoteReference w:id="2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الطائفة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النصوص التی تدلّ علی ثبوت المهر علی الأب أو الابن الصغیر، فإنّ ثبوت المهر فرع صحّة النکاح؛ و لأنّ العقد الفاسد لا یوجب المهر، کموثّقة عبید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الرجل یزوّج ابنه و هو صغیر؟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لابنه مال فعلیه المهر، و إن لم یکن للابن مال فالأب ضامن المهر، ضمن أو لم یضمن</w:t>
      </w:r>
      <w:r>
        <w:rPr>
          <w:rFonts w:eastAsia="IRNazanin" w:cs="IRNazanin"/>
          <w:color w:val="111111"/>
          <w:sz w:val="28"/>
          <w:szCs w:val="28"/>
          <w:rtl w:val="true"/>
          <w:lang w:bidi="fa-IR"/>
        </w:rPr>
        <w:t>»</w:t>
      </w:r>
      <w:r>
        <w:rPr>
          <w:rStyle w:val="FootnoteAnchor"/>
          <w:rtl w:val="true"/>
        </w:rPr>
        <w:footnoteReference w:id="2302"/>
      </w:r>
      <w:r>
        <w:rPr>
          <w:rFonts w:eastAsia="Times New Roman" w:cs="Times New Roman" w:ascii="Times New Roman" w:hAnsi="Times New Roman"/>
          <w:color w:val="111111"/>
          <w:sz w:val="28"/>
          <w:szCs w:val="28"/>
          <w:rtl w:val="true"/>
          <w:lang w:val="en-US" w:bidi="en-US"/>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تفصیله علیه السلام فی المهر دالٌّ علی المفروغیة عن صحّة النکاح، و نحوها موثّقة</w:t>
      </w:r>
      <w:bookmarkStart w:id="1113" w:name="pg11752_146554"/>
    </w:p>
    <w:p>
      <w:pPr>
        <w:pStyle w:val="BookText"/>
        <w:rPr/>
      </w:pPr>
      <w:bookmarkEnd w:id="1113"/>
      <w:r>
        <w:rPr>
          <w:rFonts w:ascii="IRNazanin" w:hAnsi="IRNazanin" w:eastAsia="IRNazanin"/>
          <w:color w:val="111111"/>
          <w:sz w:val="28"/>
          <w:sz w:val="28"/>
          <w:szCs w:val="28"/>
          <w:rtl w:val="true"/>
          <w:lang w:bidi="fa-IR"/>
        </w:rPr>
        <w:t>فضل بن عبد الملک</w:t>
      </w:r>
      <w:r>
        <w:rPr>
          <w:rStyle w:val="FootnoteAnchor"/>
          <w:rtl w:val="true"/>
        </w:rPr>
        <w:footnoteReference w:id="2303"/>
      </w:r>
      <w:r>
        <w:rPr>
          <w:rFonts w:ascii="IRNazanin" w:hAnsi="IRNazanin" w:eastAsia="IRNazanin"/>
          <w:color w:val="111111"/>
          <w:sz w:val="28"/>
          <w:sz w:val="28"/>
          <w:szCs w:val="28"/>
          <w:rtl w:val="true"/>
          <w:lang w:bidi="fa-IR"/>
        </w:rPr>
        <w:t>و ذیل صحیحة الحذّاء</w:t>
      </w:r>
      <w:r>
        <w:rPr>
          <w:rStyle w:val="FootnoteAnchor"/>
          <w:rtl w:val="true"/>
        </w:rPr>
        <w:footnoteReference w:id="230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14" w:name="__RefHeading___Toc9424618_73709187"/>
      <w:bookmarkStart w:id="1115" w:name="_Toc423"/>
      <w:bookmarkEnd w:id="1114"/>
      <w:r>
        <w:rPr>
          <w:rtl w:val="true"/>
        </w:rPr>
        <w:t>الثالث</w:t>
      </w:r>
      <w:r>
        <w:rPr>
          <w:rtl w:val="true"/>
        </w:rPr>
        <w:t xml:space="preserve">: </w:t>
      </w:r>
      <w:r>
        <w:rPr>
          <w:rtl w:val="true"/>
        </w:rPr>
        <w:t>الإجماع</w:t>
      </w:r>
      <w:bookmarkEnd w:id="1115"/>
    </w:p>
    <w:p>
      <w:pPr>
        <w:pStyle w:val="BookText"/>
        <w:rPr/>
      </w:pPr>
      <w:r>
        <w:rPr>
          <w:rFonts w:ascii="IRNazanin" w:hAnsi="IRNazanin" w:eastAsia="IRNazanin"/>
          <w:color w:val="111111"/>
          <w:sz w:val="28"/>
          <w:sz w:val="28"/>
          <w:szCs w:val="28"/>
          <w:rtl w:val="true"/>
          <w:lang w:bidi="fa-IR"/>
        </w:rPr>
        <w:t>کما ادّعاه فی السرائر</w:t>
      </w:r>
      <w:r>
        <w:rPr>
          <w:rStyle w:val="FootnoteAnchor"/>
          <w:rtl w:val="true"/>
        </w:rPr>
        <w:footnoteReference w:id="2305"/>
      </w:r>
      <w:r>
        <w:rPr>
          <w:rFonts w:ascii="IRNazanin" w:hAnsi="IRNazanin" w:eastAsia="IRNazanin"/>
          <w:color w:val="111111"/>
          <w:sz w:val="28"/>
          <w:sz w:val="28"/>
          <w:szCs w:val="28"/>
          <w:rtl w:val="true"/>
          <w:lang w:bidi="fa-IR"/>
        </w:rPr>
        <w:t>و الناصریات</w:t>
      </w:r>
      <w:r>
        <w:rPr>
          <w:rStyle w:val="FootnoteAnchor"/>
          <w:rtl w:val="true"/>
        </w:rPr>
        <w:footnoteReference w:id="2306"/>
      </w:r>
      <w:r>
        <w:rPr>
          <w:rFonts w:ascii="Amiri" w:hAnsi="Amiri" w:eastAsia="Amiri" w:cs="Amiri"/>
          <w:color w:val="111111"/>
          <w:sz w:val="28"/>
          <w:sz w:val="28"/>
          <w:szCs w:val="28"/>
          <w:rtl w:val="true"/>
          <w:lang w:bidi="ar-SA"/>
        </w:rPr>
        <w:t>و الغُنیة</w:t>
      </w:r>
      <w:r>
        <w:rPr>
          <w:rStyle w:val="FootnoteAnchor"/>
          <w:rtl w:val="true"/>
        </w:rPr>
        <w:footnoteReference w:id="2307"/>
      </w:r>
      <w:r>
        <w:rPr>
          <w:rFonts w:ascii="IRNazanin" w:hAnsi="IRNazanin" w:eastAsia="IRNazanin"/>
          <w:color w:val="111111"/>
          <w:sz w:val="28"/>
          <w:sz w:val="28"/>
          <w:szCs w:val="28"/>
          <w:rtl w:val="true"/>
          <w:lang w:bidi="fa-IR"/>
        </w:rPr>
        <w:t>و التذکرة</w:t>
      </w:r>
      <w:r>
        <w:rPr>
          <w:rStyle w:val="FootnoteAnchor"/>
          <w:rtl w:val="true"/>
        </w:rPr>
        <w:footnoteReference w:id="2308"/>
      </w:r>
      <w:r>
        <w:rPr>
          <w:rFonts w:ascii="IRNazanin" w:hAnsi="IRNazanin" w:eastAsia="IRNazanin"/>
          <w:color w:val="111111"/>
          <w:sz w:val="28"/>
          <w:sz w:val="28"/>
          <w:szCs w:val="28"/>
          <w:rtl w:val="true"/>
          <w:lang w:bidi="fa-IR"/>
        </w:rPr>
        <w:t>و جامع المقاصد</w:t>
      </w:r>
      <w:r>
        <w:rPr>
          <w:rStyle w:val="FootnoteAnchor"/>
          <w:rtl w:val="true"/>
        </w:rPr>
        <w:footnoteReference w:id="2309"/>
      </w:r>
      <w:r>
        <w:rPr>
          <w:rFonts w:ascii="IRNazanin" w:hAnsi="IRNazanin" w:eastAsia="IRNazanin"/>
          <w:color w:val="111111"/>
          <w:sz w:val="28"/>
          <w:sz w:val="28"/>
          <w:szCs w:val="28"/>
          <w:rtl w:val="true"/>
          <w:lang w:bidi="fa-IR"/>
        </w:rPr>
        <w:t>و الریاض</w:t>
      </w:r>
      <w:r>
        <w:rPr>
          <w:rStyle w:val="FootnoteAnchor"/>
          <w:rtl w:val="true"/>
        </w:rPr>
        <w:footnoteReference w:id="2310"/>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السرائر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عندنا أنّه لا ولایة علی النساء الصغار اللاتی لم یبلغن تسع سنین إلاّ للأب و الجدّ من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خلاف بین أصحابنا إلاّ من شیخنا أبی جعفر فی نهایته</w:t>
      </w:r>
      <w:r>
        <w:rPr>
          <w:rFonts w:eastAsia="IRNazanin" w:cs="IRNazanin"/>
          <w:color w:val="111111"/>
          <w:sz w:val="28"/>
          <w:szCs w:val="28"/>
          <w:rtl w:val="true"/>
          <w:lang w:bidi="fa-IR"/>
        </w:rPr>
        <w:t>»</w:t>
      </w:r>
      <w:r>
        <w:rPr>
          <w:rStyle w:val="FootnoteAnchor"/>
          <w:rtl w:val="true"/>
        </w:rPr>
        <w:footnoteReference w:id="2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الریاض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ولایة فی النکاح لغیر الأب و الجدّ للأب و إن علا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إجماعاً</w:t>
      </w:r>
      <w:r>
        <w:rPr>
          <w:rFonts w:eastAsia="Amiri" w:cs="Amiri" w:ascii="Amiri" w:hAnsi="Amiri"/>
          <w:color w:val="111111"/>
          <w:sz w:val="28"/>
          <w:szCs w:val="28"/>
          <w:rtl w:val="true"/>
          <w:lang w:bidi="ar-SA"/>
        </w:rPr>
        <w:t>»</w:t>
      </w:r>
      <w:r>
        <w:rPr>
          <w:rStyle w:val="FootnoteAnchor"/>
          <w:rtl w:val="true"/>
        </w:rPr>
        <w:footnoteReference w:id="2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هذا الإجماع لا یکون دلیلاً مستقلاًّ فی قبال النصوص</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من جمیع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الولایة للأب و الجدّ علی نکاح الصغیرین ثابتة، کتاباً و سنةً و اتفاقاً من الفقهاء، و لم نظفر علی مخالفٍ إلاّ ما یُنسب إلی ابن عقیل من إنکار ولایة الجدّ، و لعلّه استند فی ذلک إلی النصوص التی تدلّ علی حصر الولایة فی الأب</w:t>
      </w:r>
      <w:r>
        <w:rPr>
          <w:rFonts w:eastAsia="IRNazanin" w:cs="IRNazanin"/>
          <w:color w:val="111111"/>
          <w:sz w:val="28"/>
          <w:szCs w:val="28"/>
          <w:rtl w:val="true"/>
          <w:lang w:bidi="fa-IR"/>
        </w:rPr>
        <w:t>:</w:t>
      </w:r>
      <w:bookmarkStart w:id="1116" w:name="pg11752_146555"/>
    </w:p>
    <w:p>
      <w:pPr>
        <w:pStyle w:val="BookText"/>
        <w:rPr/>
      </w:pPr>
      <w:bookmarkEnd w:id="1116"/>
      <w:r>
        <w:rPr>
          <w:rFonts w:ascii="IRNazanin" w:hAnsi="IRNazanin" w:eastAsia="IRNazanin"/>
          <w:color w:val="111111"/>
          <w:sz w:val="28"/>
          <w:sz w:val="28"/>
          <w:szCs w:val="28"/>
          <w:rtl w:val="true"/>
          <w:lang w:bidi="fa-IR"/>
        </w:rPr>
        <w:t>کصحیحة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ینقض النکاح إلاّ الأب</w:t>
      </w:r>
      <w:r>
        <w:rPr>
          <w:rFonts w:eastAsia="IRNazanin" w:cs="IRNazanin"/>
          <w:color w:val="111111"/>
          <w:sz w:val="28"/>
          <w:szCs w:val="28"/>
          <w:rtl w:val="true"/>
          <w:lang w:bidi="fa-IR"/>
        </w:rPr>
        <w:t>»</w:t>
      </w:r>
      <w:r>
        <w:rPr>
          <w:rStyle w:val="FootnoteAnchor"/>
          <w:rtl w:val="true"/>
        </w:rPr>
        <w:footnoteReference w:id="2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موثّقة محمّد بن مسلم،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ینقض النکاح إلاّ الأب</w:t>
      </w:r>
      <w:r>
        <w:rPr>
          <w:rFonts w:eastAsia="IRNazanin" w:cs="IRNazanin"/>
          <w:color w:val="111111"/>
          <w:sz w:val="28"/>
          <w:szCs w:val="28"/>
          <w:rtl w:val="true"/>
          <w:lang w:bidi="fa-IR"/>
        </w:rPr>
        <w:t>»</w:t>
      </w:r>
      <w:r>
        <w:rPr>
          <w:rStyle w:val="FootnoteAnchor"/>
          <w:rtl w:val="true"/>
        </w:rPr>
        <w:footnoteReference w:id="2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أنّ المقصود فیهما نفی نفوذ غیر الأب من العصبات فی التزویج من الأخ و العمّ و الخال و غیرهم، ردّاً للعامّة لأنّهم یقولون بولایة العصبات، 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یطلق الأب علی الجدّ مجازاً، فیصحّ أن یکون المقصود من الأب فی هذه النصوص الحاصرة الأب و الجدّ لغةً کما قال فی المصباح المنیر</w:t>
      </w:r>
      <w:r>
        <w:rPr>
          <w:rStyle w:val="FootnoteAnchor"/>
          <w:rtl w:val="true"/>
        </w:rPr>
        <w:footnoteReference w:id="2315"/>
      </w:r>
      <w:r>
        <w:rPr>
          <w:rFonts w:ascii="IRNazanin" w:hAnsi="IRNazanin" w:eastAsia="IRNazanin"/>
          <w:color w:val="111111"/>
          <w:sz w:val="28"/>
          <w:sz w:val="28"/>
          <w:szCs w:val="28"/>
          <w:rtl w:val="true"/>
          <w:lang w:bidi="fa-IR"/>
        </w:rPr>
        <w:t>، أو إجماعاً کما قال 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الجدّ ملحق بالأب إجماعاً</w:t>
      </w:r>
      <w:r>
        <w:rPr>
          <w:rStyle w:val="FootnoteAnchor"/>
          <w:rtl w:val="true"/>
        </w:rPr>
        <w:footnoteReference w:id="23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 أبٌ فی الحقیقة</w:t>
      </w:r>
      <w:r>
        <w:rPr>
          <w:rStyle w:val="FootnoteAnchor"/>
          <w:rtl w:val="true"/>
        </w:rPr>
        <w:footnoteReference w:id="2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الغضّ عمّا قلنا فقد وقع التعارض بین هذه النصوص و النصوص السابقة التی صرّح فیها بثبوت الولایة للأب و الجدّ، و حیث إنّ لها شهرة عظیمة روایةً و فتوی یلزم رفع الید عن هذه النصوص الحاصرة للولایة بالأب دون الجدّ، فیتمّ بهذا المطلوب</w:t>
      </w:r>
      <w:r>
        <w:rPr>
          <w:rFonts w:eastAsia="IRNazanin" w:cs="IRNazanin"/>
          <w:color w:val="111111"/>
          <w:sz w:val="28"/>
          <w:szCs w:val="28"/>
          <w:rtl w:val="true"/>
          <w:lang w:bidi="fa-IR"/>
        </w:rPr>
        <w:t>.</w:t>
      </w:r>
    </w:p>
    <w:p>
      <w:pPr>
        <w:pStyle w:val="Heading5"/>
        <w:numPr>
          <w:ilvl w:val="4"/>
          <w:numId w:val="1"/>
        </w:numPr>
        <w:rPr/>
      </w:pPr>
      <w:bookmarkStart w:id="1117" w:name="__RefHeading___Toc9424620_73709187"/>
      <w:bookmarkStart w:id="1118" w:name="_Toc424"/>
      <w:bookmarkEnd w:id="1117"/>
      <w:r>
        <w:rPr>
          <w:rtl w:val="true"/>
        </w:rPr>
        <w:t>آراء أهل السنّة فی المسألة</w:t>
      </w:r>
      <w:bookmarkEnd w:id="1118"/>
    </w:p>
    <w:p>
      <w:pPr>
        <w:pStyle w:val="Heading6"/>
        <w:numPr>
          <w:ilvl w:val="5"/>
          <w:numId w:val="1"/>
        </w:numPr>
        <w:rPr/>
      </w:pPr>
      <w:bookmarkStart w:id="1119" w:name="__RefHeading___Toc9424622_73709187"/>
      <w:bookmarkStart w:id="1120" w:name="_Toc425"/>
      <w:bookmarkEnd w:id="1119"/>
      <w:r>
        <w:rPr>
          <w:rtl w:val="true"/>
        </w:rPr>
        <w:t>اشارة</w:t>
      </w:r>
      <w:bookmarkEnd w:id="1120"/>
    </w:p>
    <w:p>
      <w:pPr>
        <w:pStyle w:val="BookText"/>
        <w:rPr/>
      </w:pPr>
      <w:r>
        <w:rPr>
          <w:rFonts w:ascii="IRNazanin" w:hAnsi="IRNazanin" w:eastAsia="IRNazanin"/>
          <w:color w:val="111111"/>
          <w:sz w:val="28"/>
          <w:sz w:val="28"/>
          <w:szCs w:val="28"/>
          <w:rtl w:val="true"/>
          <w:lang w:bidi="fa-IR"/>
        </w:rPr>
        <w:t>فی ثبوت ولایة التزویج علی الصغار عندهم ثلاثة أقوال</w:t>
      </w:r>
      <w:r>
        <w:rPr>
          <w:rFonts w:eastAsia="IRNazanin" w:cs="IRNazanin"/>
          <w:color w:val="111111"/>
          <w:sz w:val="28"/>
          <w:szCs w:val="28"/>
          <w:rtl w:val="true"/>
          <w:lang w:bidi="fa-IR"/>
        </w:rPr>
        <w:t>:</w:t>
      </w:r>
    </w:p>
    <w:p>
      <w:pPr>
        <w:pStyle w:val="Heading6"/>
        <w:numPr>
          <w:ilvl w:val="5"/>
          <w:numId w:val="1"/>
        </w:numPr>
        <w:rPr/>
      </w:pPr>
      <w:bookmarkStart w:id="1121" w:name="__RefHeading___Toc9424624_73709187"/>
      <w:bookmarkStart w:id="1122" w:name="_Toc426"/>
      <w:bookmarkEnd w:id="1121"/>
      <w:r>
        <w:rPr>
          <w:rtl w:val="true"/>
        </w:rPr>
        <w:t>الأوّل</w:t>
      </w:r>
      <w:r>
        <w:rPr>
          <w:rtl w:val="true"/>
        </w:rPr>
        <w:t xml:space="preserve">: </w:t>
      </w:r>
      <w:r>
        <w:rPr>
          <w:rtl w:val="true"/>
        </w:rPr>
        <w:t>أنّه لا ولایة لأحدٍ فی تزویج الصغار</w:t>
      </w:r>
      <w:bookmarkEnd w:id="1122"/>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ذهب إلیه ابن شبرمة و أبو بکر</w:t>
      </w:r>
    </w:p>
    <w:p>
      <w:pPr>
        <w:pStyle w:val="BookText"/>
        <w:rPr/>
      </w:pPr>
      <w:r>
        <w:rPr>
          <w:rFonts w:ascii="Amiri" w:hAnsi="Amiri" w:eastAsia="Amiri" w:cs="Amiri"/>
          <w:color w:val="111111"/>
          <w:sz w:val="28"/>
          <w:sz w:val="28"/>
          <w:szCs w:val="28"/>
          <w:rtl w:val="true"/>
          <w:lang w:bidi="ar-SA"/>
        </w:rPr>
        <w:t>الأصمّ و عثمان البتّی</w:t>
      </w:r>
      <w:r>
        <w:rPr>
          <w:rStyle w:val="FootnoteAnchor"/>
          <w:rtl w:val="true"/>
        </w:rPr>
        <w:footnoteReference w:id="2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استدلّوا بأنّ الولایة فی التزویج کانت لحاجة المولّی علیه إلی النکاح، و الصغیران لم یحتاجا إلی النکاح؛ لأنّ المقصود من النکاح طبعاً هو قضاء الشهوة، و شرعاً النسل، و الصغر ینافی هذین المقصودین</w:t>
      </w:r>
      <w:r>
        <w:rPr>
          <w:rStyle w:val="FootnoteAnchor"/>
          <w:rtl w:val="true"/>
        </w:rPr>
        <w:footnoteReference w:id="2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فی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النکاح أغراضاً و مقاصد مشروعة لا تتحقّق غالباً إلاّ إذا کان الزوج کفواً و الکفو عزیز الوجود و لا یحصل فی کلّ وقتٍ، فکانت الحاجةُ ماسّة إلی إثبات الولایة فی الزواج علی الصغیرة لتزویجها بالکفء؛ لأنّه لو انتظر بلوغها لفات ذلک الکفء و لا یوجد مثله</w:t>
      </w:r>
      <w:r>
        <w:rPr>
          <w:rFonts w:eastAsia="IRNazanin" w:cs="IRNazanin"/>
          <w:color w:val="111111"/>
          <w:sz w:val="28"/>
          <w:szCs w:val="28"/>
          <w:rtl w:val="true"/>
          <w:lang w:bidi="fa-IR"/>
        </w:rPr>
        <w:t>»</w:t>
      </w:r>
      <w:r>
        <w:rPr>
          <w:rStyle w:val="FootnoteAnchor"/>
          <w:rtl w:val="true"/>
        </w:rPr>
        <w:footnoteReference w:id="2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وردت الآثار الکثیرة عن الصحابة التی تدلّ علی جواز نکاح الصغار بتزویج الآباء مثل حدیث تزویج النبیّ صلی الله علیه و آله بعائشة و هی صغیرة</w:t>
      </w:r>
      <w:r>
        <w:rPr>
          <w:rStyle w:val="FootnoteAnchor"/>
          <w:rtl w:val="true"/>
        </w:rPr>
        <w:footnoteReference w:id="23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ادّعی أنّ هذا من خصائصه صلی الله علیه و آله فلیأت بدلیل خاصّ، و کذلک سائر ما ذکر من الآثار، من قبیل أنّ قُدامة بن مظعون تزوّج بنت الزبیر، و تزویج ابن عمر بنتاً له صغیرة من عروة بن الزبیر، و غیر ذلک من الأخبار</w:t>
      </w:r>
      <w:r>
        <w:rPr>
          <w:rStyle w:val="FootnoteAnchor"/>
          <w:rtl w:val="true"/>
        </w:rPr>
        <w:footnoteReference w:id="2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خلاف ظاهر الآیات السابقة و الإجماع، فلذلک یلزم طرحه</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الصغیرة و الصغیر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تثبت ولایة التزویج علی الصغیرة دون الصغیر، هذا قول ابن حزم الأندلسی حیث قال فی المسألة </w:t>
      </w:r>
      <w:r>
        <w:rPr>
          <w:rFonts w:eastAsia="IRNazanin" w:cs="IRNazanin"/>
          <w:color w:val="111111"/>
          <w:sz w:val="28"/>
          <w:szCs w:val="28"/>
          <w:lang w:bidi="fa-IR"/>
        </w:rPr>
        <w:t>1826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للأب أن یزوّج ابنته الصغیرة البکر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 تبلغ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إذنها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أیضاً فی المسألة </w:t>
      </w:r>
      <w:r>
        <w:rPr>
          <w:rFonts w:eastAsia="IRNazanin" w:cs="IRNazanin"/>
          <w:color w:val="111111"/>
          <w:sz w:val="28"/>
          <w:szCs w:val="28"/>
          <w:lang w:bidi="fa-IR"/>
        </w:rPr>
        <w:t>1827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یجوز للأب و لا لغیره إنکاح الصغیر الذکر</w:t>
      </w:r>
      <w:r>
        <w:rPr>
          <w:rFonts w:eastAsia="IRNazanin" w:cs="IRNazanin"/>
          <w:color w:val="111111"/>
          <w:sz w:val="28"/>
          <w:szCs w:val="28"/>
          <w:rtl w:val="true"/>
          <w:lang w:bidi="fa-IR"/>
        </w:rPr>
        <w:t>»</w:t>
      </w:r>
      <w:r>
        <w:rPr>
          <w:rStyle w:val="FootnoteAnchor"/>
          <w:rtl w:val="true"/>
        </w:rPr>
        <w:footnoteReference w:id="2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أیضاً مخالف لظاهر الکتاب و الأخبار و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تثبت الولایة علی الصغیرة و الصغیر، و هو قول جمهور الفقهاء من المذاهب الأربعة، فنذکر شطراً من کلماتهم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الحنابلة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المغنی لابن قدامة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زوّج الرجل ابنته البکر فوضعها فی کفایةٍ، فالنکاح ثابتٌ و إن کرهت کبیرةً کانت أو صغیرةً، أمّا البکر الصغیرة فلا خلاف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 کلّ مَن نحفظ عنه من أهل العلم أنّ نکاح الأب ابنته البکر الصغیرة جائز إذا زوّجها من کفؤ</w:t>
      </w:r>
      <w:r>
        <w:rPr>
          <w:rFonts w:eastAsia="IRNazanin" w:cs="IRNazanin"/>
          <w:color w:val="111111"/>
          <w:sz w:val="28"/>
          <w:szCs w:val="28"/>
          <w:rtl w:val="true"/>
          <w:lang w:bidi="fa-IR"/>
        </w:rPr>
        <w:t>...»</w:t>
      </w:r>
      <w:r>
        <w:rPr>
          <w:rStyle w:val="FootnoteAnchor"/>
          <w:rtl w:val="true"/>
        </w:rPr>
        <w:footnoteReference w:id="2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کانت حرّةً، فأولی الناس بها أبوها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الجد أبو الأب</w:t>
      </w:r>
      <w:r>
        <w:rPr>
          <w:rFonts w:eastAsia="IRNazanin" w:cs="IRNazanin"/>
          <w:color w:val="111111"/>
          <w:sz w:val="28"/>
          <w:szCs w:val="28"/>
          <w:rtl w:val="true"/>
          <w:lang w:bidi="fa-IR"/>
        </w:rPr>
        <w:t>»</w:t>
      </w:r>
      <w:r>
        <w:rPr>
          <w:rStyle w:val="FootnoteAnchor"/>
          <w:rtl w:val="true"/>
        </w:rPr>
        <w:footnoteReference w:id="2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الحنفیّة</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المبسوط للسرخسی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الأصل فی ترتیب الأولیاء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النکاح إلی العصبات، و المولّی علیها لا یخلو إمّا أن تکون صغیرة أو کبیرة معتوهة، فإن کانت صغیرة فأولی الأولیاء علیها أبوها، ثمّ الجدّ بعد الأب قائم مقام الأب فی ظاهر</w:t>
      </w:r>
      <w:bookmarkStart w:id="1123" w:name="pg11752_146558"/>
    </w:p>
    <w:p>
      <w:pPr>
        <w:pStyle w:val="BookText"/>
        <w:rPr/>
      </w:pPr>
      <w:bookmarkEnd w:id="1123"/>
      <w:r>
        <w:rPr>
          <w:rFonts w:ascii="IRNazanin" w:hAnsi="IRNazanin" w:eastAsia="IRNazanin"/>
          <w:color w:val="111111"/>
          <w:sz w:val="28"/>
          <w:sz w:val="28"/>
          <w:szCs w:val="28"/>
          <w:rtl w:val="true"/>
          <w:lang w:bidi="fa-IR"/>
        </w:rPr>
        <w:t>الروایة، و ذکر الکرخی أنّ هذا قول أبی حنیفة</w:t>
      </w:r>
      <w:r>
        <w:rPr>
          <w:rFonts w:eastAsia="IRNazanin" w:cs="IRNazanin"/>
          <w:color w:val="111111"/>
          <w:sz w:val="28"/>
          <w:szCs w:val="28"/>
          <w:rtl w:val="true"/>
          <w:lang w:bidi="fa-IR"/>
        </w:rPr>
        <w:t>»</w:t>
      </w:r>
      <w:r>
        <w:rPr>
          <w:rStyle w:val="FootnoteAnchor"/>
          <w:rtl w:val="true"/>
        </w:rPr>
        <w:footnoteReference w:id="2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المالکیّة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یجبر أحدٌ أحداً عند مالک علی النکاح إلاّ الأب فی ابنته البکر، و فی ابنه الصغیر، و فی أمته و فی عبده، و الولیّ فی یتیمه</w:t>
      </w:r>
      <w:r>
        <w:rPr>
          <w:rStyle w:val="FootnoteAnchor"/>
          <w:rtl w:val="true"/>
        </w:rPr>
        <w:footnoteReference w:id="2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قول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الولایة علی الحرّة باعتبار الحاجة، و لا حاجة هنا؛ لانعدام الشهوة، إلاّ أنّ ولایة الأب تثبت نصّاً بخلاف القیاس، و الجدّ لیس فی معناه؛ لقصور شفقته فلا یلحق به دلالةً؛ لأنّ الولد جزء الأب، و کانت الولایة للأب علیه کالولایة علی نفسه، و الجزئیة قد ضعفت بالجدّ، و الشفقة قد نقصت فلا یکون فی معناه</w:t>
      </w:r>
      <w:r>
        <w:rPr>
          <w:rStyle w:val="FootnoteAnchor"/>
          <w:rtl w:val="true"/>
        </w:rPr>
        <w:footnoteReference w:id="2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نظره مبنیٌّ علی القیاس الباطل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الشافعیّة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المهذّب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یجوز للأب و الجدّ تزویج البکر من غیر رضاها صغیرة کانت أو کبیرة</w:t>
      </w:r>
      <w:r>
        <w:rPr>
          <w:rFonts w:eastAsia="IRNazanin" w:cs="IRNazanin"/>
          <w:color w:val="111111"/>
          <w:sz w:val="28"/>
          <w:szCs w:val="28"/>
          <w:rtl w:val="true"/>
          <w:lang w:bidi="fa-IR"/>
        </w:rPr>
        <w:t>»</w:t>
      </w:r>
      <w:r>
        <w:rPr>
          <w:rStyle w:val="FootnoteAnchor"/>
          <w:rtl w:val="true"/>
        </w:rPr>
        <w:footnoteReference w:id="2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فالجمهور من فقهاء أهل السنّة أثبتوا الولایة للأب علی زواج الصغار، و لکن اعتقدوا أنّ ولایة الجدّ کانت فی مرتبةٍ متأخّرةٍ من ولایة الأب، و لا یکون له ولایةٌ فی حیاة الأب</w:t>
      </w:r>
      <w:r>
        <w:rPr>
          <w:rFonts w:eastAsia="IRNazanin" w:cs="IRNazanin"/>
          <w:color w:val="111111"/>
          <w:sz w:val="28"/>
          <w:szCs w:val="28"/>
          <w:rtl w:val="true"/>
          <w:lang w:bidi="fa-IR"/>
        </w:rPr>
        <w:t>.</w:t>
      </w:r>
    </w:p>
    <w:p>
      <w:pPr>
        <w:pStyle w:val="Heading6"/>
        <w:numPr>
          <w:ilvl w:val="5"/>
          <w:numId w:val="1"/>
        </w:numPr>
        <w:rPr/>
      </w:pPr>
      <w:bookmarkStart w:id="1124" w:name="__RefHeading___Toc9424626_73709187"/>
      <w:bookmarkStart w:id="1125" w:name="_Toc427"/>
      <w:bookmarkEnd w:id="1124"/>
      <w:r>
        <w:rPr>
          <w:rtl w:val="true"/>
        </w:rPr>
        <w:t>فی ولایة الأمّ علی تزویج الصغار</w:t>
      </w:r>
      <w:bookmarkEnd w:id="1125"/>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سبق تفصیلاً أنّ الولایة فی زواج الصغار منحصرة فی الأب و الجدّ، و لم</w:t>
      </w:r>
    </w:p>
    <w:p>
      <w:pPr>
        <w:pStyle w:val="BookText"/>
        <w:rPr/>
      </w:pPr>
      <w:r>
        <w:rPr>
          <w:rFonts w:ascii="IRNazanin" w:hAnsi="IRNazanin" w:eastAsia="IRNazanin"/>
          <w:color w:val="111111"/>
          <w:sz w:val="28"/>
          <w:sz w:val="28"/>
          <w:szCs w:val="28"/>
          <w:rtl w:val="true"/>
          <w:lang w:bidi="fa-IR"/>
        </w:rPr>
        <w:t>یخالف فی هذه المسألة أحد من أصحابنا، بل قام الإجماع علیها کما سبق، إلاّ أنّ ابن الجنید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الأم و أباها قائم مقام الأب فی حال عدمه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حکی عنه فی المختلف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الصبیّة غیر البالغة، فإذا عقد علیها أبوها فبلغت، لم یکن لها اختیارٌ، و لیس ذلک لغیر الأب و آبائه فی حیاته، و الأمّ و أبوها یقومان مقام الأب و آبائه فی ذلک؛ لأنّ رسول اللّه صلی الله علیه و آله أمر نعیم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النحّام</w:t>
      </w:r>
      <w:r>
        <w:rPr>
          <w:rFonts w:eastAsia="IRNazanin" w:cs="IRNazanin"/>
          <w:color w:val="111111"/>
          <w:sz w:val="28"/>
          <w:szCs w:val="28"/>
          <w:rtl w:val="true"/>
          <w:lang w:bidi="fa-IR"/>
        </w:rPr>
        <w:t>]</w:t>
      </w:r>
      <w:r>
        <w:rPr>
          <w:rStyle w:val="FootnoteAnchor"/>
          <w:rtl w:val="true"/>
        </w:rPr>
        <w:footnoteReference w:id="2330"/>
      </w:r>
      <w:r>
        <w:rPr>
          <w:rFonts w:ascii="IRNazanin" w:hAnsi="IRNazanin" w:eastAsia="IRNazanin"/>
          <w:color w:val="111111"/>
          <w:sz w:val="28"/>
          <w:sz w:val="28"/>
          <w:szCs w:val="28"/>
          <w:rtl w:val="true"/>
          <w:lang w:bidi="fa-IR"/>
        </w:rPr>
        <w:t>أن یستأمر أمّ ابنته فی أمرها</w:t>
      </w:r>
      <w:r>
        <w:rPr>
          <w:rStyle w:val="FootnoteAnchor"/>
          <w:rtl w:val="true"/>
        </w:rPr>
        <w:footnoteReference w:id="2331"/>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فآمروهنّ فی بناتهن</w:t>
      </w:r>
      <w:r>
        <w:rPr>
          <w:rStyle w:val="FootnoteAnchor"/>
          <w:rtl w:val="true"/>
        </w:rPr>
        <w:footnoteReference w:id="2332"/>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أیضاً یمکن أن یستدلّ لکلام ابن الجنید بروایة إبراهیم بن میمون،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کانت الجاریة بین أبویها، فلیس لها مع أبویها أمرٌ، و إذا کانت قد تزوّجت لم یزوّجها إلاّ برضا منها</w:t>
      </w:r>
      <w:r>
        <w:rPr>
          <w:rFonts w:eastAsia="IRNazanin" w:cs="IRNazanin"/>
          <w:color w:val="111111"/>
          <w:sz w:val="28"/>
          <w:szCs w:val="28"/>
          <w:rtl w:val="true"/>
          <w:lang w:bidi="fa-IR"/>
        </w:rPr>
        <w:t>»</w:t>
      </w:r>
      <w:r>
        <w:rPr>
          <w:rStyle w:val="FootnoteAnchor"/>
          <w:rtl w:val="true"/>
        </w:rPr>
        <w:footnoteReference w:id="2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إنّ ظاهرها عدم اختصاص الولایة فی الأب و ثبوتها للأمّ أیضاً، و الحقّ أنّه لا ولایة لها علی تزویج البنت لوجوه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أصالة عدم الولایة للأمّ و أبیها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 النصوص السابقة یدلّ علی عدم جواز ولایة غیر الأب و الجدّ کصحیح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الصبیّ یزوّج الصبیّة؟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أبواهما اللذان زوّجاهما، فنعم جائز</w:t>
      </w:r>
      <w:r>
        <w:rPr>
          <w:rFonts w:eastAsia="IRNazanin" w:cs="IRNazanin"/>
          <w:color w:val="111111"/>
          <w:sz w:val="28"/>
          <w:szCs w:val="28"/>
          <w:rtl w:val="true"/>
          <w:lang w:bidi="fa-IR"/>
        </w:rPr>
        <w:t>»</w:t>
      </w:r>
      <w:r>
        <w:rPr>
          <w:rStyle w:val="FootnoteAnchor"/>
          <w:rtl w:val="true"/>
        </w:rPr>
        <w:footnoteReference w:id="2335"/>
      </w:r>
      <w:r>
        <w:rPr>
          <w:rFonts w:eastAsia="Times New Roman" w:cs="Times New Roman" w:ascii="Times New Roman" w:hAnsi="Times New Roman"/>
          <w:color w:val="111111"/>
          <w:sz w:val="28"/>
          <w:szCs w:val="28"/>
          <w:rtl w:val="true"/>
          <w:lang w:val="en-US" w:bidi="en-US"/>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یدلّ من جهة مفهوم الشرط علی عدم جواز التزویج لو زوّجهما</w:t>
      </w:r>
      <w:r>
        <w:rPr>
          <w:rStyle w:val="FootnoteAnchor"/>
          <w:rtl w:val="true"/>
        </w:rPr>
        <w:footnoteReference w:id="2336"/>
      </w:r>
      <w:r>
        <w:rPr>
          <w:rFonts w:ascii="IRNazanin" w:hAnsi="IRNazanin" w:eastAsia="IRNazanin"/>
          <w:color w:val="111111"/>
          <w:sz w:val="28"/>
          <w:sz w:val="28"/>
          <w:szCs w:val="28"/>
          <w:rtl w:val="true"/>
          <w:lang w:bidi="fa-IR"/>
        </w:rPr>
        <w:t>غیر</w:t>
      </w:r>
    </w:p>
    <w:p>
      <w:pPr>
        <w:pStyle w:val="BookText"/>
        <w:rPr/>
      </w:pPr>
      <w:r>
        <w:rPr>
          <w:rFonts w:ascii="IRNazanin" w:hAnsi="IRNazanin" w:eastAsia="IRNazanin"/>
          <w:color w:val="111111"/>
          <w:sz w:val="28"/>
          <w:sz w:val="28"/>
          <w:szCs w:val="28"/>
          <w:rtl w:val="true"/>
          <w:lang w:bidi="fa-IR"/>
        </w:rPr>
        <w:t>الأبوین، أی أب الصبیّ و الصبیّة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صحیح آخر لمحمّد بن مسلم</w:t>
      </w:r>
      <w:r>
        <w:rPr>
          <w:rStyle w:val="FootnoteAnchor"/>
          <w:rtl w:val="true"/>
        </w:rPr>
        <w:footnoteReference w:id="2337"/>
      </w:r>
      <w:r>
        <w:rPr>
          <w:rFonts w:ascii="IRNazanin" w:hAnsi="IRNazanin" w:eastAsia="IRNazanin"/>
          <w:color w:val="111111"/>
          <w:sz w:val="28"/>
          <w:sz w:val="28"/>
          <w:szCs w:val="28"/>
          <w:rtl w:val="true"/>
          <w:lang w:bidi="fa-IR"/>
        </w:rPr>
        <w:t>، و دلالته مثل سابقه ظاهر، و هکذا خبرٌ آخر له عن أبی جعفر علیه السلام، أنّه سأله عن رجلٍ زوّجته أمّه و هو غائب؟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النکاح جائز، إن شاء المتزوّج قَبِلَ و إن شاء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2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عمومه</w:t>
      </w:r>
      <w:r>
        <w:rPr>
          <w:rStyle w:val="FootnoteAnchor"/>
          <w:rtl w:val="true"/>
        </w:rPr>
        <w:footnoteReference w:id="2339"/>
      </w:r>
      <w:r>
        <w:rPr>
          <w:rFonts w:ascii="IRNazanin" w:hAnsi="IRNazanin" w:eastAsia="IRNazanin"/>
          <w:color w:val="111111"/>
          <w:sz w:val="28"/>
          <w:sz w:val="28"/>
          <w:szCs w:val="28"/>
          <w:rtl w:val="true"/>
          <w:lang w:bidi="fa-IR"/>
        </w:rPr>
        <w:t>الناشئ عن ترک الاستفصال من وقوع التزویج حال البلوغ أو قبله شامل لمحلّ النزاع، و قصور السند معتضدٌ بالشهرة، فعقد الأمّ کعقد الفضولی و لا یکون عقد إجبارٍ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نصوص أخر دلّت علی عدم ولایة غیر الأب و الجدّ للأب، خصوصاً النصوص الحاصرة للولایة بالأب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کصحیحة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ینقض النکاح إلاّ الأب</w:t>
      </w:r>
      <w:r>
        <w:rPr>
          <w:rFonts w:eastAsia="IRNazanin" w:cs="IRNazanin"/>
          <w:color w:val="111111"/>
          <w:sz w:val="28"/>
          <w:szCs w:val="28"/>
          <w:rtl w:val="true"/>
          <w:lang w:bidi="fa-IR"/>
        </w:rPr>
        <w:t>»</w:t>
      </w:r>
      <w:r>
        <w:rPr>
          <w:rStyle w:val="FootnoteAnchor"/>
          <w:rtl w:val="true"/>
        </w:rPr>
        <w:footnoteReference w:id="2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هکذا صحیحة محمّد بن مسلم</w:t>
      </w:r>
      <w:r>
        <w:rPr>
          <w:rStyle w:val="FootnoteAnchor"/>
          <w:rtl w:val="true"/>
        </w:rPr>
        <w:footnoteReference w:id="2341"/>
      </w:r>
      <w:r>
        <w:rPr>
          <w:rFonts w:ascii="IRNazanin" w:hAnsi="IRNazanin" w:eastAsia="IRNazanin"/>
          <w:color w:val="111111"/>
          <w:sz w:val="28"/>
          <w:sz w:val="28"/>
          <w:szCs w:val="28"/>
          <w:rtl w:val="true"/>
          <w:lang w:bidi="fa-IR"/>
        </w:rPr>
        <w:t>، و کذا موثّقته</w:t>
      </w:r>
      <w:r>
        <w:rPr>
          <w:rStyle w:val="FootnoteAnchor"/>
          <w:rtl w:val="true"/>
        </w:rPr>
        <w:footnoteReference w:id="2342"/>
      </w:r>
      <w:r>
        <w:rPr>
          <w:rFonts w:eastAsia="Times New Roman" w:cs="Times New Roman" w:ascii="Times New Roman" w:hAnsi="Times New Roman"/>
          <w:color w:val="111111"/>
          <w:sz w:val="28"/>
          <w:szCs w:val="28"/>
          <w:rtl w:val="true"/>
          <w:lang w:val="en-US" w:bidi="en-US"/>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فبمقتضی هذه النصوص تکون الولایة منحصرةً فی الأب، و أمّا الجدّ من قِبَل الأب فهو ملحق به کما قلنا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فالحصر فیها إضافی، أی بالنسبة إلی العصبات من الأخ و العمّ و الخال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یکون بالنسبة إلی الحاکم و الوصیّ و المولی</w:t>
      </w:r>
      <w:r>
        <w:rPr>
          <w:rFonts w:eastAsia="IRNazanin" w:cs="IRNazanin"/>
          <w:color w:val="111111"/>
          <w:sz w:val="28"/>
          <w:szCs w:val="28"/>
          <w:rtl w:val="true"/>
          <w:lang w:bidi="fa-IR"/>
        </w:rPr>
        <w:t>.</w:t>
      </w:r>
      <w:bookmarkStart w:id="1126" w:name="pg11752_146561"/>
    </w:p>
    <w:p>
      <w:pPr>
        <w:pStyle w:val="BookText"/>
        <w:rPr/>
      </w:pPr>
      <w:bookmarkEnd w:id="1126"/>
      <w:r>
        <w:rPr>
          <w:rFonts w:ascii="IRNazanin" w:hAnsi="IRNazanin" w:eastAsia="IRNazanin"/>
          <w:color w:val="111111"/>
          <w:sz w:val="28"/>
          <w:sz w:val="28"/>
          <w:szCs w:val="28"/>
          <w:rtl w:val="true"/>
          <w:lang w:bidi="fa-IR"/>
        </w:rPr>
        <w:t>و أمّا الحدیث النبویّ الذی استدلّ به ابن الجنید فإنّه محمول علی الأولویة، یعنی یستحبّ أن یستأمر و یأذن الأب لأمّ بنتهِ فی أمر نکاحها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لا تثبت الولایة للأمّ بانفرادها؛ لأنّ المدّعی إثبات الولایة للأمّ بالاستقلال لا بنحو الاشتراک، و مع غضّ النظر عن جمیع ما قلنا فإنّ هذه الروایة ضعیفة سنداً، و لا یجوز أن تکون مستنداً للحکم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الاستناد بروایة إبراهیم بن میمون فأیضاً غیر صحیح؛ لأنّ الإجماع علی خلافها، و لضعف سندها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إبراهیم بن میمون لم یرد فیه مدحٌ فضلاً عن التوثیق</w:t>
      </w:r>
      <w:r>
        <w:rPr>
          <w:rStyle w:val="FootnoteAnchor"/>
          <w:rtl w:val="true"/>
        </w:rPr>
        <w:footnoteReference w:id="23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فالروایة ساقطةٌ من جهة السند؛ و لهذا أعرض عنها الفقهاء</w:t>
      </w:r>
      <w:r>
        <w:rPr>
          <w:rFonts w:eastAsia="IRNazanin" w:cs="IRNazanin"/>
          <w:color w:val="111111"/>
          <w:sz w:val="28"/>
          <w:szCs w:val="28"/>
          <w:rtl w:val="true"/>
          <w:lang w:bidi="fa-IR"/>
        </w:rPr>
        <w:t>.</w:t>
      </w:r>
    </w:p>
    <w:p>
      <w:pPr>
        <w:pStyle w:val="Heading6"/>
        <w:numPr>
          <w:ilvl w:val="5"/>
          <w:numId w:val="1"/>
        </w:numPr>
        <w:rPr/>
      </w:pPr>
      <w:bookmarkStart w:id="1127" w:name="__RefHeading___Toc9424628_73709187"/>
      <w:bookmarkStart w:id="1128" w:name="_Toc428"/>
      <w:bookmarkEnd w:id="1127"/>
      <w:r>
        <w:rPr>
          <w:rtl w:val="true"/>
        </w:rPr>
        <w:t>لا تکون للجدّ من قبل الأمّ ولایة</w:t>
      </w:r>
      <w:bookmarkEnd w:id="1128"/>
    </w:p>
    <w:p>
      <w:pPr>
        <w:pStyle w:val="BookText"/>
        <w:rPr/>
      </w:pPr>
      <w:r>
        <w:rPr>
          <w:rFonts w:ascii="IRNazanin" w:hAnsi="IRNazanin" w:eastAsia="IRNazanin"/>
          <w:color w:val="111111"/>
          <w:sz w:val="28"/>
          <w:sz w:val="28"/>
          <w:szCs w:val="28"/>
          <w:rtl w:val="true"/>
          <w:lang w:bidi="fa-IR"/>
        </w:rPr>
        <w:t>لا خلاف فی أنّه لا ولایة للجدّ من قبل الأمّ علی الصغار فی التزویج فی حال حیاة الأب و مماته، إلاّ أنّ ابن الجنید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الأمّ و أباها یقومان مقام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 و یمکن الاستدلال لهذا القول بإطلاقات بعض النصوص</w:t>
      </w:r>
      <w:r>
        <w:rPr>
          <w:rStyle w:val="FootnoteAnchor"/>
          <w:rtl w:val="true"/>
        </w:rPr>
        <w:footnoteReference w:id="2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فیقال بأنّ الجدّ الذی ورد فیها مطلق یشمل الجدّ من قبل الأمّ أیضاً، کما أنّه کذلک فی العرف و اللغة، و لکنّه یُستفاد من نصوص أخری الاختصاص بأب الأب فقط،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صحیحة محمّد بن مسلم عن أحدهما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زوّج الرجل ابنة ابنه فهو جائز علی ابنه، و لابنه أیضاً أن یزوّجها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هوی أبوها رجلاً و جدّها رجلاً،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الجدّ أولی بنکاحها</w:t>
      </w:r>
      <w:r>
        <w:rPr>
          <w:rFonts w:eastAsia="IRNazanin" w:cs="IRNazanin"/>
          <w:color w:val="111111"/>
          <w:sz w:val="28"/>
          <w:szCs w:val="28"/>
          <w:rtl w:val="true"/>
          <w:lang w:bidi="fa-IR"/>
        </w:rPr>
        <w:t>»</w:t>
      </w:r>
      <w:r>
        <w:rPr>
          <w:rStyle w:val="FootnoteAnchor"/>
          <w:rtl w:val="true"/>
        </w:rPr>
        <w:footnoteReference w:id="2345"/>
      </w:r>
      <w:r>
        <w:rPr>
          <w:rFonts w:eastAsia="Times New Roman" w:cs="Times New Roman" w:ascii="Times New Roman" w:hAnsi="Times New Roman"/>
          <w:color w:val="111111"/>
          <w:sz w:val="28"/>
          <w:szCs w:val="28"/>
          <w:rtl w:val="true"/>
          <w:lang w:val="en-US" w:bidi="en-US"/>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فالروایةُ تبیّن أنّ الجدّ الذی له الولایة أب الأب؛ لأنّه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ابنة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w:t>
      </w:r>
    </w:p>
    <w:p>
      <w:pPr>
        <w:pStyle w:val="BookText"/>
        <w:rPr/>
      </w:pPr>
      <w:r>
        <w:rPr>
          <w:rFonts w:ascii="IRNazanin" w:hAnsi="IRNazanin" w:eastAsia="IRNazanin"/>
          <w:color w:val="111111"/>
          <w:sz w:val="28"/>
          <w:sz w:val="28"/>
          <w:szCs w:val="28"/>
          <w:rtl w:val="true"/>
          <w:lang w:bidi="fa-IR"/>
        </w:rPr>
        <w:t>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ابنة بنته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موثّقة فضل بن عبد الملک،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الجدّ إذا زوّج ابنة ابنه</w:t>
      </w:r>
      <w:r>
        <w:rPr>
          <w:rFonts w:eastAsia="IRNazanin" w:cs="IRNazanin"/>
          <w:color w:val="111111"/>
          <w:sz w:val="28"/>
          <w:szCs w:val="28"/>
          <w:rtl w:val="true"/>
          <w:lang w:bidi="fa-IR"/>
        </w:rPr>
        <w:t>...»</w:t>
      </w:r>
      <w:r>
        <w:rPr>
          <w:rStyle w:val="FootnoteAnchor"/>
          <w:rtl w:val="true"/>
        </w:rPr>
        <w:footnoteReference w:id="2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معتبرة عبید بن زرارة،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زوّج الرجل ابنة ابنه فهو جائز علی ابنه،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لابنه أیضاً أن یزوّجها، فإن هوی أبوها رجلاً و جدّها رجلاً فالجدّ أولی بنکاحها</w:t>
      </w:r>
      <w:r>
        <w:rPr>
          <w:rFonts w:eastAsia="IRNazanin" w:cs="IRNazanin"/>
          <w:color w:val="111111"/>
          <w:sz w:val="28"/>
          <w:szCs w:val="28"/>
          <w:rtl w:val="true"/>
          <w:lang w:bidi="fa-IR"/>
        </w:rPr>
        <w:t>»</w:t>
      </w:r>
      <w:r>
        <w:rPr>
          <w:rStyle w:val="FootnoteAnchor"/>
          <w:rtl w:val="true"/>
        </w:rPr>
        <w:footnoteReference w:id="2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خبر علیّ بن جعفر، عن أخیه موسی 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أتاهُ رجلان یخطبان ابنته فهوی أن یزوّج أحدهما و هوی أبوه الآخر، أیّهما أحقّ أن ینکح؟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هوی الجدّ أحقّ بالجاریة؛ لأنّها و أباها للجدّ</w:t>
      </w:r>
      <w:r>
        <w:rPr>
          <w:rFonts w:eastAsia="IRNazanin" w:cs="IRNazanin"/>
          <w:color w:val="111111"/>
          <w:sz w:val="28"/>
          <w:szCs w:val="28"/>
          <w:rtl w:val="true"/>
          <w:lang w:bidi="fa-IR"/>
        </w:rPr>
        <w:t>»</w:t>
      </w:r>
      <w:r>
        <w:rPr>
          <w:rStyle w:val="FootnoteAnchor"/>
          <w:rtl w:val="true"/>
        </w:rPr>
        <w:footnoteReference w:id="2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یستفاد من هذین الخبرین أیضاً أنّ الجدّ الذی جعله الإمام علیه السلام فی مقابل الأب أولی بأمر التزویج منه هو الجدّ للأب، أی أب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تمسّک الإمام علیه السلام فی روایة عبید بن زرارة بقول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و مالک لأبیک</w:t>
      </w:r>
      <w:r>
        <w:rPr>
          <w:rFonts w:eastAsia="IRNazanin" w:cs="IRNazanin"/>
          <w:color w:val="111111"/>
          <w:sz w:val="28"/>
          <w:szCs w:val="28"/>
          <w:rtl w:val="true"/>
          <w:lang w:bidi="fa-IR"/>
        </w:rPr>
        <w:t>»</w:t>
      </w:r>
      <w:r>
        <w:rPr>
          <w:rStyle w:val="FootnoteAnchor"/>
          <w:rtl w:val="true"/>
        </w:rPr>
        <w:footnoteReference w:id="23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فیُستفاد منه أنّ الجدّ الذی کان له الولایة و الأولویّة هو أب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خلاصة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یستفاد من الروایات الکثیرة التی أشرنا إلی بعضها أنّ المقصود من الجدّ الذی له الولایة فی التزویج هو أب الأب، و لم تکن فیها أیّ إشارةٍ و لو إجمالاً إلی أب الأمّ</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قامت الإجماعات المستفیضة بل المتواترة علی أنّ المراد من الجدّ فی هذا الباب هو أب الأب، فلا وجه لما نسب إلی ابن الجنید</w:t>
      </w:r>
      <w:r>
        <w:rPr>
          <w:rStyle w:val="FootnoteAnchor"/>
          <w:rtl w:val="true"/>
        </w:rPr>
        <w:footnoteReference w:id="2350"/>
      </w:r>
      <w:r>
        <w:rPr>
          <w:rFonts w:ascii="Amiri" w:hAnsi="Amiri" w:eastAsia="Amiri" w:cs="Amiri"/>
          <w:color w:val="111111"/>
          <w:sz w:val="28"/>
          <w:sz w:val="28"/>
          <w:szCs w:val="28"/>
          <w:rtl w:val="true"/>
          <w:lang w:bidi="ar-SA"/>
        </w:rPr>
        <w:t>نصّاً و فتوی و إجماعاً</w:t>
      </w:r>
      <w:r>
        <w:rPr>
          <w:rFonts w:eastAsia="Amiri" w:cs="Amiri" w:ascii="Amiri" w:hAnsi="Amiri"/>
          <w:color w:val="111111"/>
          <w:sz w:val="28"/>
          <w:szCs w:val="28"/>
          <w:rtl w:val="true"/>
          <w:lang w:bidi="ar-SA"/>
        </w:rPr>
        <w:t>.</w:t>
      </w:r>
      <w:bookmarkStart w:id="1129" w:name="pg11752_146563"/>
    </w:p>
    <w:p>
      <w:pPr>
        <w:pStyle w:val="Heading6"/>
        <w:numPr>
          <w:ilvl w:val="5"/>
          <w:numId w:val="1"/>
        </w:numPr>
        <w:rPr/>
      </w:pPr>
      <w:bookmarkStart w:id="1130" w:name="__RefHeading___Toc9424630_73709187"/>
      <w:bookmarkStart w:id="1131" w:name="_Toc429"/>
      <w:bookmarkEnd w:id="1129"/>
      <w:bookmarkEnd w:id="1130"/>
      <w:r>
        <w:rPr>
          <w:rtl w:val="true"/>
        </w:rPr>
        <w:t>لا ولایة للأخ و العمّ و الخال و</w:t>
      </w:r>
      <w:r>
        <w:rPr>
          <w:rtl w:val="true"/>
        </w:rPr>
        <w:t>...</w:t>
      </w:r>
      <w:bookmarkEnd w:id="1131"/>
    </w:p>
    <w:p>
      <w:pPr>
        <w:pStyle w:val="BookText"/>
        <w:rPr/>
      </w:pPr>
      <w:r>
        <w:rPr>
          <w:rFonts w:ascii="IRNazanin" w:hAnsi="IRNazanin" w:eastAsia="IRNazanin"/>
          <w:color w:val="111111"/>
          <w:sz w:val="28"/>
          <w:sz w:val="28"/>
          <w:szCs w:val="28"/>
          <w:rtl w:val="true"/>
          <w:lang w:bidi="fa-IR"/>
        </w:rPr>
        <w:t>قال الشیخ رحمه الله فی النهایة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متی عقد علی صبیةٍ لم تبلغ غیر الأب أو الجدّ مع وجود الأب کان لها الخیار إذا بلغت، سواء کان ذلک العاقد جَدّاً مع عدم الأب، أو الأخ أو العمّ أو الأمّ</w:t>
      </w:r>
      <w:r>
        <w:rPr>
          <w:rFonts w:eastAsia="IRNazanin" w:cs="IRNazanin"/>
          <w:color w:val="111111"/>
          <w:sz w:val="28"/>
          <w:szCs w:val="28"/>
          <w:rtl w:val="true"/>
          <w:lang w:bidi="fa-IR"/>
        </w:rPr>
        <w:t>»</w:t>
      </w:r>
      <w:r>
        <w:rPr>
          <w:rStyle w:val="FootnoteAnchor"/>
          <w:rtl w:val="true"/>
        </w:rPr>
        <w:footnoteReference w:id="2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المقنعة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لأحدٍ أن یعقد علی صغیرةٍ سوی أبیها أو جدّها لأبیها، فإن عقد علیها غیر من سمّیناه من أهلها کان العقد موقوفاً علی رضاها به عند البلوغ، فإذا بلغت فرضیت به و أجازته ثبت، فإن أبته بطل</w:t>
      </w:r>
      <w:r>
        <w:rPr>
          <w:rFonts w:eastAsia="IRNazanin" w:cs="IRNazanin"/>
          <w:color w:val="111111"/>
          <w:sz w:val="28"/>
          <w:szCs w:val="28"/>
          <w:rtl w:val="true"/>
          <w:lang w:bidi="fa-IR"/>
        </w:rPr>
        <w:t>»</w:t>
      </w:r>
      <w:r>
        <w:rPr>
          <w:rStyle w:val="FootnoteAnchor"/>
          <w:rtl w:val="true"/>
        </w:rPr>
        <w:footnoteReference w:id="2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التهذیب</w:t>
      </w:r>
      <w:r>
        <w:rPr>
          <w:rStyle w:val="FootnoteAnchor"/>
          <w:rtl w:val="true"/>
        </w:rPr>
        <w:footnoteReference w:id="2353"/>
      </w:r>
      <w:r>
        <w:rPr>
          <w:rFonts w:ascii="IRNazanin" w:hAnsi="IRNazanin" w:eastAsia="IRNazanin"/>
          <w:color w:val="111111"/>
          <w:sz w:val="28"/>
          <w:sz w:val="28"/>
          <w:szCs w:val="28"/>
          <w:rtl w:val="true"/>
          <w:lang w:bidi="fa-IR"/>
        </w:rPr>
        <w:t>و ذلک لأصالة عدم ولایة أحدٍ علی غیره إلاّ إذا ثبتت الولایة بدلیل معتبر و هو مفقود، و لأنّ الإجماع قائم علی انحصار الولایة بالقرابة فی الأب و الجدّ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لظهور صحیحة محمّد بن مسلم السابقة فی عموم نفی الولایة عن غیر الأب،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أبواهما اللذان زوّجاهما فنعم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تدلّ من جهة مفهوم الشرط علی عدم جواز التزویج لو زوّجهما غیر الأبوین، مثل الأخ و العمّ و الخال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نحوها معتبرة عبید بن زرارة،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أبواهما اللذان زوّجاهما فنعم</w:t>
      </w:r>
      <w:r>
        <w:rPr>
          <w:rFonts w:eastAsia="IRNazanin" w:cs="IRNazanin"/>
          <w:color w:val="111111"/>
          <w:sz w:val="28"/>
          <w:szCs w:val="28"/>
          <w:rtl w:val="true"/>
          <w:lang w:bidi="fa-IR"/>
        </w:rPr>
        <w:t>»</w:t>
      </w:r>
      <w:r>
        <w:rPr>
          <w:rStyle w:val="FootnoteAnchor"/>
          <w:rtl w:val="true"/>
        </w:rPr>
        <w:footnoteReference w:id="2354"/>
      </w:r>
      <w:r>
        <w:rPr>
          <w:rFonts w:eastAsia="Times New Roman" w:cs="Times New Roman" w:ascii="Times New Roman" w:hAnsi="Times New Roman"/>
          <w:color w:val="111111"/>
          <w:sz w:val="28"/>
          <w:szCs w:val="28"/>
          <w:rtl w:val="true"/>
          <w:lang w:val="en-US" w:bidi="en-US"/>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من بعض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روایة أبی بصیر،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الولایة 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الذی بیده عقدة النکاح؟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الأب و الأخ</w:t>
      </w:r>
    </w:p>
    <w:p>
      <w:pPr>
        <w:pStyle w:val="BookText"/>
        <w:rPr/>
      </w:pPr>
      <w:r>
        <w:rPr>
          <w:rFonts w:ascii="IRNazanin" w:hAnsi="IRNazanin" w:eastAsia="IRNazanin"/>
          <w:color w:val="111111"/>
          <w:sz w:val="28"/>
          <w:sz w:val="28"/>
          <w:szCs w:val="28"/>
          <w:rtl w:val="true"/>
          <w:lang w:bidi="fa-IR"/>
        </w:rPr>
        <w:t>و الرجل یوصی إلیه، و الذی یجوز أمره فی مال المرأة فیبتاع لها و یشتری، فأیّ هؤلاء عفا فقد جاز</w:t>
      </w:r>
      <w:r>
        <w:rPr>
          <w:rFonts w:eastAsia="IRNazanin" w:cs="IRNazanin"/>
          <w:color w:val="111111"/>
          <w:sz w:val="28"/>
          <w:szCs w:val="28"/>
          <w:rtl w:val="true"/>
          <w:lang w:bidi="fa-IR"/>
        </w:rPr>
        <w:t>»</w:t>
      </w:r>
      <w:r>
        <w:rPr>
          <w:rStyle w:val="FootnoteAnchor"/>
          <w:rtl w:val="true"/>
        </w:rPr>
        <w:footnoteReference w:id="2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الروایة ضعیفةٌ سنداً؛ لأنّ أحمد بن محمّد بن عیسی یرویها عن البرقی أو غیره، و حیث لم یعرف ذلک الغیر تکون الروایة ضعیفةً؛ و لذا عبّر عنها فی الجواهر بالخبر</w:t>
      </w:r>
      <w:r>
        <w:rPr>
          <w:rStyle w:val="FootnoteAnchor"/>
          <w:rtl w:val="true"/>
        </w:rPr>
        <w:footnoteReference w:id="2356"/>
      </w:r>
      <w:r>
        <w:rPr>
          <w:rFonts w:ascii="IRNazanin" w:hAnsi="IRNazanin" w:eastAsia="IRNazanin"/>
          <w:color w:val="111111"/>
          <w:sz w:val="28"/>
          <w:sz w:val="28"/>
          <w:szCs w:val="28"/>
          <w:rtl w:val="true"/>
          <w:lang w:bidi="fa-IR"/>
        </w:rPr>
        <w:t>، و هو مشعر بضعف سندها، و علی هذا فالتعبیر عنه بصحیح أبی بصیر کما فی المستمسک غیر تامّ‌</w:t>
      </w:r>
      <w:r>
        <w:rPr>
          <w:rStyle w:val="FootnoteAnchor"/>
          <w:rtl w:val="true"/>
        </w:rPr>
        <w:footnoteReference w:id="2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ورد مضمونها فی عدّة من الروایات المعتبرة </w:t>
      </w:r>
      <w:r>
        <w:rPr>
          <w:rStyle w:val="FootnoteAnchor"/>
          <w:rtl w:val="true"/>
        </w:rPr>
        <w:footnoteReference w:id="23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التقیّة؛ لأنّ بعض العامّة قائل بولایة العصبة</w:t>
      </w:r>
      <w:r>
        <w:rPr>
          <w:rStyle w:val="FootnoteAnchor"/>
          <w:rtl w:val="true"/>
        </w:rPr>
        <w:footnoteReference w:id="2359"/>
      </w:r>
      <w:r>
        <w:rPr>
          <w:rFonts w:ascii="IRNazanin" w:hAnsi="IRNazanin" w:eastAsia="IRNazanin"/>
          <w:color w:val="111111"/>
          <w:sz w:val="28"/>
          <w:sz w:val="28"/>
          <w:szCs w:val="28"/>
          <w:rtl w:val="true"/>
          <w:lang w:bidi="fa-IR"/>
        </w:rPr>
        <w:t>من الأخ و العمّ و أولادهما و غیرهم</w:t>
      </w:r>
      <w:r>
        <w:rPr>
          <w:rStyle w:val="FootnoteAnchor"/>
          <w:rtl w:val="true"/>
        </w:rPr>
        <w:footnoteReference w:id="2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الحمل علی الولایة العرفیة أو علی صورة وکالة الأخ، کما تشعر به روایة إسحاق بن عمّار</w:t>
      </w:r>
      <w:r>
        <w:rPr>
          <w:rStyle w:val="FootnoteAnchor"/>
          <w:rtl w:val="true"/>
        </w:rPr>
        <w:footnoteReference w:id="2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التنزّل عمّا قلنا یلزم طرح هذه الأخبار؛ لأنّ الأصحاب لا یعملون بها للإجماع</w:t>
      </w:r>
      <w:r>
        <w:rPr>
          <w:rStyle w:val="FootnoteAnchor"/>
          <w:rtl w:val="true"/>
        </w:rPr>
        <w:footnoteReference w:id="2362"/>
      </w:r>
      <w:r>
        <w:rPr>
          <w:rFonts w:eastAsia="Times New Roman" w:cs="Times New Roman" w:ascii="Times New Roman" w:hAnsi="Times New Roman"/>
          <w:color w:val="111111"/>
          <w:sz w:val="28"/>
          <w:szCs w:val="28"/>
          <w:rtl w:val="true"/>
          <w:lang w:val="en-US" w:bidi="en-US"/>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القطع بعدم ثبوت الولایة للأخ علی الاُخت، و هکذا لا ولایة للعمّ</w:t>
      </w:r>
    </w:p>
    <w:p>
      <w:pPr>
        <w:pStyle w:val="BookText"/>
        <w:rPr/>
      </w:pPr>
      <w:r>
        <w:rPr>
          <w:rFonts w:ascii="IRNazanin" w:hAnsi="IRNazanin" w:eastAsia="IRNazanin"/>
          <w:color w:val="111111"/>
          <w:sz w:val="28"/>
          <w:sz w:val="28"/>
          <w:szCs w:val="28"/>
          <w:rtl w:val="true"/>
          <w:lang w:bidi="fa-IR"/>
        </w:rPr>
        <w:t>و الخال و أولادهما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السید الخوئی رحمه الله لنفی ولایة الأخ علی أُخته الصغیرة بالنصوص الخاصة،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صحیحة الحلبی،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رجلٍ یرید أن یزوّج أخته؟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یؤامرها فإن سکتت فهو إقرارها و إن أبت لا یزوّجها</w:t>
      </w:r>
      <w:r>
        <w:rPr>
          <w:rFonts w:eastAsia="IRNazanin" w:cs="IRNazanin"/>
          <w:color w:val="111111"/>
          <w:sz w:val="28"/>
          <w:szCs w:val="28"/>
          <w:rtl w:val="true"/>
          <w:lang w:bidi="fa-IR"/>
        </w:rPr>
        <w:t>»</w:t>
      </w:r>
      <w:r>
        <w:rPr>
          <w:rStyle w:val="FootnoteAnchor"/>
          <w:rtl w:val="true"/>
        </w:rPr>
        <w:footnoteReference w:id="2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مثلها صحیحة داود بن سرحان، عن أبی عبد اللّه علیه السلام فی رجل یرید أن یزوّج أخته،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یؤامرها فإن سکتت فهو إقرارها و إن أبت لم یزوّجها</w:t>
      </w:r>
      <w:r>
        <w:rPr>
          <w:rFonts w:eastAsia="IRNazanin" w:cs="IRNazanin"/>
          <w:color w:val="111111"/>
          <w:sz w:val="28"/>
          <w:szCs w:val="28"/>
          <w:rtl w:val="true"/>
          <w:lang w:bidi="fa-IR"/>
        </w:rPr>
        <w:t>»</w:t>
      </w:r>
      <w:r>
        <w:rPr>
          <w:rStyle w:val="FootnoteAnchor"/>
          <w:rtl w:val="true"/>
        </w:rPr>
        <w:footnoteReference w:id="2364"/>
      </w:r>
      <w:r>
        <w:rPr>
          <w:rFonts w:ascii="IRNazanin" w:hAnsi="IRNazanin" w:eastAsia="IRNazanin"/>
          <w:color w:val="111111"/>
          <w:sz w:val="28"/>
          <w:sz w:val="28"/>
          <w:szCs w:val="28"/>
          <w:rtl w:val="true"/>
          <w:lang w:bidi="fa-IR"/>
        </w:rPr>
        <w:t>؛ لأنّ الأخت مطلقة تشمل الصغیرة و الکبیرة، فتدلاّن علی عدم ولایة الأخ علی الصغیرة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یمکن المناقشة فی الاستدلال بهما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 صدرها مطلقاً یشمل الصغیرة و الکبیرة، و لکن فی ذیلهما قرائن تدلّ علی أنّهما مختصّان بالبالغة، مثل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یُؤامرها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المؤامرة و الإقرار و الإباء لا تکون جائزة إلاّ من البالغة، و أمّا الصبیّة فإقرارها و إباؤها و مؤامرتها لا یکون لها 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عدم ولایة العمّ فلصحیحة محمّد بن الحسن الأشعری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بعض بنی عمّی إلی أبی جعفر الثانی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صبیّة زوّجها عمّها فلمّا کبرت أبت التزویج، فکتب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تکره علی ذلک و الأمر أمرها</w:t>
      </w:r>
      <w:r>
        <w:rPr>
          <w:rFonts w:eastAsia="IRNazanin" w:cs="IRNazanin"/>
          <w:color w:val="111111"/>
          <w:sz w:val="28"/>
          <w:szCs w:val="28"/>
          <w:rtl w:val="true"/>
          <w:lang w:bidi="fa-IR"/>
        </w:rPr>
        <w:t>»</w:t>
      </w:r>
      <w:r>
        <w:rPr>
          <w:rStyle w:val="FootnoteAnchor"/>
          <w:rtl w:val="true"/>
        </w:rPr>
        <w:footnoteReference w:id="2365"/>
      </w:r>
      <w:r>
        <w:rPr>
          <w:rFonts w:ascii="Amiri" w:hAnsi="Amiri" w:eastAsia="Amiri" w:cs="Amiri"/>
          <w:color w:val="111111"/>
          <w:sz w:val="28"/>
          <w:sz w:val="28"/>
          <w:szCs w:val="28"/>
          <w:rtl w:val="true"/>
          <w:lang w:bidi="ar-SA"/>
        </w:rPr>
        <w:t>و الدلالة واضحةٌ</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 أنّه لا ولایة لغیر الأب و الجدّ من سائر العصبات، فإن عقد غیرهما الصغیرین یقع العقد فضولیّاً، و به قال فی القواعد و التحریر</w:t>
      </w:r>
      <w:r>
        <w:rPr>
          <w:rStyle w:val="FootnoteAnchor"/>
          <w:rtl w:val="true"/>
        </w:rPr>
        <w:footnoteReference w:id="2366"/>
      </w:r>
      <w:r>
        <w:rPr>
          <w:rFonts w:ascii="IRNazanin" w:hAnsi="IRNazanin" w:eastAsia="IRNazanin"/>
          <w:color w:val="111111"/>
          <w:sz w:val="28"/>
          <w:sz w:val="28"/>
          <w:szCs w:val="28"/>
          <w:rtl w:val="true"/>
          <w:lang w:bidi="fa-IR"/>
        </w:rPr>
        <w:t>و جامع</w:t>
      </w:r>
      <w:bookmarkStart w:id="1132" w:name="pg11752_146566"/>
    </w:p>
    <w:p>
      <w:pPr>
        <w:pStyle w:val="BookText"/>
        <w:rPr/>
      </w:pPr>
      <w:bookmarkEnd w:id="1132"/>
      <w:r>
        <w:rPr>
          <w:rFonts w:ascii="IRNazanin" w:hAnsi="IRNazanin" w:eastAsia="IRNazanin"/>
          <w:color w:val="111111"/>
          <w:sz w:val="28"/>
          <w:sz w:val="28"/>
          <w:szCs w:val="28"/>
          <w:rtl w:val="true"/>
          <w:lang w:bidi="fa-IR"/>
        </w:rPr>
        <w:t>المقاصد</w:t>
      </w:r>
      <w:r>
        <w:rPr>
          <w:rStyle w:val="FootnoteAnchor"/>
          <w:rtl w:val="true"/>
        </w:rPr>
        <w:footnoteReference w:id="2367"/>
      </w:r>
      <w:r>
        <w:rPr>
          <w:rFonts w:ascii="IRNazanin" w:hAnsi="IRNazanin" w:eastAsia="IRNazanin"/>
          <w:color w:val="111111"/>
          <w:sz w:val="28"/>
          <w:sz w:val="28"/>
          <w:szCs w:val="28"/>
          <w:rtl w:val="true"/>
          <w:lang w:bidi="fa-IR"/>
        </w:rPr>
        <w:t>و الریاض</w:t>
      </w:r>
      <w:r>
        <w:rPr>
          <w:rStyle w:val="FootnoteAnchor"/>
          <w:rtl w:val="true"/>
        </w:rPr>
        <w:footnoteReference w:id="2368"/>
      </w:r>
      <w:r>
        <w:rPr>
          <w:rFonts w:ascii="IRNazanin" w:hAnsi="IRNazanin" w:eastAsia="IRNazanin"/>
          <w:color w:val="111111"/>
          <w:sz w:val="28"/>
          <w:sz w:val="28"/>
          <w:szCs w:val="28"/>
          <w:rtl w:val="true"/>
          <w:lang w:bidi="fa-IR"/>
        </w:rPr>
        <w:t>و الجواهر</w:t>
      </w:r>
      <w:r>
        <w:rPr>
          <w:rStyle w:val="FootnoteAnchor"/>
          <w:rtl w:val="true"/>
        </w:rPr>
        <w:footnoteReference w:id="2369"/>
      </w:r>
      <w:r>
        <w:rPr>
          <w:rFonts w:ascii="Amiri" w:hAnsi="Amiri" w:eastAsia="Amiri" w:cs="Amiri"/>
          <w:color w:val="111111"/>
          <w:sz w:val="28"/>
          <w:sz w:val="28"/>
          <w:szCs w:val="28"/>
          <w:rtl w:val="true"/>
          <w:lang w:bidi="ar-SA"/>
        </w:rPr>
        <w:t>و العروة</w:t>
      </w:r>
      <w:r>
        <w:rPr>
          <w:rStyle w:val="FootnoteAnchor"/>
          <w:rtl w:val="true"/>
        </w:rPr>
        <w:footnoteReference w:id="2370"/>
      </w:r>
      <w:r>
        <w:rPr>
          <w:rFonts w:ascii="IRNazanin" w:hAnsi="IRNazanin" w:eastAsia="IRNazanin"/>
          <w:color w:val="111111"/>
          <w:sz w:val="28"/>
          <w:sz w:val="28"/>
          <w:szCs w:val="28"/>
          <w:rtl w:val="true"/>
          <w:lang w:bidi="fa-IR"/>
        </w:rPr>
        <w:t>و التعلیقات علیها</w:t>
      </w:r>
      <w:r>
        <w:rPr>
          <w:rFonts w:eastAsia="IRNazanin" w:cs="IRNazanin"/>
          <w:color w:val="111111"/>
          <w:sz w:val="28"/>
          <w:szCs w:val="28"/>
          <w:rtl w:val="true"/>
          <w:lang w:bidi="fa-IR"/>
        </w:rPr>
        <w:t>.</w:t>
      </w:r>
    </w:p>
    <w:p>
      <w:pPr>
        <w:pStyle w:val="Heading6"/>
        <w:numPr>
          <w:ilvl w:val="5"/>
          <w:numId w:val="1"/>
        </w:numPr>
        <w:rPr/>
      </w:pPr>
      <w:bookmarkStart w:id="1133" w:name="__RefHeading___Toc9424632_73709187"/>
      <w:bookmarkStart w:id="1134" w:name="_Toc430"/>
      <w:bookmarkEnd w:id="1133"/>
      <w:r>
        <w:rPr>
          <w:rtl w:val="true"/>
        </w:rPr>
        <w:t>أقوال أهل السنة فی ولایة غیر الأب و الجد</w:t>
      </w:r>
      <w:bookmarkEnd w:id="1134"/>
    </w:p>
    <w:p>
      <w:pPr>
        <w:pStyle w:val="BookText"/>
        <w:rPr/>
      </w:pPr>
      <w:r>
        <w:rPr>
          <w:rFonts w:ascii="IRNazanin" w:hAnsi="IRNazanin" w:eastAsia="IRNazanin"/>
          <w:color w:val="111111"/>
          <w:sz w:val="28"/>
          <w:sz w:val="28"/>
          <w:szCs w:val="28"/>
          <w:rtl w:val="true"/>
          <w:lang w:bidi="fa-IR"/>
        </w:rPr>
        <w:t>اختلف أهل السنّة فی ولایة غیر الأب و الجدّ من سائر العصبات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الشافعی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علی حاشیة النسب کأخٍ و عمّ لا یزوّج صغیرةً بحالٍ</w:t>
      </w:r>
      <w:r>
        <w:rPr>
          <w:rFonts w:eastAsia="IRNazanin" w:cs="IRNazanin"/>
          <w:color w:val="111111"/>
          <w:sz w:val="28"/>
          <w:szCs w:val="28"/>
          <w:rtl w:val="true"/>
          <w:lang w:bidi="fa-IR"/>
        </w:rPr>
        <w:t>»</w:t>
      </w:r>
      <w:r>
        <w:rPr>
          <w:rStyle w:val="FootnoteAnchor"/>
          <w:rtl w:val="true"/>
        </w:rPr>
        <w:footnoteReference w:id="23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لأحد سوی الأب تزویج الصغیر و الصغیرة</w:t>
      </w:r>
      <w:r>
        <w:rPr>
          <w:rFonts w:eastAsia="IRNazanin" w:cs="IRNazanin"/>
          <w:color w:val="111111"/>
          <w:sz w:val="28"/>
          <w:szCs w:val="28"/>
          <w:rtl w:val="true"/>
          <w:lang w:bidi="fa-IR"/>
        </w:rPr>
        <w:t>»</w:t>
      </w:r>
      <w:r>
        <w:rPr>
          <w:rStyle w:val="FootnoteAnchor"/>
          <w:rtl w:val="true"/>
        </w:rPr>
        <w:footnoteReference w:id="2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الحنفیة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أنکح الوالد الصغیر أو الصغیرة فذلک جائز علیهما، و کذلک سائر 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أخذ علماؤنا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لغیر الأب و الجدّ من الأولیاء تزویج الصغیر و الصغیرة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السرخسی فی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المولّی علیها لا یخلو إمّا أن تکون صغیرة أو کبیرة معتوهة، فإن کانت صغیرة فأولی الأولیاء علیها أبوها، ثمّ الجدّ بعد الأب قائم مقام الأب، ثمّ بعد الأجداد من قبل الآباء و إن 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 لأب و امّ، ثمّ الأخ لأب، ثمّ ابن الأخ لأب و أمّ، ثمّ ابن الأخ لأب، ثمّ العمّ لأب و أمّ، ثمّ العمّ لأب</w:t>
      </w:r>
      <w:r>
        <w:rPr>
          <w:rFonts w:eastAsia="IRNazanin" w:cs="IRNazanin"/>
          <w:color w:val="111111"/>
          <w:sz w:val="28"/>
          <w:szCs w:val="28"/>
          <w:rtl w:val="true"/>
          <w:lang w:bidi="fa-IR"/>
        </w:rPr>
        <w:t>»</w:t>
      </w:r>
      <w:r>
        <w:rPr>
          <w:rStyle w:val="FootnoteAnchor"/>
          <w:rtl w:val="true"/>
        </w:rPr>
        <w:footnoteReference w:id="2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المحلّی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الصغیرة التی لا أب لها فلیس لأحدٍ أن ینکحها، لا من ضرورة و لا من غیر ضرورة حتّی تبلغ</w:t>
      </w:r>
      <w:r>
        <w:rPr>
          <w:rFonts w:eastAsia="IRNazanin" w:cs="IRNazanin"/>
          <w:color w:val="111111"/>
          <w:sz w:val="28"/>
          <w:szCs w:val="28"/>
          <w:rtl w:val="true"/>
          <w:lang w:bidi="fa-IR"/>
        </w:rPr>
        <w:t>»</w:t>
      </w:r>
      <w:r>
        <w:rPr>
          <w:rStyle w:val="FootnoteAnchor"/>
          <w:rtl w:val="true"/>
        </w:rPr>
        <w:footnoteReference w:id="2374"/>
      </w:r>
      <w:r>
        <w:rPr>
          <w:rFonts w:eastAsia="Times New Roman" w:cs="Times New Roman" w:ascii="Times New Roman" w:hAnsi="Times New Roman"/>
          <w:color w:val="111111"/>
          <w:sz w:val="28"/>
          <w:szCs w:val="28"/>
          <w:rtl w:val="true"/>
          <w:lang w:val="en-US" w:bidi="en-US"/>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أحقّ الناس بنکاح المرأة الحرّة أبوها، ثمّ أبوه و إن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أولی</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الأجداد أقربهم، ثمّ ابنها، ثمّ ابنه و إن سفل، ثمّ أخوها لأبوین، ثمّ لأبیها، ثمّ بنوهما کذلک و إن نزلوا، ثمّ العمّ لأبوین، ثمّ الأب، ثمّ بنوهما کذلک و إن نزلوا، ثمّ أقرب العصبات علی ترتیب المیراث</w:t>
      </w:r>
      <w:r>
        <w:rPr>
          <w:rFonts w:eastAsia="IRNazanin" w:cs="IRNazanin"/>
          <w:color w:val="111111"/>
          <w:sz w:val="28"/>
          <w:szCs w:val="28"/>
          <w:rtl w:val="true"/>
          <w:lang w:bidi="fa-IR"/>
        </w:rPr>
        <w:t>»</w:t>
      </w:r>
      <w:r>
        <w:rPr>
          <w:rStyle w:val="FootnoteAnchor"/>
          <w:rtl w:val="true"/>
        </w:rPr>
        <w:footnoteReference w:id="2375"/>
      </w:r>
      <w:bookmarkStart w:id="1135" w:name="pg11752_146568"/>
    </w:p>
    <w:p>
      <w:pPr>
        <w:pStyle w:val="Heading4"/>
        <w:numPr>
          <w:ilvl w:val="3"/>
          <w:numId w:val="1"/>
        </w:numPr>
        <w:rPr/>
      </w:pPr>
      <w:bookmarkStart w:id="1136" w:name="__RefHeading___Toc9424634_73709187"/>
      <w:bookmarkStart w:id="1137" w:name="_Toc431"/>
      <w:bookmarkEnd w:id="1135"/>
      <w:bookmarkEnd w:id="1136"/>
      <w:r>
        <w:rPr>
          <w:rtl w:val="true"/>
        </w:rPr>
        <w:t>المبحث الثانی</w:t>
      </w:r>
      <w:r>
        <w:rPr>
          <w:rtl w:val="true"/>
        </w:rPr>
        <w:t xml:space="preserve">: </w:t>
      </w:r>
      <w:r>
        <w:rPr>
          <w:rtl w:val="true"/>
        </w:rPr>
        <w:t>حکم اشتراط ولایة الجدّ ببقاء الأب</w:t>
      </w:r>
      <w:bookmarkEnd w:id="1137"/>
    </w:p>
    <w:p>
      <w:pPr>
        <w:pStyle w:val="Heading5"/>
        <w:numPr>
          <w:ilvl w:val="4"/>
          <w:numId w:val="1"/>
        </w:numPr>
        <w:rPr/>
      </w:pPr>
      <w:bookmarkStart w:id="1138" w:name="__RefHeading___Toc9424636_73709187"/>
      <w:bookmarkStart w:id="1139" w:name="_Toc432"/>
      <w:bookmarkEnd w:id="1138"/>
      <w:r>
        <w:rPr>
          <w:rtl w:val="true"/>
        </w:rPr>
        <w:t>اشارة</w:t>
      </w:r>
      <w:bookmarkEnd w:id="1139"/>
    </w:p>
    <w:p>
      <w:pPr>
        <w:pStyle w:val="BookText"/>
        <w:rPr/>
      </w:pPr>
      <w:r>
        <w:rPr>
          <w:rFonts w:ascii="IRNazanin" w:hAnsi="IRNazanin" w:eastAsia="IRNazanin"/>
          <w:color w:val="111111"/>
          <w:sz w:val="28"/>
          <w:sz w:val="28"/>
          <w:szCs w:val="28"/>
          <w:rtl w:val="true"/>
          <w:lang w:bidi="fa-IR"/>
        </w:rPr>
        <w:t>وقع البحث فی أنّه هل یُشترط فی ولایة الجدّ بقاء الأب کما عن جماعة من المتقدّمین، أو موته کما عن بعض أهل السنّة، أو لا یشترط هذا و لا ذاک؟</w:t>
      </w:r>
    </w:p>
    <w:p>
      <w:pPr>
        <w:pStyle w:val="BookText"/>
        <w:rPr/>
      </w:pPr>
      <w:r>
        <w:rPr>
          <w:rFonts w:ascii="IRNazanin" w:hAnsi="IRNazanin" w:eastAsia="IRNazanin"/>
          <w:color w:val="111111"/>
          <w:sz w:val="28"/>
          <w:sz w:val="28"/>
          <w:szCs w:val="28"/>
          <w:rtl w:val="true"/>
          <w:lang w:bidi="fa-IR"/>
        </w:rPr>
        <w:t>اختلف فقهاؤنا فی هذه المسألة إلی 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اشتراط ولایة الجدّ ببقاء الأب و لا بموته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اشتراطها ببقاء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الثالث، و هو لبعض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ولایة الجد بموت الأب</w:t>
      </w:r>
      <w:r>
        <w:rPr>
          <w:rFonts w:eastAsia="IRNazanin" w:cs="IRNazanin"/>
          <w:color w:val="111111"/>
          <w:sz w:val="28"/>
          <w:szCs w:val="28"/>
          <w:rtl w:val="true"/>
          <w:lang w:bidi="fa-IR"/>
        </w:rPr>
        <w:t>.</w:t>
      </w:r>
    </w:p>
    <w:p>
      <w:pPr>
        <w:pStyle w:val="Heading5"/>
        <w:numPr>
          <w:ilvl w:val="4"/>
          <w:numId w:val="1"/>
        </w:numPr>
        <w:rPr/>
      </w:pPr>
      <w:bookmarkStart w:id="1140" w:name="__RefHeading___Toc9424638_73709187"/>
      <w:bookmarkStart w:id="1141" w:name="_Toc433"/>
      <w:bookmarkEnd w:id="1140"/>
      <w:r>
        <w:rPr>
          <w:rtl w:val="true"/>
        </w:rPr>
        <w:t>القول الأوّل</w:t>
      </w:r>
      <w:r>
        <w:rPr>
          <w:rtl w:val="true"/>
        </w:rPr>
        <w:t xml:space="preserve">: </w:t>
      </w:r>
      <w:r>
        <w:rPr>
          <w:rtl w:val="true"/>
        </w:rPr>
        <w:t>عدم اشتراط ولایة الجدّ ببقاء الأب</w:t>
      </w:r>
      <w:r>
        <w:rPr>
          <w:rtl w:val="true"/>
        </w:rPr>
        <w:t>:</w:t>
      </w:r>
      <w:bookmarkEnd w:id="1141"/>
    </w:p>
    <w:p>
      <w:pPr>
        <w:pStyle w:val="BookText"/>
        <w:rPr/>
      </w:pPr>
      <w:r>
        <w:rPr>
          <w:rFonts w:ascii="IRNazanin" w:hAnsi="IRNazanin" w:eastAsia="IRNazanin"/>
          <w:color w:val="111111"/>
          <w:sz w:val="28"/>
          <w:sz w:val="28"/>
          <w:szCs w:val="28"/>
          <w:rtl w:val="true"/>
          <w:lang w:bidi="fa-IR"/>
        </w:rPr>
        <w:t>ذهب بعض فقهائنا و هو الأقوی إلی أنّه لا یشترط فی ولایة الجدّ بقاء الأب و لا موته، و هو قول المفید و السید المرتضی فی ظاهر کلامهما، حیث أثبتا الولایة للجدّ مطلقاً من غیر اشتراط وجود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المقنعة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لأحدٍ أن یعقد علی صغیرةٍ سوی أبیها أو جدّها لأبیها</w:t>
      </w:r>
      <w:r>
        <w:rPr>
          <w:rFonts w:eastAsia="IRNazanin" w:cs="IRNazanin"/>
          <w:color w:val="111111"/>
          <w:sz w:val="28"/>
          <w:szCs w:val="28"/>
          <w:rtl w:val="true"/>
          <w:lang w:bidi="fa-IR"/>
        </w:rPr>
        <w:t>»</w:t>
      </w:r>
      <w:r>
        <w:rPr>
          <w:rStyle w:val="FootnoteAnchor"/>
          <w:rtl w:val="true"/>
        </w:rPr>
        <w:footnoteReference w:id="2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علم الهدی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عندنا أنّه یجوز أن ینکح الصغارَ الآباء و الأجداد من قبل الآباء</w:t>
      </w:r>
      <w:r>
        <w:rPr>
          <w:rFonts w:eastAsia="IRNazanin" w:cs="IRNazanin"/>
          <w:color w:val="111111"/>
          <w:sz w:val="28"/>
          <w:szCs w:val="28"/>
          <w:rtl w:val="true"/>
          <w:lang w:bidi="fa-IR"/>
        </w:rPr>
        <w:t>»</w:t>
      </w:r>
      <w:r>
        <w:rPr>
          <w:rStyle w:val="FootnoteAnchor"/>
          <w:rtl w:val="true"/>
        </w:rPr>
        <w:footnoteReference w:id="2377"/>
      </w:r>
      <w:r>
        <w:rPr>
          <w:rFonts w:eastAsia="Times New Roman" w:cs="Times New Roman" w:ascii="Times New Roman" w:hAnsi="Times New Roman"/>
          <w:color w:val="111111"/>
          <w:sz w:val="28"/>
          <w:szCs w:val="28"/>
          <w:rtl w:val="true"/>
          <w:lang w:val="en-US" w:bidi="en-US"/>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فظاهر کلامهما مطلق یشمل حال موت الأب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صرّح به یحیی بن سعید الحلّی،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یسقط ولایة الجدّ للأب علی الصغیرین بموت</w:t>
      </w:r>
    </w:p>
    <w:p>
      <w:pPr>
        <w:pStyle w:val="BookText"/>
        <w:rPr/>
      </w:pPr>
      <w:r>
        <w:rPr>
          <w:rFonts w:ascii="IRNazanin" w:hAnsi="IRNazanin" w:eastAsia="IRNazanin"/>
          <w:color w:val="111111"/>
          <w:sz w:val="28"/>
          <w:sz w:val="28"/>
          <w:szCs w:val="28"/>
          <w:rtl w:val="true"/>
          <w:lang w:bidi="fa-IR"/>
        </w:rPr>
        <w:t>ولده</w:t>
      </w:r>
      <w:r>
        <w:rPr>
          <w:rFonts w:eastAsia="IRNazanin" w:cs="IRNazanin"/>
          <w:color w:val="111111"/>
          <w:sz w:val="28"/>
          <w:szCs w:val="28"/>
          <w:rtl w:val="true"/>
          <w:lang w:bidi="fa-IR"/>
        </w:rPr>
        <w:t>»</w:t>
      </w:r>
      <w:r>
        <w:rPr>
          <w:rStyle w:val="FootnoteAnchor"/>
          <w:rtl w:val="true"/>
        </w:rPr>
        <w:footnoteReference w:id="23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 به ابن إدریس</w:t>
      </w:r>
      <w:r>
        <w:rPr>
          <w:rStyle w:val="FootnoteAnchor"/>
          <w:rtl w:val="true"/>
        </w:rPr>
        <w:footnoteReference w:id="2379"/>
      </w:r>
      <w:r>
        <w:rPr>
          <w:rFonts w:ascii="IRNazanin" w:hAnsi="IRNazanin" w:eastAsia="IRNazanin"/>
          <w:color w:val="111111"/>
          <w:sz w:val="28"/>
          <w:sz w:val="28"/>
          <w:szCs w:val="28"/>
          <w:rtl w:val="true"/>
          <w:lang w:bidi="fa-IR"/>
        </w:rPr>
        <w:t>و الفاضل الآبی</w:t>
      </w:r>
      <w:r>
        <w:rPr>
          <w:rStyle w:val="FootnoteAnchor"/>
          <w:rtl w:val="true"/>
        </w:rPr>
        <w:footnoteReference w:id="23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اختاره الفاضلان</w:t>
      </w:r>
      <w:r>
        <w:rPr>
          <w:rStyle w:val="FootnoteAnchor"/>
          <w:rtl w:val="true"/>
        </w:rPr>
        <w:footnoteReference w:id="2381"/>
      </w:r>
    </w:p>
    <w:p>
      <w:pPr>
        <w:pStyle w:val="BookText"/>
        <w:rPr/>
      </w:pPr>
      <w:r>
        <w:rPr>
          <w:rFonts w:ascii="IRNazanin" w:hAnsi="IRNazanin" w:eastAsia="IRNazanin"/>
          <w:color w:val="111111"/>
          <w:sz w:val="28"/>
          <w:sz w:val="28"/>
          <w:szCs w:val="28"/>
          <w:rtl w:val="true"/>
          <w:lang w:bidi="fa-IR"/>
        </w:rPr>
        <w:t>و الشهید و المحقّق الثانیان</w:t>
      </w:r>
      <w:r>
        <w:rPr>
          <w:rStyle w:val="FootnoteAnchor"/>
          <w:rtl w:val="true"/>
        </w:rPr>
        <w:footnoteReference w:id="2382"/>
      </w:r>
      <w:r>
        <w:rPr>
          <w:rFonts w:ascii="IRNazanin" w:hAnsi="IRNazanin" w:eastAsia="IRNazanin"/>
          <w:color w:val="111111"/>
          <w:sz w:val="28"/>
          <w:sz w:val="28"/>
          <w:szCs w:val="28"/>
          <w:rtl w:val="true"/>
          <w:lang w:bidi="fa-IR"/>
        </w:rPr>
        <w:t>و السید صاحب المدارک</w:t>
      </w:r>
      <w:r>
        <w:rPr>
          <w:rStyle w:val="FootnoteAnchor"/>
          <w:rtl w:val="true"/>
        </w:rPr>
        <w:footnoteReference w:id="2383"/>
      </w:r>
      <w:r>
        <w:rPr>
          <w:rFonts w:ascii="IRNazanin" w:hAnsi="IRNazanin" w:eastAsia="IRNazanin"/>
          <w:color w:val="111111"/>
          <w:sz w:val="28"/>
          <w:sz w:val="28"/>
          <w:szCs w:val="28"/>
          <w:rtl w:val="true"/>
          <w:lang w:bidi="fa-IR"/>
        </w:rPr>
        <w:t>و صاحب الجواهر</w:t>
      </w:r>
      <w:r>
        <w:rPr>
          <w:rStyle w:val="FootnoteAnchor"/>
          <w:rtl w:val="true"/>
        </w:rPr>
        <w:footnoteReference w:id="2384"/>
      </w:r>
    </w:p>
    <w:p>
      <w:pPr>
        <w:pStyle w:val="BookText"/>
        <w:rPr/>
      </w:pPr>
      <w:r>
        <w:rPr>
          <w:rFonts w:ascii="Amiri" w:hAnsi="Amiri" w:eastAsia="Amiri" w:cs="Amiri"/>
          <w:color w:val="111111"/>
          <w:sz w:val="28"/>
          <w:sz w:val="28"/>
          <w:szCs w:val="28"/>
          <w:rtl w:val="true"/>
          <w:lang w:bidi="ar-SA"/>
        </w:rPr>
        <w:t>و صاحب العروة</w:t>
      </w:r>
      <w:r>
        <w:rPr>
          <w:rStyle w:val="FootnoteAnchor"/>
          <w:rtl w:val="true"/>
        </w:rPr>
        <w:footnoteReference w:id="2385"/>
      </w:r>
      <w:r>
        <w:rPr>
          <w:rFonts w:ascii="IRNazanin" w:hAnsi="IRNazanin" w:eastAsia="IRNazanin"/>
          <w:color w:val="111111"/>
          <w:sz w:val="28"/>
          <w:sz w:val="28"/>
          <w:szCs w:val="28"/>
          <w:rtl w:val="true"/>
          <w:lang w:bidi="fa-IR"/>
        </w:rPr>
        <w:t>و المحشّون علیها</w:t>
      </w:r>
      <w:r>
        <w:rPr>
          <w:rStyle w:val="FootnoteAnchor"/>
          <w:rtl w:val="true"/>
        </w:rPr>
        <w:footnoteReference w:id="2386"/>
      </w:r>
      <w:r>
        <w:rPr>
          <w:rFonts w:ascii="IRNazanin" w:hAnsi="IRNazanin" w:eastAsia="IRNazanin"/>
          <w:color w:val="111111"/>
          <w:sz w:val="28"/>
          <w:sz w:val="28"/>
          <w:szCs w:val="28"/>
          <w:rtl w:val="true"/>
          <w:lang w:bidi="fa-IR"/>
        </w:rPr>
        <w:t>، و قوّاه فی الحدائق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المسألة لا تخلو من شوب الإشکال، و إن کان قول المشهور لا یخلو من قوّة</w:t>
      </w:r>
      <w:r>
        <w:rPr>
          <w:rFonts w:eastAsia="IRNazanin" w:cs="IRNazanin"/>
          <w:color w:val="111111"/>
          <w:sz w:val="28"/>
          <w:szCs w:val="28"/>
          <w:rtl w:val="true"/>
          <w:lang w:bidi="fa-IR"/>
        </w:rPr>
        <w:t>»</w:t>
      </w:r>
      <w:r>
        <w:rPr>
          <w:rStyle w:val="FootnoteAnchor"/>
          <w:rtl w:val="true"/>
        </w:rPr>
        <w:footnoteReference w:id="2387"/>
      </w:r>
    </w:p>
    <w:p>
      <w:pPr>
        <w:pStyle w:val="BookText"/>
        <w:rPr/>
      </w:pPr>
      <w:r>
        <w:rPr>
          <w:rFonts w:ascii="IRNazanin" w:hAnsi="IRNazanin" w:eastAsia="IRNazanin"/>
          <w:color w:val="111111"/>
          <w:sz w:val="28"/>
          <w:sz w:val="28"/>
          <w:szCs w:val="28"/>
          <w:rtl w:val="true"/>
          <w:lang w:bidi="fa-IR"/>
        </w:rPr>
        <w:t>و غیرهم</w:t>
      </w:r>
      <w:r>
        <w:rPr>
          <w:rStyle w:val="FootnoteAnchor"/>
          <w:rtl w:val="true"/>
        </w:rPr>
        <w:footnoteReference w:id="2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أدلّة هذا القول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یمکن الاستدلال لهذا القول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الذی ادّعاه فی الریاض</w:t>
      </w:r>
      <w:r>
        <w:rPr>
          <w:rStyle w:val="FootnoteAnchor"/>
          <w:rtl w:val="true"/>
        </w:rPr>
        <w:footnoteReference w:id="23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حکاه فی کشف اللثام</w:t>
      </w:r>
      <w:r>
        <w:rPr>
          <w:rStyle w:val="FootnoteAnchor"/>
          <w:rtl w:val="true"/>
        </w:rPr>
        <w:footnoteReference w:id="2390"/>
      </w:r>
      <w:r>
        <w:rPr>
          <w:rFonts w:ascii="IRNazanin" w:hAnsi="IRNazanin" w:eastAsia="IRNazanin"/>
          <w:color w:val="111111"/>
          <w:sz w:val="28"/>
          <w:sz w:val="28"/>
          <w:szCs w:val="28"/>
          <w:rtl w:val="true"/>
          <w:lang w:bidi="fa-IR"/>
        </w:rPr>
        <w:t>عن الخلاف، و لکن لم نعثر علیه فی الخلاف، و الظاهر أنّه مدرکی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النصوص، و هی العمدة</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کصحیحة عبد اللّه بن سنان،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بیده عقدة</w:t>
      </w:r>
    </w:p>
    <w:p>
      <w:pPr>
        <w:pStyle w:val="BookText"/>
        <w:rPr/>
      </w:pPr>
      <w:r>
        <w:rPr>
          <w:rFonts w:ascii="IRNazanin" w:hAnsi="IRNazanin" w:eastAsia="IRNazanin"/>
          <w:color w:val="111111"/>
          <w:sz w:val="28"/>
          <w:sz w:val="28"/>
          <w:szCs w:val="28"/>
          <w:rtl w:val="true"/>
          <w:lang w:bidi="fa-IR"/>
        </w:rPr>
        <w:t>النکاح هو ولیّ أمرها</w:t>
      </w:r>
      <w:r>
        <w:rPr>
          <w:rFonts w:eastAsia="IRNazanin" w:cs="IRNazanin"/>
          <w:color w:val="111111"/>
          <w:sz w:val="28"/>
          <w:szCs w:val="28"/>
          <w:rtl w:val="true"/>
          <w:lang w:bidi="fa-IR"/>
        </w:rPr>
        <w:t>»</w:t>
      </w:r>
      <w:r>
        <w:rPr>
          <w:rStyle w:val="FootnoteAnchor"/>
          <w:rtl w:val="true"/>
        </w:rPr>
        <w:footnoteReference w:id="2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خلاف فی أنّ الجدّ ولیّ أمرها</w:t>
      </w:r>
      <w:r>
        <w:rPr>
          <w:rStyle w:val="FootnoteAnchor"/>
          <w:rtl w:val="true"/>
        </w:rPr>
        <w:footnoteReference w:id="2392"/>
      </w:r>
      <w:r>
        <w:rPr>
          <w:rFonts w:ascii="IRNazanin" w:hAnsi="IRNazanin" w:eastAsia="IRNazanin"/>
          <w:color w:val="111111"/>
          <w:sz w:val="28"/>
          <w:sz w:val="28"/>
          <w:szCs w:val="28"/>
          <w:rtl w:val="true"/>
          <w:lang w:bidi="fa-IR"/>
        </w:rPr>
        <w:t>فی الأموال، سواء کان الأب حیّاً أو میّتاً، بل الإجماع علیه کما فی المسالک</w:t>
      </w:r>
      <w:r>
        <w:rPr>
          <w:rStyle w:val="FootnoteAnchor"/>
          <w:rtl w:val="true"/>
        </w:rPr>
        <w:footnoteReference w:id="2393"/>
      </w:r>
      <w:r>
        <w:rPr>
          <w:rFonts w:ascii="IRNazanin" w:hAnsi="IRNazanin" w:eastAsia="IRNazanin"/>
          <w:color w:val="111111"/>
          <w:sz w:val="28"/>
          <w:sz w:val="28"/>
          <w:szCs w:val="28"/>
          <w:rtl w:val="true"/>
          <w:lang w:bidi="fa-IR"/>
        </w:rPr>
        <w:t>و الریاض</w:t>
      </w:r>
      <w:r>
        <w:rPr>
          <w:rStyle w:val="FootnoteAnchor"/>
          <w:rtl w:val="true"/>
        </w:rPr>
        <w:footnoteReference w:id="2394"/>
      </w:r>
      <w:r>
        <w:rPr>
          <w:rFonts w:ascii="IRNazanin" w:hAnsi="IRNazanin" w:eastAsia="IRNazanin"/>
          <w:color w:val="111111"/>
          <w:sz w:val="28"/>
          <w:sz w:val="28"/>
          <w:szCs w:val="28"/>
          <w:rtl w:val="true"/>
          <w:lang w:bidi="fa-IR"/>
        </w:rPr>
        <w:t>و الجواهر</w:t>
      </w:r>
      <w:r>
        <w:rPr>
          <w:rStyle w:val="FootnoteAnchor"/>
          <w:rtl w:val="true"/>
        </w:rPr>
        <w:footnoteReference w:id="2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هذا ثبوت الولایة للجدّ فی الجملة من القطعیّات التی لا ریب فیها، فتکون عقدة النکاح بیده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إطلاقات الأخبار التی تدلّ علی ثبوت ولایة الأب و الجدّ فی النکاح، فإنّها و إن کان موردها جمیعاً فرض وجود الأب، إلاّ أنّ المتفاهم العرفی منها ثبوت الولایة لکلّ من الأب و الجدّ علی نحو الإطلاق، من غیر تقیید ولایة کلّ منهما بفرض وجود الآخر أو عدمه؛ لأنّ مجرّد فرض وجود الأب لا یوجب تقییداً فی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صحیحة محمّد بن مسلم، عن أحدهما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زوّج الرجل ابنة ابنه فهو جائز علی ابنه، و لابنه أیضاً أن یزوّجها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2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قوله علیه السلام فی ذیل موثّقة عبید بن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یجوز علیها تزویج الأب و الجدّ</w:t>
      </w:r>
      <w:r>
        <w:rPr>
          <w:rFonts w:eastAsia="IRNazanin" w:cs="IRNazanin"/>
          <w:color w:val="111111"/>
          <w:sz w:val="28"/>
          <w:szCs w:val="28"/>
          <w:rtl w:val="true"/>
          <w:lang w:bidi="fa-IR"/>
        </w:rPr>
        <w:t>»</w:t>
      </w:r>
      <w:r>
        <w:rPr>
          <w:rStyle w:val="FootnoteAnchor"/>
          <w:rtl w:val="true"/>
        </w:rPr>
        <w:footnoteReference w:id="2397"/>
      </w:r>
      <w:r>
        <w:rPr>
          <w:rFonts w:ascii="IRNazanin" w:hAnsi="IRNazanin" w:eastAsia="IRNazanin"/>
          <w:color w:val="111111"/>
          <w:sz w:val="28"/>
          <w:sz w:val="28"/>
          <w:szCs w:val="28"/>
          <w:rtl w:val="true"/>
          <w:lang w:bidi="fa-IR"/>
        </w:rPr>
        <w:t>و نحوهما الروایة الثانیة لعبید بن زرارة</w:t>
      </w:r>
      <w:r>
        <w:rPr>
          <w:rStyle w:val="FootnoteAnchor"/>
          <w:rtl w:val="true"/>
        </w:rPr>
        <w:footnoteReference w:id="2398"/>
      </w:r>
      <w:r>
        <w:rPr>
          <w:rFonts w:eastAsia="Times New Roman" w:cs="Times New Roman" w:ascii="Times New Roman" w:hAnsi="Times New Roman"/>
          <w:color w:val="111111"/>
          <w:sz w:val="28"/>
          <w:szCs w:val="28"/>
          <w:rtl w:val="true"/>
          <w:lang w:val="en-US" w:bidi="en-US"/>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الواضح أنّ مقتضی إطلاقها کون ولایة الجدّ مطلقة غیر مقیّدةٍ بوجود الأب و إن فرض فی مورد وجود الأب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الأخبار التی یستفاد منها أولویّة نکاح الجدّ علی نکاح الأب عند التعارض، و أنّ ولایة الجدّ أقوی من ولایة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کصحیحة محمّد بن مسلم السابقة؛ لأنّه قال فی ذیلها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هوی أبوها رجلاً و جدّها رجلاً،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الجدّ أولی بنکاحها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موثّقة عبید بن زرارة المتقدّمة، و صحیحة محمّد بن حکیم و هشام بن سالم</w:t>
      </w:r>
      <w:r>
        <w:rPr>
          <w:rStyle w:val="FootnoteAnchor"/>
          <w:rtl w:val="true"/>
        </w:rPr>
        <w:footnoteReference w:id="23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فالمتفاهم العرفی من تلک النصوص أنّ للأقوی ولایة، سواء کان الأضعف حیّاً أو میّتاً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دلّ علی أنّها و أبوها للجدّ، کما فی روایة علیّ بن جعفر التی عبّر عنها السیّد الخوئی رحمه الله بالصحیحة، و فی 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هوی الجدّ أحقّ بالجاریة؛ لأنّها و أباها للجدّ</w:t>
      </w:r>
      <w:r>
        <w:rPr>
          <w:rFonts w:eastAsia="IRNazanin" w:cs="IRNazanin"/>
          <w:color w:val="111111"/>
          <w:sz w:val="28"/>
          <w:szCs w:val="28"/>
          <w:rtl w:val="true"/>
          <w:lang w:bidi="fa-IR"/>
        </w:rPr>
        <w:t>»</w:t>
      </w:r>
      <w:r>
        <w:rPr>
          <w:rStyle w:val="FootnoteAnchor"/>
          <w:rtl w:val="true"/>
        </w:rPr>
        <w:footnoteReference w:id="24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المتفاهم منه عرفاً نفوذ اختیار الجدّ فی الجاریة و أبیها، و من الواضح أنّه لا یبطل بالموت، و لعلّ الأوضح دلالة من الأخبار هو هذه الروایة؛ لأنّها متضمّنة لتعلیل الحکم بکون عقد الجاریة من قبل الجدّ مقدّماً علی عقد الأب لها 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لأنّها و أباها للجدّ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لیس المراد کون مجموعهما بما هو مجموع للجدّ، بل المراد أنّهما للجدّ مع الأب مستقلاًّ، و مقتضی هذا ثبوت الولایة للجدّ مطلقاً، سواء کان الأب موجوداً أم لا؟</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بقاء ولایة الجدّ التی کانت حال حیاة الأب بعد موت الأب، بناءً علی جریان الأصل فی الشبهات الحکمیة، و لا شکّ فی أنّ للجدّ ولایة فی حیاة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یجری الاستصحاب إذا کان الأب قد مات فی حال کون الصغیر حملاً، إلاّ أنّه إذا ثبتت ولایة الجدّ بالاستصحاب فیما إذا توفّی الأب و الطفل موجود</w:t>
      </w:r>
      <w:bookmarkStart w:id="1142" w:name="pg11752_146572"/>
    </w:p>
    <w:p>
      <w:pPr>
        <w:pStyle w:val="BookText"/>
        <w:rPr/>
      </w:pPr>
      <w:bookmarkEnd w:id="1142"/>
      <w:r>
        <w:rPr>
          <w:rFonts w:ascii="IRNazanin" w:hAnsi="IRNazanin" w:eastAsia="IRNazanin"/>
          <w:color w:val="111111"/>
          <w:sz w:val="28"/>
          <w:sz w:val="28"/>
          <w:szCs w:val="28"/>
          <w:rtl w:val="true"/>
          <w:lang w:bidi="fa-IR"/>
        </w:rPr>
        <w:t>تثبت الولایة فی مثل ما لو کان الطفل حین موت أبیه؛ حملاً للقول بعدم 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یخفی الإشکال فیه؛ لأنّه لا مجری للأصل بعد وجود الدلیل فی المسألة، و لعلّ المقصود منه جریانه علی فرض التنزّل، و عدم وجود النصوص الواردة فی المقام</w:t>
      </w:r>
      <w:r>
        <w:rPr>
          <w:rFonts w:eastAsia="IRNazanin" w:cs="IRNazanin"/>
          <w:color w:val="111111"/>
          <w:sz w:val="28"/>
          <w:szCs w:val="28"/>
          <w:rtl w:val="true"/>
          <w:lang w:bidi="fa-IR"/>
        </w:rPr>
        <w:t>.</w:t>
      </w:r>
    </w:p>
    <w:p>
      <w:pPr>
        <w:pStyle w:val="Heading5"/>
        <w:numPr>
          <w:ilvl w:val="4"/>
          <w:numId w:val="1"/>
        </w:numPr>
        <w:rPr/>
      </w:pPr>
      <w:bookmarkStart w:id="1143" w:name="__RefHeading___Toc9424640_73709187"/>
      <w:bookmarkStart w:id="1144" w:name="_Toc434"/>
      <w:bookmarkEnd w:id="1143"/>
      <w:r>
        <w:rPr>
          <w:rtl w:val="true"/>
        </w:rPr>
        <w:t>القول الثانی</w:t>
      </w:r>
      <w:r>
        <w:rPr>
          <w:rtl w:val="true"/>
        </w:rPr>
        <w:t xml:space="preserve">: </w:t>
      </w:r>
      <w:r>
        <w:rPr>
          <w:rtl w:val="true"/>
        </w:rPr>
        <w:t>اشتراط ولایة الجدّ ببقاء الأب</w:t>
      </w:r>
      <w:bookmarkEnd w:id="1144"/>
    </w:p>
    <w:p>
      <w:pPr>
        <w:pStyle w:val="BookText"/>
        <w:rPr/>
      </w:pPr>
      <w:r>
        <w:rPr>
          <w:rFonts w:ascii="IRNazanin" w:hAnsi="IRNazanin" w:eastAsia="IRNazanin"/>
          <w:color w:val="111111"/>
          <w:sz w:val="28"/>
          <w:sz w:val="28"/>
          <w:szCs w:val="28"/>
          <w:rtl w:val="true"/>
          <w:lang w:bidi="fa-IR"/>
        </w:rPr>
        <w:t>یشترط فی ولایة الجدّ حیاة الأب، و إذا مات الأب فلا ولایة للجدّ علی الصغیرة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الصدوق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کانت بکراً و کان لها أبٌ و جدٌّ، فالجدّ أحقّ بتزویجها من الأب ما دام الأب حیّاً، فإذا مات الأب فلا ولایة للجدّ علیها؛ لأنّ الجدّ إنّما یملک أمرها فی حیاة ابنه، فإذا مات ابنه بطلت ولایته</w:t>
      </w:r>
      <w:r>
        <w:rPr>
          <w:rFonts w:eastAsia="IRNazanin" w:cs="IRNazanin"/>
          <w:color w:val="111111"/>
          <w:sz w:val="28"/>
          <w:szCs w:val="28"/>
          <w:rtl w:val="true"/>
          <w:lang w:bidi="fa-IR"/>
        </w:rPr>
        <w:t>»</w:t>
      </w:r>
      <w:r>
        <w:rPr>
          <w:rStyle w:val="FootnoteAnchor"/>
          <w:rtl w:val="true"/>
        </w:rPr>
        <w:footnoteReference w:id="2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قال الشیخ فی أکثر کتبه</w:t>
      </w:r>
      <w:r>
        <w:rPr>
          <w:rStyle w:val="FootnoteAnchor"/>
          <w:rtl w:val="true"/>
        </w:rPr>
        <w:footnoteReference w:id="2402"/>
      </w:r>
      <w:r>
        <w:rPr>
          <w:rFonts w:ascii="IRNazanin" w:hAnsi="IRNazanin" w:eastAsia="IRNazanin"/>
          <w:color w:val="111111"/>
          <w:sz w:val="28"/>
          <w:sz w:val="28"/>
          <w:szCs w:val="28"/>
          <w:rtl w:val="true"/>
          <w:lang w:bidi="fa-IR"/>
        </w:rPr>
        <w:t>و ابن الجنید</w:t>
      </w:r>
      <w:r>
        <w:rPr>
          <w:rStyle w:val="FootnoteAnchor"/>
          <w:rtl w:val="true"/>
        </w:rPr>
        <w:footnoteReference w:id="2403"/>
      </w:r>
      <w:r>
        <w:rPr>
          <w:rFonts w:ascii="IRNazanin" w:hAnsi="IRNazanin" w:eastAsia="IRNazanin"/>
          <w:color w:val="111111"/>
          <w:sz w:val="28"/>
          <w:sz w:val="28"/>
          <w:szCs w:val="28"/>
          <w:rtl w:val="true"/>
          <w:lang w:bidi="fa-IR"/>
        </w:rPr>
        <w:t>و الحلبی و الراوندی و بنو زهرة و حمزة و البرّاج و الکیدری</w:t>
      </w:r>
      <w:r>
        <w:rPr>
          <w:rStyle w:val="FootnoteAnchor"/>
          <w:rtl w:val="true"/>
        </w:rPr>
        <w:footnoteReference w:id="2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النهایة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لم یکن أبوها حیّاً لم یجز للجدّ أن یعقد علیها إلاّ برضاها</w:t>
      </w:r>
      <w:r>
        <w:rPr>
          <w:rFonts w:eastAsia="IRNazanin" w:cs="IRNazanin"/>
          <w:color w:val="111111"/>
          <w:sz w:val="28"/>
          <w:szCs w:val="28"/>
          <w:rtl w:val="true"/>
          <w:lang w:bidi="fa-IR"/>
        </w:rPr>
        <w:t>»</w:t>
      </w:r>
      <w:r>
        <w:rPr>
          <w:rStyle w:val="FootnoteAnchor"/>
          <w:rtl w:val="true"/>
        </w:rPr>
        <w:footnoteReference w:id="2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أدلّة هذا القول</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استدلّ القائل بالاشتراط بأمورٍ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عدم ولایة أحدٍ علی أحدٍ إلاّ ما تیقّن ثبوته بالدلیل، و القدر المتیقّن من ولایة الجدّ هی حال حیاة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الفاضل الأصفهانی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الأصل، العدم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عدم جعل الولایة للجدّ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فیما أُجمع علیه، و هو حیاة الأب</w:t>
      </w:r>
      <w:r>
        <w:rPr>
          <w:rFonts w:eastAsia="IRNazanin" w:cs="IRNazanin"/>
          <w:color w:val="111111"/>
          <w:sz w:val="28"/>
          <w:szCs w:val="28"/>
          <w:rtl w:val="true"/>
          <w:lang w:bidi="fa-IR"/>
        </w:rPr>
        <w:t>»</w:t>
      </w:r>
      <w:r>
        <w:rPr>
          <w:rStyle w:val="FootnoteAnchor"/>
          <w:rtl w:val="true"/>
        </w:rPr>
        <w:footnoteReference w:id="2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 دلیل حیث لا دلیل، و هنا یوجد دلیل، و هو الأخبار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الأخبار التی تدلّ علی ولایة الجدّ مطلقاً تختص بما إذا کان الأب 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 إن کان موردها ذلک إلاّ أنّ المورد لا یخصّص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موثّقة فضل بن عبد الملک،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الجدّ إذا زوّج ابنة ابنه و کان أبوها حیّاً و کان الجدّ مرضیّاً جاز</w:t>
      </w:r>
      <w:r>
        <w:rPr>
          <w:rFonts w:eastAsia="IRNazanin" w:cs="IRNazanin"/>
          <w:color w:val="111111"/>
          <w:sz w:val="28"/>
          <w:szCs w:val="28"/>
          <w:rtl w:val="true"/>
          <w:lang w:bidi="fa-IR"/>
        </w:rPr>
        <w:t>»</w:t>
      </w:r>
      <w:r>
        <w:rPr>
          <w:rStyle w:val="FootnoteAnchor"/>
          <w:rtl w:val="true"/>
        </w:rPr>
        <w:footnoteReference w:id="24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دلّ الخبر علی انتفاء الجواز بانتفاء أحد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حیاة الأب، و من کون الجدّ مرضیّاً بمقتضی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وقع البحث فی أنّ هذا المفهوم هل هو مفهوم الشرط‌</w:t>
      </w:r>
      <w:r>
        <w:rPr>
          <w:rStyle w:val="FootnoteAnchor"/>
          <w:rtl w:val="true"/>
        </w:rPr>
        <w:footnoteReference w:id="2408"/>
      </w:r>
      <w:r>
        <w:rPr>
          <w:rFonts w:ascii="IRNazanin" w:hAnsi="IRNazanin" w:eastAsia="IRNazanin"/>
          <w:color w:val="111111"/>
          <w:sz w:val="28"/>
          <w:sz w:val="28"/>
          <w:szCs w:val="28"/>
          <w:rtl w:val="true"/>
          <w:lang w:bidi="fa-IR"/>
        </w:rPr>
        <w:t>، أو مفهوم الوصف؟</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مفهوم الشرط کما فی الجواهر</w:t>
      </w:r>
      <w:r>
        <w:rPr>
          <w:rStyle w:val="FootnoteAnchor"/>
          <w:rtl w:val="true"/>
        </w:rPr>
        <w:footnoteReference w:id="2409"/>
      </w:r>
      <w:r>
        <w:rPr>
          <w:rFonts w:ascii="IRNazanin" w:hAnsi="IRNazanin" w:eastAsia="IRNazanin"/>
          <w:color w:val="111111"/>
          <w:sz w:val="28"/>
          <w:sz w:val="28"/>
          <w:szCs w:val="28"/>
          <w:rtl w:val="true"/>
          <w:lang w:bidi="fa-IR"/>
        </w:rPr>
        <w:t>و نهایة المرام</w:t>
      </w:r>
      <w:r>
        <w:rPr>
          <w:rStyle w:val="FootnoteAnchor"/>
          <w:rtl w:val="true"/>
        </w:rPr>
        <w:footnoteReference w:id="2410"/>
      </w:r>
      <w:r>
        <w:rPr>
          <w:rFonts w:ascii="IRNazanin" w:hAnsi="IRNazanin" w:eastAsia="IRNazanin"/>
          <w:color w:val="111111"/>
          <w:sz w:val="28"/>
          <w:sz w:val="28"/>
          <w:szCs w:val="28"/>
          <w:rtl w:val="true"/>
          <w:lang w:bidi="fa-IR"/>
        </w:rPr>
        <w:t>و غیرهما، و الحقّ کما فی المسالک</w:t>
      </w:r>
      <w:r>
        <w:rPr>
          <w:rStyle w:val="FootnoteAnchor"/>
          <w:rtl w:val="true"/>
        </w:rPr>
        <w:footnoteReference w:id="2411"/>
      </w:r>
      <w:r>
        <w:rPr>
          <w:rFonts w:ascii="IRNazanin" w:hAnsi="IRNazanin" w:eastAsia="IRNazanin"/>
          <w:color w:val="111111"/>
          <w:sz w:val="28"/>
          <w:sz w:val="28"/>
          <w:szCs w:val="28"/>
          <w:rtl w:val="true"/>
          <w:lang w:bidi="fa-IR"/>
        </w:rPr>
        <w:t>أنّه مفهوم الوصف؛ لأنّ الشرطیّة هنا لتحقیق الموضوع لا لتعلیق الحکم علی مدخول أداة الشرط بمتعلّقاته، و المراد بالمتعلّقات هنا الجملة الحالیة،</w:t>
      </w:r>
      <w:bookmarkStart w:id="1145" w:name="pg11752_146574"/>
    </w:p>
    <w:p>
      <w:pPr>
        <w:pStyle w:val="BookText"/>
        <w:rPr/>
      </w:pPr>
      <w:bookmarkEnd w:id="1145"/>
      <w:r>
        <w:rPr>
          <w:rFonts w:ascii="IRNazanin" w:hAnsi="IRNazanin" w:eastAsia="IRNazanin"/>
          <w:color w:val="111111"/>
          <w:sz w:val="28"/>
          <w:sz w:val="28"/>
          <w:szCs w:val="28"/>
          <w:rtl w:val="true"/>
          <w:lang w:bidi="fa-IR"/>
        </w:rPr>
        <w:t>أعنی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أبوها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الجملة الشرطیّة التی سیقت لبیان تحقّق الموضوع لا مفهوم لها کما حُقِّق فی الأصول</w:t>
      </w:r>
      <w:r>
        <w:rPr>
          <w:rStyle w:val="FootnoteAnchor"/>
          <w:rtl w:val="true"/>
        </w:rPr>
        <w:footnoteReference w:id="2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الروایة تکون بصدد بیان تعارض عقد الأب و الجدّ، فیلزم فرض تحقّق الأب و الجدّ أوّلاً، ثمّ بیان لزوم تقدیم إنکاح الجدّ علی إنکاح الأب، و إنّما ذکر هذا القید تمهیداً لحکم التعارض بین العقدین، و لا یمکن فرض التعارض إلاّ مع وجود الأب، فالشرط مساقٌ لتحقّق الموضوع، فقد جاء فی ذیل الروایة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هوی أبو الجاریة هوی و هوی الجدّ هوی، و هما سواءٌ فی العدل و الرضا،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إلیَّ أن ترضی بقول الجدّ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فالظاهر منها أنّه من مفهوم الوصف و شبهه، و الوصف إنّما یکون له مفهوم إذا لم یکن لإیراده فی الکلام فائدةٌ سوی نفی الحکم عن المسکوت عنه، و فائدة الوصف هنا دفع توهّم ثبوت ولایة الجدّ بعد فقد الأب کما عن أکثر أهل السنّة کما سیأتی، فهذا القید للردّ علی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احتمله قویّاً فی تفصیل الشریعة</w:t>
      </w:r>
      <w:r>
        <w:rPr>
          <w:rStyle w:val="FootnoteAnchor"/>
          <w:rtl w:val="true"/>
        </w:rPr>
        <w:footnoteReference w:id="2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فثبت ممّا قلنا أنّ المفهوم فی هذه الروایة مفهوم الوصف کما قال به فی حاشیة المکاسب للمحقّق الاصفهانی</w:t>
      </w:r>
      <w:r>
        <w:rPr>
          <w:rStyle w:val="FootnoteAnchor"/>
          <w:rtl w:val="true"/>
        </w:rPr>
        <w:footnoteReference w:id="2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کیف کان، فهذه الروایة قاصرة عن إثبات اشتراط بقاء الأب فی ولایة الجدّ بل للجدّ ولایة سواء أ کان الأب حیّاً أم میّتاً</w:t>
      </w:r>
      <w:r>
        <w:rPr>
          <w:rFonts w:eastAsia="IRNazanin" w:cs="IRNazanin"/>
          <w:color w:val="111111"/>
          <w:sz w:val="28"/>
          <w:szCs w:val="28"/>
          <w:rtl w:val="true"/>
          <w:lang w:bidi="fa-IR"/>
        </w:rPr>
        <w:t>.</w:t>
      </w:r>
    </w:p>
    <w:p>
      <w:pPr>
        <w:pStyle w:val="Heading5"/>
        <w:numPr>
          <w:ilvl w:val="4"/>
          <w:numId w:val="1"/>
        </w:numPr>
        <w:rPr/>
      </w:pPr>
      <w:bookmarkStart w:id="1146" w:name="__RefHeading___Toc9424642_73709187"/>
      <w:bookmarkStart w:id="1147" w:name="_Toc435"/>
      <w:bookmarkEnd w:id="1146"/>
      <w:r>
        <w:rPr>
          <w:rtl w:val="true"/>
        </w:rPr>
        <w:t>القول الثالث</w:t>
      </w:r>
      <w:r>
        <w:rPr>
          <w:rtl w:val="true"/>
        </w:rPr>
        <w:t xml:space="preserve">: </w:t>
      </w:r>
      <w:r>
        <w:rPr>
          <w:rtl w:val="true"/>
        </w:rPr>
        <w:t>ولایة الجدّ مشروطة بموت الأب</w:t>
      </w:r>
      <w:bookmarkEnd w:id="1147"/>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بعض الفقهاء من أهل السنّة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یُشترط فی ولایة الجدّ موت الأب، أو</w:t>
      </w:r>
    </w:p>
    <w:p>
      <w:pPr>
        <w:pStyle w:val="BookText"/>
        <w:rPr/>
      </w:pPr>
      <w:r>
        <w:rPr>
          <w:rFonts w:ascii="IRNazanin" w:hAnsi="IRNazanin" w:eastAsia="IRNazanin"/>
          <w:color w:val="111111"/>
          <w:sz w:val="28"/>
          <w:sz w:val="28"/>
          <w:szCs w:val="28"/>
          <w:rtl w:val="true"/>
          <w:lang w:bidi="fa-IR"/>
        </w:rPr>
        <w:t>بطلان ولایته بکفرٍ أو ردّةٍ أو جنون، و لا ولایة للجدّ فی حیاة الأب</w:t>
      </w:r>
      <w:r>
        <w:rPr>
          <w:rFonts w:eastAsia="IRNazanin" w:cs="IRNazanin"/>
          <w:color w:val="111111"/>
          <w:sz w:val="28"/>
          <w:szCs w:val="28"/>
          <w:rtl w:val="true"/>
          <w:lang w:bidi="fa-IR"/>
        </w:rPr>
        <w:t>»</w:t>
      </w:r>
      <w:r>
        <w:rPr>
          <w:rStyle w:val="FootnoteAnchor"/>
          <w:rtl w:val="true"/>
        </w:rPr>
        <w:footnoteReference w:id="2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الشافعی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ولایة لأحدٍ مع الأب فإذا مات فالجدّ، و استدلّ بأنّ الولایة للعصبة</w:t>
      </w:r>
      <w:r>
        <w:rPr>
          <w:rStyle w:val="FootnoteAnchor"/>
          <w:rtl w:val="true"/>
        </w:rPr>
        <w:footnoteReference w:id="24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فالأب أقرب عصبةً من الجدّ، فلا ولایة للجدّ فی حیاة الأب</w:t>
      </w:r>
      <w:r>
        <w:rPr>
          <w:rStyle w:val="FootnoteAnchor"/>
          <w:rtl w:val="true"/>
        </w:rPr>
        <w:footnoteReference w:id="2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السرخسی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کانت صغیرةٌ فأولی الأولیاء علیها أبوها ثمّ الجدّ بعد الأب قائم مقام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الکرخی أنّ هذا قول أبی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فی الولایة معنی الشفقة معتبرٌ</w:t>
      </w:r>
      <w:r>
        <w:rPr>
          <w:rFonts w:eastAsia="IRNazanin" w:cs="IRNazanin"/>
          <w:color w:val="111111"/>
          <w:sz w:val="28"/>
          <w:szCs w:val="28"/>
          <w:rtl w:val="true"/>
          <w:lang w:bidi="fa-IR"/>
        </w:rPr>
        <w:t>»</w:t>
      </w:r>
      <w:r>
        <w:rPr>
          <w:rStyle w:val="FootnoteAnchor"/>
          <w:rtl w:val="true"/>
        </w:rPr>
        <w:footnoteReference w:id="2418"/>
      </w:r>
      <w:r>
        <w:rPr>
          <w:rFonts w:eastAsia="Times New Roman" w:cs="Times New Roman" w:ascii="Times New Roman" w:hAnsi="Times New Roman"/>
          <w:color w:val="111111"/>
          <w:sz w:val="28"/>
          <w:szCs w:val="28"/>
          <w:rtl w:val="true"/>
          <w:lang w:val="en-US" w:bidi="en-US"/>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قال المزنی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یزوّج الصغیرة إلاّ أبوها أو جدّها بعد موت أبیها</w:t>
      </w:r>
      <w:r>
        <w:rPr>
          <w:rFonts w:eastAsia="IRNazanin" w:cs="IRNazanin"/>
          <w:color w:val="111111"/>
          <w:sz w:val="28"/>
          <w:szCs w:val="28"/>
          <w:rtl w:val="true"/>
          <w:lang w:bidi="fa-IR"/>
        </w:rPr>
        <w:t>»</w:t>
      </w:r>
      <w:r>
        <w:rPr>
          <w:rStyle w:val="FootnoteAnchor"/>
          <w:rtl w:val="true"/>
        </w:rPr>
        <w:footnoteReference w:id="2419"/>
      </w:r>
      <w:bookmarkStart w:id="1148" w:name="pg11752_146576"/>
    </w:p>
    <w:p>
      <w:pPr>
        <w:pStyle w:val="Heading4"/>
        <w:numPr>
          <w:ilvl w:val="3"/>
          <w:numId w:val="1"/>
        </w:numPr>
        <w:rPr/>
      </w:pPr>
      <w:bookmarkStart w:id="1149" w:name="__RefHeading___Toc9424644_73709187"/>
      <w:bookmarkStart w:id="1150" w:name="_Toc436"/>
      <w:bookmarkEnd w:id="1148"/>
      <w:bookmarkEnd w:id="1149"/>
      <w:r>
        <w:rPr>
          <w:rtl w:val="true"/>
        </w:rPr>
        <w:t>المبحث الثالث</w:t>
      </w:r>
      <w:r>
        <w:rPr>
          <w:rtl w:val="true"/>
        </w:rPr>
        <w:t>:</w:t>
      </w:r>
      <w:bookmarkEnd w:id="1150"/>
    </w:p>
    <w:p>
      <w:pPr>
        <w:pStyle w:val="Heading5"/>
        <w:numPr>
          <w:ilvl w:val="4"/>
          <w:numId w:val="1"/>
        </w:numPr>
        <w:rPr/>
      </w:pPr>
      <w:bookmarkStart w:id="1151" w:name="__RefHeading___Toc9424646_73709187"/>
      <w:bookmarkStart w:id="1152" w:name="_Toc437"/>
      <w:bookmarkEnd w:id="1151"/>
      <w:r>
        <w:rPr>
          <w:rtl w:val="true"/>
        </w:rPr>
        <w:t>اشارة</w:t>
      </w:r>
      <w:bookmarkEnd w:id="1152"/>
    </w:p>
    <w:p>
      <w:pPr>
        <w:pStyle w:val="BookText"/>
        <w:rPr/>
      </w:pPr>
      <w:r>
        <w:rPr>
          <w:rFonts w:ascii="IRNazanin" w:hAnsi="IRNazanin" w:eastAsia="IRNazanin"/>
          <w:color w:val="111111"/>
          <w:sz w:val="28"/>
          <w:sz w:val="28"/>
          <w:szCs w:val="28"/>
          <w:rtl w:val="true"/>
          <w:lang w:bidi="fa-IR"/>
        </w:rPr>
        <w:t>اشتراط تزویج الولیّ بوجود المصلحة أو عدم المفسدة</w:t>
      </w:r>
    </w:p>
    <w:p>
      <w:pPr>
        <w:pStyle w:val="BookText"/>
        <w:rPr/>
      </w:pPr>
      <w:r>
        <w:rPr>
          <w:rFonts w:ascii="IRNazanin" w:hAnsi="IRNazanin" w:eastAsia="IRNazanin"/>
          <w:color w:val="111111"/>
          <w:sz w:val="28"/>
          <w:sz w:val="28"/>
          <w:szCs w:val="28"/>
          <w:rtl w:val="true"/>
          <w:lang w:bidi="fa-IR"/>
        </w:rPr>
        <w:t>بعد إثبات أنّ للأب و الجدّ ولایة علی تزویج الصغار یقع البحث فی أنّه هل تکون ولایتهما مشروطة برعایة المصلحة أو تکفی عدم المفسدة فقط؟</w:t>
      </w:r>
    </w:p>
    <w:p>
      <w:pPr>
        <w:pStyle w:val="BookText"/>
        <w:rPr/>
      </w:pPr>
      <w:r>
        <w:rPr>
          <w:rFonts w:ascii="IRNazanin" w:hAnsi="IRNazanin" w:eastAsia="IRNazanin"/>
          <w:color w:val="111111"/>
          <w:sz w:val="28"/>
          <w:sz w:val="28"/>
          <w:szCs w:val="28"/>
          <w:rtl w:val="true"/>
          <w:lang w:bidi="fa-IR"/>
        </w:rPr>
        <w:t>اختلف الأصحاب فی هذه المسألة إلی قولین</w:t>
      </w:r>
      <w:r>
        <w:rPr>
          <w:rFonts w:eastAsia="IRNazanin" w:cs="IRNazanin"/>
          <w:color w:val="111111"/>
          <w:sz w:val="28"/>
          <w:szCs w:val="28"/>
          <w:rtl w:val="true"/>
          <w:lang w:bidi="fa-IR"/>
        </w:rPr>
        <w:t>:</w:t>
      </w:r>
    </w:p>
    <w:p>
      <w:pPr>
        <w:pStyle w:val="Heading5"/>
        <w:numPr>
          <w:ilvl w:val="4"/>
          <w:numId w:val="1"/>
        </w:numPr>
        <w:rPr/>
      </w:pPr>
      <w:bookmarkStart w:id="1153" w:name="__RefHeading___Toc9424648_73709187"/>
      <w:bookmarkStart w:id="1154" w:name="_Toc438"/>
      <w:bookmarkEnd w:id="1153"/>
      <w:r>
        <w:rPr>
          <w:rtl w:val="true"/>
        </w:rPr>
        <w:t>القول الأوّل</w:t>
      </w:r>
      <w:r>
        <w:rPr>
          <w:rtl w:val="true"/>
        </w:rPr>
        <w:t xml:space="preserve">: </w:t>
      </w:r>
      <w:r>
        <w:rPr>
          <w:rtl w:val="true"/>
        </w:rPr>
        <w:t>یُشترط مراعاة المصلحة و لا تکفی عدم المفسدة</w:t>
      </w:r>
      <w:bookmarkEnd w:id="1154"/>
    </w:p>
    <w:p>
      <w:pPr>
        <w:pStyle w:val="BookText"/>
        <w:rPr/>
      </w:pPr>
      <w:r>
        <w:rPr>
          <w:rFonts w:ascii="IRNazanin" w:hAnsi="IRNazanin" w:eastAsia="IRNazanin"/>
          <w:color w:val="111111"/>
          <w:sz w:val="28"/>
          <w:sz w:val="28"/>
          <w:szCs w:val="28"/>
          <w:rtl w:val="true"/>
          <w:lang w:bidi="fa-IR"/>
        </w:rPr>
        <w:t>ذهب بعض الفقهاء إلی أنّه یلزم فی تزویج الصغار رعایة المصلحة، و لا تکفی عدم المفسدة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نهایة المرام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تصرّف الولیّ منوط بالمصلحة</w:t>
      </w:r>
      <w:r>
        <w:rPr>
          <w:rFonts w:eastAsia="IRNazanin" w:cs="IRNazanin"/>
          <w:color w:val="111111"/>
          <w:sz w:val="28"/>
          <w:szCs w:val="28"/>
          <w:rtl w:val="true"/>
          <w:lang w:bidi="fa-IR"/>
        </w:rPr>
        <w:t>»</w:t>
      </w:r>
      <w:r>
        <w:rPr>
          <w:rStyle w:val="FootnoteAnchor"/>
          <w:rtl w:val="true"/>
        </w:rPr>
        <w:footnoteReference w:id="2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المحدّث الکاشانی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یثبت الولایة للأب و 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فیه مصلحةٌ أم لا علی المشهور، و مال بعض المتأخّرین إلی اشتراطها، و لا یخلو من قوة</w:t>
      </w:r>
      <w:r>
        <w:rPr>
          <w:rFonts w:eastAsia="IRNazanin" w:cs="IRNazanin"/>
          <w:color w:val="111111"/>
          <w:sz w:val="28"/>
          <w:szCs w:val="28"/>
          <w:rtl w:val="true"/>
          <w:lang w:bidi="fa-IR"/>
        </w:rPr>
        <w:t>»</w:t>
      </w:r>
      <w:r>
        <w:rPr>
          <w:rStyle w:val="FootnoteAnchor"/>
          <w:rtl w:val="true"/>
        </w:rPr>
        <w:footnoteReference w:id="2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اختاره المحقّق الثانی</w:t>
      </w:r>
      <w:r>
        <w:rPr>
          <w:rStyle w:val="FootnoteAnchor"/>
          <w:rtl w:val="true"/>
        </w:rPr>
        <w:footnoteReference w:id="2422"/>
      </w:r>
      <w:r>
        <w:rPr>
          <w:rFonts w:ascii="IRNazanin" w:hAnsi="IRNazanin" w:eastAsia="IRNazanin"/>
          <w:color w:val="111111"/>
          <w:sz w:val="28"/>
          <w:sz w:val="28"/>
          <w:szCs w:val="28"/>
          <w:rtl w:val="true"/>
          <w:lang w:bidi="fa-IR"/>
        </w:rPr>
        <w:t>و الشیخ الفقیه الفاضل اللنکرانی</w:t>
      </w:r>
      <w:r>
        <w:rPr>
          <w:rStyle w:val="FootnoteAnchor"/>
          <w:rtl w:val="true"/>
        </w:rPr>
        <w:footnoteReference w:id="24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 الشافعی</w:t>
      </w:r>
      <w:r>
        <w:rPr>
          <w:rStyle w:val="FootnoteAnchor"/>
          <w:rtl w:val="true"/>
        </w:rPr>
        <w:footnoteReference w:id="24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القول الثانی له، و أبو حنیفة أیضاً</w:t>
      </w:r>
      <w:r>
        <w:rPr>
          <w:rStyle w:val="FootnoteAnchor"/>
          <w:rtl w:val="true"/>
        </w:rPr>
        <w:footnoteReference w:id="2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استدلّ لهذا القول باُمور</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المشهور بین القدماء هو اعتبار المصلحة فی صحّة تصرّفات الولی فی</w:t>
      </w:r>
      <w:bookmarkStart w:id="1155" w:name="pg11752_146577"/>
    </w:p>
    <w:p>
      <w:pPr>
        <w:pStyle w:val="BookText"/>
        <w:rPr/>
      </w:pPr>
      <w:bookmarkEnd w:id="1155"/>
      <w:r>
        <w:rPr>
          <w:rFonts w:ascii="IRNazanin" w:hAnsi="IRNazanin" w:eastAsia="IRNazanin"/>
          <w:color w:val="111111"/>
          <w:sz w:val="28"/>
          <w:sz w:val="28"/>
          <w:szCs w:val="28"/>
          <w:rtl w:val="true"/>
          <w:lang w:bidi="fa-IR"/>
        </w:rPr>
        <w:t>أموال الصغار، بل ظاهر العلاّمة فی التذکرة دعوی نفی الخلاف فیه</w:t>
      </w:r>
      <w:r>
        <w:rPr>
          <w:rStyle w:val="FootnoteAnchor"/>
          <w:rtl w:val="true"/>
        </w:rPr>
        <w:footnoteReference w:id="2426"/>
      </w:r>
      <w:r>
        <w:rPr>
          <w:rFonts w:ascii="IRNazanin" w:hAnsi="IRNazanin" w:eastAsia="IRNazanin"/>
          <w:color w:val="111111"/>
          <w:sz w:val="28"/>
          <w:sz w:val="28"/>
          <w:szCs w:val="28"/>
          <w:rtl w:val="true"/>
          <w:lang w:bidi="fa-IR"/>
        </w:rPr>
        <w:t>، و یلحق النکاح بالأموال،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اعتبرت المصلحة فی الأموال فتعتبر فی العرض و النکاح بطریقٍ أولی‌</w:t>
      </w:r>
      <w:r>
        <w:rPr>
          <w:rStyle w:val="FootnoteAnchor"/>
          <w:rtl w:val="true"/>
        </w:rPr>
        <w:footnoteReference w:id="24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دعوی الانصراف العرفی إلی صورة مراعاة المصلحة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کلیهما نظر، أمّا علی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فإضافةً إلی أنّه لا اعتبار بالشهرة و لا یثبت فی الملحق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مخالف لإطلاقات الأدلّة، حیث لم یرد فی شیء من النصوص الواردة فی المقام ما یدلّ علی اعتبار وجود المصلحة، و لا یخلو من القیاس المردود عندنا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الثانی فدعوی الانصراف ممنوعةٌ، و أیضاً الأصل عدم اعتبار المصلحة فیه</w:t>
      </w:r>
      <w:r>
        <w:rPr>
          <w:rFonts w:eastAsia="IRNazanin" w:cs="IRNazanin"/>
          <w:color w:val="111111"/>
          <w:sz w:val="28"/>
          <w:szCs w:val="28"/>
          <w:rtl w:val="true"/>
          <w:lang w:bidi="fa-IR"/>
        </w:rPr>
        <w:t>.</w:t>
      </w:r>
    </w:p>
    <w:p>
      <w:pPr>
        <w:pStyle w:val="Heading5"/>
        <w:numPr>
          <w:ilvl w:val="4"/>
          <w:numId w:val="1"/>
        </w:numPr>
        <w:rPr/>
      </w:pPr>
      <w:bookmarkStart w:id="1156" w:name="__RefHeading___Toc9424650_73709187"/>
      <w:bookmarkStart w:id="1157" w:name="_Toc439"/>
      <w:bookmarkEnd w:id="1156"/>
      <w:r>
        <w:rPr>
          <w:rtl w:val="true"/>
        </w:rPr>
        <w:t>القول الثانی</w:t>
      </w:r>
      <w:r>
        <w:rPr>
          <w:rtl w:val="true"/>
        </w:rPr>
        <w:t xml:space="preserve">: </w:t>
      </w:r>
      <w:r>
        <w:rPr>
          <w:rtl w:val="true"/>
        </w:rPr>
        <w:t>تکفی مراعاة عدم المفسدة و لا یلزم مراعاة المصلحة</w:t>
      </w:r>
      <w:bookmarkEnd w:id="1157"/>
    </w:p>
    <w:p>
      <w:pPr>
        <w:pStyle w:val="Heading6"/>
        <w:numPr>
          <w:ilvl w:val="5"/>
          <w:numId w:val="1"/>
        </w:numPr>
        <w:rPr/>
      </w:pPr>
      <w:bookmarkStart w:id="1158" w:name="__RefHeading___Toc9424652_73709187"/>
      <w:bookmarkStart w:id="1159" w:name="_Toc440"/>
      <w:bookmarkEnd w:id="1158"/>
      <w:r>
        <w:rPr>
          <w:rtl w:val="true"/>
        </w:rPr>
        <w:t>اشارة</w:t>
      </w:r>
      <w:bookmarkEnd w:id="1159"/>
    </w:p>
    <w:p>
      <w:pPr>
        <w:pStyle w:val="BookText"/>
        <w:rPr/>
      </w:pPr>
      <w:r>
        <w:rPr>
          <w:rFonts w:ascii="IRNazanin" w:hAnsi="IRNazanin" w:eastAsia="IRNazanin"/>
          <w:color w:val="111111"/>
          <w:sz w:val="28"/>
          <w:sz w:val="28"/>
          <w:szCs w:val="28"/>
          <w:rtl w:val="true"/>
          <w:lang w:bidi="fa-IR"/>
        </w:rPr>
        <w:t xml:space="preserve">ذهب المشهور من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أنّه تکفی فی تزویج الولی أی الأب أو الجدّ، الصغیر أو الصغیرة عدم المفسدة و لا یلزم مراعاة المصلحة، قال به الشهید الثانی فی المسالک </w:t>
      </w:r>
      <w:r>
        <w:rPr>
          <w:rStyle w:val="FootnoteAnchor"/>
          <w:rtl w:val="true"/>
        </w:rPr>
        <w:footnoteReference w:id="24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استظهره من کلام المحقّق فی الشرائع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الجواهر</w:t>
      </w:r>
      <w:r>
        <w:rPr>
          <w:rStyle w:val="FootnoteAnchor"/>
          <w:rtl w:val="true"/>
        </w:rPr>
        <w:footnoteReference w:id="2429"/>
      </w:r>
      <w:r>
        <w:rPr>
          <w:rFonts w:ascii="IRNazanin" w:hAnsi="IRNazanin" w:eastAsia="IRNazanin"/>
          <w:color w:val="111111"/>
          <w:sz w:val="28"/>
          <w:sz w:val="28"/>
          <w:szCs w:val="28"/>
          <w:rtl w:val="true"/>
          <w:lang w:bidi="fa-IR"/>
        </w:rPr>
        <w:t>و الشیخ الأعظم الأنصاری</w:t>
      </w:r>
      <w:r>
        <w:rPr>
          <w:rStyle w:val="FootnoteAnchor"/>
          <w:rtl w:val="true"/>
        </w:rPr>
        <w:footnoteReference w:id="2430"/>
      </w:r>
      <w:r>
        <w:rPr>
          <w:rFonts w:ascii="IRNazanin" w:hAnsi="IRNazanin" w:eastAsia="IRNazanin"/>
          <w:color w:val="111111"/>
          <w:sz w:val="28"/>
          <w:sz w:val="28"/>
          <w:szCs w:val="28"/>
          <w:rtl w:val="true"/>
          <w:lang w:bidi="fa-IR"/>
        </w:rPr>
        <w:t>و المحقّق النراقی</w:t>
      </w:r>
      <w:r>
        <w:rPr>
          <w:rStyle w:val="FootnoteAnchor"/>
          <w:rtl w:val="true"/>
        </w:rPr>
        <w:footnoteReference w:id="2431"/>
      </w:r>
      <w:r>
        <w:rPr>
          <w:rFonts w:ascii="IRNazanin" w:hAnsi="IRNazanin" w:eastAsia="IRNazanin"/>
          <w:color w:val="111111"/>
          <w:sz w:val="28"/>
          <w:sz w:val="28"/>
          <w:szCs w:val="28"/>
          <w:rtl w:val="true"/>
          <w:lang w:bidi="fa-IR"/>
        </w:rPr>
        <w:t>و غیرهم</w:t>
      </w:r>
      <w:r>
        <w:rPr>
          <w:rStyle w:val="FootnoteAnchor"/>
          <w:rtl w:val="true"/>
        </w:rPr>
        <w:footnoteReference w:id="243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60" w:name="__RefHeading___Toc9424654_73709187"/>
      <w:bookmarkStart w:id="1161" w:name="_Toc441"/>
      <w:bookmarkEnd w:id="1160"/>
      <w:r>
        <w:rPr>
          <w:rtl w:val="true"/>
        </w:rPr>
        <w:t>أدلّة هذا القول</w:t>
      </w:r>
      <w:bookmarkEnd w:id="1161"/>
    </w:p>
    <w:p>
      <w:pPr>
        <w:pStyle w:val="Heading6"/>
        <w:numPr>
          <w:ilvl w:val="5"/>
          <w:numId w:val="1"/>
        </w:numPr>
        <w:rPr/>
      </w:pPr>
      <w:bookmarkStart w:id="1162" w:name="__RefHeading___Toc9424656_73709187"/>
      <w:bookmarkStart w:id="1163" w:name="_Toc442"/>
      <w:bookmarkEnd w:id="1162"/>
      <w:r>
        <w:rPr/>
        <w:t>1</w:t>
      </w:r>
      <w:r>
        <w:rPr>
          <w:rtl w:val="true"/>
        </w:rPr>
        <w:t xml:space="preserve"> - </w:t>
      </w:r>
      <w:r>
        <w:rPr>
          <w:rtl w:val="true"/>
        </w:rPr>
        <w:t>الإجماع</w:t>
      </w:r>
      <w:r>
        <w:rPr>
          <w:rtl w:val="true"/>
        </w:rPr>
        <w:t xml:space="preserve">: </w:t>
      </w:r>
      <w:r>
        <w:rPr>
          <w:rtl w:val="true"/>
        </w:rPr>
        <w:t>الذی ادّعاه جماعة</w:t>
      </w:r>
      <w:bookmarkEnd w:id="1163"/>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433"/>
      </w:r>
      <w:bookmarkStart w:id="1164" w:name="pg11752_146578"/>
    </w:p>
    <w:p>
      <w:pPr>
        <w:pStyle w:val="BookText"/>
        <w:rPr/>
      </w:pPr>
      <w:bookmarkEnd w:id="1164"/>
      <w:r>
        <w:rPr>
          <w:rFonts w:ascii="IRNazanin" w:hAnsi="IRNazanin" w:eastAsia="IRNazanin"/>
          <w:color w:val="111111"/>
          <w:sz w:val="28"/>
          <w:sz w:val="28"/>
          <w:szCs w:val="28"/>
          <w:rtl w:val="true"/>
          <w:lang w:bidi="fa-IR"/>
        </w:rPr>
        <w:t>و الظاهر أنّ هذا الإجماع مدرکی</w:t>
      </w:r>
      <w:r>
        <w:rPr>
          <w:rFonts w:eastAsia="IRNazanin" w:cs="IRNazanin"/>
          <w:color w:val="111111"/>
          <w:sz w:val="28"/>
          <w:szCs w:val="28"/>
          <w:rtl w:val="true"/>
          <w:lang w:bidi="fa-IR"/>
        </w:rPr>
        <w:t>.</w:t>
      </w:r>
    </w:p>
    <w:p>
      <w:pPr>
        <w:pStyle w:val="Heading6"/>
        <w:numPr>
          <w:ilvl w:val="5"/>
          <w:numId w:val="1"/>
        </w:numPr>
        <w:rPr/>
      </w:pPr>
      <w:bookmarkStart w:id="1165" w:name="__RefHeading___Toc9424658_73709187"/>
      <w:bookmarkStart w:id="1166" w:name="_Toc443"/>
      <w:bookmarkEnd w:id="1165"/>
      <w:r>
        <w:rPr/>
        <w:t>2</w:t>
      </w:r>
      <w:r>
        <w:rPr>
          <w:rtl w:val="true"/>
        </w:rPr>
        <w:t xml:space="preserve"> - </w:t>
      </w:r>
      <w:r>
        <w:rPr>
          <w:rtl w:val="true"/>
        </w:rPr>
        <w:t>مناسبة الحکم و الموضوع</w:t>
      </w:r>
      <w:bookmarkEnd w:id="1166"/>
    </w:p>
    <w:p>
      <w:pPr>
        <w:pStyle w:val="BookText"/>
        <w:rPr/>
      </w:pPr>
      <w:r>
        <w:rPr>
          <w:rFonts w:ascii="IRNazanin" w:hAnsi="IRNazanin" w:eastAsia="IRNazanin"/>
          <w:color w:val="111111"/>
          <w:sz w:val="28"/>
          <w:sz w:val="28"/>
          <w:szCs w:val="28"/>
          <w:rtl w:val="true"/>
          <w:lang w:bidi="fa-IR"/>
        </w:rPr>
        <w:t>، فإنّ المستفاد من جملة النصوص أنّ ولایة الأب و الجدّ ثابتةٌ لهما لا علیهما، یعنی جعل الولایة علی الصغار لأجل مصلحتهم لا للضرر علیهم، و وجود المفسدة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المنساق من الأدلّة عند المتشرّعة أن لا یکون فی تزویج الولیّ ضرر و لا مفسدةٌ، کما أشار إلیه فی مهذّب الأحکام</w:t>
      </w:r>
      <w:r>
        <w:rPr>
          <w:rStyle w:val="FootnoteAnchor"/>
          <w:rtl w:val="true"/>
        </w:rPr>
        <w:footnoteReference w:id="243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67" w:name="__RefHeading___Toc9424660_73709187"/>
      <w:bookmarkStart w:id="1168" w:name="_Toc444"/>
      <w:bookmarkEnd w:id="1167"/>
      <w:r>
        <w:rPr/>
        <w:t>3</w:t>
      </w:r>
      <w:r>
        <w:rPr>
          <w:rtl w:val="true"/>
        </w:rPr>
        <w:t xml:space="preserve"> - </w:t>
      </w:r>
      <w:r>
        <w:rPr>
          <w:rtl w:val="true"/>
        </w:rPr>
        <w:t xml:space="preserve">النصوص </w:t>
      </w:r>
      <w:r>
        <w:rPr>
          <w:rtl w:val="true"/>
        </w:rPr>
        <w:t xml:space="preserve">- </w:t>
      </w:r>
      <w:r>
        <w:rPr>
          <w:rtl w:val="true"/>
        </w:rPr>
        <w:t xml:space="preserve">و هی العمدة </w:t>
      </w:r>
      <w:r>
        <w:rPr>
          <w:rtl w:val="true"/>
        </w:rPr>
        <w:t>-:</w:t>
      </w:r>
      <w:bookmarkEnd w:id="116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کعموم صحیحة أبی حمزة الثمالی، عن أبی جعفر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 صلی الله علیه و آله قال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مالک لأبیک، ثمّ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تحبّ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یأخذ من مال ابنه إلاّ ما احتاج إلیه ممّا لا بدّ منه، إنّ اَللّهُ لا یُحِبُّ الْفَسادَ </w:t>
      </w:r>
      <w:r>
        <w:rPr>
          <w:rFonts w:eastAsia="Amiri" w:cs="Amiri" w:ascii="Amiri" w:hAnsi="Amiri"/>
          <w:color w:val="111111"/>
          <w:sz w:val="28"/>
          <w:szCs w:val="28"/>
          <w:rtl w:val="true"/>
          <w:lang w:bidi="ar-SA"/>
        </w:rPr>
        <w:t>»</w:t>
      </w:r>
      <w:r>
        <w:rPr>
          <w:rStyle w:val="FootnoteAnchor"/>
          <w:rtl w:val="true"/>
        </w:rPr>
        <w:footnoteReference w:id="2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تحدید ولایة الأب بعدم المفسدة إذا ثبت فی المال ثبت فی العرض بطریقٍ أولی، فعلی هذا لو کان فی تزویج الأب و الجدّ للصغار فساد و مضرّة لا یجوز التزویج مع المفسدة بحکم هذا التعلیل؛ لأنّ المدار علی عموم التعلیل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صحیحة فضل بن عبد الملک المتقدّمة، فإنّ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الجدّ مرضیّاً</w:t>
      </w:r>
      <w:r>
        <w:rPr>
          <w:rFonts w:eastAsia="IRNazanin" w:cs="IRNazanin"/>
          <w:color w:val="111111"/>
          <w:sz w:val="28"/>
          <w:szCs w:val="28"/>
          <w:rtl w:val="true"/>
          <w:lang w:bidi="fa-IR"/>
        </w:rPr>
        <w:t>»</w:t>
      </w:r>
      <w:r>
        <w:rPr>
          <w:rStyle w:val="FootnoteAnchor"/>
          <w:rtl w:val="true"/>
        </w:rPr>
        <w:footnoteReference w:id="2436"/>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استظهر منها فی المستند بأنّ ظاهر التقیید هو اعتبار کونه مرضیّاً بلحاظ تصرّفاته الصادرة تجاه البنت، و إلاّ فکونه مرضیّاً بالنسبة إلی سائر تصرّفاته أجنبیٌ عن ولایته علی البنت</w:t>
      </w:r>
      <w:r>
        <w:rPr>
          <w:rStyle w:val="FootnoteAnchor"/>
          <w:rtl w:val="true"/>
        </w:rPr>
        <w:footnoteReference w:id="2437"/>
      </w:r>
    </w:p>
    <w:p>
      <w:p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المقصود من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الجدّ مرضیّاً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فعله مرضیّاً، و المرضیّ یستعمل فی مقابل المکروه، فالمعنی أی لا یکون فعله الذی ارتبط بتزویج الصغیرة أو الصغیر مکروهاً، و المفسدة مکروهة، فینتج أنّ عدم المفسدة لازم، و هو المطلوب</w:t>
      </w:r>
      <w:r>
        <w:rPr>
          <w:rStyle w:val="FootnoteAnchor"/>
          <w:rtl w:val="true"/>
        </w:rPr>
        <w:footnoteReference w:id="24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موثّقة عبید بن زرارة، لأنّه قال علیه السلام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الجدّ أولی بذلک ما لم یکن مضارّاً</w:t>
      </w:r>
      <w:r>
        <w:rPr>
          <w:rFonts w:eastAsia="IRNazanin" w:cs="IRNazanin"/>
          <w:color w:val="111111"/>
          <w:sz w:val="28"/>
          <w:szCs w:val="28"/>
          <w:rtl w:val="true"/>
          <w:lang w:bidi="fa-IR"/>
        </w:rPr>
        <w:t>»</w:t>
      </w:r>
      <w:r>
        <w:rPr>
          <w:rStyle w:val="FootnoteAnchor"/>
          <w:rtl w:val="true"/>
        </w:rPr>
        <w:footnoteReference w:id="2439"/>
      </w:r>
      <w:r>
        <w:rPr>
          <w:rFonts w:ascii="IRNazanin" w:hAnsi="IRNazanin" w:eastAsia="IRNazanin"/>
          <w:color w:val="111111"/>
          <w:sz w:val="28"/>
          <w:sz w:val="28"/>
          <w:szCs w:val="28"/>
          <w:rtl w:val="true"/>
          <w:lang w:bidi="fa-IR"/>
        </w:rPr>
        <w:t>فإنّ التقیید بعدم کونه مضارّاً إنّما یدلّ علی عدم ثبوت الولایة للجدّ إذا کان فی مقام الإضرار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عموم دلیل نفی الضرر، فإنّه بحکم کونه حاکماً علی جمیع الأدلّة یقتضی نفی جعل الولایة للأب و الجدّ فیما إذا کان فی إنکاحهما ضرر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أصالة عدم الولایة فی صورة وجود المفسدة بعد الشک فی جریان أدلّة الولایة فی تلک الصورة، فیرجع إلی الأصل، بناءً علی جریان الاستصحاب فی العدم الأزلی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ینتج عدم الولایة مع وجود المفسدة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الأحوط مراعاة المصلحة، بل یشکل الصحّة إذا کان هناک خاطبان أحدهما أصلح من الآخر بحسب الشرف، أو من أجل کثرة المهر أو قلّته بالنسبة إلی الصغیر، فاختار الأب غیر الأصلح لتشهّی نفسه</w:t>
      </w:r>
      <w:r>
        <w:rPr>
          <w:rFonts w:eastAsia="IRNazanin" w:cs="IRNazanin"/>
          <w:color w:val="111111"/>
          <w:sz w:val="28"/>
          <w:szCs w:val="28"/>
          <w:rtl w:val="true"/>
          <w:lang w:bidi="fa-IR"/>
        </w:rPr>
        <w:t>»</w:t>
      </w:r>
      <w:r>
        <w:rPr>
          <w:rStyle w:val="FootnoteAnchor"/>
          <w:rtl w:val="true"/>
        </w:rPr>
        <w:footnoteReference w:id="2440"/>
      </w:r>
      <w:r>
        <w:rPr>
          <w:rFonts w:eastAsia="Times New Roman" w:cs="Times New Roman" w:ascii="Times New Roman" w:hAnsi="Times New Roman"/>
          <w:color w:val="111111"/>
          <w:sz w:val="28"/>
          <w:szCs w:val="28"/>
          <w:rtl w:val="true"/>
          <w:lang w:val="en-US" w:bidi="en-US"/>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الاحتیاط حسن؛ لأنّه یحتمل أن یکون المقصود من کلام الإمام علیه السلام فی موثّقة فضل بن عبد الملک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الجدّ مرضیّاً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الرضایة من</w:t>
      </w:r>
      <w:bookmarkStart w:id="1169" w:name="pg11752_146580"/>
    </w:p>
    <w:p>
      <w:pPr>
        <w:pStyle w:val="BookText"/>
        <w:rPr/>
      </w:pPr>
      <w:bookmarkEnd w:id="1169"/>
      <w:r>
        <w:rPr>
          <w:rFonts w:ascii="IRNazanin" w:hAnsi="IRNazanin" w:eastAsia="IRNazanin"/>
          <w:color w:val="111111"/>
          <w:sz w:val="28"/>
          <w:sz w:val="28"/>
          <w:szCs w:val="28"/>
          <w:rtl w:val="true"/>
          <w:lang w:bidi="fa-IR"/>
        </w:rPr>
        <w:t>فعل الجدّ بحیث یصیر إلی حدّ المصلحة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جعله الفقیه المحقّق الفاضل اللنکرانی احتیاطاً لزومیّاً</w:t>
      </w:r>
      <w:r>
        <w:rPr>
          <w:rStyle w:val="FootnoteAnchor"/>
          <w:rtl w:val="true"/>
        </w:rPr>
        <w:footnoteReference w:id="24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0" w:name="__RefHeading___Toc9424662_73709187"/>
      <w:bookmarkStart w:id="1171" w:name="_Toc445"/>
      <w:bookmarkEnd w:id="1170"/>
      <w:r>
        <w:rPr>
          <w:rtl w:val="true"/>
        </w:rPr>
        <w:t>آراء أهل السنة فی اشتراط المصلحة أو کفایة عدم المفسدة</w:t>
      </w:r>
      <w:bookmarkEnd w:id="1171"/>
    </w:p>
    <w:p>
      <w:pPr>
        <w:pStyle w:val="BookText"/>
        <w:rPr/>
      </w:pPr>
      <w:r>
        <w:rPr>
          <w:rFonts w:ascii="IRNazanin" w:hAnsi="IRNazanin" w:eastAsia="IRNazanin"/>
          <w:color w:val="111111"/>
          <w:sz w:val="28"/>
          <w:sz w:val="28"/>
          <w:szCs w:val="28"/>
          <w:rtl w:val="true"/>
          <w:lang w:bidi="fa-IR"/>
        </w:rPr>
        <w:t>اختلفت المذاهب الأربعة من العامة فی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یُشترط فی صحّة تزویج الأب و الجدّ الصغار مراعاة المصلحة أو تکفی عدم المفسدة فقط؟ فهاهنا قولان، و نذکر شطراً من کلماتهم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الشافعیة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الشافعی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أمر الأب علی البکر فی النکاح إذا کان النکاح حظّاً لها أو غیر نقصٍ علیها، و لا یجوز إذا کان نقصاً لها أو ضرراً علیها، کما یجوز شراؤه و بیعه علیها بلا ضرر علیها فی البیع و الشراء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ابنه الصغیر</w:t>
      </w:r>
      <w:r>
        <w:rPr>
          <w:rFonts w:eastAsia="IRNazanin" w:cs="IRNazanin"/>
          <w:color w:val="111111"/>
          <w:sz w:val="28"/>
          <w:szCs w:val="28"/>
          <w:rtl w:val="true"/>
          <w:lang w:bidi="fa-IR"/>
        </w:rPr>
        <w:t>»</w:t>
      </w:r>
      <w:r>
        <w:rPr>
          <w:rStyle w:val="FootnoteAnchor"/>
          <w:rtl w:val="true"/>
        </w:rPr>
        <w:footnoteReference w:id="2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الحنابلة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قدامة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قوله بعدم جواز التزویج من غیر کفؤ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لأنّه عقد لمولاته عقداً لا حظ لها فیه بغیر إذنها فلم یصحّ؛ کبیعه عقارها من غیر غبطة و لا حاجةٍ، أو بیعه بدون ثمن مثله، و لأنّه نائب عنها شرعاً فلم یصحّ تصرّفه لها شرعاً بما لا حظ لها فیه کالوکیل</w:t>
      </w:r>
      <w:r>
        <w:rPr>
          <w:rFonts w:eastAsia="IRNazanin" w:cs="IRNazanin"/>
          <w:color w:val="111111"/>
          <w:sz w:val="28"/>
          <w:szCs w:val="28"/>
          <w:rtl w:val="true"/>
          <w:lang w:bidi="fa-IR"/>
        </w:rPr>
        <w:t>»</w:t>
      </w:r>
      <w:r>
        <w:rPr>
          <w:rStyle w:val="FootnoteAnchor"/>
          <w:rtl w:val="true"/>
        </w:rPr>
        <w:footnoteReference w:id="2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فمراعاة المصلحة شرط عند الحنابلة فی تزویج الصغار، کما تشترط فی التصرّف فی أموالهم</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الکاسانی فی البحث عن شرائط الولایة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الذی یرجع إلی نفس التصرّف، فهو أن یکون التصرّف نافعاً فی حقّ المولّی علیه لا ضارّاً 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الإضرار لا یدخل تحت ولایة الولی</w:t>
      </w:r>
      <w:r>
        <w:rPr>
          <w:rFonts w:eastAsia="IRNazanin" w:cs="IRNazanin"/>
          <w:color w:val="111111"/>
          <w:sz w:val="28"/>
          <w:szCs w:val="28"/>
          <w:rtl w:val="true"/>
          <w:lang w:bidi="fa-IR"/>
        </w:rPr>
        <w:t>»</w:t>
      </w:r>
      <w:r>
        <w:rPr>
          <w:rStyle w:val="FootnoteAnchor"/>
          <w:rtl w:val="true"/>
        </w:rPr>
        <w:footnoteReference w:id="2444"/>
      </w:r>
    </w:p>
    <w:p>
      <w:pPr>
        <w:pStyle w:val="BookText"/>
        <w:rPr/>
      </w:pPr>
      <w:r>
        <w:rPr>
          <w:rFonts w:ascii="IRNazanin" w:hAnsi="IRNazanin" w:eastAsia="IRNazanin"/>
          <w:color w:val="111111"/>
          <w:sz w:val="28"/>
          <w:sz w:val="28"/>
          <w:szCs w:val="28"/>
          <w:rtl w:val="true"/>
          <w:lang w:bidi="fa-IR"/>
        </w:rPr>
        <w:t>و فی المبسوط للسرخسی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الأب وافر الشفقة ینظر لها فوق ما ینظر لنفسه</w:t>
      </w:r>
      <w:r>
        <w:rPr>
          <w:rFonts w:eastAsia="IRNazanin" w:cs="IRNazanin"/>
          <w:color w:val="111111"/>
          <w:sz w:val="28"/>
          <w:szCs w:val="28"/>
          <w:rtl w:val="true"/>
          <w:lang w:bidi="fa-IR"/>
        </w:rPr>
        <w:t>»</w:t>
      </w:r>
      <w:r>
        <w:rPr>
          <w:rStyle w:val="FootnoteAnchor"/>
          <w:rtl w:val="true"/>
        </w:rPr>
        <w:footnoteReference w:id="2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فإطلاق التصرّف للأولیاء مقیّدٌ بالنظر و مراعاة المصلحة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حکم الأب الجدّ عند الحنفیة و الشافعیة</w:t>
      </w:r>
      <w:r>
        <w:rPr>
          <w:rStyle w:val="FootnoteAnchor"/>
          <w:rtl w:val="true"/>
        </w:rPr>
        <w:footnoteReference w:id="2446"/>
      </w:r>
      <w:r>
        <w:rPr>
          <w:rFonts w:eastAsia="Times New Roman" w:cs="Times New Roman" w:ascii="Times New Roman" w:hAnsi="Times New Roman"/>
          <w:color w:val="111111"/>
          <w:sz w:val="28"/>
          <w:szCs w:val="28"/>
          <w:rtl w:val="true"/>
          <w:lang w:val="en-US" w:bidi="en-US"/>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المالکیة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کلامهم أنّه تکفی عدم المفسدة فقط، أی أنّه یعتبر فی تزویج الأب عدم کون العقد ضرریّاً، حیث قال فی أوجز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الصغیرة فلا خلاف أن الأب یملک إجبارها</w:t>
      </w:r>
      <w:r>
        <w:rPr>
          <w:rFonts w:eastAsia="IRNazanin" w:cs="IRNazanin"/>
          <w:color w:val="111111"/>
          <w:sz w:val="28"/>
          <w:szCs w:val="28"/>
          <w:rtl w:val="true"/>
          <w:lang w:bidi="fa-IR"/>
        </w:rPr>
        <w:t>»</w:t>
      </w:r>
      <w:r>
        <w:rPr>
          <w:rStyle w:val="FootnoteAnchor"/>
          <w:rtl w:val="true"/>
        </w:rPr>
        <w:footnoteReference w:id="24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الباجی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یریدون بذلک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الأب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یملک إجبارها علی النکاح بمن شاء و علی وجهٍ شاء ما لم یکن فی ذلک ضرر</w:t>
      </w:r>
      <w:r>
        <w:rPr>
          <w:rFonts w:eastAsia="IRNazanin" w:cs="IRNazanin"/>
          <w:color w:val="111111"/>
          <w:sz w:val="28"/>
          <w:szCs w:val="28"/>
          <w:rtl w:val="true"/>
          <w:lang w:bidi="fa-IR"/>
        </w:rPr>
        <w:t>»</w:t>
      </w:r>
      <w:r>
        <w:rPr>
          <w:rStyle w:val="FootnoteAnchor"/>
          <w:rtl w:val="true"/>
        </w:rPr>
        <w:footnoteReference w:id="2448"/>
      </w:r>
      <w:bookmarkStart w:id="1172" w:name="pg11752_146582"/>
    </w:p>
    <w:p>
      <w:pPr>
        <w:pStyle w:val="Heading4"/>
        <w:numPr>
          <w:ilvl w:val="3"/>
          <w:numId w:val="1"/>
        </w:numPr>
        <w:rPr/>
      </w:pPr>
      <w:bookmarkStart w:id="1173" w:name="__RefHeading___Toc9424664_73709187"/>
      <w:bookmarkStart w:id="1174" w:name="_Toc446"/>
      <w:bookmarkEnd w:id="1172"/>
      <w:bookmarkEnd w:id="1173"/>
      <w:r>
        <w:rPr>
          <w:rtl w:val="true"/>
        </w:rPr>
        <w:t>المبحث الرابع</w:t>
      </w:r>
      <w:r>
        <w:rPr>
          <w:rtl w:val="true"/>
        </w:rPr>
        <w:t xml:space="preserve">: </w:t>
      </w:r>
      <w:r>
        <w:rPr>
          <w:rtl w:val="true"/>
        </w:rPr>
        <w:t>فی تزاحم ولایة الأب و الجدّ</w:t>
      </w:r>
      <w:bookmarkEnd w:id="1174"/>
    </w:p>
    <w:p>
      <w:pPr>
        <w:pStyle w:val="Heading5"/>
        <w:numPr>
          <w:ilvl w:val="4"/>
          <w:numId w:val="1"/>
        </w:numPr>
        <w:rPr/>
      </w:pPr>
      <w:bookmarkStart w:id="1175" w:name="__RefHeading___Toc9424666_73709187"/>
      <w:bookmarkStart w:id="1176" w:name="_Toc447"/>
      <w:bookmarkEnd w:id="1175"/>
      <w:r>
        <w:rPr>
          <w:rtl w:val="true"/>
        </w:rPr>
        <w:t>اشارة</w:t>
      </w:r>
      <w:bookmarkEnd w:id="1176"/>
    </w:p>
    <w:p>
      <w:pPr>
        <w:pStyle w:val="BookText"/>
        <w:rPr/>
      </w:pPr>
      <w:r>
        <w:rPr>
          <w:rFonts w:ascii="Amiri" w:hAnsi="Amiri" w:eastAsia="Amiri" w:cs="Amiri"/>
          <w:color w:val="111111"/>
          <w:sz w:val="28"/>
          <w:sz w:val="28"/>
          <w:szCs w:val="28"/>
          <w:rtl w:val="true"/>
          <w:lang w:bidi="ar-SA"/>
        </w:rPr>
        <w:t>قد تقدّم أنّ کُلاًّ من الأب و الجدّ مستقلٌ‌ّ فی الولایة، و یجوز لکلّ واحدٍ منهما تزویج الصغار بلا اشتراک أو استئذان من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حینئذٍ وقع البحث فی أنّه لو زوّج کلّ واحدٍ منهما الصغیرة من شخص، فهل یقع التزاحم بینهما أم لا؟</w:t>
      </w:r>
    </w:p>
    <w:p>
      <w:pPr>
        <w:pStyle w:val="Heading5"/>
        <w:numPr>
          <w:ilvl w:val="4"/>
          <w:numId w:val="1"/>
        </w:numPr>
        <w:rPr/>
      </w:pPr>
      <w:bookmarkStart w:id="1177" w:name="__RefHeading___Toc9424668_73709187"/>
      <w:bookmarkStart w:id="1178" w:name="_Toc448"/>
      <w:bookmarkEnd w:id="1177"/>
      <w:r>
        <w:rPr>
          <w:rtl w:val="true"/>
        </w:rPr>
        <w:t>لهذه المسألة عدّة صور</w:t>
      </w:r>
      <w:r>
        <w:rPr>
          <w:rtl w:val="true"/>
        </w:rPr>
        <w:t>:</w:t>
      </w:r>
      <w:bookmarkEnd w:id="1178"/>
    </w:p>
    <w:p>
      <w:pPr>
        <w:pStyle w:val="Heading6"/>
        <w:numPr>
          <w:ilvl w:val="5"/>
          <w:numId w:val="1"/>
        </w:numPr>
        <w:rPr/>
      </w:pPr>
      <w:bookmarkStart w:id="1179" w:name="__RefHeading___Toc9424670_73709187"/>
      <w:bookmarkStart w:id="1180" w:name="_Toc449"/>
      <w:bookmarkEnd w:id="1179"/>
      <w:r>
        <w:rPr>
          <w:rtl w:val="true"/>
        </w:rPr>
        <w:t>اشارة</w:t>
      </w:r>
      <w:bookmarkEnd w:id="1180"/>
    </w:p>
    <w:p>
      <w:pPr>
        <w:pStyle w:val="BookText"/>
        <w:rPr/>
      </w:pP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یعلم بالسابق من العقدین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یعلم التقارن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یکونا مجهولی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تاریخ أحدهما معلوماً دون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علی قسمین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تاریخ عقد الجدّ معلوماً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تاریخ عقد الأب معلوماً</w:t>
      </w:r>
      <w:r>
        <w:rPr>
          <w:rFonts w:eastAsia="IRNazanin" w:cs="IRNazanin"/>
          <w:color w:val="111111"/>
          <w:sz w:val="28"/>
          <w:szCs w:val="28"/>
          <w:rtl w:val="true"/>
          <w:lang w:bidi="fa-IR"/>
        </w:rPr>
        <w:t>.</w:t>
      </w:r>
    </w:p>
    <w:p>
      <w:pPr>
        <w:pStyle w:val="Heading6"/>
        <w:numPr>
          <w:ilvl w:val="5"/>
          <w:numId w:val="1"/>
        </w:numPr>
        <w:rPr/>
      </w:pPr>
      <w:bookmarkStart w:id="1181" w:name="__RefHeading___Toc9424672_73709187"/>
      <w:bookmarkStart w:id="1182" w:name="_Toc450"/>
      <w:bookmarkEnd w:id="1181"/>
      <w:r>
        <w:rPr>
          <w:rtl w:val="true"/>
        </w:rPr>
        <w:t>الأولی</w:t>
      </w:r>
      <w:r>
        <w:rPr>
          <w:rtl w:val="true"/>
        </w:rPr>
        <w:t xml:space="preserve">: </w:t>
      </w:r>
      <w:r>
        <w:rPr>
          <w:rtl w:val="true"/>
        </w:rPr>
        <w:t>إذا علم السابق من العقدین</w:t>
      </w:r>
      <w:bookmarkEnd w:id="1182"/>
    </w:p>
    <w:p>
      <w:pPr>
        <w:pStyle w:val="BookText"/>
        <w:rPr/>
      </w:pPr>
      <w:r>
        <w:rPr>
          <w:rFonts w:ascii="IRNazanin" w:hAnsi="IRNazanin" w:eastAsia="IRNazanin"/>
          <w:color w:val="111111"/>
          <w:sz w:val="28"/>
          <w:sz w:val="28"/>
          <w:szCs w:val="28"/>
          <w:rtl w:val="true"/>
          <w:lang w:bidi="fa-IR"/>
        </w:rPr>
        <w:t>إذا علم بأنّ أحد العقدین سابق عن الآخر فهو یتقدّم، حتّی لو کان السابق هو الأب، و قد علم بأنّ الجدّ مخالف له؛ لأنّه لم یبق محلّ للآخر</w:t>
      </w:r>
      <w:r>
        <w:rPr>
          <w:rStyle w:val="FootnoteAnchor"/>
          <w:rtl w:val="true"/>
        </w:rPr>
        <w:footnoteReference w:id="2449"/>
      </w:r>
      <w:r>
        <w:rPr>
          <w:rFonts w:eastAsia="Times New Roman" w:cs="Times New Roman" w:ascii="Times New Roman" w:hAnsi="Times New Roman"/>
          <w:color w:val="111111"/>
          <w:sz w:val="28"/>
          <w:szCs w:val="28"/>
          <w:rtl w:val="true"/>
          <w:lang w:val="en-US" w:bidi="en-US"/>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عقد کلّ واحد منهما علیها، کان الذی سبق بالعقد أولی من الذی تأخّر</w:t>
      </w:r>
      <w:r>
        <w:rPr>
          <w:rFonts w:eastAsia="IRNazanin" w:cs="IRNazanin"/>
          <w:color w:val="111111"/>
          <w:sz w:val="28"/>
          <w:szCs w:val="28"/>
          <w:rtl w:val="true"/>
          <w:lang w:bidi="fa-IR"/>
        </w:rPr>
        <w:t>»</w:t>
      </w:r>
      <w:r>
        <w:rPr>
          <w:rStyle w:val="FootnoteAnchor"/>
          <w:rtl w:val="true"/>
        </w:rPr>
        <w:footnoteReference w:id="2450"/>
      </w:r>
      <w:bookmarkStart w:id="1183" w:name="pg11752_146583"/>
    </w:p>
    <w:p>
      <w:pPr>
        <w:pStyle w:val="BookText"/>
        <w:rPr/>
      </w:pPr>
      <w:bookmarkEnd w:id="1183"/>
      <w:r>
        <w:rPr>
          <w:rFonts w:ascii="IRNazanin" w:hAnsi="IRNazanin" w:eastAsia="IRNazanin"/>
          <w:color w:val="111111"/>
          <w:sz w:val="28"/>
          <w:sz w:val="28"/>
          <w:szCs w:val="28"/>
          <w:rtl w:val="true"/>
          <w:lang w:bidi="fa-IR"/>
        </w:rPr>
        <w:t>و هو أیضاً ظاهر کلام السیّد المرتضی‌</w:t>
      </w:r>
      <w:r>
        <w:rPr>
          <w:rStyle w:val="FootnoteAnchor"/>
          <w:rtl w:val="true"/>
        </w:rPr>
        <w:footnoteReference w:id="2451"/>
      </w:r>
      <w:r>
        <w:rPr>
          <w:rFonts w:ascii="IRNazanin" w:hAnsi="IRNazanin" w:eastAsia="IRNazanin"/>
          <w:color w:val="111111"/>
          <w:sz w:val="28"/>
          <w:sz w:val="28"/>
          <w:szCs w:val="28"/>
          <w:rtl w:val="true"/>
          <w:lang w:bidi="fa-IR"/>
        </w:rPr>
        <w:t>و المفید</w:t>
      </w:r>
      <w:r>
        <w:rPr>
          <w:rStyle w:val="FootnoteAnchor"/>
          <w:rtl w:val="true"/>
        </w:rPr>
        <w:footnoteReference w:id="24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صرّح به الصدوق</w:t>
      </w:r>
      <w:r>
        <w:rPr>
          <w:rStyle w:val="FootnoteAnchor"/>
          <w:rtl w:val="true"/>
        </w:rPr>
        <w:footnoteReference w:id="2453"/>
      </w:r>
    </w:p>
    <w:p>
      <w:pPr>
        <w:pStyle w:val="BookText"/>
        <w:rPr/>
      </w:pPr>
      <w:r>
        <w:rPr>
          <w:rFonts w:ascii="Amiri" w:hAnsi="Amiri" w:eastAsia="Amiri" w:cs="Amiri"/>
          <w:color w:val="111111"/>
          <w:sz w:val="28"/>
          <w:sz w:val="28"/>
          <w:szCs w:val="28"/>
          <w:rtl w:val="true"/>
          <w:lang w:bidi="ar-SA"/>
        </w:rPr>
        <w:t>و ابن حمزة</w:t>
      </w:r>
      <w:r>
        <w:rPr>
          <w:rStyle w:val="FootnoteAnchor"/>
          <w:rtl w:val="true"/>
        </w:rPr>
        <w:footnoteReference w:id="2454"/>
      </w:r>
      <w:r>
        <w:rPr>
          <w:rFonts w:ascii="IRNazanin" w:hAnsi="IRNazanin" w:eastAsia="IRNazanin"/>
          <w:color w:val="111111"/>
          <w:sz w:val="28"/>
          <w:sz w:val="28"/>
          <w:szCs w:val="28"/>
          <w:rtl w:val="true"/>
          <w:lang w:bidi="fa-IR"/>
        </w:rPr>
        <w:t>و أبی الصلاح الحلبی</w:t>
      </w:r>
      <w:r>
        <w:rPr>
          <w:rStyle w:val="FootnoteAnchor"/>
          <w:rtl w:val="true"/>
        </w:rPr>
        <w:footnoteReference w:id="24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ادّعی علیه الإجماع فی الغنیة</w:t>
      </w:r>
      <w:r>
        <w:rPr>
          <w:rStyle w:val="FootnoteAnchor"/>
          <w:rtl w:val="true"/>
        </w:rPr>
        <w:footnoteReference w:id="2456"/>
      </w:r>
      <w:r>
        <w:rPr>
          <w:rFonts w:ascii="IRNazanin" w:hAnsi="IRNazanin" w:eastAsia="IRNazanin"/>
          <w:color w:val="111111"/>
          <w:sz w:val="28"/>
          <w:sz w:val="28"/>
          <w:szCs w:val="28"/>
          <w:rtl w:val="true"/>
          <w:lang w:bidi="fa-IR"/>
        </w:rPr>
        <w:t>و ظاهر السرائر</w:t>
      </w:r>
      <w:r>
        <w:rPr>
          <w:rStyle w:val="FootnoteAnchor"/>
          <w:rtl w:val="true"/>
        </w:rPr>
        <w:footnoteReference w:id="2457"/>
      </w:r>
      <w:r>
        <w:rPr>
          <w:rFonts w:ascii="IRNazanin" w:hAnsi="IRNazanin" w:eastAsia="IRNazanin"/>
          <w:color w:val="111111"/>
          <w:sz w:val="28"/>
          <w:sz w:val="28"/>
          <w:szCs w:val="28"/>
          <w:rtl w:val="true"/>
          <w:lang w:bidi="fa-IR"/>
        </w:rPr>
        <w:t>، و هکذا قال به الفاضلان</w:t>
      </w:r>
      <w:r>
        <w:rPr>
          <w:rStyle w:val="FootnoteAnchor"/>
          <w:rtl w:val="true"/>
        </w:rPr>
        <w:footnoteReference w:id="2458"/>
      </w:r>
      <w:r>
        <w:rPr>
          <w:rFonts w:ascii="IRNazanin" w:hAnsi="IRNazanin" w:eastAsia="IRNazanin"/>
          <w:color w:val="111111"/>
          <w:sz w:val="28"/>
          <w:sz w:val="28"/>
          <w:szCs w:val="28"/>
          <w:rtl w:val="true"/>
          <w:lang w:bidi="fa-IR"/>
        </w:rPr>
        <w:t>و الشهیدان</w:t>
      </w:r>
      <w:r>
        <w:rPr>
          <w:rStyle w:val="FootnoteAnchor"/>
          <w:rtl w:val="true"/>
        </w:rPr>
        <w:footnoteReference w:id="2459"/>
      </w:r>
      <w:r>
        <w:rPr>
          <w:rFonts w:ascii="IRNazanin" w:hAnsi="IRNazanin" w:eastAsia="IRNazanin"/>
          <w:color w:val="111111"/>
          <w:sz w:val="28"/>
          <w:sz w:val="28"/>
          <w:szCs w:val="28"/>
          <w:rtl w:val="true"/>
          <w:lang w:bidi="fa-IR"/>
        </w:rPr>
        <w:t>و جماعةٌ من المتأخرین</w:t>
      </w:r>
      <w:r>
        <w:rPr>
          <w:rStyle w:val="FootnoteAnchor"/>
          <w:rtl w:val="true"/>
        </w:rPr>
        <w:footnoteReference w:id="246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84" w:name="__RefHeading___Toc9424674_73709187"/>
      <w:bookmarkStart w:id="1185" w:name="_Toc451"/>
      <w:bookmarkEnd w:id="1184"/>
      <w:r>
        <w:rPr>
          <w:rtl w:val="true"/>
        </w:rPr>
        <w:t>الثانیة</w:t>
      </w:r>
      <w:r>
        <w:rPr>
          <w:rtl w:val="true"/>
        </w:rPr>
        <w:t xml:space="preserve">: </w:t>
      </w:r>
      <w:r>
        <w:rPr>
          <w:rtl w:val="true"/>
        </w:rPr>
        <w:t>تقارن العقدین</w:t>
      </w:r>
      <w:bookmarkEnd w:id="1185"/>
    </w:p>
    <w:p>
      <w:pPr>
        <w:pStyle w:val="BookText"/>
        <w:rPr/>
      </w:pPr>
      <w:r>
        <w:rPr>
          <w:rFonts w:ascii="IRNazanin" w:hAnsi="IRNazanin" w:eastAsia="IRNazanin"/>
          <w:color w:val="111111"/>
          <w:sz w:val="28"/>
          <w:sz w:val="28"/>
          <w:szCs w:val="28"/>
          <w:rtl w:val="true"/>
          <w:lang w:bidi="fa-IR"/>
        </w:rPr>
        <w:t xml:space="preserve">إذا اتّفق وقوع العقدین فی وقتٍ واحد بأن اقترن قبولهما 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هذا فرض نادرٌ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عقد الجدّ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حمزة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عقد کلّ واحدٍ منهما علیها لرجل دفعة صحّ عقد الجدّ دون الأب</w:t>
      </w:r>
      <w:r>
        <w:rPr>
          <w:rFonts w:eastAsia="IRNazanin" w:cs="IRNazanin"/>
          <w:color w:val="111111"/>
          <w:sz w:val="28"/>
          <w:szCs w:val="28"/>
          <w:rtl w:val="true"/>
          <w:lang w:bidi="fa-IR"/>
        </w:rPr>
        <w:t>»</w:t>
      </w:r>
      <w:r>
        <w:rPr>
          <w:rStyle w:val="FootnoteAnchor"/>
          <w:rtl w:val="true"/>
        </w:rPr>
        <w:footnoteReference w:id="2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إدریس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إن عقدا معاً لرجلین فی حالة واحدة، فإنّ العقد عقد الجدّ، و یبطل عقد الأب بغیر خلاف فی ذلک أجمع</w:t>
      </w:r>
      <w:r>
        <w:rPr>
          <w:rFonts w:eastAsia="IRNazanin" w:cs="IRNazanin"/>
          <w:color w:val="111111"/>
          <w:sz w:val="28"/>
          <w:szCs w:val="28"/>
          <w:rtl w:val="true"/>
          <w:lang w:bidi="fa-IR"/>
        </w:rPr>
        <w:t>»</w:t>
      </w:r>
      <w:r>
        <w:rPr>
          <w:rStyle w:val="FootnoteAnchor"/>
          <w:rtl w:val="true"/>
        </w:rPr>
        <w:footnoteReference w:id="2462"/>
      </w:r>
      <w:r>
        <w:rPr>
          <w:rFonts w:ascii="IRNazanin" w:hAnsi="IRNazanin" w:eastAsia="IRNazanin"/>
          <w:color w:val="111111"/>
          <w:sz w:val="28"/>
          <w:sz w:val="28"/>
          <w:szCs w:val="28"/>
          <w:rtl w:val="true"/>
          <w:lang w:bidi="fa-IR"/>
        </w:rPr>
        <w:t>، و ظاهره الإجماع علیه</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فی الجامع للشرائع</w:t>
      </w:r>
      <w:r>
        <w:rPr>
          <w:rStyle w:val="FootnoteAnchor"/>
          <w:rtl w:val="true"/>
        </w:rPr>
        <w:footnoteReference w:id="2463"/>
      </w:r>
      <w:bookmarkStart w:id="1186" w:name="pg11752_146584"/>
    </w:p>
    <w:p>
      <w:pPr>
        <w:pStyle w:val="BookText"/>
        <w:rPr/>
      </w:pPr>
      <w:bookmarkEnd w:id="1186"/>
      <w:r>
        <w:rPr>
          <w:rFonts w:ascii="IRNazanin" w:hAnsi="IRNazanin" w:eastAsia="IRNazanin"/>
          <w:color w:val="111111"/>
          <w:sz w:val="28"/>
          <w:sz w:val="28"/>
          <w:szCs w:val="28"/>
          <w:rtl w:val="true"/>
          <w:lang w:bidi="fa-IR"/>
        </w:rPr>
        <w:t>و أمّا أدلّة هاتین الصورتین فأمران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المستفیض فی کلمات الفقهاء</w:t>
      </w:r>
      <w:r>
        <w:rPr>
          <w:rStyle w:val="FootnoteAnchor"/>
          <w:rtl w:val="true"/>
        </w:rPr>
        <w:footnoteReference w:id="2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النصوص، کصحیحة هشام بن سالم و محمّد بن حکیم التی رواها المشایخ الثلاثة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زوّج الأب و الجدّ کان التزویج للأوّل، فإن کانا جمیعاً فی حالٍ واحدةٍ فالجدّ أولی</w:t>
      </w:r>
      <w:r>
        <w:rPr>
          <w:rFonts w:eastAsia="IRNazanin" w:cs="IRNazanin"/>
          <w:color w:val="111111"/>
          <w:sz w:val="28"/>
          <w:szCs w:val="28"/>
          <w:rtl w:val="true"/>
          <w:lang w:bidi="fa-IR"/>
        </w:rPr>
        <w:t>»</w:t>
      </w:r>
      <w:r>
        <w:rPr>
          <w:rStyle w:val="FootnoteAnchor"/>
          <w:rtl w:val="true"/>
        </w:rPr>
        <w:footnoteReference w:id="2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دلالتها واضحةٌ علی کلا الصورتین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صحیحة محمّد بن مسلم؛ فإنّه جاء فی ذیلها فقلت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هوی أبوها رجلاً و جدّها رجلاً،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الجدّ أولی بنکاحها</w:t>
      </w:r>
      <w:r>
        <w:rPr>
          <w:rFonts w:eastAsia="IRNazanin" w:cs="IRNazanin"/>
          <w:color w:val="111111"/>
          <w:sz w:val="28"/>
          <w:szCs w:val="28"/>
          <w:rtl w:val="true"/>
          <w:lang w:bidi="fa-IR"/>
        </w:rPr>
        <w:t>»</w:t>
      </w:r>
      <w:r>
        <w:rPr>
          <w:rStyle w:val="FootnoteAnchor"/>
          <w:rtl w:val="true"/>
        </w:rPr>
        <w:footnoteReference w:id="2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هکذا موثّقة عبید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الجاریة یرید أبوها أن یزوّجها من رجلٍ، و یرید جدّها أن یزوّجها من رجلٍ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الجدّ أولی بذلک ما لم یکن مضارّاً إن لم یکن الأب زوّجها قبله، و یجوز علیها تزویج الأب و الجدّ</w:t>
      </w:r>
      <w:r>
        <w:rPr>
          <w:rFonts w:eastAsia="IRNazanin" w:cs="IRNazanin"/>
          <w:color w:val="111111"/>
          <w:sz w:val="28"/>
          <w:szCs w:val="28"/>
          <w:rtl w:val="true"/>
          <w:lang w:bidi="fa-IR"/>
        </w:rPr>
        <w:t>»</w:t>
      </w:r>
      <w:r>
        <w:rPr>
          <w:rStyle w:val="FootnoteAnchor"/>
          <w:rtl w:val="true"/>
        </w:rPr>
        <w:footnoteReference w:id="2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هی تدلّ علی تقدیم عقد الجدّ فی فرض التقارن و السبق علی عقد الأب، و هذه النصوص تخصّص القاعدة التی تقتضی بطلان کلا العقدین، حیث إنّ الجمع بین العقدین غیر ممکن، و ترجیح أحدهما علی الآخر ترجیحٌ بلا مرجّحٍ</w:t>
      </w:r>
      <w:r>
        <w:rPr>
          <w:rFonts w:eastAsia="IRNazanin" w:cs="IRNazanin"/>
          <w:color w:val="111111"/>
          <w:sz w:val="28"/>
          <w:szCs w:val="28"/>
          <w:rtl w:val="true"/>
          <w:lang w:bidi="fa-IR"/>
        </w:rPr>
        <w:t>.</w:t>
      </w:r>
    </w:p>
    <w:p>
      <w:pPr>
        <w:pStyle w:val="Heading6"/>
        <w:numPr>
          <w:ilvl w:val="5"/>
          <w:numId w:val="1"/>
        </w:numPr>
        <w:rPr/>
      </w:pPr>
      <w:bookmarkStart w:id="1187" w:name="__RefHeading___Toc9424676_73709187"/>
      <w:bookmarkStart w:id="1188" w:name="_Toc452"/>
      <w:bookmarkEnd w:id="1187"/>
      <w:r>
        <w:rPr>
          <w:rtl w:val="true"/>
        </w:rPr>
        <w:t>الثالثة</w:t>
      </w:r>
      <w:r>
        <w:rPr>
          <w:rtl w:val="true"/>
        </w:rPr>
        <w:t xml:space="preserve">: </w:t>
      </w:r>
      <w:r>
        <w:rPr>
          <w:rtl w:val="true"/>
        </w:rPr>
        <w:t>کون العقدین مجهولی التاریخ</w:t>
      </w:r>
      <w:bookmarkEnd w:id="1188"/>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وقع عقدان و کان تاریخهما مجهولاً و لم یُعلم أیّهما وقع أوّلاً، ففی هذه الصورة أیضاً قدّم عقد الجدّ؛ لأنّه یستفاد من موثّقة عبید بن زرارة المتقدّمة أنَّ الشرط فی</w:t>
      </w:r>
    </w:p>
    <w:p>
      <w:pPr>
        <w:pStyle w:val="BookText"/>
        <w:rPr/>
      </w:pPr>
      <w:r>
        <w:rPr>
          <w:rFonts w:ascii="IRNazanin" w:hAnsi="IRNazanin" w:eastAsia="IRNazanin"/>
          <w:color w:val="111111"/>
          <w:sz w:val="28"/>
          <w:sz w:val="28"/>
          <w:szCs w:val="28"/>
          <w:rtl w:val="true"/>
          <w:lang w:bidi="fa-IR"/>
        </w:rPr>
        <w:t xml:space="preserve">صحّة عقد الجدّ و نفوذه أن لا یسبقه عقد الأب، حیث 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 أولی بذلک ما لم یکن مضارّاً إن لم یکن الأب زوّجها قبله</w:t>
      </w:r>
      <w:r>
        <w:rPr>
          <w:rFonts w:eastAsia="IRNazanin" w:cs="IRNazanin"/>
          <w:color w:val="111111"/>
          <w:sz w:val="28"/>
          <w:szCs w:val="28"/>
          <w:rtl w:val="true"/>
          <w:lang w:bidi="fa-IR"/>
        </w:rPr>
        <w:t>»</w:t>
      </w:r>
      <w:r>
        <w:rPr>
          <w:rStyle w:val="FootnoteAnchor"/>
          <w:rtl w:val="true"/>
        </w:rPr>
        <w:footnoteReference w:id="2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مقتضی هذا الشرط تقدیم عقد الجدّ فی جمیع الصور عند مزاحمة العقدین باستثناء ما إذا کان عقد الأب سابقاً علیه، فإنّ هذه الصورة خارجةٌ من صحّة عقد الجدّ، و إذا جهل التاریخان یجری استصحاب عدم سبق عقد الأب علی عقد الجدّ، و بما أنّ موضوع صحّة النکاح مؤلّف من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 للجدّ، و عدم سبق عقد الأب علیه، أحدهما محرز بالوجدان، و الآخر بالأصل، و من ضمّ الوجدان للأصل یتحقّق الموضوع، و یتعلّق به الحکم، هذا بناءً علی ما سلکه المشهور من جریان الأصل فی مجهولی التاریخ</w:t>
      </w:r>
      <w:r>
        <w:rPr>
          <w:rStyle w:val="FootnoteAnchor"/>
          <w:rtl w:val="true"/>
        </w:rPr>
        <w:footnoteReference w:id="24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اختار هذا فی الجواهر فی أحد قولیه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جهلا معاً قدّم عقد الجدّ</w:t>
      </w:r>
      <w:r>
        <w:rPr>
          <w:rFonts w:eastAsia="IRNazanin" w:cs="IRNazanin"/>
          <w:color w:val="111111"/>
          <w:sz w:val="28"/>
          <w:szCs w:val="28"/>
          <w:rtl w:val="true"/>
          <w:lang w:bidi="fa-IR"/>
        </w:rPr>
        <w:t>»</w:t>
      </w:r>
      <w:r>
        <w:rPr>
          <w:rStyle w:val="FootnoteAnchor"/>
          <w:rtl w:val="true"/>
        </w:rPr>
        <w:footnoteReference w:id="2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قال السیّد فی العروة، و وافق علی ذلک جمع من المحشّین، کالسادة العظام الخوئی و الشاهرودی و غیرهما</w:t>
      </w:r>
      <w:r>
        <w:rPr>
          <w:rStyle w:val="FootnoteAnchor"/>
          <w:rtl w:val="true"/>
        </w:rPr>
        <w:footnoteReference w:id="2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بناءً علی ما سلکه صاحب الکفایة و بعض آخر من اعتبار إحراز اتّصال زمان الشکّ بالیقین</w:t>
      </w:r>
      <w:r>
        <w:rPr>
          <w:rStyle w:val="FootnoteAnchor"/>
          <w:rtl w:val="true"/>
        </w:rPr>
        <w:footnoteReference w:id="2472"/>
      </w:r>
      <w:r>
        <w:rPr>
          <w:rFonts w:ascii="IRNazanin" w:hAnsi="IRNazanin" w:eastAsia="IRNazanin"/>
          <w:color w:val="111111"/>
          <w:sz w:val="28"/>
          <w:sz w:val="28"/>
          <w:szCs w:val="28"/>
          <w:rtl w:val="true"/>
          <w:lang w:bidi="fa-IR"/>
        </w:rPr>
        <w:t>فلا مقتضی لجریان الاستصحاب هنا، و سیأتی حکمها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الأصل معارضٌ بأصل عدم وقوع العقد من الجدّ إلی زمان وقوع العقد من الأب</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الأصل مثبتٌ و لا یمکن أن یحرز قبلیّة عقد الأب علی عقد الجدّ بالأصل؛ لأنّ شرط صحّة عقد الأب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بمفاد الموثّقة 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قبلیّة عقد</w:t>
      </w:r>
      <w:bookmarkStart w:id="1189" w:name="pg11752_146586"/>
    </w:p>
    <w:p>
      <w:pPr>
        <w:pStyle w:val="BookText"/>
        <w:rPr/>
      </w:pPr>
      <w:bookmarkEnd w:id="1189"/>
      <w:r>
        <w:rPr>
          <w:rFonts w:ascii="IRNazanin" w:hAnsi="IRNazanin" w:eastAsia="IRNazanin"/>
          <w:color w:val="111111"/>
          <w:sz w:val="28"/>
          <w:sz w:val="28"/>
          <w:szCs w:val="28"/>
          <w:rtl w:val="true"/>
          <w:lang w:bidi="fa-IR"/>
        </w:rPr>
        <w:t>الأب علی عقد الجدّ، و هذا العنوان أمر وجودیٌ‌ّ، و أصل عدم وقوع عقد الجدّ إلی زمان عقد الأب لا یثبت هذا العنوان؛ لأنّه بالنسبة إلیه مثبتٌ، و فیه بحث سیأتی قریباً إن شاء اللّه تعالی</w:t>
      </w:r>
      <w:r>
        <w:rPr>
          <w:rFonts w:eastAsia="IRNazanin" w:cs="IRNazanin"/>
          <w:color w:val="111111"/>
          <w:sz w:val="28"/>
          <w:szCs w:val="28"/>
          <w:rtl w:val="true"/>
          <w:lang w:bidi="fa-IR"/>
        </w:rPr>
        <w:t>.</w:t>
      </w:r>
    </w:p>
    <w:p>
      <w:pPr>
        <w:pStyle w:val="Heading6"/>
        <w:numPr>
          <w:ilvl w:val="5"/>
          <w:numId w:val="1"/>
        </w:numPr>
        <w:rPr/>
      </w:pPr>
      <w:bookmarkStart w:id="1190" w:name="__RefHeading___Toc9424678_73709187"/>
      <w:bookmarkStart w:id="1191" w:name="_Toc453"/>
      <w:bookmarkEnd w:id="1190"/>
      <w:r>
        <w:rPr>
          <w:rtl w:val="true"/>
        </w:rPr>
        <w:t>الرابعة</w:t>
      </w:r>
      <w:r>
        <w:rPr>
          <w:rtl w:val="true"/>
        </w:rPr>
        <w:t xml:space="preserve">: </w:t>
      </w:r>
      <w:r>
        <w:rPr>
          <w:rtl w:val="true"/>
        </w:rPr>
        <w:t>کون تاریخ أحدهما معلوماً و الآخر مجهولاً</w:t>
      </w:r>
      <w:bookmarkEnd w:id="1191"/>
    </w:p>
    <w:p>
      <w:pPr>
        <w:pStyle w:val="BookText"/>
        <w:rPr/>
      </w:pPr>
      <w:r>
        <w:rPr>
          <w:rFonts w:ascii="IRNazanin" w:hAnsi="IRNazanin" w:eastAsia="IRNazanin"/>
          <w:color w:val="111111"/>
          <w:sz w:val="28"/>
          <w:sz w:val="28"/>
          <w:szCs w:val="28"/>
          <w:rtl w:val="true"/>
          <w:lang w:bidi="fa-IR"/>
        </w:rPr>
        <w:t>إن وقع عقدان و کان تاریخ أحدهما معلوماً و تاریخ الآخر مجهولاً، ینقسم هذا إلی قسمین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إذا کان تاریخ عقد الجدّ معلوماً، کأن یکون یوم الجمعة و عقد الأب مجهولاً، ففی هذه الصورة أیضاً یقدّم عقد الجدّ؛ لأنّ الاستصحاب یجری فی مجهول التاریخ، و لمّا کان تاریخ عقد الأب مجهولاً یجری فیه الأصل، و نشکّ فی زمان حدوثه فالأصل عدم حدوثه فی الأزمنة التی شُکّ فی حدوثه فیها، و منها زمان حدوث معلوم التاریخ، فیستصحب عدم وقوع عقد الأب إلی زمان وقوع عقد الجدّ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یعارضه أصل عدم وقوع عقد الجدّ إلی حین وقوعه؛ لأنّ عقد الجدّ معلوم التاریخ، و لا یجری فیه الأصل کما حرّر فی محلّه</w:t>
      </w:r>
      <w:r>
        <w:rPr>
          <w:rStyle w:val="FootnoteAnchor"/>
          <w:rtl w:val="true"/>
        </w:rPr>
        <w:footnoteReference w:id="2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السید الخوئی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یجری استصحاب عدم سبق عقد الأب علی عقد الجدّ؛ لأنّ المعتبر فی تقدیم عقد الجدّ قیدٌ عدمیٌ‌ّ، فیمکن إحرازه عند الشکّ فیه بالأصل، و هو بخلاف القید المعتبر فی تقدیم عقد الأب فإنّه وجودیٌ‌ّ، فلا ینفع فی إحرازه التمسّک باستصحاب عدم تقدّم عقد الجدّ علیه، فإنّه لا یثبت کون عقده قبل عقد الجدّ</w:t>
      </w:r>
      <w:r>
        <w:rPr>
          <w:rFonts w:eastAsia="IRNazanin" w:cs="IRNazanin"/>
          <w:color w:val="111111"/>
          <w:sz w:val="28"/>
          <w:szCs w:val="28"/>
          <w:rtl w:val="true"/>
          <w:lang w:bidi="fa-IR"/>
        </w:rPr>
        <w:t>»</w:t>
      </w:r>
      <w:r>
        <w:rPr>
          <w:rStyle w:val="FootnoteAnchor"/>
          <w:rtl w:val="true"/>
        </w:rPr>
        <w:footnoteReference w:id="2474"/>
      </w:r>
      <w:r>
        <w:rPr>
          <w:rFonts w:eastAsia="Times New Roman" w:cs="Times New Roman" w:ascii="Times New Roman" w:hAnsi="Times New Roman"/>
          <w:color w:val="111111"/>
          <w:sz w:val="28"/>
          <w:szCs w:val="28"/>
          <w:rtl w:val="true"/>
          <w:lang w:val="en-US" w:bidi="en-US"/>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القسم الثانی بعکس ذلک، بأن یکون عقد الأب معلوم التاریخ و عقد الجدّ مجهولاً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هذه الصورة یحتمل تقدّم عقد الأب علی عقد الجدّ؛ للأصل الجاری فی مجهول التاریخ بلا 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للسیّد صاحب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یظهر منه أنّه قدس سره لم یتمسّک لحکم صور هذه المسألة بالاستصحاب الجاری فی الموضوع، بل استفاد من خبر عبید بن زرارة السابق قاعدةً کلّیّةً جاریةً فی موارد الشکّ فی تقدّم عقد الجدّ أو الأب عند التزاحم و التعارض، و القاعدة هی أنّه فی کلّ حادثین من عقد الأب و الجدّ یقدّم عقد الجدّ إلاّ أن یعلم بسبق عقد الأب علی عقد الجدّ، فیقدّم عقد الجدّ فی جمیع هذه الصور الأربعة إلاّ فی صورة معلومیة سبق عقد الأب</w:t>
      </w:r>
      <w:r>
        <w:rPr>
          <w:rStyle w:val="FootnoteAnchor"/>
          <w:rtl w:val="true"/>
        </w:rPr>
        <w:footnoteReference w:id="2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أفاده حسن ثبوتاً، و لکن الحدیث قاصر عنه إثباتاً؛ لأنّ موثّقة عبید ابن زرارة کانت فی مقام بیان الأحکام الواقعیّة، و لم یؤخذ العلم بسبق عقد الأب علی الجدّ فی موضوع الحکم، بل ما جاء فی الروایة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یکن الأب زوّجها قبله</w:t>
      </w:r>
      <w:r>
        <w:rPr>
          <w:rFonts w:eastAsia="IRNazanin" w:cs="IRNazanin"/>
          <w:color w:val="111111"/>
          <w:sz w:val="28"/>
          <w:szCs w:val="28"/>
          <w:rtl w:val="true"/>
          <w:lang w:bidi="fa-IR"/>
        </w:rPr>
        <w:t>»</w:t>
      </w:r>
      <w:r>
        <w:rPr>
          <w:rStyle w:val="FootnoteAnchor"/>
          <w:rtl w:val="true"/>
        </w:rPr>
        <w:footnoteReference w:id="24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لا یدلّ علی القاعدة إثباتاً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یجری الأصل فی هذه المسألة أم لا؟</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فرض القبول بجریان الأصل فی مجهولی التاریخ لا یجری هنا؛ لأنّ المستفاد من نصوص الباب أنّه یصحّ عقد الجدّ إذا کان وارداً علی صبیّةٍ خلِیّة غیر متزوّجة، فیکون الشرط وجودیّاً و هو کونها خَلیّةً و المحلّ قابل للنکاح، و مجرّد عدم سبق عقد الأب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مفاد مجری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شرطاً لصحّة عقد الجدّ؛ لأنّ مفاد الأخبار</w:t>
      </w:r>
      <w:r>
        <w:rPr>
          <w:rStyle w:val="FootnoteAnchor"/>
          <w:rtl w:val="true"/>
        </w:rPr>
        <w:footnoteReference w:id="2477"/>
      </w:r>
      <w:r>
        <w:rPr>
          <w:rFonts w:ascii="IRNazanin" w:hAnsi="IRNazanin" w:eastAsia="IRNazanin"/>
          <w:color w:val="111111"/>
          <w:sz w:val="28"/>
          <w:sz w:val="28"/>
          <w:szCs w:val="28"/>
          <w:rtl w:val="true"/>
          <w:lang w:bidi="fa-IR"/>
        </w:rPr>
        <w:t>أنّ عقد الجدّ نافذ و جائز مع قابلیة المحلّ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وقع العقد من أحدهما لم یصحّ العقد من الآخر؛ لعدم قابلیّة المحلّ و عدم کونها خلیّة، و مع</w:t>
      </w:r>
    </w:p>
    <w:p>
      <w:pPr>
        <w:pStyle w:val="BookText"/>
        <w:rPr/>
      </w:pPr>
      <w:r>
        <w:rPr>
          <w:rFonts w:ascii="IRNazanin" w:hAnsi="IRNazanin" w:eastAsia="IRNazanin"/>
          <w:color w:val="111111"/>
          <w:sz w:val="28"/>
          <w:sz w:val="28"/>
          <w:szCs w:val="28"/>
          <w:rtl w:val="true"/>
          <w:lang w:bidi="fa-IR"/>
        </w:rPr>
        <w:t xml:space="preserve">الأصل لا یثبت هذا المعنی، و کذلک شرط صحّة عقد الأب أن یرد علی صبیة خلیّة غیر مزوّجةٍ، و لا یقارنه عقد الجدّ، لا أن یکون شرط صحّته مجرّد سبق عقد الأب علی عقد الجدّ من حیث إنّه سبق، و عنوان عدم قبلیة عقد الأب أو أوّلیّة العقد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الروایتین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یؤخذ فی الموضوع، و إنّما لوحظ طریقاً و عنواناً مشیراً إلی کون الصبیّة خلیّةً غیر مزوّجة، کما ذهب إلیه السیّد الحکیم</w:t>
      </w:r>
      <w:r>
        <w:rPr>
          <w:rStyle w:val="FootnoteAnchor"/>
          <w:rtl w:val="true"/>
        </w:rPr>
        <w:footnoteReference w:id="2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فإذن لا وجه لتقدیم عقد الجدّ؛ للأصل فی بعض الصور، أو احتمال تقدیم عقد الأب فی صورةٍ أخری؛ لأنّ الأصل لا یصلح لإثبات کونها خلیةً غیر متزوّجة إلی حین العقد، فالأقوی فیه لزوم إجراء العلم بکونها زوجةً لأحدهما کما اختاره الإمام الخمینی و السیّد الکلبایکانی فی التعلیقة علی العروة</w:t>
      </w:r>
      <w:r>
        <w:rPr>
          <w:rStyle w:val="FootnoteAnchor"/>
          <w:rtl w:val="true"/>
        </w:rPr>
        <w:footnoteReference w:id="2479"/>
      </w:r>
      <w:r>
        <w:rPr>
          <w:rFonts w:ascii="IRNazanin" w:hAnsi="IRNazanin" w:eastAsia="IRNazanin"/>
          <w:color w:val="111111"/>
          <w:sz w:val="28"/>
          <w:sz w:val="28"/>
          <w:szCs w:val="28"/>
          <w:rtl w:val="true"/>
          <w:lang w:bidi="fa-IR"/>
        </w:rPr>
        <w:t>و کذا السید الحکیم فی المستمسک</w:t>
      </w:r>
      <w:r>
        <w:rPr>
          <w:rStyle w:val="FootnoteAnchor"/>
          <w:rtl w:val="true"/>
        </w:rPr>
        <w:footnoteReference w:id="2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هو حکم المسألة مع فرض عدم جریان الأصل؟</w:t>
      </w:r>
    </w:p>
    <w:p>
      <w:pPr>
        <w:pStyle w:val="BookText"/>
        <w:rPr/>
      </w:pPr>
      <w:r>
        <w:rPr>
          <w:rFonts w:ascii="IRNazanin" w:hAnsi="IRNazanin" w:eastAsia="IRNazanin"/>
          <w:color w:val="111111"/>
          <w:sz w:val="28"/>
          <w:sz w:val="28"/>
          <w:szCs w:val="28"/>
          <w:rtl w:val="true"/>
          <w:lang w:bidi="fa-IR"/>
        </w:rPr>
        <w:t>ثبت ممّا قلنا أنّه لا محلّ لجریان الأصل لإثبات کون الصغیرة خلیةً غیر متزوّجة، و یلزم العلم الإجمالی بکونها زوجةً لأحدهما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یقع البحث فی أنّ ما هو الحکم فی هذه المسألة؟</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حکمها لا یخلو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یجب علی المرأة الاحتیاط بترک التمکین لهما و ترک التزویج للغیر إلاّ بعد طلاقهما، و کما یجب علی المرأة الاحتیاط، کذلک یجب علی الرجال الاحتیاط، بأن لا یجریا أحکام الزوجیّة علیها</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الأقوی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الرجوع إلی القرعة لتعیین أحدهما، کما قال به</w:t>
      </w:r>
      <w:bookmarkStart w:id="1192" w:name="pg11752_146589"/>
    </w:p>
    <w:p>
      <w:pPr>
        <w:pStyle w:val="BookText"/>
        <w:rPr/>
      </w:pPr>
      <w:bookmarkEnd w:id="1192"/>
      <w:r>
        <w:rPr>
          <w:rFonts w:ascii="IRNazanin" w:hAnsi="IRNazanin" w:eastAsia="IRNazanin"/>
          <w:color w:val="111111"/>
          <w:sz w:val="28"/>
          <w:sz w:val="28"/>
          <w:szCs w:val="28"/>
          <w:rtl w:val="true"/>
          <w:lang w:bidi="fa-IR"/>
        </w:rPr>
        <w:t>فی الجواهر</w:t>
      </w:r>
      <w:r>
        <w:rPr>
          <w:rStyle w:val="FootnoteAnchor"/>
          <w:rtl w:val="true"/>
        </w:rPr>
        <w:footnoteReference w:id="2481"/>
      </w:r>
      <w:r>
        <w:rPr>
          <w:rFonts w:ascii="IRNazanin" w:hAnsi="IRNazanin" w:eastAsia="IRNazanin"/>
          <w:color w:val="111111"/>
          <w:sz w:val="28"/>
          <w:sz w:val="28"/>
          <w:szCs w:val="28"/>
          <w:rtl w:val="true"/>
          <w:lang w:bidi="fa-IR"/>
        </w:rPr>
        <w:t>و المستمسک</w:t>
      </w:r>
      <w:r>
        <w:rPr>
          <w:rStyle w:val="FootnoteAnchor"/>
          <w:rtl w:val="true"/>
        </w:rPr>
        <w:footnoteReference w:id="2482"/>
      </w:r>
      <w:r>
        <w:rPr>
          <w:rFonts w:ascii="IRNazanin" w:hAnsi="IRNazanin" w:eastAsia="IRNazanin"/>
          <w:color w:val="111111"/>
          <w:sz w:val="28"/>
          <w:sz w:val="28"/>
          <w:szCs w:val="28"/>
          <w:rtl w:val="true"/>
          <w:lang w:bidi="fa-IR"/>
        </w:rPr>
        <w:t>؛ لأنّه لا طریق إلی استعلام الزوج الواقعی، فقد ورد عن الأئمّة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مجهول ففیه القرعة</w:t>
      </w:r>
      <w:r>
        <w:rPr>
          <w:rFonts w:eastAsia="IRNazanin" w:cs="IRNazanin"/>
          <w:color w:val="111111"/>
          <w:sz w:val="28"/>
          <w:szCs w:val="28"/>
          <w:rtl w:val="true"/>
          <w:lang w:bidi="fa-IR"/>
        </w:rPr>
        <w:t>»</w:t>
      </w:r>
      <w:r>
        <w:rPr>
          <w:rStyle w:val="FootnoteAnchor"/>
          <w:rtl w:val="true"/>
        </w:rPr>
        <w:footnoteReference w:id="2483"/>
      </w:r>
      <w:r>
        <w:rPr>
          <w:rFonts w:ascii="IRNazanin" w:hAnsi="IRNazanin" w:eastAsia="IRNazanin"/>
          <w:color w:val="111111"/>
          <w:sz w:val="28"/>
          <w:sz w:val="28"/>
          <w:szCs w:val="28"/>
          <w:rtl w:val="true"/>
          <w:lang w:bidi="fa-IR"/>
        </w:rPr>
        <w:t>فإذا أُقرع بینهما، فمن أخرجته القرعة أمر صاحبه بالطلاق ثُمّ یؤمر بتجدید النکاح، فإن کانت فی الواقع زوجته لم یضرّه تجدید النکاح، و إن کانت زوجة الآخر بانت بطلاقه و صارت زوجةً للغیر بالعقد الثانی، لوجوب الاحتیاط فی الفروج، لأنّه لا مجال للقرعة بنفسها فی الأمور التی هی مناط الاحتیاط، مثل النکاح الذی تعلّقت به الأنساب و الإرث و التحریم و المحرمیّة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إجبار کلّ واحدٍ منهما علی الطلاق من غیر قرعةٍ لدفع الضرر عن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فسخ الحاکم النکاح بالنسبة إلی کلّ منهما؛ لأنّ فیه دفع الضرر مع السلامة من ارتکاب الإجبار فی الطلاق، و قوّاه العلاّمة فی القواعد</w:t>
      </w:r>
      <w:r>
        <w:rPr>
          <w:rStyle w:val="FootnoteAnchor"/>
          <w:rtl w:val="true"/>
        </w:rPr>
        <w:footnoteReference w:id="24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تبعه المحقّق الاصفهانی</w:t>
      </w:r>
      <w:r>
        <w:rPr>
          <w:rStyle w:val="FootnoteAnchor"/>
          <w:rtl w:val="true"/>
        </w:rPr>
        <w:footnoteReference w:id="2485"/>
      </w:r>
      <w:r>
        <w:rPr>
          <w:rFonts w:ascii="IRNazanin" w:hAnsi="IRNazanin" w:eastAsia="IRNazanin"/>
          <w:color w:val="111111"/>
          <w:sz w:val="28"/>
          <w:sz w:val="28"/>
          <w:szCs w:val="28"/>
          <w:rtl w:val="true"/>
          <w:lang w:bidi="fa-IR"/>
        </w:rPr>
        <w:t>و المحقّق الثانی</w:t>
      </w:r>
      <w:r>
        <w:rPr>
          <w:rStyle w:val="FootnoteAnchor"/>
          <w:rtl w:val="true"/>
        </w:rPr>
        <w:footnoteReference w:id="2486"/>
      </w:r>
      <w:r>
        <w:rPr>
          <w:rFonts w:ascii="IRNazanin" w:hAnsi="IRNazanin" w:eastAsia="IRNazanin"/>
          <w:color w:val="111111"/>
          <w:sz w:val="28"/>
          <w:sz w:val="28"/>
          <w:szCs w:val="28"/>
          <w:rtl w:val="true"/>
          <w:lang w:bidi="fa-IR"/>
        </w:rPr>
        <w:t>و صاحب المدارک</w:t>
      </w:r>
      <w:r>
        <w:rPr>
          <w:rStyle w:val="FootnoteAnchor"/>
          <w:rtl w:val="true"/>
        </w:rPr>
        <w:footnoteReference w:id="2487"/>
      </w:r>
      <w:r>
        <w:rPr>
          <w:rFonts w:ascii="IRNazanin" w:hAnsi="IRNazanin" w:eastAsia="IRNazanin"/>
          <w:color w:val="111111"/>
          <w:sz w:val="28"/>
          <w:sz w:val="28"/>
          <w:szCs w:val="28"/>
          <w:rtl w:val="true"/>
          <w:lang w:bidi="fa-IR"/>
        </w:rPr>
        <w:t>و الریاض</w:t>
      </w:r>
      <w:r>
        <w:rPr>
          <w:rStyle w:val="FootnoteAnchor"/>
          <w:rtl w:val="true"/>
        </w:rPr>
        <w:footnoteReference w:id="24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93" w:name="__RefHeading___Toc9424680_73709187"/>
      <w:bookmarkStart w:id="1194" w:name="_Toc454"/>
      <w:bookmarkEnd w:id="1193"/>
      <w:r>
        <w:rPr>
          <w:rtl w:val="true"/>
        </w:rPr>
        <w:t>فرعان</w:t>
      </w:r>
      <w:bookmarkEnd w:id="1194"/>
    </w:p>
    <w:p>
      <w:pPr>
        <w:pStyle w:val="Heading6"/>
        <w:numPr>
          <w:ilvl w:val="5"/>
          <w:numId w:val="1"/>
        </w:numPr>
        <w:rPr/>
      </w:pPr>
      <w:bookmarkStart w:id="1195" w:name="__RefHeading___Toc9424682_73709187"/>
      <w:bookmarkStart w:id="1196" w:name="_Toc455"/>
      <w:bookmarkEnd w:id="1195"/>
      <w:r>
        <w:rPr>
          <w:rtl w:val="true"/>
        </w:rPr>
        <w:t>الأوّل</w:t>
      </w:r>
      <w:r>
        <w:rPr>
          <w:rtl w:val="true"/>
        </w:rPr>
        <w:t xml:space="preserve">: </w:t>
      </w:r>
      <w:r>
        <w:rPr>
          <w:rtl w:val="true"/>
        </w:rPr>
        <w:t>لو تشاحّ الأب و الجدّ فی تزویج الصغیرة</w:t>
      </w:r>
      <w:bookmarkEnd w:id="1196"/>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فیه المنع ثمّ یکون منعاً مع حرصٍ،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تشاحّ الرجلان علی الأمر إذا أراد کلّ واحدٍ منهما الفوز به و منعه من صاحبه</w:t>
      </w:r>
      <w:r>
        <w:rPr>
          <w:rStyle w:val="FootnoteAnchor"/>
          <w:rtl w:val="true"/>
        </w:rPr>
        <w:footnoteReference w:id="2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المقصود منه عند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الأب و الجدّ فی اختیار الزوج للصغیرة، بحیث یمنع کلّ واحدٍ منهما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تشاحّ الأب و الجدّ فاختار کلّ منهما واحداً قدّم اختیار الجدّ، هذا ممّا لا خلاف فیه، بل الإجماع علیه کما عن الانتصار</w:t>
      </w:r>
      <w:r>
        <w:rPr>
          <w:rStyle w:val="FootnoteAnchor"/>
          <w:rtl w:val="true"/>
        </w:rPr>
        <w:footnoteReference w:id="2490"/>
      </w:r>
      <w:r>
        <w:rPr>
          <w:rFonts w:ascii="IRNazanin" w:hAnsi="IRNazanin" w:eastAsia="IRNazanin"/>
          <w:color w:val="111111"/>
          <w:sz w:val="28"/>
          <w:sz w:val="28"/>
          <w:szCs w:val="28"/>
          <w:rtl w:val="true"/>
          <w:lang w:bidi="fa-IR"/>
        </w:rPr>
        <w:t>و الخلاف</w:t>
      </w:r>
      <w:r>
        <w:rPr>
          <w:rStyle w:val="FootnoteAnchor"/>
          <w:rtl w:val="true"/>
        </w:rPr>
        <w:footnoteReference w:id="2491"/>
      </w:r>
      <w:r>
        <w:rPr>
          <w:rFonts w:ascii="IRNazanin" w:hAnsi="IRNazanin" w:eastAsia="IRNazanin"/>
          <w:color w:val="111111"/>
          <w:sz w:val="28"/>
          <w:sz w:val="28"/>
          <w:szCs w:val="28"/>
          <w:rtl w:val="true"/>
          <w:lang w:bidi="fa-IR"/>
        </w:rPr>
        <w:t>و المبسوط‌</w:t>
      </w:r>
      <w:r>
        <w:rPr>
          <w:rStyle w:val="FootnoteAnchor"/>
          <w:rtl w:val="true"/>
        </w:rPr>
        <w:footnoteReference w:id="2492"/>
      </w:r>
    </w:p>
    <w:p>
      <w:pPr>
        <w:pStyle w:val="BookText"/>
        <w:rPr/>
      </w:pPr>
      <w:r>
        <w:rPr>
          <w:rFonts w:ascii="IRNazanin" w:hAnsi="IRNazanin" w:eastAsia="IRNazanin"/>
          <w:color w:val="111111"/>
          <w:sz w:val="28"/>
          <w:sz w:val="28"/>
          <w:szCs w:val="28"/>
          <w:rtl w:val="true"/>
          <w:lang w:bidi="fa-IR"/>
        </w:rPr>
        <w:t>و السرائر</w:t>
      </w:r>
      <w:r>
        <w:rPr>
          <w:rStyle w:val="FootnoteAnchor"/>
          <w:rtl w:val="true"/>
        </w:rPr>
        <w:footnoteReference w:id="2493"/>
      </w:r>
      <w:r>
        <w:rPr>
          <w:rFonts w:ascii="IRNazanin" w:hAnsi="IRNazanin" w:eastAsia="IRNazanin"/>
          <w:color w:val="111111"/>
          <w:sz w:val="28"/>
          <w:sz w:val="28"/>
          <w:szCs w:val="28"/>
          <w:rtl w:val="true"/>
          <w:lang w:bidi="fa-IR"/>
        </w:rPr>
        <w:t>و التذکرة</w:t>
      </w:r>
      <w:r>
        <w:rPr>
          <w:rStyle w:val="FootnoteAnchor"/>
          <w:rtl w:val="true"/>
        </w:rPr>
        <w:footnoteReference w:id="2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المقنع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أراد الرجل أن یزوّج ابنته من رجلٍ و أراد جدّها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أبیها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یزوّجها من غیره، فالتزویج للجدّ و لیس له مع أبیه أمرٌ آخر</w:t>
      </w:r>
      <w:r>
        <w:rPr>
          <w:rFonts w:eastAsia="IRNazanin" w:cs="IRNazanin"/>
          <w:color w:val="111111"/>
          <w:sz w:val="28"/>
          <w:szCs w:val="28"/>
          <w:rtl w:val="true"/>
          <w:lang w:bidi="fa-IR"/>
        </w:rPr>
        <w:t>»</w:t>
      </w:r>
      <w:r>
        <w:rPr>
          <w:rStyle w:val="FootnoteAnchor"/>
          <w:rtl w:val="true"/>
        </w:rPr>
        <w:footnoteReference w:id="2495"/>
      </w:r>
      <w:r>
        <w:rPr>
          <w:rFonts w:eastAsia="Times New Roman" w:cs="Times New Roman" w:ascii="Times New Roman" w:hAnsi="Times New Roman"/>
          <w:color w:val="111111"/>
          <w:sz w:val="28"/>
          <w:szCs w:val="28"/>
          <w:rtl w:val="true"/>
          <w:lang w:val="en-US" w:bidi="en-US"/>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ذهب إلیه الشیخ</w:t>
      </w:r>
      <w:r>
        <w:rPr>
          <w:rStyle w:val="FootnoteAnchor"/>
          <w:rtl w:val="true"/>
        </w:rPr>
        <w:footnoteReference w:id="2496"/>
      </w:r>
      <w:r>
        <w:rPr>
          <w:rFonts w:ascii="Amiri" w:hAnsi="Amiri" w:eastAsia="Amiri" w:cs="Amiri"/>
          <w:color w:val="111111"/>
          <w:sz w:val="28"/>
          <w:sz w:val="28"/>
          <w:szCs w:val="28"/>
          <w:rtl w:val="true"/>
          <w:lang w:bidi="ar-SA"/>
        </w:rPr>
        <w:t>و السیِّد</w:t>
      </w:r>
      <w:r>
        <w:rPr>
          <w:rStyle w:val="FootnoteAnchor"/>
          <w:rtl w:val="true"/>
        </w:rPr>
        <w:footnoteReference w:id="2497"/>
      </w:r>
      <w:r>
        <w:rPr>
          <w:rFonts w:ascii="IRNazanin" w:hAnsi="IRNazanin" w:eastAsia="IRNazanin"/>
          <w:color w:val="111111"/>
          <w:sz w:val="28"/>
          <w:sz w:val="28"/>
          <w:szCs w:val="28"/>
          <w:rtl w:val="true"/>
          <w:lang w:bidi="fa-IR"/>
        </w:rPr>
        <w:t>و المفید</w:t>
      </w:r>
      <w:r>
        <w:rPr>
          <w:rStyle w:val="FootnoteAnchor"/>
          <w:rtl w:val="true"/>
        </w:rPr>
        <w:footnoteReference w:id="2498"/>
      </w:r>
      <w:r>
        <w:rPr>
          <w:rFonts w:ascii="IRNazanin" w:hAnsi="IRNazanin" w:eastAsia="IRNazanin"/>
          <w:color w:val="111111"/>
          <w:sz w:val="28"/>
          <w:sz w:val="28"/>
          <w:szCs w:val="28"/>
          <w:rtl w:val="true"/>
          <w:lang w:bidi="fa-IR"/>
        </w:rPr>
        <w:t>و الحلبی</w:t>
      </w:r>
      <w:r>
        <w:rPr>
          <w:rStyle w:val="FootnoteAnchor"/>
          <w:rtl w:val="true"/>
        </w:rPr>
        <w:footnoteReference w:id="2499"/>
      </w:r>
      <w:r>
        <w:rPr>
          <w:rFonts w:ascii="IRNazanin" w:hAnsi="IRNazanin" w:eastAsia="IRNazanin"/>
          <w:color w:val="111111"/>
          <w:sz w:val="28"/>
          <w:sz w:val="28"/>
          <w:szCs w:val="28"/>
          <w:rtl w:val="true"/>
          <w:lang w:bidi="fa-IR"/>
        </w:rPr>
        <w:t>و بنو زهرة و البرّاج و سعید</w:t>
      </w:r>
      <w:r>
        <w:rPr>
          <w:rStyle w:val="FootnoteAnchor"/>
          <w:rtl w:val="true"/>
        </w:rPr>
        <w:footnoteReference w:id="2500"/>
      </w:r>
      <w:r>
        <w:rPr>
          <w:rFonts w:ascii="IRNazanin" w:hAnsi="IRNazanin" w:eastAsia="IRNazanin"/>
          <w:color w:val="111111"/>
          <w:sz w:val="28"/>
          <w:sz w:val="28"/>
          <w:szCs w:val="28"/>
          <w:rtl w:val="true"/>
          <w:lang w:bidi="fa-IR"/>
        </w:rPr>
        <w:t>و الکیدری</w:t>
      </w:r>
      <w:r>
        <w:rPr>
          <w:rStyle w:val="FootnoteAnchor"/>
          <w:rtl w:val="true"/>
        </w:rPr>
        <w:footnoteReference w:id="2501"/>
      </w:r>
      <w:r>
        <w:rPr>
          <w:rFonts w:ascii="IRNazanin" w:hAnsi="IRNazanin" w:eastAsia="IRNazanin"/>
          <w:color w:val="111111"/>
          <w:sz w:val="28"/>
          <w:sz w:val="28"/>
          <w:szCs w:val="28"/>
          <w:rtl w:val="true"/>
          <w:lang w:bidi="fa-IR"/>
        </w:rPr>
        <w:t>و الفاضلان</w:t>
      </w:r>
      <w:r>
        <w:rPr>
          <w:rStyle w:val="FootnoteAnchor"/>
          <w:rtl w:val="true"/>
        </w:rPr>
        <w:footnoteReference w:id="2502"/>
      </w:r>
      <w:r>
        <w:rPr>
          <w:rFonts w:ascii="IRNazanin" w:hAnsi="IRNazanin" w:eastAsia="IRNazanin"/>
          <w:color w:val="111111"/>
          <w:sz w:val="28"/>
          <w:sz w:val="28"/>
          <w:szCs w:val="28"/>
          <w:rtl w:val="true"/>
          <w:lang w:bidi="fa-IR"/>
        </w:rPr>
        <w:t>، و وافقهم فی ذلک جماعةٌ من</w:t>
      </w:r>
      <w:bookmarkStart w:id="1197" w:name="pg11752_146591"/>
    </w:p>
    <w:p>
      <w:pPr>
        <w:pStyle w:val="BookText"/>
        <w:rPr/>
      </w:pPr>
      <w:bookmarkEnd w:id="1197"/>
      <w:r>
        <w:rPr>
          <w:rFonts w:ascii="Amiri" w:hAnsi="Amiri" w:eastAsia="Amiri" w:cs="Amiri"/>
          <w:color w:val="111111"/>
          <w:sz w:val="28"/>
          <w:sz w:val="28"/>
          <w:szCs w:val="28"/>
          <w:rtl w:val="true"/>
          <w:lang w:bidi="ar-SA"/>
        </w:rPr>
        <w:t>المتأخّرین</w:t>
      </w:r>
      <w:r>
        <w:rPr>
          <w:rStyle w:val="FootnoteAnchor"/>
          <w:rtl w:val="true"/>
        </w:rPr>
        <w:footnoteReference w:id="2503"/>
      </w:r>
      <w:r>
        <w:rPr>
          <w:rFonts w:ascii="IRNazanin" w:hAnsi="IRNazanin" w:eastAsia="IRNazanin"/>
          <w:color w:val="111111"/>
          <w:sz w:val="28"/>
          <w:sz w:val="28"/>
          <w:szCs w:val="28"/>
          <w:rtl w:val="true"/>
          <w:lang w:bidi="fa-IR"/>
        </w:rPr>
        <w:t>و متأخّری المتأخّرین و بعض فقهاء العصر</w:t>
      </w:r>
      <w:r>
        <w:rPr>
          <w:rStyle w:val="FootnoteAnchor"/>
          <w:rtl w:val="true"/>
        </w:rPr>
        <w:footnoteReference w:id="250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98" w:name="__RefHeading___Toc9424684_73709187"/>
      <w:bookmarkStart w:id="1199" w:name="_Toc456"/>
      <w:bookmarkEnd w:id="1198"/>
      <w:r>
        <w:rPr>
          <w:rtl w:val="true"/>
        </w:rPr>
        <w:t>أدلّة هذا الحکم</w:t>
      </w:r>
      <w:bookmarkEnd w:id="1199"/>
    </w:p>
    <w:p>
      <w:pPr>
        <w:pStyle w:val="BookText"/>
        <w:rPr/>
      </w:pPr>
      <w:r>
        <w:rPr>
          <w:rFonts w:ascii="IRNazanin" w:hAnsi="IRNazanin" w:eastAsia="IRNazanin"/>
          <w:color w:val="111111"/>
          <w:sz w:val="28"/>
          <w:sz w:val="28"/>
          <w:szCs w:val="28"/>
          <w:rtl w:val="true"/>
          <w:lang w:bidi="fa-IR"/>
        </w:rPr>
        <w:t>تدلّ علی تقدیم اختیار الجدّ علی الأب النصوص الکثیرة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محمّد بن مسلم المتقدّمة، عن أحدهما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هوی</w:t>
      </w:r>
      <w:r>
        <w:rPr>
          <w:rStyle w:val="FootnoteAnchor"/>
          <w:rtl w:val="true"/>
        </w:rPr>
        <w:footnoteReference w:id="2505"/>
      </w:r>
      <w:r>
        <w:rPr>
          <w:rFonts w:ascii="IRNazanin" w:hAnsi="IRNazanin" w:eastAsia="IRNazanin"/>
          <w:color w:val="111111"/>
          <w:sz w:val="28"/>
          <w:sz w:val="28"/>
          <w:szCs w:val="28"/>
          <w:rtl w:val="true"/>
          <w:lang w:bidi="fa-IR"/>
        </w:rPr>
        <w:t>أبوها رجلاً و جدّها رجلاً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الجدّ أولی بنکاحها</w:t>
      </w:r>
      <w:r>
        <w:rPr>
          <w:rFonts w:eastAsia="IRNazanin" w:cs="IRNazanin"/>
          <w:color w:val="111111"/>
          <w:sz w:val="28"/>
          <w:szCs w:val="28"/>
          <w:rtl w:val="true"/>
          <w:lang w:bidi="fa-IR"/>
        </w:rPr>
        <w:t>»</w:t>
      </w:r>
      <w:r>
        <w:rPr>
          <w:rStyle w:val="FootnoteAnchor"/>
          <w:rtl w:val="true"/>
        </w:rPr>
        <w:footnoteReference w:id="2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بمعنی أنّ الأب یحبّ و یمیل إلی أن یزوّجها من رجلٍ و الجدّ من رجل آخر، و هذا معنی التشاح، فقوله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الجدّ أولی بنکاحها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الدلالة علی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عبید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الجاریة یرید أبوها أن یزوّجها من رجلٍ، و یرید جدّها أن یزوّجها من رجل آخر،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الجدّ أولی بذلک ما لم یکن مضارّاً إن لم یکن الأب زوّجها قبله، و یجوز علیها تزویج الأب و الجدّ</w:t>
      </w:r>
      <w:r>
        <w:rPr>
          <w:rFonts w:eastAsia="IRNazanin" w:cs="IRNazanin"/>
          <w:color w:val="111111"/>
          <w:sz w:val="28"/>
          <w:szCs w:val="28"/>
          <w:rtl w:val="true"/>
          <w:lang w:bidi="fa-IR"/>
        </w:rPr>
        <w:t>»</w:t>
      </w:r>
      <w:r>
        <w:rPr>
          <w:rStyle w:val="FootnoteAnchor"/>
          <w:rtl w:val="true"/>
        </w:rPr>
        <w:footnoteReference w:id="25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دلالتها مثل سابقتها واضحةٌ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فضل بن عبد الملک، فإنّ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هوی أبو الجاریة هوًی و هوی الجدّ هوًی و هما سواء فی العدل و الرضی،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إلیَّ أن ترضی بقول الجدّ</w:t>
      </w:r>
      <w:r>
        <w:rPr>
          <w:rFonts w:eastAsia="IRNazanin" w:cs="IRNazanin"/>
          <w:color w:val="111111"/>
          <w:sz w:val="28"/>
          <w:szCs w:val="28"/>
          <w:rtl w:val="true"/>
          <w:lang w:bidi="fa-IR"/>
        </w:rPr>
        <w:t>»</w:t>
      </w:r>
      <w:r>
        <w:rPr>
          <w:rStyle w:val="FootnoteAnchor"/>
          <w:rtl w:val="true"/>
        </w:rPr>
        <w:footnoteReference w:id="25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دلالتها أیضاً کسابقتیها واضحةٌ، إلاّ أنّه جاء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 نکتةٌ ستأتی إن شاء اللّه</w:t>
      </w:r>
      <w:r>
        <w:rPr>
          <w:rFonts w:eastAsia="Amiri" w:cs="Amiri" w:ascii="Amiri" w:hAnsi="Amiri"/>
          <w:color w:val="111111"/>
          <w:sz w:val="28"/>
          <w:szCs w:val="28"/>
          <w:rtl w:val="true"/>
          <w:lang w:bidi="ar-SA"/>
        </w:rPr>
        <w:t>.</w:t>
      </w:r>
      <w:bookmarkStart w:id="1200" w:name="pg11752_146592"/>
    </w:p>
    <w:p>
      <w:pPr>
        <w:pStyle w:val="BookText"/>
        <w:rPr/>
      </w:pPr>
      <w:bookmarkEnd w:id="1200"/>
      <w:r>
        <w:rPr>
          <w:rFonts w:ascii="IRNazanin" w:hAnsi="IRNazanin" w:eastAsia="IRNazanin"/>
          <w:color w:val="111111"/>
          <w:sz w:val="28"/>
          <w:sz w:val="28"/>
          <w:szCs w:val="28"/>
          <w:rtl w:val="true"/>
          <w:lang w:bidi="fa-IR"/>
        </w:rPr>
        <w:t>و یؤیّده الروایة الثانیة لعبید بن زرارة</w:t>
      </w:r>
      <w:r>
        <w:rPr>
          <w:rStyle w:val="FootnoteAnchor"/>
          <w:rtl w:val="true"/>
        </w:rPr>
        <w:footnoteReference w:id="2509"/>
      </w:r>
      <w:r>
        <w:rPr>
          <w:rFonts w:ascii="IRNazanin" w:hAnsi="IRNazanin" w:eastAsia="IRNazanin"/>
          <w:color w:val="111111"/>
          <w:sz w:val="28"/>
          <w:sz w:val="28"/>
          <w:szCs w:val="28"/>
          <w:rtl w:val="true"/>
          <w:lang w:bidi="fa-IR"/>
        </w:rPr>
        <w:t>و خبر علیّ بن جعفر علیه السلام</w:t>
      </w:r>
      <w:r>
        <w:rPr>
          <w:rStyle w:val="FootnoteAnchor"/>
          <w:rtl w:val="true"/>
        </w:rPr>
        <w:footnoteReference w:id="2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الحاصل أنّه لا شکّ فی أولویّة ولایة الجدّ علی ولایة الأب، و تقدّمها علیها عند التشاحّ بغیر خلافٍ بین أصحابنا فتوی و نصّاً، و علّله الفاضل الأصبهانی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للجدّ ولایة</w:t>
      </w:r>
      <w:r>
        <w:rPr>
          <w:rStyle w:val="FootnoteAnchor"/>
          <w:rtl w:val="true"/>
        </w:rPr>
        <w:footnoteReference w:id="2511"/>
      </w:r>
      <w:r>
        <w:rPr>
          <w:rFonts w:ascii="IRNazanin" w:hAnsi="IRNazanin" w:eastAsia="IRNazanin"/>
          <w:color w:val="111111"/>
          <w:sz w:val="28"/>
          <w:sz w:val="28"/>
          <w:szCs w:val="28"/>
          <w:rtl w:val="true"/>
          <w:lang w:bidi="fa-IR"/>
        </w:rPr>
        <w:t>علی الأب فی حال الصغر و الجنون و السفه، و یجب إطاعة الجدّ علی الأب؛ و لذا تکون لولایته مزیّةٌ و رجحان علی ولایة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التعلیل علیلٌ؛ لأنّه مجرّد استحسان عقلی لا نحتاج إلیه بعد کلّ هذه النصوص الصریحة فی ذلک، مضافاً إلی أنّ ولایة الجدّ علی الأب فی حال الصغر لا تکون دلیلاً لأولویّة ولایته علیه فی حال الکبر، حیث لا ولایة له علی الأب و إن وجب علیه إطاعته، و هذا غیر الولایة</w:t>
      </w:r>
      <w:r>
        <w:rPr>
          <w:rFonts w:eastAsia="IRNazanin" w:cs="IRNazanin"/>
          <w:color w:val="111111"/>
          <w:sz w:val="28"/>
          <w:szCs w:val="28"/>
          <w:rtl w:val="true"/>
          <w:lang w:bidi="fa-IR"/>
        </w:rPr>
        <w:t>.</w:t>
      </w:r>
    </w:p>
    <w:p>
      <w:pPr>
        <w:pStyle w:val="Heading6"/>
        <w:numPr>
          <w:ilvl w:val="5"/>
          <w:numId w:val="1"/>
        </w:numPr>
        <w:rPr/>
      </w:pPr>
      <w:bookmarkStart w:id="1201" w:name="__RefHeading___Toc9424686_73709187"/>
      <w:bookmarkStart w:id="1202" w:name="_Toc457"/>
      <w:bookmarkEnd w:id="1201"/>
      <w:r>
        <w:rPr>
          <w:rtl w:val="true"/>
        </w:rPr>
        <w:t>الثانی</w:t>
      </w:r>
      <w:r>
        <w:rPr>
          <w:rtl w:val="true"/>
        </w:rPr>
        <w:t xml:space="preserve">: </w:t>
      </w:r>
      <w:r>
        <w:rPr>
          <w:rtl w:val="true"/>
        </w:rPr>
        <w:t>هل تسقط ولایة الأب عند التشاحّ أم لا؟</w:t>
      </w:r>
      <w:bookmarkEnd w:id="1202"/>
    </w:p>
    <w:p>
      <w:pPr>
        <w:pStyle w:val="BookText"/>
        <w:rPr/>
      </w:pPr>
      <w:r>
        <w:rPr>
          <w:rFonts w:ascii="IRNazanin" w:hAnsi="IRNazanin" w:eastAsia="IRNazanin"/>
          <w:color w:val="111111"/>
          <w:sz w:val="28"/>
          <w:sz w:val="28"/>
          <w:szCs w:val="28"/>
          <w:rtl w:val="true"/>
          <w:lang w:bidi="fa-IR"/>
        </w:rPr>
        <w:t>بعد ما ثبت أنّه عند التشاحّ تقدّم ولایة الجد علی الأب، وقع البحث فی أنّ هذه الأولویّة و التقدّم هل تکون بنحو الأفضلیة، بحیث لو بادر الأب فی هذا الحال و عقد قبل الجدّ صحّ عقده، أو أنّه تسقط ولایة الأب عند التشاحّ فإن عقد بطل عقده؟ فیه قولان</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أولویة ولایة الجدّ من الأب معناها انتفاء الولایة للأب فی هذا المورد، و مقتضی النصوص أنّ الولایة ثابتةٌ للجدّ دون الأب، و لا تکون بمعنی الأفضلیة؛ لأنّ معنی الأولویّة فی غیر هذا المقام التعیّن، و هو المعروف فی استعمال لفظ الأولی، کما فی الآیة المبارکة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أُولُوا الْأَرْحامِ بَعْضُهُمْ أَوْلی بِبَعْضٍ فِی</w:t>
      </w:r>
    </w:p>
    <w:p>
      <w:pPr>
        <w:pStyle w:val="BookText"/>
        <w:rPr/>
      </w:pPr>
      <w:r>
        <w:rPr>
          <w:rFonts w:ascii="IRNazanin" w:hAnsi="IRNazanin" w:eastAsia="IRNazanin"/>
          <w:color w:val="111111"/>
          <w:sz w:val="28"/>
          <w:sz w:val="28"/>
          <w:szCs w:val="28"/>
          <w:rtl w:val="true"/>
          <w:lang w:bidi="fa-IR"/>
        </w:rPr>
        <w:t>کِتابِ اللّهِ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یتعیّن بعضهم من بعضٍ لحقّ المیراث، و فی المقام أیضاً الجدّ أولی بنکاح الصغیرة أی یتعیّن و یقدّم، و لا یمضی ما یقع من الأب باعتبار أولویّة الجدّ عند التشاحّ، و لعلّ ذلک ظاهر قول الصدوق رحمه الله،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إذا أراد رجلٌ أن یزوّج ابنته من رجلٍ و أراد جدّها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أبیها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یزوّجها من غیره، فالتزویج للجدّ و لیس له مع أبیه أمرٌ آخر</w:t>
      </w:r>
      <w:r>
        <w:rPr>
          <w:rFonts w:eastAsia="IRNazanin" w:cs="IRNazanin"/>
          <w:color w:val="111111"/>
          <w:sz w:val="28"/>
          <w:szCs w:val="28"/>
          <w:rtl w:val="true"/>
          <w:lang w:bidi="fa-IR"/>
        </w:rPr>
        <w:t>»</w:t>
      </w:r>
      <w:r>
        <w:rPr>
          <w:rStyle w:val="FootnoteAnchor"/>
          <w:rtl w:val="true"/>
        </w:rPr>
        <w:footnoteReference w:id="2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الظاهر من کلامه قدس سره انتفاء ولایة الأب عند التشاح، و أیضاً هو ظاهر کلام المحقّق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تشاحّا قُدّم اختیار الجدّ</w:t>
      </w:r>
      <w:r>
        <w:rPr>
          <w:rFonts w:eastAsia="IRNazanin" w:cs="IRNazanin"/>
          <w:color w:val="111111"/>
          <w:sz w:val="28"/>
          <w:szCs w:val="28"/>
          <w:rtl w:val="true"/>
          <w:lang w:bidi="fa-IR"/>
        </w:rPr>
        <w:t>»</w:t>
      </w:r>
      <w:r>
        <w:rPr>
          <w:rStyle w:val="FootnoteAnchor"/>
          <w:rtl w:val="true"/>
        </w:rPr>
        <w:footnoteReference w:id="2513"/>
      </w:r>
      <w:r>
        <w:rPr>
          <w:rFonts w:ascii="IRNazanin" w:hAnsi="IRNazanin" w:eastAsia="IRNazanin"/>
          <w:color w:val="111111"/>
          <w:sz w:val="28"/>
          <w:sz w:val="28"/>
          <w:szCs w:val="28"/>
          <w:rtl w:val="true"/>
          <w:lang w:bidi="fa-IR"/>
        </w:rPr>
        <w:t>و کلام یحیی ابن سعید الحلّی</w:t>
      </w:r>
      <w:r>
        <w:rPr>
          <w:rStyle w:val="FootnoteAnchor"/>
          <w:rtl w:val="true"/>
        </w:rPr>
        <w:footnoteReference w:id="2514"/>
      </w:r>
      <w:r>
        <w:rPr>
          <w:rFonts w:ascii="Amiri" w:hAnsi="Amiri" w:eastAsia="Amiri" w:cs="Amiri"/>
          <w:color w:val="111111"/>
          <w:sz w:val="28"/>
          <w:sz w:val="28"/>
          <w:szCs w:val="28"/>
          <w:rtl w:val="true"/>
          <w:lang w:bidi="ar-SA"/>
        </w:rPr>
        <w:t>و العلاّمة</w:t>
      </w:r>
      <w:r>
        <w:rPr>
          <w:rStyle w:val="FootnoteAnchor"/>
          <w:rtl w:val="true"/>
        </w:rPr>
        <w:footnoteReference w:id="2515"/>
      </w:r>
      <w:r>
        <w:rPr>
          <w:rFonts w:ascii="IRNazanin" w:hAnsi="IRNazanin" w:eastAsia="IRNazanin"/>
          <w:color w:val="111111"/>
          <w:sz w:val="28"/>
          <w:sz w:val="28"/>
          <w:szCs w:val="28"/>
          <w:rtl w:val="true"/>
          <w:lang w:bidi="fa-IR"/>
        </w:rPr>
        <w:t>و صاحب الجواهر فی بعض کلماته</w:t>
      </w:r>
      <w:r>
        <w:rPr>
          <w:rStyle w:val="FootnoteAnchor"/>
          <w:rtl w:val="true"/>
        </w:rPr>
        <w:footnoteReference w:id="2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اختار هذا القول أیضاً السید الخوئی رحمه الله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القول و إن کان نادراً بل لم یُعلم القائل به، إلاّ أنّه المتعیّن بحسب الأدلّة و النصوص</w:t>
      </w:r>
      <w:r>
        <w:rPr>
          <w:rFonts w:eastAsia="IRNazanin" w:cs="IRNazanin"/>
          <w:color w:val="111111"/>
          <w:sz w:val="28"/>
          <w:szCs w:val="28"/>
          <w:rtl w:val="true"/>
          <w:lang w:bidi="fa-IR"/>
        </w:rPr>
        <w:t>»</w:t>
      </w:r>
      <w:r>
        <w:rPr>
          <w:rStyle w:val="FootnoteAnchor"/>
          <w:rtl w:val="true"/>
        </w:rPr>
        <w:footnoteReference w:id="2517"/>
      </w:r>
      <w:r>
        <w:rPr>
          <w:rFonts w:ascii="IRNazanin" w:hAnsi="IRNazanin" w:eastAsia="IRNazanin"/>
          <w:color w:val="111111"/>
          <w:sz w:val="28"/>
          <w:sz w:val="28"/>
          <w:szCs w:val="28"/>
          <w:rtl w:val="true"/>
          <w:lang w:bidi="fa-IR"/>
        </w:rPr>
        <w:t>و قال فی المستمسک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أعثر علیه</w:t>
      </w:r>
      <w:r>
        <w:rPr>
          <w:rFonts w:eastAsia="IRNazanin" w:cs="IRNazanin"/>
          <w:color w:val="111111"/>
          <w:sz w:val="28"/>
          <w:szCs w:val="28"/>
          <w:rtl w:val="true"/>
          <w:lang w:bidi="fa-IR"/>
        </w:rPr>
        <w:t>»</w:t>
      </w:r>
      <w:r>
        <w:rPr>
          <w:rStyle w:val="FootnoteAnchor"/>
          <w:rtl w:val="true"/>
        </w:rPr>
        <w:footnoteReference w:id="2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القائلین به من ظاهر القدماء و بعض المتأخّرین، و أمّا دلالة النصوص فستأتی إن شاء اللّه فی القول الثانی</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الأولویة هنا بمعنی الأفضلیة، و أرجحیّة ولایة الجدّ علی الأب، بحیث لو سبق عقد الأب صحّ أیضاً، و لکن ینبغی له أن یستأذن من الجدّ،</w:t>
      </w:r>
    </w:p>
    <w:p>
      <w:pPr>
        <w:pStyle w:val="BookText"/>
        <w:rPr/>
      </w:pPr>
      <w:r>
        <w:rPr>
          <w:rFonts w:ascii="IRNazanin" w:hAnsi="IRNazanin" w:eastAsia="IRNazanin"/>
          <w:color w:val="111111"/>
          <w:sz w:val="28"/>
          <w:sz w:val="28"/>
          <w:szCs w:val="28"/>
          <w:rtl w:val="true"/>
          <w:lang w:bidi="fa-IR"/>
        </w:rPr>
        <w:t>و لیس المراد بتقدیم اختیار الجدّ انتفاء ولایة الأب، و هو الذی صرّح به السیّد المرتضی و ادّعی علیه الإجماع،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حضر أبٌ و جدٌّ فاختار کلّ واحدٍ منهما رجلاً لنکاحها، کان اختیار الجدّ المقدّم علی اختیار الأب، و إن سبق الأب إلی العقد لم یکن للجدّ اعتراض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الحجّة لنا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 الطائفة</w:t>
      </w:r>
      <w:r>
        <w:rPr>
          <w:rStyle w:val="FootnoteAnchor"/>
          <w:rtl w:val="true"/>
        </w:rPr>
        <w:footnoteReference w:id="2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فکلامه صریحٌ فی عدم انتفاء ولایة الأب فی هذا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قال به ابن إدریس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فالأولی أن یقدّم من اختاره الجدّ، فإن بادر الأب فی هذه الحال و عقد علی من اختاره فعقده ماضٍ‌</w:t>
      </w:r>
      <w:r>
        <w:rPr>
          <w:rStyle w:val="FootnoteAnchor"/>
          <w:rtl w:val="true"/>
        </w:rPr>
        <w:footnoteReference w:id="2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ظاهر کلام المفید</w:t>
      </w:r>
      <w:r>
        <w:rPr>
          <w:rStyle w:val="FootnoteAnchor"/>
          <w:rtl w:val="true"/>
        </w:rPr>
        <w:footnoteReference w:id="2521"/>
      </w:r>
      <w:r>
        <w:rPr>
          <w:rFonts w:ascii="IRNazanin" w:hAnsi="IRNazanin" w:eastAsia="IRNazanin"/>
          <w:color w:val="111111"/>
          <w:sz w:val="28"/>
          <w:sz w:val="28"/>
          <w:szCs w:val="28"/>
          <w:rtl w:val="true"/>
          <w:lang w:bidi="fa-IR"/>
        </w:rPr>
        <w:t>و الحلبی</w:t>
      </w:r>
      <w:r>
        <w:rPr>
          <w:rStyle w:val="FootnoteAnchor"/>
          <w:rtl w:val="true"/>
        </w:rPr>
        <w:footnoteReference w:id="2522"/>
      </w:r>
      <w:r>
        <w:rPr>
          <w:rFonts w:ascii="IRNazanin" w:hAnsi="IRNazanin" w:eastAsia="IRNazanin"/>
          <w:color w:val="111111"/>
          <w:sz w:val="28"/>
          <w:sz w:val="28"/>
          <w:szCs w:val="28"/>
          <w:rtl w:val="true"/>
          <w:lang w:bidi="fa-IR"/>
        </w:rPr>
        <w:t>و ابن زهرة أیضاً</w:t>
      </w:r>
      <w:r>
        <w:rPr>
          <w:rStyle w:val="FootnoteAnchor"/>
          <w:rtl w:val="true"/>
        </w:rPr>
        <w:footnoteReference w:id="25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اختاره الشهید الثانی رحمه الله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قدّم عقد السابق منهما، سواء کان هو الأب أم الجدّ، حتی لو کان السابق الأب، و قد علم بأنّ الجدّ مخالف له، و قصد سبقه بالعقد، فقد ترک الأولی و صحّ عقدُه</w:t>
      </w:r>
      <w:r>
        <w:rPr>
          <w:rFonts w:eastAsia="IRNazanin" w:cs="IRNazanin"/>
          <w:color w:val="111111"/>
          <w:sz w:val="28"/>
          <w:szCs w:val="28"/>
          <w:rtl w:val="true"/>
          <w:lang w:bidi="fa-IR"/>
        </w:rPr>
        <w:t>»</w:t>
      </w:r>
      <w:r>
        <w:rPr>
          <w:rStyle w:val="FootnoteAnchor"/>
          <w:rtl w:val="true"/>
        </w:rPr>
        <w:footnoteReference w:id="2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ظاهر کلامه قدس سره الأولویة بمعنی الاستحباب، أی ینبغی للأب مراعاة أبیه و طاعته فی ذلک و الاستئذان منه لتزویج ابنته</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الحقّ هو القول الثانی؛ لأنّه صرّح علیه السلام فی موثّقة فضل بن عبد الملک المتقدّمة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إلیَّ أن ترضی بقول الجدّ</w:t>
      </w:r>
      <w:r>
        <w:rPr>
          <w:rFonts w:eastAsia="Amiri" w:cs="Amiri" w:ascii="Amiri" w:hAnsi="Amiri"/>
          <w:color w:val="111111"/>
          <w:sz w:val="28"/>
          <w:szCs w:val="28"/>
          <w:rtl w:val="true"/>
          <w:lang w:bidi="ar-SA"/>
        </w:rPr>
        <w:t>»</w:t>
      </w:r>
      <w:r>
        <w:rPr>
          <w:rStyle w:val="FootnoteAnchor"/>
          <w:rtl w:val="true"/>
        </w:rPr>
        <w:footnoteReference w:id="2525"/>
      </w:r>
      <w:r>
        <w:rPr>
          <w:rFonts w:ascii="IRNazanin" w:hAnsi="IRNazanin" w:eastAsia="IRNazanin"/>
          <w:color w:val="111111"/>
          <w:sz w:val="28"/>
          <w:sz w:val="28"/>
          <w:szCs w:val="28"/>
          <w:rtl w:val="true"/>
          <w:lang w:bidi="fa-IR"/>
        </w:rPr>
        <w:t>و لفظ أحب ظاهر فی الأفضلیة و الأرجحیّة، و کذلک لفظ أولی فی صحیحة محمّد بن مسلم</w:t>
      </w:r>
      <w:r>
        <w:rPr>
          <w:rStyle w:val="FootnoteAnchor"/>
          <w:rtl w:val="true"/>
        </w:rPr>
        <w:footnoteReference w:id="2526"/>
      </w:r>
      <w:r>
        <w:rPr>
          <w:rFonts w:ascii="IRNazanin" w:hAnsi="IRNazanin" w:eastAsia="IRNazanin"/>
          <w:color w:val="111111"/>
          <w:sz w:val="28"/>
          <w:sz w:val="28"/>
          <w:szCs w:val="28"/>
          <w:rtl w:val="true"/>
          <w:lang w:bidi="fa-IR"/>
        </w:rPr>
        <w:t>و موثّقة عبید بن</w:t>
      </w:r>
      <w:bookmarkStart w:id="1203" w:name="pg11752_146595"/>
    </w:p>
    <w:p>
      <w:pPr>
        <w:pStyle w:val="BookText"/>
        <w:rPr/>
      </w:pPr>
      <w:bookmarkEnd w:id="1203"/>
      <w:r>
        <w:rPr>
          <w:rFonts w:ascii="Amiri" w:hAnsi="Amiri" w:eastAsia="Amiri" w:cs="Amiri"/>
          <w:color w:val="111111"/>
          <w:sz w:val="28"/>
          <w:sz w:val="28"/>
          <w:szCs w:val="28"/>
          <w:rtl w:val="true"/>
          <w:lang w:bidi="ar-SA"/>
        </w:rPr>
        <w:t>زرارة</w:t>
      </w:r>
      <w:r>
        <w:rPr>
          <w:rStyle w:val="FootnoteAnchor"/>
          <w:rtl w:val="true"/>
        </w:rPr>
        <w:footnoteReference w:id="25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ذکر من أنّ معنی الأولی التعیین</w:t>
      </w:r>
      <w:r>
        <w:rPr>
          <w:rStyle w:val="FootnoteAnchor"/>
          <w:rtl w:val="true"/>
        </w:rPr>
        <w:footnoteReference w:id="2528"/>
      </w:r>
      <w:r>
        <w:rPr>
          <w:rFonts w:ascii="IRNazanin" w:hAnsi="IRNazanin" w:eastAsia="IRNazanin"/>
          <w:color w:val="111111"/>
          <w:sz w:val="28"/>
          <w:sz w:val="28"/>
          <w:szCs w:val="28"/>
          <w:rtl w:val="true"/>
          <w:lang w:bidi="fa-IR"/>
        </w:rPr>
        <w:t>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أیضاً ذکر علیه السلام فی آخر موثّقة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علیها تزویج الأب و 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تصریحه علیه السلام بأولویّة الجد، فلو کان معنی الأولی التعیین؛ بحیث لم یقع عقد الأب عند التشاحّ و إن تقدّم علی عقد الجدّ لم یقل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یجوز علیها تزویج الأب و الجدّ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الحاصل أنّ ما جاء فی النصوص أعنی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 أولی بالتزویج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إلیَّ قول 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 أحقّ بالجاریة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الأرجحیّة و الأفضلیة لتزویج الجدّ، و عن الفاضل الأصفهانی دعوی الإجماع علی صحّة السابق و لو کان هو عقد الأب،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عقدا جمیعاً بعد التشاحّ أو لا، بل مع جهل کلّ منهما باختیار الآخر قدّم السابق اتّفاقاً کما فی السرائر و الغنیة</w:t>
      </w:r>
      <w:r>
        <w:rPr>
          <w:rFonts w:eastAsia="IRNazanin" w:cs="IRNazanin"/>
          <w:color w:val="111111"/>
          <w:sz w:val="28"/>
          <w:szCs w:val="28"/>
          <w:rtl w:val="true"/>
          <w:lang w:bidi="fa-IR"/>
        </w:rPr>
        <w:t>»</w:t>
      </w:r>
      <w:r>
        <w:rPr>
          <w:rStyle w:val="FootnoteAnchor"/>
          <w:rtl w:val="true"/>
        </w:rPr>
        <w:footnoteReference w:id="25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4" w:name="__RefHeading___Toc9424688_73709187"/>
      <w:bookmarkStart w:id="1205" w:name="_Toc458"/>
      <w:bookmarkEnd w:id="1204"/>
      <w:r>
        <w:rPr>
          <w:rtl w:val="true"/>
        </w:rPr>
        <w:t>آراء أهل السنّة فی تزاحم الأولیاء</w:t>
      </w:r>
      <w:bookmarkEnd w:id="1205"/>
    </w:p>
    <w:p>
      <w:pPr>
        <w:pStyle w:val="BookText"/>
        <w:rPr/>
      </w:pPr>
      <w:r>
        <w:rPr>
          <w:rFonts w:ascii="IRNazanin" w:hAnsi="IRNazanin" w:eastAsia="IRNazanin"/>
          <w:color w:val="111111"/>
          <w:sz w:val="28"/>
          <w:sz w:val="28"/>
          <w:szCs w:val="28"/>
          <w:rtl w:val="true"/>
          <w:lang w:bidi="fa-IR"/>
        </w:rPr>
        <w:t>تقدّم الکلام فی تزاحم الأب و الجدّ فی تزویج الصغار علی مذهب فقهاء الإمامیة رضوان اللّه علیهم، و لتتمیم الکلام ینبغی البحث عن هذه المسألة فی أقوال فقهاء أهل السنّة أیضاً، و قبل الشروع فیه لا بدّ من تقدیم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سبق أنّ ولایة الجدّ مشروطة عندهم بفقد الأب، فلا یتصوّر التزاحم بین ولایة الأب و الجدّ فی تزویج الصغار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أکثر فقهاء أهل السنّة یثبتون الولایة للعصبات، و هم الأقارب غیر الأب و الجدّ کالأخ و العمّ و بنیهم و</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ولایة العصبات عندهم لا تکون فی مرتبة واحدة، بل هی</w:t>
      </w:r>
    </w:p>
    <w:p>
      <w:pPr>
        <w:pStyle w:val="BookText"/>
        <w:rPr/>
      </w:pPr>
      <w:r>
        <w:rPr>
          <w:rFonts w:ascii="IRNazanin" w:hAnsi="IRNazanin" w:eastAsia="IRNazanin"/>
          <w:color w:val="111111"/>
          <w:sz w:val="28"/>
          <w:sz w:val="28"/>
          <w:szCs w:val="28"/>
          <w:rtl w:val="true"/>
          <w:lang w:bidi="fa-IR"/>
        </w:rPr>
        <w:t>علی ترتیب خاصّ نشیر إلیه اختصاراً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الحنفیة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الولایة بعد الأب و الأجداد من قبل الآباء الأخ لأب و أمّ، ثمّ الأخ لأب، ثمّ ابن الأخ لأب و أمّ، ثمّ ابن الأخ لأب، ثمّ العمّ لأب و أمّ، ثمّ العمّ لأب ثمّ ابن العمّ لأب و أمّ، ثمّ ابن العمّ لأب</w:t>
      </w:r>
      <w:r>
        <w:rPr>
          <w:rStyle w:val="FootnoteAnchor"/>
          <w:rtl w:val="true"/>
        </w:rPr>
        <w:footnoteReference w:id="2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المالکیّة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یقدّم عندهم من الأقارب الابن ثمّ ابنه و إن سفل ثمّ الأب، ثمّ بعدهما الأخ، ثمّ ابنه و إن سفل، ثمّ الجدّ ثمّ العم ثمّ ابنه علی ترتیبهم فی عصوبة الإرث</w:t>
      </w:r>
      <w:r>
        <w:rPr>
          <w:rStyle w:val="FootnoteAnchor"/>
          <w:rtl w:val="true"/>
        </w:rPr>
        <w:footnoteReference w:id="2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الشافعیة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أحقّ الأولیاء عندهم الأب، ثمّ الجدّ أبو الأب ثمّ أبوه و إن علا، ثمّ الأخ لأبوین أو لأب، ثمّ ابن کلّ منهما و إن سفل، ثمّ العم لأبوین أو لأب، ثمّ ابن کلّ منهما و إن سفل، ثمّ سائر العصبة</w:t>
      </w:r>
      <w:r>
        <w:rPr>
          <w:rStyle w:val="FootnoteAnchor"/>
          <w:rtl w:val="true"/>
        </w:rPr>
        <w:footnoteReference w:id="2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الحنابلة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الناس بعد الأب أبو الأب و إن علا، ثمّ ابنها ثمّ ابنه و إن نزل، ثمّ الأخ ثمّ ابنه، ثمّ العمّ ثمّ ابنه، ثمّ الأقرب فالأقرب من عصابتها</w:t>
      </w:r>
      <w:r>
        <w:rPr>
          <w:rStyle w:val="FootnoteAnchor"/>
          <w:rtl w:val="true"/>
        </w:rPr>
        <w:footnoteReference w:id="2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ذکر هذه المقدّمة یقع الکلام فی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هناک ولیّان فی درجةٍ واحدة و مرتبةٍ واحدة کالأخوین الشقیقین أو العمّین کذلک، فأیّهما یقدّم و یستحقّ الولایة؟ و علی أیّ أساس یکون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زوّج کلّ من الولیین بدون علمٍ عن عقد الآخر هل یصحّ العقد أم لا؟ و إذا کان أولیاء العقد متعدّدین فأیّهم یقدّم؟</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کان أولیاء العقد متعدّدین و تساووا فی المرتبة و الدرجة، کما لو کانوا إخوة</w:t>
      </w:r>
    </w:p>
    <w:p>
      <w:pPr>
        <w:pStyle w:val="BookText"/>
        <w:rPr/>
      </w:pPr>
      <w:r>
        <w:rPr>
          <w:rFonts w:ascii="IRNazanin" w:hAnsi="IRNazanin" w:eastAsia="IRNazanin"/>
          <w:color w:val="111111"/>
          <w:sz w:val="28"/>
          <w:sz w:val="28"/>
          <w:szCs w:val="28"/>
          <w:rtl w:val="true"/>
          <w:lang w:bidi="fa-IR"/>
        </w:rPr>
        <w:t>لأبوین، فأیّهم یقدّم فی عقده؟ و ما هو سبب التقدّم؟ فیه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الولایة تثبت لکلّ واحدٍ منهم مستقلاًّ و منفرداً بلا اشتراک و لا استئذان من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إلیه الحنفیة</w:t>
      </w:r>
      <w:r>
        <w:rPr>
          <w:rStyle w:val="FootnoteAnchor"/>
          <w:rtl w:val="true"/>
        </w:rPr>
        <w:footnoteReference w:id="2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البدائع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اجتمع فی الصغیر و الصغیرة و المجنون الکبیر و المجنونة الکبیرة ولیّان، و کانا فی الدرجة سواء، کالأخوین و العمّین 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فلکلّ واحدٍ منهما علی حیاله أن یزوّج، رضی الآخر أو سخط بعد أن کان التزویج من کفء بمهر وافرٍ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لهذا القول بأنّ الولایة لا تتجزّأ؛ لأنّها ثبتت بسبب لا یتجزّأ و هو القرابة، و ما لا یتجزّأ إذا ثبت بجماعةٍ سببٌ لا یتجزّأ یثبت لکلّ واحدٍ منهم علی الکمال، و نقل عن مالک أنّه لیس لأحد الأولیاء ولایة الإنکاح ما لم یجتمعوا؛ بناءً أنّ هذا الولایة ولایة شرکةٍ</w:t>
      </w:r>
      <w:r>
        <w:rPr>
          <w:rFonts w:eastAsia="IRNazanin" w:cs="IRNazanin"/>
          <w:color w:val="111111"/>
          <w:sz w:val="28"/>
          <w:szCs w:val="28"/>
          <w:rtl w:val="true"/>
          <w:lang w:bidi="fa-IR"/>
        </w:rPr>
        <w:t>»</w:t>
      </w:r>
      <w:r>
        <w:rPr>
          <w:rStyle w:val="FootnoteAnchor"/>
          <w:rtl w:val="true"/>
        </w:rPr>
        <w:footnoteReference w:id="2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بالقرعة عند التنازع و التشاحّ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إلیه الحنابلة</w:t>
      </w:r>
      <w:r>
        <w:rPr>
          <w:rStyle w:val="FootnoteAnchor"/>
          <w:rtl w:val="true"/>
        </w:rPr>
        <w:footnoteReference w:id="2536"/>
      </w:r>
      <w:r>
        <w:rPr>
          <w:rFonts w:eastAsia="Times New Roman" w:cs="Times New Roman" w:ascii="Times New Roman" w:hAnsi="Times New Roman"/>
          <w:color w:val="111111"/>
          <w:sz w:val="28"/>
          <w:szCs w:val="28"/>
          <w:rtl w:val="true"/>
          <w:lang w:val="en-US" w:bidi="en-US"/>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قدامة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استوی الأولیاء فی الدرجة کالإخوة و بنیهم و الأعمام و بنیهم، فالأولی تقدیم أکبرهم و أفضلهم؛ لأنّ النبیّ صلی الله علیه و آله لما تقدّم إلیه محیصة و حویصة و عبد الرحمن بن سهل فتکلّم عبد الرحمن بن سهل و کان أصغرهم، فقال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کبِّر 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قدِّم الأکبر، قدّم الأکبر فتکلّم حویصة، و إن تشاحوا و لم یقدّموا الأکبر أقرع بینهم؛ لأنّ حقّهم استوی فی القرابة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القرعة لإزالة المشاحّة</w:t>
      </w:r>
      <w:r>
        <w:rPr>
          <w:rFonts w:eastAsia="IRNazanin" w:cs="IRNazanin"/>
          <w:color w:val="111111"/>
          <w:sz w:val="28"/>
          <w:szCs w:val="28"/>
          <w:rtl w:val="true"/>
          <w:lang w:bidi="fa-IR"/>
        </w:rPr>
        <w:t>»</w:t>
      </w:r>
      <w:r>
        <w:rPr>
          <w:rStyle w:val="FootnoteAnchor"/>
          <w:rtl w:val="true"/>
        </w:rPr>
        <w:footnoteReference w:id="2537"/>
      </w:r>
      <w:r>
        <w:rPr>
          <w:rFonts w:ascii="IRNazanin" w:hAnsi="IRNazanin" w:eastAsia="IRNazanin"/>
          <w:color w:val="111111"/>
          <w:sz w:val="28"/>
          <w:sz w:val="28"/>
          <w:szCs w:val="28"/>
          <w:rtl w:val="true"/>
          <w:lang w:bidi="fa-IR"/>
        </w:rPr>
        <w:t>و هذا أیضاً مذهب الشافعیة</w:t>
      </w:r>
      <w:r>
        <w:rPr>
          <w:rStyle w:val="FootnoteAnchor"/>
          <w:rtl w:val="true"/>
        </w:rPr>
        <w:footnoteReference w:id="2538"/>
      </w:r>
      <w:bookmarkStart w:id="1206" w:name="pg11752_146598"/>
    </w:p>
    <w:p>
      <w:pPr>
        <w:pStyle w:val="BookText"/>
        <w:rPr/>
      </w:pPr>
      <w:bookmarkEnd w:id="1206"/>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الرجوع إلی الحاکم أو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شاس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اجتمع أهل زوجةٍ عقد أفضلهم، فإن تساووا فی الفضل عقد أسنّهم، فإن تساووا فی السنّ اجتمعوا فعقدوا علیها، فإن اختلفوا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استوائهم فی القعدد</w:t>
      </w:r>
      <w:r>
        <w:rPr>
          <w:rStyle w:val="FootnoteAnchor"/>
          <w:rtl w:val="true"/>
        </w:rPr>
        <w:footnoteReference w:id="2539"/>
      </w:r>
      <w:r>
        <w:rPr>
          <w:rFonts w:ascii="IRNazanin" w:hAnsi="IRNazanin" w:eastAsia="IRNazanin"/>
          <w:color w:val="111111"/>
          <w:sz w:val="28"/>
          <w:sz w:val="28"/>
          <w:szCs w:val="28"/>
          <w:rtl w:val="true"/>
          <w:lang w:bidi="fa-IR"/>
        </w:rPr>
        <w:t>رفع ذلک إلی السلطان فینظر فیه</w:t>
      </w:r>
      <w:r>
        <w:rPr>
          <w:rFonts w:eastAsia="IRNazanin" w:cs="IRNazanin"/>
          <w:color w:val="111111"/>
          <w:sz w:val="28"/>
          <w:szCs w:val="28"/>
          <w:rtl w:val="true"/>
          <w:lang w:bidi="fa-IR"/>
        </w:rPr>
        <w:t>...»</w:t>
      </w:r>
      <w:r>
        <w:rPr>
          <w:rStyle w:val="FootnoteAnchor"/>
          <w:rtl w:val="true"/>
        </w:rPr>
        <w:footnoteReference w:id="25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مذهب المالکیة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هی الوجوه التی أقاموها لتقدّم بعض الأولیاء علی بعضٍ</w:t>
      </w:r>
      <w:r>
        <w:rPr>
          <w:rFonts w:eastAsia="IRNazanin" w:cs="IRNazanin"/>
          <w:color w:val="111111"/>
          <w:sz w:val="28"/>
          <w:szCs w:val="28"/>
          <w:rtl w:val="true"/>
          <w:lang w:bidi="fa-IR"/>
        </w:rPr>
        <w:t>.</w:t>
      </w:r>
    </w:p>
    <w:p>
      <w:pPr>
        <w:pStyle w:val="Heading5"/>
        <w:numPr>
          <w:ilvl w:val="4"/>
          <w:numId w:val="1"/>
        </w:numPr>
        <w:rPr/>
      </w:pPr>
      <w:bookmarkStart w:id="1207" w:name="__RefHeading___Toc9424690_73709187"/>
      <w:bookmarkStart w:id="1208" w:name="_Toc459"/>
      <w:bookmarkEnd w:id="1207"/>
      <w:r>
        <w:rPr>
          <w:rtl w:val="true"/>
        </w:rPr>
        <w:t>إذا زوّجها الولیّان، فعقدُ أیّهما صحیح؟</w:t>
      </w:r>
      <w:bookmarkEnd w:id="1208"/>
    </w:p>
    <w:p>
      <w:pPr>
        <w:pStyle w:val="BookText"/>
        <w:rPr/>
      </w:pPr>
      <w:r>
        <w:rPr>
          <w:rFonts w:ascii="IRNazanin" w:hAnsi="IRNazanin" w:eastAsia="IRNazanin"/>
          <w:color w:val="111111"/>
          <w:sz w:val="28"/>
          <w:sz w:val="28"/>
          <w:szCs w:val="28"/>
          <w:rtl w:val="true"/>
          <w:lang w:bidi="fa-IR"/>
        </w:rPr>
        <w:t>الجهة الثانیة من البحث أنّه إذا زوّج الولیّان الصغیرة فعقد أیّهما الصحیح النافذ و ما الدلیل عندهم فی ذلک؟</w:t>
      </w:r>
    </w:p>
    <w:p>
      <w:pPr>
        <w:pStyle w:val="BookText"/>
        <w:rPr/>
      </w:pPr>
      <w:r>
        <w:rPr>
          <w:rFonts w:ascii="IRNazanin" w:hAnsi="IRNazanin" w:eastAsia="IRNazanin"/>
          <w:color w:val="111111"/>
          <w:sz w:val="28"/>
          <w:sz w:val="28"/>
          <w:szCs w:val="28"/>
          <w:rtl w:val="true"/>
          <w:lang w:bidi="fa-IR"/>
        </w:rPr>
        <w:t>یتصوّر لهذه المسألة عندهم صور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یقع العقدان معاً فی حالةٍ واحدة بأن یقع القبول فیهما فی آنٍ واحد، ففی هذه الصورة کلا العقدین باطل، و لا حاجة إلی فسخهما؛ لأنّه لا سبیل إلی الجمع بینهما، و تقدیم أحدهما علی الآخر بلا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به الحنفیّة و المالکیّة و الحنابلة و الشافعیة</w:t>
      </w:r>
      <w:r>
        <w:rPr>
          <w:rStyle w:val="FootnoteAnchor"/>
          <w:rtl w:val="true"/>
        </w:rPr>
        <w:footnoteReference w:id="2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المعیّة و السبق مجهولاً، أی لا یعلم أنّ العقدین وقعا معاً فی آنٍ واحدٍ، أو أنّ أحدهما وقع سابقاً و الآخر لاحقاً، ففیها قولان</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یفسخ النکاحان؛ لأنّ کلّ واحدٍ منهما یحتمل أن یکون هو الصحیح، و لا سبیل إلی الجمع و لا إلی معرفة الزوج فیفسخ؛ أی أن یفسخ الحاکم</w:t>
      </w:r>
    </w:p>
    <w:p>
      <w:pPr>
        <w:pStyle w:val="BookText"/>
        <w:rPr/>
      </w:pPr>
      <w:r>
        <w:rPr>
          <w:rFonts w:ascii="IRNazanin" w:hAnsi="IRNazanin" w:eastAsia="IRNazanin"/>
          <w:color w:val="111111"/>
          <w:sz w:val="28"/>
          <w:sz w:val="28"/>
          <w:szCs w:val="28"/>
          <w:rtl w:val="true"/>
          <w:lang w:bidi="fa-IR"/>
        </w:rPr>
        <w:t>النکاحین جمیعاً لإزالة الزوجیّة، ثمّ لها أن تتزوّج به من شاءت منهما أو من غیرهما</w:t>
      </w:r>
      <w:r>
        <w:rPr>
          <w:rStyle w:val="FootnoteAnchor"/>
          <w:rtl w:val="true"/>
        </w:rPr>
        <w:footnoteReference w:id="2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یقرع بینهما فمن خرجت له القرعة أمر صاحبه بالطلاق ثمّ یجدّد القارع نکاحه، فإن کانت زوجته لم یضرّه ذلک، و إن لم تکن صارت زوجته بالتجدید، و کلا الطریقین لا بأس به و سواء علم السابق ثمّ نسی أو جهل الحال؛ لأنّ المعنی فی الجمیع واحدٌ</w:t>
      </w:r>
      <w:r>
        <w:rPr>
          <w:rStyle w:val="FootnoteAnchor"/>
          <w:rtl w:val="true"/>
        </w:rPr>
        <w:footnoteReference w:id="2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سبق أحدهما المعیّن ثمّ اشتبه بالآخر، فحینئذٍ وجب التوقّف حتّی یتبیّن السابق لإمکان التذکّر</w:t>
      </w:r>
      <w:r>
        <w:rPr>
          <w:rStyle w:val="FootnoteAnchor"/>
          <w:rtl w:val="true"/>
        </w:rPr>
        <w:footnoteReference w:id="2544"/>
      </w:r>
      <w:r>
        <w:rPr>
          <w:rFonts w:eastAsia="Times New Roman" w:cs="Times New Roman" w:ascii="Times New Roman" w:hAnsi="Times New Roman"/>
          <w:color w:val="111111"/>
          <w:sz w:val="28"/>
          <w:szCs w:val="28"/>
          <w:rtl w:val="true"/>
          <w:lang w:val="en-US" w:bidi="en-US"/>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السابق معلوماً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باطلاً؛ لأنّ الأوّل خلا عن مبطلٍ، و الثانی تزوّج زوجة غیره فکان باطلاً</w:t>
      </w:r>
      <w:r>
        <w:rPr>
          <w:rStyle w:val="FootnoteAnchor"/>
          <w:rtl w:val="true"/>
        </w:rPr>
        <w:footnoteReference w:id="2545"/>
      </w:r>
      <w:bookmarkStart w:id="1209" w:name="pg11752_146600"/>
    </w:p>
    <w:p>
      <w:pPr>
        <w:pStyle w:val="Heading4"/>
        <w:numPr>
          <w:ilvl w:val="3"/>
          <w:numId w:val="1"/>
        </w:numPr>
        <w:rPr/>
      </w:pPr>
      <w:bookmarkStart w:id="1210" w:name="__RefHeading___Toc9424692_73709187"/>
      <w:bookmarkStart w:id="1211" w:name="_Toc460"/>
      <w:bookmarkEnd w:id="1209"/>
      <w:bookmarkEnd w:id="1210"/>
      <w:r>
        <w:rPr>
          <w:rtl w:val="true"/>
        </w:rPr>
        <w:t>المبحث الخامس</w:t>
      </w:r>
      <w:r>
        <w:rPr>
          <w:rtl w:val="true"/>
        </w:rPr>
        <w:t xml:space="preserve">: </w:t>
      </w:r>
      <w:r>
        <w:rPr>
          <w:rtl w:val="true"/>
        </w:rPr>
        <w:t>فی حکم الخیار للصغیرین بعد بلوغهما</w:t>
      </w:r>
      <w:bookmarkEnd w:id="1211"/>
    </w:p>
    <w:p>
      <w:pPr>
        <w:pStyle w:val="Heading5"/>
        <w:numPr>
          <w:ilvl w:val="4"/>
          <w:numId w:val="1"/>
        </w:numPr>
        <w:rPr/>
      </w:pPr>
      <w:bookmarkStart w:id="1212" w:name="__RefHeading___Toc9424694_73709187"/>
      <w:bookmarkStart w:id="1213" w:name="_Toc461"/>
      <w:bookmarkEnd w:id="1212"/>
      <w:r>
        <w:rPr>
          <w:rtl w:val="true"/>
        </w:rPr>
        <w:t>اشارة</w:t>
      </w:r>
      <w:bookmarkEnd w:id="1213"/>
    </w:p>
    <w:p>
      <w:pPr>
        <w:pStyle w:val="BookText"/>
        <w:rPr/>
      </w:pPr>
      <w:r>
        <w:rPr>
          <w:rFonts w:ascii="IRNazanin" w:hAnsi="IRNazanin" w:eastAsia="IRNazanin"/>
          <w:color w:val="111111"/>
          <w:sz w:val="28"/>
          <w:sz w:val="28"/>
          <w:szCs w:val="28"/>
          <w:rtl w:val="true"/>
          <w:lang w:bidi="fa-IR"/>
        </w:rPr>
        <w:t>قد ثبت ممّا ذکرنا أنّ للأب و الجدّ ولایة علی تزویج الصغیر و الصغیرة، فیمکن أن یخطر بالبال سؤال، و هو أنّه هل یکون لهما خیار بعد بلوغهما و رشدهما أم لا؟</w:t>
      </w:r>
    </w:p>
    <w:p>
      <w:pPr>
        <w:pStyle w:val="BookText"/>
        <w:rPr/>
      </w:pPr>
      <w:r>
        <w:rPr>
          <w:rFonts w:ascii="IRNazanin" w:hAnsi="IRNazanin" w:eastAsia="IRNazanin"/>
          <w:color w:val="111111"/>
          <w:sz w:val="28"/>
          <w:sz w:val="28"/>
          <w:szCs w:val="28"/>
          <w:rtl w:val="true"/>
          <w:lang w:bidi="fa-IR"/>
        </w:rPr>
        <w:t>لتوضیح الجواب لا بدّ من تحقیق هذه المسألة، و ذلک ببیان مطلبین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الصغیرة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الصغیر</w:t>
      </w:r>
      <w:r>
        <w:rPr>
          <w:rFonts w:eastAsia="IRNazanin" w:cs="IRNazanin"/>
          <w:color w:val="111111"/>
          <w:sz w:val="28"/>
          <w:szCs w:val="28"/>
          <w:rtl w:val="true"/>
          <w:lang w:bidi="fa-IR"/>
        </w:rPr>
        <w:t>:</w:t>
      </w:r>
    </w:p>
    <w:p>
      <w:pPr>
        <w:pStyle w:val="Heading5"/>
        <w:numPr>
          <w:ilvl w:val="4"/>
          <w:numId w:val="1"/>
        </w:numPr>
        <w:rPr/>
      </w:pPr>
      <w:bookmarkStart w:id="1214" w:name="__RefHeading___Toc9424696_73709187"/>
      <w:bookmarkStart w:id="1215" w:name="_Toc462"/>
      <w:bookmarkEnd w:id="1214"/>
      <w:r>
        <w:rPr>
          <w:rtl w:val="true"/>
        </w:rPr>
        <w:t>المطلب الأوّل</w:t>
      </w:r>
      <w:r>
        <w:rPr>
          <w:rtl w:val="true"/>
        </w:rPr>
        <w:t xml:space="preserve">: </w:t>
      </w:r>
      <w:r>
        <w:rPr>
          <w:rtl w:val="true"/>
        </w:rPr>
        <w:t>لا خیار للصغیرة إذا زوّجها الأب أو الجدّ</w:t>
      </w:r>
      <w:bookmarkEnd w:id="1215"/>
    </w:p>
    <w:p>
      <w:pPr>
        <w:pStyle w:val="Heading6"/>
        <w:numPr>
          <w:ilvl w:val="5"/>
          <w:numId w:val="1"/>
        </w:numPr>
        <w:rPr/>
      </w:pPr>
      <w:bookmarkStart w:id="1216" w:name="__RefHeading___Toc9424698_73709187"/>
      <w:bookmarkStart w:id="1217" w:name="_Toc463"/>
      <w:bookmarkEnd w:id="1216"/>
      <w:r>
        <w:rPr>
          <w:rtl w:val="true"/>
        </w:rPr>
        <w:t>اشارة</w:t>
      </w:r>
      <w:bookmarkEnd w:id="1217"/>
    </w:p>
    <w:p>
      <w:pPr>
        <w:pStyle w:val="BookText"/>
        <w:rPr/>
      </w:pPr>
      <w:r>
        <w:rPr>
          <w:rFonts w:ascii="IRNazanin" w:hAnsi="IRNazanin" w:eastAsia="IRNazanin"/>
          <w:color w:val="111111"/>
          <w:sz w:val="28"/>
          <w:sz w:val="28"/>
          <w:szCs w:val="28"/>
          <w:rtl w:val="true"/>
          <w:lang w:bidi="fa-IR"/>
        </w:rPr>
        <w:t>، هذا هو المشهور بین الفقهاء قدیماً و حدیثاً، قال فی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یظهر فیه مخالف</w:t>
      </w:r>
      <w:r>
        <w:rPr>
          <w:rFonts w:eastAsia="IRNazanin" w:cs="IRNazanin"/>
          <w:color w:val="111111"/>
          <w:sz w:val="28"/>
          <w:szCs w:val="28"/>
          <w:rtl w:val="true"/>
          <w:lang w:bidi="fa-IR"/>
        </w:rPr>
        <w:t>»</w:t>
      </w:r>
      <w:r>
        <w:rPr>
          <w:rStyle w:val="FootnoteAnchor"/>
          <w:rtl w:val="true"/>
        </w:rPr>
        <w:footnoteReference w:id="2546"/>
      </w:r>
      <w:r>
        <w:rPr>
          <w:rFonts w:ascii="IRNazanin" w:hAnsi="IRNazanin" w:eastAsia="IRNazanin"/>
          <w:color w:val="111111"/>
          <w:sz w:val="28"/>
          <w:sz w:val="28"/>
          <w:szCs w:val="28"/>
          <w:rtl w:val="true"/>
          <w:lang w:bidi="fa-IR"/>
        </w:rPr>
        <w:t>و قال فی الغنیة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خلاف بین أصحابنا</w:t>
      </w:r>
      <w:r>
        <w:rPr>
          <w:rFonts w:eastAsia="IRNazanin" w:cs="IRNazanin"/>
          <w:color w:val="111111"/>
          <w:sz w:val="28"/>
          <w:szCs w:val="28"/>
          <w:rtl w:val="true"/>
          <w:lang w:bidi="fa-IR"/>
        </w:rPr>
        <w:t>»</w:t>
      </w:r>
      <w:r>
        <w:rPr>
          <w:rStyle w:val="FootnoteAnchor"/>
          <w:rtl w:val="true"/>
        </w:rPr>
        <w:footnoteReference w:id="2547"/>
      </w:r>
      <w:r>
        <w:rPr>
          <w:rFonts w:ascii="IRNazanin" w:hAnsi="IRNazanin" w:eastAsia="IRNazanin"/>
          <w:color w:val="111111"/>
          <w:sz w:val="28"/>
          <w:sz w:val="28"/>
          <w:szCs w:val="28"/>
          <w:rtl w:val="true"/>
          <w:lang w:bidi="fa-IR"/>
        </w:rPr>
        <w:t>و هذا مختار المفید</w:t>
      </w:r>
      <w:r>
        <w:rPr>
          <w:rStyle w:val="FootnoteAnchor"/>
          <w:rtl w:val="true"/>
        </w:rPr>
        <w:footnoteReference w:id="2548"/>
      </w:r>
      <w:r>
        <w:rPr>
          <w:rFonts w:ascii="IRNazanin" w:hAnsi="IRNazanin" w:eastAsia="IRNazanin"/>
          <w:color w:val="111111"/>
          <w:sz w:val="28"/>
          <w:sz w:val="28"/>
          <w:szCs w:val="28"/>
          <w:rtl w:val="true"/>
          <w:lang w:bidi="fa-IR"/>
        </w:rPr>
        <w:t>و أبی الصلاح الحلبی</w:t>
      </w:r>
      <w:r>
        <w:rPr>
          <w:rStyle w:val="FootnoteAnchor"/>
          <w:rtl w:val="true"/>
        </w:rPr>
        <w:footnoteReference w:id="25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اختاره أیضاً فی النهایة</w:t>
      </w:r>
      <w:r>
        <w:rPr>
          <w:rStyle w:val="FootnoteAnchor"/>
          <w:rtl w:val="true"/>
        </w:rPr>
        <w:footnoteReference w:id="2550"/>
      </w:r>
      <w:r>
        <w:rPr>
          <w:rFonts w:ascii="IRNazanin" w:hAnsi="IRNazanin" w:eastAsia="IRNazanin"/>
          <w:color w:val="111111"/>
          <w:sz w:val="28"/>
          <w:sz w:val="28"/>
          <w:szCs w:val="28"/>
          <w:rtl w:val="true"/>
          <w:lang w:bidi="fa-IR"/>
        </w:rPr>
        <w:t>و المراسم</w:t>
      </w:r>
      <w:r>
        <w:rPr>
          <w:rStyle w:val="FootnoteAnchor"/>
          <w:rtl w:val="true"/>
        </w:rPr>
        <w:footnoteReference w:id="2551"/>
      </w:r>
      <w:r>
        <w:rPr>
          <w:rFonts w:ascii="Amiri" w:hAnsi="Amiri" w:eastAsia="Amiri" w:cs="Amiri"/>
          <w:color w:val="111111"/>
          <w:sz w:val="28"/>
          <w:sz w:val="28"/>
          <w:szCs w:val="28"/>
          <w:rtl w:val="true"/>
          <w:lang w:bidi="ar-SA"/>
        </w:rPr>
        <w:t>و المهذّب</w:t>
      </w:r>
      <w:r>
        <w:rPr>
          <w:rStyle w:val="FootnoteAnchor"/>
          <w:rtl w:val="true"/>
        </w:rPr>
        <w:footnoteReference w:id="2552"/>
      </w:r>
      <w:r>
        <w:rPr>
          <w:rFonts w:ascii="IRNazanin" w:hAnsi="IRNazanin" w:eastAsia="IRNazanin"/>
          <w:color w:val="111111"/>
          <w:sz w:val="28"/>
          <w:sz w:val="28"/>
          <w:szCs w:val="28"/>
          <w:rtl w:val="true"/>
          <w:lang w:bidi="fa-IR"/>
        </w:rPr>
        <w:t>و الوسیلة</w:t>
      </w:r>
      <w:r>
        <w:rPr>
          <w:rStyle w:val="FootnoteAnchor"/>
          <w:rtl w:val="true"/>
        </w:rPr>
        <w:footnoteReference w:id="2553"/>
      </w:r>
      <w:r>
        <w:rPr>
          <w:rFonts w:ascii="IRNazanin" w:hAnsi="IRNazanin" w:eastAsia="IRNazanin"/>
          <w:color w:val="111111"/>
          <w:sz w:val="28"/>
          <w:sz w:val="28"/>
          <w:szCs w:val="28"/>
          <w:rtl w:val="true"/>
          <w:lang w:bidi="fa-IR"/>
        </w:rPr>
        <w:t>و القواعد</w:t>
      </w:r>
      <w:r>
        <w:rPr>
          <w:rStyle w:val="FootnoteAnchor"/>
          <w:rtl w:val="true"/>
        </w:rPr>
        <w:footnoteReference w:id="2554"/>
      </w:r>
      <w:r>
        <w:rPr>
          <w:rFonts w:ascii="IRNazanin" w:hAnsi="IRNazanin" w:eastAsia="IRNazanin"/>
          <w:color w:val="111111"/>
          <w:sz w:val="28"/>
          <w:sz w:val="28"/>
          <w:szCs w:val="28"/>
          <w:rtl w:val="true"/>
          <w:lang w:bidi="fa-IR"/>
        </w:rPr>
        <w:t>و الجواهر</w:t>
      </w:r>
      <w:r>
        <w:rPr>
          <w:rStyle w:val="FootnoteAnchor"/>
          <w:rtl w:val="true"/>
        </w:rPr>
        <w:footnoteReference w:id="2555"/>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غیرها</w:t>
      </w:r>
      <w:r>
        <w:rPr>
          <w:rStyle w:val="FootnoteAnchor"/>
          <w:rtl w:val="true"/>
        </w:rPr>
        <w:footnoteReference w:id="25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قال به بعض أهل السنّة</w:t>
      </w:r>
      <w:r>
        <w:rPr>
          <w:rStyle w:val="FootnoteAnchor"/>
          <w:rtl w:val="true"/>
        </w:rPr>
        <w:footnoteReference w:id="2557"/>
      </w:r>
      <w:bookmarkStart w:id="1218" w:name="pg11752_146601"/>
    </w:p>
    <w:p>
      <w:pPr>
        <w:pStyle w:val="BookText"/>
        <w:rPr/>
      </w:pPr>
      <w:bookmarkEnd w:id="1218"/>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أنّ العقد الصادر من الولیّ الإجباری یستمرّ حکمه علی المولّی علیه بعد زوال الولایة عنه؛ لأنّه صدر بولایةٍ شرعیّةٍ و وقع صحیحاً، فیکون الأصل فیه الاستمرار؛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r>
        <w:rPr>
          <w:rStyle w:val="FootnoteAnchor"/>
          <w:rtl w:val="true"/>
        </w:rPr>
        <w:footnoteReference w:id="2558"/>
      </w:r>
      <w:r>
        <w:rPr>
          <w:rFonts w:ascii="IRNazanin" w:hAnsi="IRNazanin" w:eastAsia="IRNazanin"/>
          <w:color w:val="111111"/>
          <w:sz w:val="28"/>
          <w:sz w:val="28"/>
          <w:szCs w:val="28"/>
          <w:rtl w:val="true"/>
          <w:lang w:bidi="fa-IR"/>
        </w:rPr>
        <w:t>إلاّ ما أخرجه النصّ، علی کلّ حالٍ ینبغی البحث عن دلیل هذا الحکم</w:t>
      </w:r>
      <w:r>
        <w:rPr>
          <w:rFonts w:eastAsia="IRNazanin" w:cs="IRNazanin"/>
          <w:color w:val="111111"/>
          <w:sz w:val="28"/>
          <w:szCs w:val="28"/>
          <w:rtl w:val="true"/>
          <w:lang w:bidi="fa-IR"/>
        </w:rPr>
        <w:t>.</w:t>
      </w:r>
    </w:p>
    <w:p>
      <w:pPr>
        <w:pStyle w:val="Heading6"/>
        <w:numPr>
          <w:ilvl w:val="5"/>
          <w:numId w:val="1"/>
        </w:numPr>
        <w:rPr/>
      </w:pPr>
      <w:bookmarkStart w:id="1219" w:name="__RefHeading___Toc9424700_73709187"/>
      <w:bookmarkStart w:id="1220" w:name="_Toc464"/>
      <w:bookmarkEnd w:id="1219"/>
      <w:r>
        <w:rPr>
          <w:rtl w:val="true"/>
        </w:rPr>
        <w:t>أدلّة هذا الحکم</w:t>
      </w:r>
      <w:r>
        <w:rPr>
          <w:rtl w:val="true"/>
        </w:rPr>
        <w:t>:</w:t>
      </w:r>
      <w:bookmarkEnd w:id="1220"/>
    </w:p>
    <w:p>
      <w:pPr>
        <w:pStyle w:val="BookText"/>
        <w:rPr/>
      </w:pPr>
      <w:r>
        <w:rPr>
          <w:rFonts w:ascii="IRNazanin" w:hAnsi="IRNazanin" w:eastAsia="IRNazanin"/>
          <w:color w:val="111111"/>
          <w:sz w:val="28"/>
          <w:sz w:val="28"/>
          <w:szCs w:val="28"/>
          <w:rtl w:val="true"/>
          <w:lang w:bidi="fa-IR"/>
        </w:rPr>
        <w:t>یمکن أن یستدلّ علی القول بعدم ثبوت الخیار للصبیّة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الذی ادّعاه فی الحدائق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 الأصحاب الاتّفاق علی أنّه لا خیار للصبیّة بعد البلوغ إذا عقد علیها الأب أو الجدّ</w:t>
      </w:r>
      <w:r>
        <w:rPr>
          <w:rFonts w:eastAsia="IRNazanin" w:cs="IRNazanin"/>
          <w:color w:val="111111"/>
          <w:sz w:val="28"/>
          <w:szCs w:val="28"/>
          <w:rtl w:val="true"/>
          <w:lang w:bidi="fa-IR"/>
        </w:rPr>
        <w:t>»</w:t>
      </w:r>
      <w:r>
        <w:rPr>
          <w:rStyle w:val="FootnoteAnchor"/>
          <w:rtl w:val="true"/>
        </w:rPr>
        <w:footnoteReference w:id="2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هو ظاهر کلام الشیخ قدس سره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w:t>
      </w:r>
      <w:r>
        <w:rPr>
          <w:rFonts w:eastAsia="IRNazanin" w:cs="IRNazanin"/>
          <w:color w:val="111111"/>
          <w:sz w:val="28"/>
          <w:szCs w:val="28"/>
          <w:rtl w:val="true"/>
          <w:lang w:bidi="fa-IR"/>
        </w:rPr>
        <w:t>»</w:t>
      </w:r>
      <w:r>
        <w:rPr>
          <w:rStyle w:val="FootnoteAnchor"/>
          <w:rtl w:val="true"/>
        </w:rPr>
        <w:footnoteReference w:id="2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مستند الشیعة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خیار للصبیة مع البلوغ لو زوّجها الولیّ قبله بلا خلاف فیه کما قیل، بل إجماعاً کما حکاه جماعة</w:t>
      </w:r>
      <w:r>
        <w:rPr>
          <w:rFonts w:eastAsia="IRNazanin" w:cs="IRNazanin"/>
          <w:color w:val="111111"/>
          <w:sz w:val="28"/>
          <w:szCs w:val="28"/>
          <w:rtl w:val="true"/>
          <w:lang w:bidi="fa-IR"/>
        </w:rPr>
        <w:t>»</w:t>
      </w:r>
      <w:r>
        <w:rPr>
          <w:rStyle w:val="FootnoteAnchor"/>
          <w:rtl w:val="true"/>
        </w:rPr>
        <w:footnoteReference w:id="25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بمثل ذلک فی الریاض</w:t>
      </w:r>
      <w:r>
        <w:rPr>
          <w:rStyle w:val="FootnoteAnchor"/>
          <w:rtl w:val="true"/>
        </w:rPr>
        <w:footnoteReference w:id="2562"/>
      </w:r>
    </w:p>
    <w:p>
      <w:pPr>
        <w:pStyle w:val="BookText"/>
        <w:rPr/>
      </w:pPr>
      <w:r>
        <w:rPr>
          <w:rFonts w:ascii="IRNazanin" w:hAnsi="IRNazanin" w:eastAsia="IRNazanin"/>
          <w:color w:val="111111"/>
          <w:sz w:val="28"/>
          <w:sz w:val="28"/>
          <w:szCs w:val="28"/>
          <w:rtl w:val="true"/>
          <w:lang w:bidi="fa-IR"/>
        </w:rPr>
        <w:t>و المختلف</w:t>
      </w:r>
      <w:r>
        <w:rPr>
          <w:rStyle w:val="FootnoteAnchor"/>
          <w:rtl w:val="true"/>
        </w:rPr>
        <w:footnoteReference w:id="25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الإجماع مدرکیّ، و لیس هناک دلیل مستقلّ غیر النصوص</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بقاء الصحّة بعد الفسخ؛ بناءً علی جریان الاستصحاب فی الأحکام الکلّیة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النصوص الکثیرة التی منها الصحیحة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العمدة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کصحیحة ابن بزیع، التی رواها المشایخ الثلاثة عطّر اللّه مراقدهم،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الحسن علیه السلام عن الصبیّة یزوّجها أبوها ثمّ یموت و هی صغیرة، فتکبر قبل أن یدخل بها زوجها، یجوز علیها التزویج أو الأمر إلیها؟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علیها تزویج أبیها</w:t>
      </w:r>
      <w:r>
        <w:rPr>
          <w:rFonts w:eastAsia="IRNazanin" w:cs="IRNazanin"/>
          <w:color w:val="111111"/>
          <w:sz w:val="28"/>
          <w:szCs w:val="28"/>
          <w:rtl w:val="true"/>
          <w:lang w:bidi="fa-IR"/>
        </w:rPr>
        <w:t>»</w:t>
      </w:r>
      <w:r>
        <w:rPr>
          <w:rStyle w:val="FootnoteAnchor"/>
          <w:rtl w:val="true"/>
        </w:rPr>
        <w:footnoteReference w:id="2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یدلّ بالصراحة علی نفوذ عقد الأب علی الصغیرة و لا خیار لها بعد بلوغها؛ لأنّ الجواز بمعنی النفوذ، و نحوه صحیح ابن یقطین</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صحیحة أبی عبیدة؛ لأنّه قال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أبوها هو الذی زوّجها قبل أن تدرک،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علیها تزویج الأب</w:t>
      </w:r>
      <w:r>
        <w:rPr>
          <w:rFonts w:eastAsia="IRNazanin" w:cs="IRNazanin"/>
          <w:color w:val="111111"/>
          <w:sz w:val="28"/>
          <w:szCs w:val="28"/>
          <w:rtl w:val="true"/>
          <w:lang w:bidi="fa-IR"/>
        </w:rPr>
        <w:t>»</w:t>
      </w:r>
      <w:r>
        <w:rPr>
          <w:rStyle w:val="FootnoteAnchor"/>
          <w:rtl w:val="true"/>
        </w:rPr>
        <w:footnoteReference w:id="2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ینافیه صدرها الذی یثبت الخیار للصغیرین بعد الإدراک مع تزویج الولیّ لهما؛ لأنّ ذیلها قرینةٌ علی أنّ المراد بالولیّ فی الصدر الولیُّ العرفی، و هو أقرب الناس إلیهما دون الولیّ الشرعی، و قد یطلق الولیّ فی النصوص علی غیر الأب و الجدّ، کما فی خبر جابر،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 أمیر المؤمنین علیه السلام امرأةً من بنی عبد المطّلب و کان یلی أمرها،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ثمّ ذکر الخطبة</w:t>
      </w:r>
      <w:r>
        <w:rPr>
          <w:rFonts w:eastAsia="IRNazanin" w:cs="IRNazanin"/>
          <w:color w:val="111111"/>
          <w:sz w:val="28"/>
          <w:szCs w:val="28"/>
          <w:rtl w:val="true"/>
          <w:lang w:bidi="fa-IR"/>
        </w:rPr>
        <w:t>»</w:t>
      </w:r>
      <w:r>
        <w:rPr>
          <w:rStyle w:val="FootnoteAnchor"/>
          <w:rtl w:val="true"/>
        </w:rPr>
        <w:footnoteReference w:id="2566"/>
      </w:r>
      <w:r>
        <w:rPr>
          <w:rFonts w:eastAsia="Times New Roman" w:cs="Times New Roman" w:ascii="Times New Roman" w:hAnsi="Times New Roman"/>
          <w:color w:val="111111"/>
          <w:sz w:val="28"/>
          <w:szCs w:val="28"/>
          <w:rtl w:val="true"/>
          <w:lang w:val="en-US" w:bidi="en-US"/>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عاصم بن ضمرة، عن أمیر المؤمنین علیه السلام فی حدیث طویل، أنّه قال لامرأة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لَکِ ولیّ؟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هؤلاء إخوتی،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أمری فیکم و فی اختکم جائز؟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2567"/>
      </w:r>
    </w:p>
    <w:p>
      <w:pPr>
        <w:pStyle w:val="BookText"/>
        <w:rPr/>
      </w:pPr>
      <w:r>
        <w:rPr>
          <w:rFonts w:ascii="IRNazanin" w:hAnsi="IRNazanin" w:eastAsia="IRNazanin"/>
          <w:color w:val="111111"/>
          <w:sz w:val="28"/>
          <w:sz w:val="28"/>
          <w:szCs w:val="28"/>
          <w:rtl w:val="true"/>
          <w:lang w:bidi="fa-IR"/>
        </w:rPr>
        <w:t>فعلی هذا یکون المقصود من الولیّ فی صدر صحیحة أبی عبیدة غیر الأب و الجدّ، کالأخ و العمّ و ابن العمّ و غیرهم، کما صرّح بذلک الشیخ</w:t>
      </w:r>
      <w:r>
        <w:rPr>
          <w:rStyle w:val="FootnoteAnchor"/>
          <w:rtl w:val="true"/>
        </w:rPr>
        <w:footnoteReference w:id="2568"/>
      </w:r>
      <w:r>
        <w:rPr>
          <w:rFonts w:ascii="Amiri" w:hAnsi="Amiri" w:eastAsia="Amiri" w:cs="Amiri"/>
          <w:color w:val="111111"/>
          <w:sz w:val="28"/>
          <w:sz w:val="28"/>
          <w:szCs w:val="28"/>
          <w:rtl w:val="true"/>
          <w:lang w:bidi="ar-SA"/>
        </w:rPr>
        <w:t>و العلاّمة</w:t>
      </w:r>
      <w:r>
        <w:rPr>
          <w:rStyle w:val="FootnoteAnchor"/>
          <w:rtl w:val="true"/>
        </w:rPr>
        <w:footnoteReference w:id="2569"/>
      </w:r>
    </w:p>
    <w:p>
      <w:pPr>
        <w:pStyle w:val="BookText"/>
        <w:rPr/>
      </w:pPr>
      <w:r>
        <w:rPr>
          <w:rFonts w:ascii="IRNazanin" w:hAnsi="IRNazanin" w:eastAsia="IRNazanin"/>
          <w:color w:val="111111"/>
          <w:sz w:val="28"/>
          <w:sz w:val="28"/>
          <w:szCs w:val="28"/>
          <w:rtl w:val="true"/>
          <w:lang w:bidi="fa-IR"/>
        </w:rPr>
        <w:t>و الشهید</w:t>
      </w:r>
      <w:r>
        <w:rPr>
          <w:rStyle w:val="FootnoteAnchor"/>
          <w:rtl w:val="true"/>
        </w:rPr>
        <w:footnoteReference w:id="2570"/>
      </w:r>
      <w:r>
        <w:rPr>
          <w:rFonts w:ascii="Amiri" w:hAnsi="Amiri" w:eastAsia="Amiri" w:cs="Amiri"/>
          <w:color w:val="111111"/>
          <w:sz w:val="28"/>
          <w:sz w:val="28"/>
          <w:szCs w:val="28"/>
          <w:rtl w:val="true"/>
          <w:lang w:bidi="ar-SA"/>
        </w:rPr>
        <w:t>و المحقّق</w:t>
      </w:r>
      <w:r>
        <w:rPr>
          <w:rStyle w:val="FootnoteAnchor"/>
          <w:rtl w:val="true"/>
        </w:rPr>
        <w:footnoteReference w:id="2571"/>
      </w:r>
      <w:r>
        <w:rPr>
          <w:rFonts w:ascii="IRNazanin" w:hAnsi="IRNazanin" w:eastAsia="IRNazanin"/>
          <w:color w:val="111111"/>
          <w:sz w:val="28"/>
          <w:sz w:val="28"/>
          <w:szCs w:val="28"/>
          <w:rtl w:val="true"/>
          <w:lang w:bidi="fa-IR"/>
        </w:rPr>
        <w:t>الثانیان، و صاحب المدارک</w:t>
      </w:r>
      <w:r>
        <w:rPr>
          <w:rStyle w:val="FootnoteAnchor"/>
          <w:rtl w:val="true"/>
        </w:rPr>
        <w:footnoteReference w:id="2572"/>
      </w:r>
      <w:r>
        <w:rPr>
          <w:rFonts w:ascii="IRNazanin" w:hAnsi="IRNazanin" w:eastAsia="IRNazanin"/>
          <w:color w:val="111111"/>
          <w:sz w:val="28"/>
          <w:sz w:val="28"/>
          <w:szCs w:val="28"/>
          <w:rtl w:val="true"/>
          <w:lang w:bidi="fa-IR"/>
        </w:rPr>
        <w:t>و المحدّث البحرانی</w:t>
      </w:r>
      <w:r>
        <w:rPr>
          <w:rStyle w:val="FootnoteAnchor"/>
          <w:rtl w:val="true"/>
        </w:rPr>
        <w:footnoteReference w:id="2573"/>
      </w:r>
    </w:p>
    <w:p>
      <w:pPr>
        <w:pStyle w:val="BookText"/>
        <w:rPr/>
      </w:pPr>
      <w:r>
        <w:rPr>
          <w:rFonts w:ascii="IRNazanin" w:hAnsi="IRNazanin" w:eastAsia="IRNazanin"/>
          <w:color w:val="111111"/>
          <w:sz w:val="28"/>
          <w:sz w:val="28"/>
          <w:szCs w:val="28"/>
          <w:rtl w:val="true"/>
          <w:lang w:bidi="fa-IR"/>
        </w:rPr>
        <w:t>و صاحب الریاض</w:t>
      </w:r>
      <w:r>
        <w:rPr>
          <w:rStyle w:val="FootnoteAnchor"/>
          <w:rtl w:val="true"/>
        </w:rPr>
        <w:footnoteReference w:id="2574"/>
      </w:r>
      <w:r>
        <w:rPr>
          <w:rFonts w:ascii="IRNazanin" w:hAnsi="IRNazanin" w:eastAsia="IRNazanin"/>
          <w:color w:val="111111"/>
          <w:sz w:val="28"/>
          <w:sz w:val="28"/>
          <w:szCs w:val="28"/>
          <w:rtl w:val="true"/>
          <w:lang w:bidi="fa-IR"/>
        </w:rPr>
        <w:t>و غیرهم</w:t>
      </w:r>
      <w:r>
        <w:rPr>
          <w:rStyle w:val="FootnoteAnchor"/>
          <w:rtl w:val="true"/>
        </w:rPr>
        <w:footnoteReference w:id="25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صحیحة عبد اللّه بن الصلت،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الجاریة الصغیرة یزوّجها أبوها</w:t>
      </w:r>
      <w:r>
        <w:rPr>
          <w:rStyle w:val="FootnoteAnchor"/>
          <w:rtl w:val="true"/>
        </w:rPr>
        <w:footnoteReference w:id="2576"/>
      </w:r>
      <w:r>
        <w:rPr>
          <w:rFonts w:ascii="IRNazanin" w:hAnsi="IRNazanin" w:eastAsia="IRNazanin"/>
          <w:color w:val="111111"/>
          <w:sz w:val="28"/>
          <w:sz w:val="28"/>
          <w:szCs w:val="28"/>
          <w:rtl w:val="true"/>
          <w:lang w:bidi="fa-IR"/>
        </w:rPr>
        <w:t>لها أمرٌ إذا بلغت؟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لها مع أبیها أمرٌ</w:t>
      </w:r>
      <w:r>
        <w:rPr>
          <w:rFonts w:eastAsia="IRNazanin" w:cs="IRNazanin"/>
          <w:color w:val="111111"/>
          <w:sz w:val="28"/>
          <w:szCs w:val="28"/>
          <w:rtl w:val="true"/>
          <w:lang w:bidi="fa-IR"/>
        </w:rPr>
        <w:t>»</w:t>
      </w:r>
      <w:r>
        <w:rPr>
          <w:rStyle w:val="FootnoteAnchor"/>
          <w:rtl w:val="true"/>
        </w:rPr>
        <w:footnoteReference w:id="2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مفادها أنّه هل تکون لها الولایة فی النکاح و فسخه؟ فأجاب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لیس لها الولایة بأنْ تفسخ العقد بنفسها، بل لها أن تظهر عدم رضاها لأبیها فیفسخه أبوها</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أنّه وقع الاختلاف فی نقل هذه الروایة، ففی کلا طبعتی وسائل الشیعة و الحدائق الطبعة القدیمة هکذا، عن عبد اللّه بن الصلت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و لکن فی التهذیبین و الوافی و الجواهر</w:t>
      </w:r>
      <w:r>
        <w:rPr>
          <w:rStyle w:val="FootnoteAnchor"/>
          <w:rtl w:val="true"/>
        </w:rPr>
        <w:footnoteReference w:id="2578"/>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الصلت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و 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الرضا علیه السلام، و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w:t>
      </w:r>
    </w:p>
    <w:p>
      <w:pPr>
        <w:pStyle w:val="BookText"/>
        <w:rPr/>
      </w:pPr>
      <w:r>
        <w:rPr>
          <w:rFonts w:ascii="IRNazanin" w:hAnsi="IRNazanin" w:eastAsia="IRNazanin"/>
          <w:color w:val="111111"/>
          <w:sz w:val="28"/>
          <w:sz w:val="28"/>
          <w:szCs w:val="28"/>
          <w:rtl w:val="true"/>
          <w:lang w:bidi="fa-IR"/>
        </w:rPr>
        <w:t>الرضا علیه السلام</w:t>
      </w:r>
      <w:r>
        <w:rPr>
          <w:rStyle w:val="FootnoteAnchor"/>
          <w:rtl w:val="true"/>
        </w:rPr>
        <w:footnoteReference w:id="2579"/>
      </w:r>
      <w:r>
        <w:rPr>
          <w:rFonts w:ascii="IRNazanin" w:hAnsi="IRNazanin" w:eastAsia="IRNazanin"/>
          <w:color w:val="111111"/>
          <w:sz w:val="28"/>
          <w:sz w:val="28"/>
          <w:szCs w:val="28"/>
          <w:rtl w:val="true"/>
          <w:lang w:bidi="fa-IR"/>
        </w:rPr>
        <w:t>، و ما ذکرناه یکون مطابقاً للکافی و أشباهه، و ما ذکر فی وسائل الشیعة لعلّه من سهو قلم النسّاخ، و الصحیح ما ذکرناه؛ لأنّ عبد اللّه بن الصلت من أصحاب الرضا و الجواد علیهما السلام، و جاء فی رجال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الصلت أبو طالب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مسکون إلی روایته، روی عن الرضا علیه السلام</w:t>
      </w:r>
      <w:r>
        <w:rPr>
          <w:rStyle w:val="FootnoteAnchor"/>
          <w:rtl w:val="true"/>
        </w:rPr>
        <w:footnoteReference w:id="25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ذکره الشیخ فی أصحاب الرضا علیه السلام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بن الصلت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یکنّی أبا طالب مولی بنی تیم اللّه بن ثعلبة، ثقة</w:t>
      </w:r>
      <w:r>
        <w:rPr>
          <w:rFonts w:eastAsia="IRNazanin" w:cs="IRNazanin"/>
          <w:color w:val="111111"/>
          <w:sz w:val="28"/>
          <w:szCs w:val="28"/>
          <w:rtl w:val="true"/>
          <w:lang w:bidi="fa-IR"/>
        </w:rPr>
        <w:t>»</w:t>
      </w:r>
      <w:r>
        <w:rPr>
          <w:rStyle w:val="FootnoteAnchor"/>
          <w:rtl w:val="true"/>
        </w:rPr>
        <w:footnoteReference w:id="25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أیضاً یدلّ علی ذلک إطلاقات ما دلّ علی نفوذ</w:t>
      </w:r>
      <w:r>
        <w:rPr>
          <w:rStyle w:val="FootnoteAnchor"/>
          <w:rtl w:val="true"/>
        </w:rPr>
        <w:footnoteReference w:id="2582"/>
      </w:r>
      <w:r>
        <w:rPr>
          <w:rFonts w:ascii="IRNazanin" w:hAnsi="IRNazanin" w:eastAsia="IRNazanin"/>
          <w:color w:val="111111"/>
          <w:sz w:val="28"/>
          <w:sz w:val="28"/>
          <w:szCs w:val="28"/>
          <w:rtl w:val="true"/>
          <w:lang w:bidi="fa-IR"/>
        </w:rPr>
        <w:t>عقد الأب و الجدّ، بمعنی أنّه لم یقیّد نفوذ عقدهما بعدم فسخ الصبیّة بعد البلوغ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ظهر ممّا ذکرنا أنّه لا خیار للصبیّة حتّی تفسخ النکاح بعد بلوغها و رشدها إذا عقدها الأب أو الجدّ، 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بعض الروایات یقتضی خلاف ذلک، و یدلّ علی أنّ لها الخیار بعد البلوغ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الصبیّ یزوّج الصبیة،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أبواهما اللذان زوجاهما فنعم جائز، و لکن لهما الخیار إذا أدرکا، فإن رضیا بعد ذلک فإنّ المهر علی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2583"/>
      </w:r>
      <w:r>
        <w:rPr>
          <w:rFonts w:eastAsia="Times New Roman" w:cs="Times New Roman" w:ascii="Times New Roman" w:hAnsi="Times New Roman"/>
          <w:color w:val="111111"/>
          <w:sz w:val="28"/>
          <w:szCs w:val="28"/>
          <w:rtl w:val="true"/>
          <w:lang w:val="en-US" w:bidi="en-US"/>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الروایة واضحة الدلالة بل صریحة فی ثبوت الخیار للصغیرین بعد البلوغ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روایة الکناسی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یجوز للأب أن یزوّج ابنته و لا یستأمرها؟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جازت تسع سنین، فإن زوّجها قبل بلوغ التسع سنین کان الخیار لها إذا بلغت تسع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25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هی أیضاً تدلّ علی ثبوت الخیار للصغیرة بعد البلوغ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هاتان الروایتان لا تصلحان للمعارضة مع ما سبق من النصوص الکثیرة؛ لشذوذهما، و عدم عمل الأصحاب بهما، بل لمخالفتهما للإجماع و الشهرة العظیمة بین القدماء و المتأخّرین، مع الإشکال فی سند الثانیة من جهة مجهولیة الراوی؛ و لذا قال فی مهذّب الأحکام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یظهر منه الخلاف مثل صحیح محمّد بن مسلم و خبر یزید الکناسی مخالف للإجماع و معارض بالنصوص، مع أنّه لا عامل به</w:t>
      </w:r>
      <w:r>
        <w:rPr>
          <w:rFonts w:eastAsia="IRNazanin" w:cs="IRNazanin"/>
          <w:color w:val="111111"/>
          <w:sz w:val="28"/>
          <w:szCs w:val="28"/>
          <w:rtl w:val="true"/>
          <w:lang w:bidi="fa-IR"/>
        </w:rPr>
        <w:t>»</w:t>
      </w:r>
      <w:r>
        <w:rPr>
          <w:rStyle w:val="FootnoteAnchor"/>
          <w:rtl w:val="true"/>
        </w:rPr>
        <w:footnoteReference w:id="25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الفقیه المعاصر الفاضل اللنکرانی، یکون الترجیح مع غیرها لموافقتها للشهرة المحقّقة التی هی أوّل المرجّحات علی مختارنا</w:t>
      </w:r>
      <w:r>
        <w:rPr>
          <w:rStyle w:val="FootnoteAnchor"/>
          <w:rtl w:val="true"/>
        </w:rPr>
        <w:footnoteReference w:id="2586"/>
      </w:r>
      <w:r>
        <w:rPr>
          <w:rFonts w:eastAsia="Times New Roman" w:cs="Times New Roman" w:ascii="Times New Roman" w:hAnsi="Times New Roman"/>
          <w:color w:val="111111"/>
          <w:sz w:val="28"/>
          <w:szCs w:val="28"/>
          <w:rtl w:val="true"/>
          <w:lang w:val="en-US" w:bidi="en-US"/>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الروایة و إن صحّت، لکنّها لعدم ظهور القائل بها و معارضتها بأکثر منها لا بدّ من اطّراحها أو حملها علی ما ذکره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التهذیب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فلیس فی هذا الخبر أی خبر محمد بن مسلم ما ینافی ما قدّمناه؛ لأنّ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لهما الخیار إذا أدرکا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یکون أراد لهما ذلک بفسخ العقد إمّا بالطلاق من جهة الزوج و اختیاره أو مطالبة المرأة له بالطلاق و ما یجری مجری ذلک ممّا یفسخ العقد</w:t>
      </w:r>
      <w:r>
        <w:rPr>
          <w:rStyle w:val="FootnoteAnchor"/>
          <w:rtl w:val="true"/>
        </w:rPr>
        <w:footnoteReference w:id="2587"/>
      </w:r>
      <w:r>
        <w:rPr>
          <w:rFonts w:ascii="IRNazanin" w:hAnsi="IRNazanin" w:eastAsia="IRNazanin"/>
          <w:color w:val="111111"/>
          <w:sz w:val="28"/>
          <w:sz w:val="28"/>
          <w:szCs w:val="28"/>
          <w:rtl w:val="true"/>
          <w:lang w:bidi="fa-IR"/>
        </w:rPr>
        <w:t>، و لا یخفی بُعده، لکن أولی من الاطّراح</w:t>
      </w:r>
      <w:r>
        <w:rPr>
          <w:rFonts w:eastAsia="IRNazanin" w:cs="IRNazanin"/>
          <w:color w:val="111111"/>
          <w:sz w:val="28"/>
          <w:szCs w:val="28"/>
          <w:rtl w:val="true"/>
          <w:lang w:bidi="fa-IR"/>
        </w:rPr>
        <w:t>»</w:t>
      </w:r>
      <w:r>
        <w:rPr>
          <w:rStyle w:val="FootnoteAnchor"/>
          <w:rtl w:val="true"/>
        </w:rPr>
        <w:footnoteReference w:id="2588"/>
      </w:r>
    </w:p>
    <w:p>
      <w:pPr>
        <w:pStyle w:val="BookText"/>
        <w:rPr/>
      </w:pPr>
      <w:r>
        <w:rPr>
          <w:rFonts w:ascii="IRNazanin" w:hAnsi="IRNazanin" w:eastAsia="IRNazanin"/>
          <w:color w:val="111111"/>
          <w:sz w:val="28"/>
          <w:sz w:val="28"/>
          <w:szCs w:val="28"/>
          <w:rtl w:val="true"/>
          <w:lang w:bidi="fa-IR"/>
        </w:rPr>
        <w:t>و حمله العلاّمة رحمه الله علی ما إذا زوّجهما الولیّ بغیر کفء أو بذی عیب و نحو ذلک</w:t>
      </w:r>
      <w:r>
        <w:rPr>
          <w:rStyle w:val="FootnoteAnchor"/>
          <w:rtl w:val="true"/>
        </w:rPr>
        <w:footnoteReference w:id="25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راجع إلی تنزیل الشیخ، و هو حمل بعید، لکنّه خیرٌ من اطّراح أحد الجانبین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مستند العروة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تمّ إجماع علی عدم ثبوت الخیار لها فهو، و به یتعیّن رفع الید عن هذه الصحیحة و ردّ علمها إلی أهله، و إلاّ فیتعیّن العمل بها، حیث قد عرفت مراراً أنّ إعراض المشهور عن الروایة المعتبرة لا یوجب وهنها و سقوطها عن الحجّیّة، و حینئذٍ فلا أقلّ من الالتزام بالاحتیاط بالطلاق عند عدم رضاها بالعقد بعد البلوغ</w:t>
      </w:r>
      <w:r>
        <w:rPr>
          <w:rFonts w:eastAsia="IRNazanin" w:cs="IRNazanin"/>
          <w:color w:val="111111"/>
          <w:sz w:val="28"/>
          <w:szCs w:val="28"/>
          <w:rtl w:val="true"/>
          <w:lang w:bidi="fa-IR"/>
        </w:rPr>
        <w:t>»</w:t>
      </w:r>
      <w:r>
        <w:rPr>
          <w:rStyle w:val="FootnoteAnchor"/>
          <w:rtl w:val="true"/>
        </w:rPr>
        <w:footnoteReference w:id="25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تعلیقته علی العروة</w:t>
      </w:r>
      <w:r>
        <w:rPr>
          <w:rStyle w:val="FootnoteAnchor"/>
          <w:rtl w:val="true"/>
        </w:rPr>
        <w:footnoteReference w:id="2591"/>
      </w:r>
      <w:r>
        <w:rPr>
          <w:rFonts w:ascii="IRNazanin" w:hAnsi="IRNazanin" w:eastAsia="IRNazanin"/>
          <w:color w:val="111111"/>
          <w:sz w:val="28"/>
          <w:sz w:val="28"/>
          <w:szCs w:val="28"/>
          <w:rtl w:val="true"/>
          <w:lang w:bidi="fa-IR"/>
        </w:rPr>
        <w:t>و منهاج الصالحین</w:t>
      </w:r>
      <w:r>
        <w:rPr>
          <w:rStyle w:val="FootnoteAnchor"/>
          <w:rtl w:val="true"/>
        </w:rPr>
        <w:footnoteReference w:id="2592"/>
      </w:r>
    </w:p>
    <w:p>
      <w:pPr>
        <w:pStyle w:val="BookText"/>
        <w:rPr/>
      </w:pPr>
      <w:r>
        <w:rPr>
          <w:rFonts w:ascii="IRNazanin" w:hAnsi="IRNazanin" w:eastAsia="IRNazanin"/>
          <w:color w:val="111111"/>
          <w:sz w:val="28"/>
          <w:sz w:val="28"/>
          <w:szCs w:val="28"/>
          <w:rtl w:val="true"/>
          <w:lang w:bidi="fa-IR"/>
        </w:rPr>
        <w:t>أیضاً قال بالاحتیاط؛ للصحیحة المذکورة، و به قال فی نهایة المرام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المسألة محلّ إشکالٍ و طریق الاحتیاط واضحٌ</w:t>
      </w:r>
      <w:r>
        <w:rPr>
          <w:rFonts w:eastAsia="IRNazanin" w:cs="IRNazanin"/>
          <w:color w:val="111111"/>
          <w:sz w:val="28"/>
          <w:szCs w:val="28"/>
          <w:rtl w:val="true"/>
          <w:lang w:bidi="fa-IR"/>
        </w:rPr>
        <w:t>»</w:t>
      </w:r>
      <w:r>
        <w:rPr>
          <w:rStyle w:val="FootnoteAnchor"/>
          <w:rtl w:val="true"/>
        </w:rPr>
        <w:footnoteReference w:id="2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أنّ إعراض المشهور عن روایةٍ یوجب وهنها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یلزم هذا الاحتیاط و إن کان أولی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هذه النصوص و إن کانت بأجمعها واردةً فی الأب، إلاّ أنّه لا بدّ من التعدّی إلی الجدّ أیضاً؛ و ذلک لأنّه یطلق الأب علی الجدّ مجازاً فی اللغة</w:t>
      </w:r>
      <w:r>
        <w:rPr>
          <w:rStyle w:val="FootnoteAnchor"/>
          <w:rtl w:val="true"/>
        </w:rPr>
        <w:footnoteReference w:id="25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 الفقهاء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الجدّ أبٌ حقیقةً</w:t>
      </w:r>
      <w:r>
        <w:rPr>
          <w:rFonts w:eastAsia="Amiri" w:cs="Amiri" w:ascii="Amiri" w:hAnsi="Amiri"/>
          <w:color w:val="111111"/>
          <w:sz w:val="28"/>
          <w:szCs w:val="28"/>
          <w:rtl w:val="true"/>
          <w:lang w:bidi="ar-SA"/>
        </w:rPr>
        <w:t>»</w:t>
      </w:r>
      <w:r>
        <w:rPr>
          <w:rStyle w:val="FootnoteAnchor"/>
          <w:rtl w:val="true"/>
        </w:rPr>
        <w:footnoteReference w:id="25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یندرج فی الأب أو یلحق به بالإجماع</w:t>
      </w:r>
      <w:r>
        <w:rPr>
          <w:rStyle w:val="FootnoteAnchor"/>
          <w:rtl w:val="true"/>
        </w:rPr>
        <w:footnoteReference w:id="2596"/>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ادّعی بعض آخر بأنّه قد ثبت بالآیات و الروایات کون الجدّ أباً</w:t>
      </w:r>
      <w:r>
        <w:rPr>
          <w:rStyle w:val="FootnoteAnchor"/>
          <w:rtl w:val="true"/>
        </w:rPr>
        <w:footnoteReference w:id="2597"/>
      </w:r>
      <w:bookmarkStart w:id="1221" w:name="pg11752_146607"/>
    </w:p>
    <w:p>
      <w:pPr>
        <w:pStyle w:val="Heading5"/>
        <w:numPr>
          <w:ilvl w:val="4"/>
          <w:numId w:val="1"/>
        </w:numPr>
        <w:rPr/>
      </w:pPr>
      <w:bookmarkStart w:id="1222" w:name="__RefHeading___Toc9424702_73709187"/>
      <w:bookmarkStart w:id="1223" w:name="_Toc465"/>
      <w:bookmarkEnd w:id="1221"/>
      <w:bookmarkEnd w:id="1222"/>
      <w:r>
        <w:rPr>
          <w:rtl w:val="true"/>
        </w:rPr>
        <w:t>المطلب الثانی</w:t>
      </w:r>
      <w:r>
        <w:rPr>
          <w:rtl w:val="true"/>
        </w:rPr>
        <w:t xml:space="preserve">: </w:t>
      </w:r>
      <w:r>
        <w:rPr>
          <w:rtl w:val="true"/>
        </w:rPr>
        <w:t>أنّه إذا زوّج الأب أو الجدّ الصغیرَ، فهل کان له بعد البلوغ خیار أم لا؟ قولان</w:t>
      </w:r>
      <w:r>
        <w:rPr>
          <w:rtl w:val="true"/>
        </w:rPr>
        <w:t>:</w:t>
      </w:r>
      <w:bookmarkEnd w:id="1223"/>
    </w:p>
    <w:p>
      <w:pPr>
        <w:pStyle w:val="Heading6"/>
        <w:numPr>
          <w:ilvl w:val="5"/>
          <w:numId w:val="1"/>
        </w:numPr>
        <w:rPr/>
      </w:pPr>
      <w:bookmarkStart w:id="1224" w:name="__RefHeading___Toc9424704_73709187"/>
      <w:bookmarkStart w:id="1225" w:name="_Toc466"/>
      <w:bookmarkEnd w:id="1224"/>
      <w:r>
        <w:rPr>
          <w:rtl w:val="true"/>
        </w:rPr>
        <w:t>القول الأوّل</w:t>
      </w:r>
      <w:r>
        <w:rPr>
          <w:rtl w:val="true"/>
        </w:rPr>
        <w:t>:</w:t>
      </w:r>
      <w:bookmarkEnd w:id="1225"/>
    </w:p>
    <w:p>
      <w:pPr>
        <w:pStyle w:val="BookText"/>
        <w:rPr/>
      </w:pPr>
      <w:r>
        <w:rPr>
          <w:rFonts w:ascii="IRNazanin" w:hAnsi="IRNazanin" w:eastAsia="IRNazanin"/>
          <w:color w:val="111111"/>
          <w:sz w:val="28"/>
          <w:sz w:val="28"/>
          <w:szCs w:val="28"/>
          <w:rtl w:val="true"/>
          <w:lang w:bidi="fa-IR"/>
        </w:rPr>
        <w:t>المشهور و المعروف بین الأصحاب أنّه لا خیار له، و قول آخر بأنّ له الخیار، قال فی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لو زوّج الأب أو الجدّ للولد الصغیر لزمه العقد و لا خیار له</w:t>
      </w:r>
      <w:r>
        <w:rPr>
          <w:rFonts w:eastAsia="IRNazanin" w:cs="IRNazanin"/>
          <w:color w:val="111111"/>
          <w:sz w:val="28"/>
          <w:szCs w:val="28"/>
          <w:rtl w:val="true"/>
          <w:lang w:bidi="fa-IR"/>
        </w:rPr>
        <w:t>»</w:t>
      </w:r>
      <w:r>
        <w:rPr>
          <w:rStyle w:val="FootnoteAnchor"/>
          <w:rtl w:val="true"/>
        </w:rPr>
        <w:footnoteReference w:id="25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المختصر النافع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خیار للصبیّة مع البلوغ، و فی الصبیّ قولان أظهرهما أنّه کذلک</w:t>
      </w:r>
      <w:r>
        <w:rPr>
          <w:rFonts w:eastAsia="IRNazanin" w:cs="IRNazanin"/>
          <w:color w:val="111111"/>
          <w:sz w:val="28"/>
          <w:szCs w:val="28"/>
          <w:rtl w:val="true"/>
          <w:lang w:bidi="fa-IR"/>
        </w:rPr>
        <w:t>»</w:t>
      </w:r>
      <w:r>
        <w:rPr>
          <w:rStyle w:val="FootnoteAnchor"/>
          <w:rtl w:val="true"/>
        </w:rPr>
        <w:footnoteReference w:id="25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قال فی الإرشاد</w:t>
      </w:r>
      <w:r>
        <w:rPr>
          <w:rStyle w:val="FootnoteAnchor"/>
          <w:rtl w:val="true"/>
        </w:rPr>
        <w:footnoteReference w:id="2600"/>
      </w:r>
      <w:r>
        <w:rPr>
          <w:rFonts w:ascii="Amiri" w:hAnsi="Amiri" w:eastAsia="Amiri" w:cs="Amiri"/>
          <w:color w:val="111111"/>
          <w:sz w:val="28"/>
          <w:sz w:val="28"/>
          <w:szCs w:val="28"/>
          <w:rtl w:val="true"/>
          <w:lang w:bidi="ar-SA"/>
        </w:rPr>
        <w:t>و التبصرة</w:t>
      </w:r>
      <w:r>
        <w:rPr>
          <w:rStyle w:val="FootnoteAnchor"/>
          <w:rtl w:val="true"/>
        </w:rPr>
        <w:footnoteReference w:id="2601"/>
      </w:r>
      <w:r>
        <w:rPr>
          <w:rFonts w:ascii="IRNazanin" w:hAnsi="IRNazanin" w:eastAsia="IRNazanin"/>
          <w:color w:val="111111"/>
          <w:sz w:val="28"/>
          <w:sz w:val="28"/>
          <w:szCs w:val="28"/>
          <w:rtl w:val="true"/>
          <w:lang w:bidi="fa-IR"/>
        </w:rPr>
        <w:t>و مستند الشیعة</w:t>
      </w:r>
      <w:r>
        <w:rPr>
          <w:rStyle w:val="FootnoteAnchor"/>
          <w:rtl w:val="true"/>
        </w:rPr>
        <w:footnoteReference w:id="2602"/>
      </w:r>
      <w:r>
        <w:rPr>
          <w:rFonts w:ascii="IRNazanin" w:hAnsi="IRNazanin" w:eastAsia="IRNazanin"/>
          <w:color w:val="111111"/>
          <w:sz w:val="28"/>
          <w:sz w:val="28"/>
          <w:szCs w:val="28"/>
          <w:rtl w:val="true"/>
          <w:lang w:bidi="fa-IR"/>
        </w:rPr>
        <w:t>و کتاب النکاح</w:t>
      </w:r>
      <w:r>
        <w:rPr>
          <w:rStyle w:val="FootnoteAnchor"/>
          <w:rtl w:val="true"/>
        </w:rPr>
        <w:footnoteReference w:id="2603"/>
      </w:r>
    </w:p>
    <w:p>
      <w:pPr>
        <w:pStyle w:val="BookText"/>
        <w:rPr/>
      </w:pPr>
      <w:r>
        <w:rPr>
          <w:rFonts w:ascii="IRNazanin" w:hAnsi="IRNazanin" w:eastAsia="IRNazanin"/>
          <w:color w:val="111111"/>
          <w:sz w:val="28"/>
          <w:sz w:val="28"/>
          <w:szCs w:val="28"/>
          <w:rtl w:val="true"/>
          <w:lang w:bidi="fa-IR"/>
        </w:rPr>
        <w:t>للشیخ الأعظم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أضاف فی نهایة المرام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عقد الولیّ عقد صدر من أهله و فی محلّه، فکان لازماً کسائر عقود المالیة</w:t>
      </w:r>
      <w:r>
        <w:rPr>
          <w:rStyle w:val="FootnoteAnchor"/>
          <w:rtl w:val="true"/>
        </w:rPr>
        <w:footnoteReference w:id="2604"/>
      </w:r>
      <w:r>
        <w:rPr>
          <w:rFonts w:ascii="IRNazanin" w:hAnsi="IRNazanin" w:eastAsia="IRNazanin"/>
          <w:color w:val="111111"/>
          <w:sz w:val="28"/>
          <w:sz w:val="28"/>
          <w:szCs w:val="28"/>
          <w:rtl w:val="true"/>
          <w:lang w:bidi="fa-IR"/>
        </w:rPr>
        <w:t>، و ادّعی فی المسالک عدم الخلاف فی المسألة</w:t>
      </w:r>
      <w:r>
        <w:rPr>
          <w:rStyle w:val="FootnoteAnchor"/>
          <w:rtl w:val="true"/>
        </w:rPr>
        <w:footnoteReference w:id="260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26" w:name="__RefHeading___Toc9424706_73709187"/>
      <w:bookmarkStart w:id="1227" w:name="_Toc467"/>
      <w:bookmarkEnd w:id="1226"/>
      <w:r>
        <w:rPr>
          <w:rtl w:val="true"/>
        </w:rPr>
        <w:t>أدلّة هذا القول</w:t>
      </w:r>
      <w:r>
        <w:rPr>
          <w:rtl w:val="true"/>
        </w:rPr>
        <w:t>:</w:t>
      </w:r>
      <w:bookmarkEnd w:id="1227"/>
    </w:p>
    <w:p>
      <w:pPr>
        <w:pStyle w:val="BookText"/>
        <w:rPr/>
      </w:pPr>
      <w:r>
        <w:rPr>
          <w:rFonts w:ascii="IRNazanin" w:hAnsi="IRNazanin" w:eastAsia="IRNazanin"/>
          <w:color w:val="111111"/>
          <w:sz w:val="28"/>
          <w:sz w:val="28"/>
          <w:szCs w:val="28"/>
          <w:rtl w:val="true"/>
          <w:lang w:bidi="fa-IR"/>
        </w:rPr>
        <w:t>یمکن أن یُستدلّ لإثبات هذا القول بوجوهٍ</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العقد الصادر من الأب أو الجدّ یستمرّ حکمه علی المولّی علیه بعد زوال الولایة عنه أیضاً؛ لأنّه صدر بولایةٍ شرعیة و وقع صحیحاً، فیکون الأصل</w:t>
      </w:r>
    </w:p>
    <w:p>
      <w:pPr>
        <w:pStyle w:val="BookText"/>
        <w:rPr/>
      </w:pPr>
      <w:r>
        <w:rPr>
          <w:rFonts w:ascii="IRNazanin" w:hAnsi="IRNazanin" w:eastAsia="IRNazanin"/>
          <w:color w:val="111111"/>
          <w:sz w:val="28"/>
          <w:sz w:val="28"/>
          <w:szCs w:val="28"/>
          <w:rtl w:val="true"/>
          <w:lang w:bidi="fa-IR"/>
        </w:rPr>
        <w:t>فیه الاستمرار لقوله تعالی</w:t>
      </w:r>
      <w:r>
        <w:rPr>
          <w:rFonts w:eastAsia="IRNazanin" w:cs="IRNazanin"/>
          <w:color w:val="111111"/>
          <w:sz w:val="28"/>
          <w:szCs w:val="28"/>
          <w:rtl w:val="true"/>
          <w:lang w:bidi="fa-IR"/>
        </w:rPr>
        <w:t xml:space="preserve">: </w:t>
      </w:r>
      <w:r>
        <w:rPr>
          <w:rStyle w:val="FootnoteAnchor"/>
          <w:rtl w:val="true"/>
        </w:rPr>
        <w:footnoteReference w:id="26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النبیّ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r>
        <w:rPr>
          <w:rStyle w:val="FootnoteAnchor"/>
          <w:rtl w:val="true"/>
        </w:rPr>
        <w:footnoteReference w:id="2607"/>
      </w:r>
      <w:r>
        <w:rPr>
          <w:rFonts w:ascii="IRNazanin" w:hAnsi="IRNazanin" w:eastAsia="IRNazanin"/>
          <w:color w:val="111111"/>
          <w:sz w:val="28"/>
          <w:sz w:val="28"/>
          <w:szCs w:val="28"/>
          <w:rtl w:val="true"/>
          <w:lang w:bidi="fa-IR"/>
        </w:rPr>
        <w:t>و هذا عقد و شرط یجب الوفاء بهما إلاّ ما أخرجه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العمدة، النصوص المعتبرة التی نذکرها 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صحیحة أبی عبیدة السابق، فإنّه قال فی ذیلها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أبوها هو الذی زوّجها قبل أن تُدرک؟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علیها تزویج الأب و یجوز علی الغلام، و المهر علی الأب للجاریة</w:t>
      </w:r>
      <w:r>
        <w:rPr>
          <w:rFonts w:eastAsia="IRNazanin" w:cs="IRNazanin"/>
          <w:color w:val="111111"/>
          <w:sz w:val="28"/>
          <w:szCs w:val="28"/>
          <w:rtl w:val="true"/>
          <w:lang w:bidi="fa-IR"/>
        </w:rPr>
        <w:t>»</w:t>
      </w:r>
      <w:r>
        <w:rPr>
          <w:rStyle w:val="FootnoteAnchor"/>
          <w:rtl w:val="true"/>
        </w:rPr>
        <w:footnoteReference w:id="2608"/>
      </w:r>
      <w:r>
        <w:rPr>
          <w:rFonts w:ascii="IRNazanin" w:hAnsi="IRNazanin" w:eastAsia="IRNazanin"/>
          <w:color w:val="111111"/>
          <w:sz w:val="28"/>
          <w:sz w:val="28"/>
          <w:szCs w:val="28"/>
          <w:rtl w:val="true"/>
          <w:lang w:bidi="fa-IR"/>
        </w:rPr>
        <w:t>ظاهرها أنّ تزویج الأبوین لهما قبل البلوغ و الإدراک جائز علیهما، أی أنّ العقد نافذٌ و لا خیار لهما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صحیحة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الغلام له عشر سنین فیزوّجه أبوه فی صغره، أ یجوز طلاقه و هو ابن عشر سنین؟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تزویجه فهو صحیح، و أمّا طلاقه فینبغی أن تُحبس علیه امرأته حتّی یدرک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2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فی الحدائق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ذکر هذا الخبر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ظاهر فی المراد، و لم أقف علی من استدلّ به من الأصحاب بل و لا غیره من الأخبار، و استدلّوا فی هذا المقام بأنّ عقد الولیّ عقد صدر من أهله فی محلّه، فکان لازماً کسائر العقود المالیة، و لکنّه قدس سره استشکل علی هذا الوجه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ما فیه من تطرّق الإیراد إلیه</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الخصم یمنع ذلک فی هذه الصورة، و هل هو إلاّ أصل المدّعی، فیکون مصادرة</w:t>
      </w:r>
      <w:r>
        <w:rPr>
          <w:rFonts w:eastAsia="IRNazanin" w:cs="IRNazanin"/>
          <w:color w:val="111111"/>
          <w:sz w:val="28"/>
          <w:szCs w:val="28"/>
          <w:rtl w:val="true"/>
          <w:lang w:bidi="fa-IR"/>
        </w:rPr>
        <w:t>»</w:t>
      </w:r>
      <w:r>
        <w:rPr>
          <w:rStyle w:val="FootnoteAnchor"/>
          <w:rtl w:val="true"/>
        </w:rPr>
        <w:footnoteReference w:id="2610"/>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شکّ بأنّ للأب و الجدّ ولایة علی التزویج، فالعقد منهما صدر بولایةٍ شرعیّةٍ و وقع صحیحاً، فیستمرّ حکمه علی المولّی علیه بعد زوال الولایة عنه أیضاً، کما أوضحناه فی صدر البحث، فأین هذا من المصادرة؟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موثّقة عبید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الرجل یزوّج ابنه و هو صغیر؟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لابنه مال فعلیه المهر، و إن لم یکن للابن مال فالأب ضامن المهر، ضمن أو لم یضمن</w:t>
      </w:r>
      <w:r>
        <w:rPr>
          <w:rFonts w:eastAsia="IRNazanin" w:cs="IRNazanin"/>
          <w:color w:val="111111"/>
          <w:sz w:val="28"/>
          <w:szCs w:val="28"/>
          <w:rtl w:val="true"/>
          <w:lang w:bidi="fa-IR"/>
        </w:rPr>
        <w:t>»</w:t>
      </w:r>
      <w:r>
        <w:rPr>
          <w:rStyle w:val="FootnoteAnchor"/>
          <w:rtl w:val="true"/>
        </w:rPr>
        <w:footnoteReference w:id="2611"/>
      </w:r>
      <w:r>
        <w:rPr>
          <w:rFonts w:ascii="IRNazanin" w:hAnsi="IRNazanin" w:eastAsia="IRNazanin"/>
          <w:color w:val="111111"/>
          <w:sz w:val="28"/>
          <w:sz w:val="28"/>
          <w:szCs w:val="28"/>
          <w:rtl w:val="true"/>
          <w:lang w:bidi="fa-IR"/>
        </w:rPr>
        <w:t>فإنّ تفصیله علیه السلام فی المهر دالٌّ علی المفروغیة عن صحّة النکاح، و عدم خیار الفسخ للابن بعد البلوغ، و إلاّ لم یحکم الإمام علیه السلام بأنّ الأب ضامن للمهر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مثلها ما دلّ علی توارثهما إذا زوّجهما الأبوان، کصحیحة عبید بن زرارة،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الصبیّ یزوّج الصبیّة هل یتوارثان؟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أبواهما اللذان زوّجاهما فنعم،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طلاق الأب؟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2612"/>
      </w:r>
      <w:r>
        <w:rPr>
          <w:rFonts w:ascii="IRNazanin" w:hAnsi="IRNazanin" w:eastAsia="IRNazanin"/>
          <w:color w:val="111111"/>
          <w:sz w:val="28"/>
          <w:sz w:val="28"/>
          <w:szCs w:val="28"/>
          <w:rtl w:val="true"/>
          <w:lang w:bidi="fa-IR"/>
        </w:rPr>
        <w:t>فإنّ التوارث و ثبوت المهر یتوقفانِ علی الزواج الصحیح، و ذلک مناف للإلحاق بالفضولی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إطلاق هذه النصوص یقتضی نفوذ العقد حتّی بعد البلوغ و الرشد؛ و لذلک لا خیار له حتّی یفسخ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ورد فی المستمسک علی الاستدلال بصحیحة الحلبی فی المقام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دلالته علی نفی الخیار غیر ظاهرة؛ لأنّ صحّة العقد لا تنافی الخیار، بل هی موضوع للخیار</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مثله ما دلّ علی توارثهما إذا زوّجهما الأبوان</w:t>
      </w:r>
      <w:r>
        <w:rPr>
          <w:rStyle w:val="FootnoteAnchor"/>
          <w:rtl w:val="true"/>
        </w:rPr>
        <w:footnoteReference w:id="2613"/>
      </w:r>
      <w:r>
        <w:rPr>
          <w:rFonts w:ascii="IRNazanin" w:hAnsi="IRNazanin" w:eastAsia="IRNazanin"/>
          <w:color w:val="111111"/>
          <w:sz w:val="28"/>
          <w:sz w:val="28"/>
          <w:szCs w:val="28"/>
          <w:rtl w:val="true"/>
          <w:lang w:bidi="fa-IR"/>
        </w:rPr>
        <w:t>فإنّ التوارث إنّما یدلّ علی الصحّة لا غیر، و هی لا تنافی الخیار و علی هذا ینحصر دلیل نفی الخیار فی الصغیر</w:t>
      </w:r>
      <w:bookmarkStart w:id="1228" w:name="pg11752_146610"/>
    </w:p>
    <w:p>
      <w:pPr>
        <w:pStyle w:val="BookText"/>
        <w:rPr/>
      </w:pPr>
      <w:bookmarkEnd w:id="1228"/>
      <w:r>
        <w:rPr>
          <w:rFonts w:ascii="IRNazanin" w:hAnsi="IRNazanin" w:eastAsia="IRNazanin"/>
          <w:color w:val="111111"/>
          <w:sz w:val="28"/>
          <w:sz w:val="28"/>
          <w:szCs w:val="28"/>
          <w:rtl w:val="true"/>
          <w:lang w:bidi="fa-IR"/>
        </w:rPr>
        <w:t>بما دلّ علی اللزوم</w:t>
      </w:r>
      <w:r>
        <w:rPr>
          <w:rFonts w:eastAsia="IRNazanin" w:cs="IRNazanin"/>
          <w:color w:val="111111"/>
          <w:sz w:val="28"/>
          <w:szCs w:val="28"/>
          <w:rtl w:val="true"/>
          <w:lang w:bidi="fa-IR"/>
        </w:rPr>
        <w:t>»</w:t>
      </w:r>
      <w:r>
        <w:rPr>
          <w:rStyle w:val="FootnoteAnchor"/>
          <w:rtl w:val="true"/>
        </w:rPr>
        <w:footnoteReference w:id="2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بما قلنا یظهر دفع هذا الإیراد؛ لأنّ موضوع الخیار و إن کان هو العقد الصحیح، و لکن عدم الخیار یُستفاد من إطلاق النصوص لا من نفس العقد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بتعبیر آخر هذه النصوص تدلّ علی الصحّة و اللزوم مطلقاً، أی قبل البلوغ و الرشد و بعدهما، فسخ الصبیّ العقد أم لا، کما هو المستفاد من کلام السیّد الخوئی رحمه الله فی المستند</w:t>
      </w:r>
      <w:r>
        <w:rPr>
          <w:rStyle w:val="FootnoteAnchor"/>
          <w:rtl w:val="true"/>
        </w:rPr>
        <w:footnoteReference w:id="261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29" w:name="__RefHeading___Toc9424708_73709187"/>
      <w:bookmarkStart w:id="1230" w:name="_Toc468"/>
      <w:bookmarkEnd w:id="1229"/>
      <w:r>
        <w:rPr>
          <w:rtl w:val="true"/>
        </w:rPr>
        <w:t>القول الثانی</w:t>
      </w:r>
      <w:bookmarkEnd w:id="1230"/>
    </w:p>
    <w:p>
      <w:pPr>
        <w:pStyle w:val="BookText"/>
        <w:rPr/>
      </w:pPr>
      <w:r>
        <w:rPr>
          <w:rFonts w:ascii="IRNazanin" w:hAnsi="IRNazanin" w:eastAsia="IRNazanin"/>
          <w:color w:val="111111"/>
          <w:sz w:val="28"/>
          <w:sz w:val="28"/>
          <w:szCs w:val="28"/>
          <w:rtl w:val="true"/>
          <w:lang w:bidi="fa-IR"/>
        </w:rPr>
        <w:t>قال بعضهم بأنّه إذا زوّج الولیُّ الصغیرَ یثبت له الخیار بعد البلوغ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متی عقد الرجل لابنه علی جاریة، و هو غیر بالغ کان له الخیار إذا بلغ</w:t>
      </w:r>
      <w:r>
        <w:rPr>
          <w:rFonts w:eastAsia="IRNazanin" w:cs="IRNazanin"/>
          <w:color w:val="111111"/>
          <w:sz w:val="28"/>
          <w:szCs w:val="28"/>
          <w:rtl w:val="true"/>
          <w:lang w:bidi="fa-IR"/>
        </w:rPr>
        <w:t>»</w:t>
      </w:r>
      <w:r>
        <w:rPr>
          <w:rStyle w:val="FootnoteAnchor"/>
          <w:rtl w:val="true"/>
        </w:rPr>
        <w:footnoteReference w:id="2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الوسیلة لابن حمزة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عقد الأبوان علی صبیّهما کان عقد الصبیّ موقوفاً علی إجازته إذا بلغ دون الصبیّة، فإذا بلغ الصبیّ و رضی به استقرّ، و إن أبی انفسخ</w:t>
      </w:r>
      <w:r>
        <w:rPr>
          <w:rFonts w:eastAsia="IRNazanin" w:cs="IRNazanin"/>
          <w:color w:val="111111"/>
          <w:sz w:val="28"/>
          <w:szCs w:val="28"/>
          <w:rtl w:val="true"/>
          <w:lang w:bidi="fa-IR"/>
        </w:rPr>
        <w:t>»</w:t>
      </w:r>
      <w:r>
        <w:rPr>
          <w:rStyle w:val="FootnoteAnchor"/>
          <w:rtl w:val="true"/>
        </w:rPr>
        <w:footnoteReference w:id="26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اختاره فی السرائر</w:t>
      </w:r>
      <w:r>
        <w:rPr>
          <w:rStyle w:val="FootnoteAnchor"/>
          <w:rtl w:val="true"/>
        </w:rPr>
        <w:footnoteReference w:id="2618"/>
      </w:r>
      <w:r>
        <w:rPr>
          <w:rFonts w:ascii="Amiri" w:hAnsi="Amiri" w:eastAsia="Amiri" w:cs="Amiri"/>
          <w:color w:val="111111"/>
          <w:sz w:val="28"/>
          <w:sz w:val="28"/>
          <w:szCs w:val="28"/>
          <w:rtl w:val="true"/>
          <w:lang w:bidi="ar-SA"/>
        </w:rPr>
        <w:t>و المهذّب</w:t>
      </w:r>
      <w:r>
        <w:rPr>
          <w:rStyle w:val="FootnoteAnchor"/>
          <w:rtl w:val="true"/>
        </w:rPr>
        <w:footnoteReference w:id="2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استدلّوا علی ذلک بوجوهٍ</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عموم روایة أبان،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زوّج الرجل ابنه کان ذلک</w:t>
      </w:r>
    </w:p>
    <w:p>
      <w:pPr>
        <w:pStyle w:val="BookText"/>
        <w:rPr/>
      </w:pPr>
      <w:r>
        <w:rPr>
          <w:rFonts w:ascii="IRNazanin" w:hAnsi="IRNazanin" w:eastAsia="IRNazanin"/>
          <w:color w:val="111111"/>
          <w:sz w:val="28"/>
          <w:sz w:val="28"/>
          <w:szCs w:val="28"/>
          <w:rtl w:val="true"/>
          <w:lang w:bidi="fa-IR"/>
        </w:rPr>
        <w:t>إلی ابنه، و إذا زوّج ابنته جاز ذلک</w:t>
      </w:r>
      <w:r>
        <w:rPr>
          <w:rFonts w:eastAsia="IRNazanin" w:cs="IRNazanin"/>
          <w:color w:val="111111"/>
          <w:sz w:val="28"/>
          <w:szCs w:val="28"/>
          <w:rtl w:val="true"/>
          <w:lang w:bidi="fa-IR"/>
        </w:rPr>
        <w:t>»</w:t>
      </w:r>
      <w:r>
        <w:rPr>
          <w:rStyle w:val="FootnoteAnchor"/>
          <w:rtl w:val="true"/>
        </w:rPr>
        <w:footnoteReference w:id="2620"/>
      </w:r>
      <w:r>
        <w:rPr>
          <w:rFonts w:ascii="IRNazanin" w:hAnsi="IRNazanin" w:eastAsia="IRNazanin"/>
          <w:color w:val="111111"/>
          <w:sz w:val="28"/>
          <w:sz w:val="28"/>
          <w:szCs w:val="28"/>
          <w:rtl w:val="true"/>
          <w:lang w:bidi="fa-IR"/>
        </w:rPr>
        <w:t>یعنی أنّ الإمضاء أو الفسخ إلی الابن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نحوها معتبرة فضل بن عبد الملک؛ لأنّه جاء فی آخرها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زوّج الرجل ابنه فذاک إلی ابنه، و إن زوّج الابنة جاز</w:t>
      </w:r>
      <w:r>
        <w:rPr>
          <w:rFonts w:eastAsia="IRNazanin" w:cs="IRNazanin"/>
          <w:color w:val="111111"/>
          <w:sz w:val="28"/>
          <w:szCs w:val="28"/>
          <w:rtl w:val="true"/>
          <w:lang w:bidi="fa-IR"/>
        </w:rPr>
        <w:t>»</w:t>
      </w:r>
      <w:r>
        <w:rPr>
          <w:rStyle w:val="FootnoteAnchor"/>
          <w:rtl w:val="true"/>
        </w:rPr>
        <w:footnoteReference w:id="26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خصوص صحیحة</w:t>
      </w:r>
      <w:r>
        <w:rPr>
          <w:rStyle w:val="FootnoteAnchor"/>
          <w:rtl w:val="true"/>
        </w:rPr>
        <w:footnoteReference w:id="2622"/>
      </w:r>
      <w:r>
        <w:rPr>
          <w:rFonts w:ascii="IRNazanin" w:hAnsi="IRNazanin" w:eastAsia="IRNazanin"/>
          <w:color w:val="111111"/>
          <w:sz w:val="28"/>
          <w:sz w:val="28"/>
          <w:szCs w:val="28"/>
          <w:rtl w:val="true"/>
          <w:lang w:bidi="fa-IR"/>
        </w:rPr>
        <w:t>محمّد بن مسلم و روایة الکناسی</w:t>
      </w:r>
      <w:r>
        <w:rPr>
          <w:rStyle w:val="FootnoteAnchor"/>
          <w:rtl w:val="true"/>
        </w:rPr>
        <w:footnoteReference w:id="2623"/>
      </w:r>
      <w:r>
        <w:rPr>
          <w:rFonts w:ascii="IRNazanin" w:hAnsi="IRNazanin" w:eastAsia="IRNazanin"/>
          <w:color w:val="111111"/>
          <w:sz w:val="28"/>
          <w:sz w:val="28"/>
          <w:szCs w:val="28"/>
          <w:rtl w:val="true"/>
          <w:lang w:bidi="fa-IR"/>
        </w:rPr>
        <w:t>السابقتین و یمکن المناقشة فی جمیعها، فیُقال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روایة أبان و معتبرة فضل بن عبد الملک، فإنّهما عامّتان بالنسبة إلی صحیحة أبی عبیدة السابقة</w:t>
      </w:r>
      <w:r>
        <w:rPr>
          <w:rStyle w:val="FootnoteAnchor"/>
          <w:rtl w:val="true"/>
        </w:rPr>
        <w:footnoteReference w:id="2624"/>
      </w:r>
      <w:r>
        <w:rPr>
          <w:rFonts w:ascii="IRNazanin" w:hAnsi="IRNazanin" w:eastAsia="IRNazanin"/>
          <w:color w:val="111111"/>
          <w:sz w:val="28"/>
          <w:sz w:val="28"/>
          <w:szCs w:val="28"/>
          <w:rtl w:val="true"/>
          <w:lang w:bidi="fa-IR"/>
        </w:rPr>
        <w:t>لأنّ فیها حکم التزویج قبل الإدراک فتختصّ بالصغیرین، فتخصّصان بهما، أی تخصّص الصحیحة روایة أبان و معتبرة فضل بن عبد الملک، و تکون النتیجة عدم الخیار للصبیّ بعد البلوغ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صحیحة محمّد بن مسلم، فإنّها معارضةٌ للنصوص السابقة، و أعرض المشهور عنها بالنسبة إلی الصغیرة، بل مخالفة للإجماع، فلا بدّ من طرحها أو حملها علی ما حمله الشیخ</w:t>
      </w:r>
      <w:r>
        <w:rPr>
          <w:rStyle w:val="FootnoteAnchor"/>
          <w:rtl w:val="true"/>
        </w:rPr>
        <w:footnoteReference w:id="2625"/>
      </w:r>
      <w:r>
        <w:rPr>
          <w:rFonts w:ascii="IRNazanin" w:hAnsi="IRNazanin" w:eastAsia="IRNazanin"/>
          <w:color w:val="111111"/>
          <w:sz w:val="28"/>
          <w:sz w:val="28"/>
          <w:szCs w:val="28"/>
          <w:rtl w:val="true"/>
          <w:lang w:bidi="fa-IR"/>
        </w:rPr>
        <w:t>و غیره</w:t>
      </w:r>
      <w:r>
        <w:rPr>
          <w:rStyle w:val="FootnoteAnchor"/>
          <w:rtl w:val="true"/>
        </w:rPr>
        <w:footnoteReference w:id="2626"/>
      </w:r>
      <w:r>
        <w:rPr>
          <w:rFonts w:ascii="Amiri" w:hAnsi="Amiri" w:eastAsia="Amiri" w:cs="Amiri"/>
          <w:color w:val="111111"/>
          <w:sz w:val="28"/>
          <w:sz w:val="28"/>
          <w:szCs w:val="28"/>
          <w:rtl w:val="true"/>
          <w:lang w:bidi="ar-SA"/>
        </w:rPr>
        <w:t>کما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روایة الکناسی فضعیفة سنداً من جهة مجهولیّة الراوی</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إعراض المشهور عن صحیحة محمّد بن مسلم فی الصغیرة لا یوجب ردّ الخبر بالنسبة إلی الصغیر أیضاً؛ لجواز التفکیک بین أجزاء الخبر، فجزء منه مورد إعراض المشهور فیطرح و الجزء الآخر معتبر، إلاّ أنّ فی الصحیحة</w:t>
      </w:r>
      <w:bookmarkStart w:id="1231" w:name="pg11752_146612"/>
    </w:p>
    <w:p>
      <w:pPr>
        <w:pStyle w:val="BookText"/>
        <w:rPr/>
      </w:pPr>
      <w:bookmarkEnd w:id="1231"/>
      <w:r>
        <w:rPr>
          <w:rFonts w:ascii="IRNazanin" w:hAnsi="IRNazanin" w:eastAsia="IRNazanin"/>
          <w:color w:val="111111"/>
          <w:sz w:val="28"/>
          <w:sz w:val="28"/>
          <w:szCs w:val="28"/>
          <w:rtl w:val="true"/>
          <w:lang w:bidi="fa-IR"/>
        </w:rPr>
        <w:t>جاء بصیغة المثنّی، و فی مثلها یشکل القول بالتجزئة فلا یؤثّر فی النتیجة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فرض التنزّل و غضّ النظر عمّا قلنا، و القول بالتعارض بین أدلّة القولین و عدم إمکان التخییر فی المقام، تتساقط النصوص و یجب الرجوع إلی الأصل، و هو استصحاب الصحّة؛ لأنّ صحیحة الحلبی السابقة و غیرها صریحة بصحّة عقد الأب، فتُستصحب هذه الصحّة إلی أن یُعلم مزیل العقد، و فسخ الولد بعد البلوغ لم یعلم کونه مزیلاً للعقد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فالأقرب هو القول الأوّل، و هو عدم ثبوت الخیار للصبیّ بعد البلوغ و الکمال، کما ذهب إلیه أکثر الفقهاء</w:t>
      </w:r>
      <w:r>
        <w:rPr>
          <w:rFonts w:eastAsia="IRNazanin" w:cs="IRNazanin"/>
          <w:color w:val="111111"/>
          <w:sz w:val="28"/>
          <w:szCs w:val="28"/>
          <w:rtl w:val="true"/>
          <w:lang w:bidi="fa-IR"/>
        </w:rPr>
        <w:t>.</w:t>
      </w:r>
    </w:p>
    <w:p>
      <w:pPr>
        <w:pStyle w:val="Heading5"/>
        <w:numPr>
          <w:ilvl w:val="4"/>
          <w:numId w:val="1"/>
        </w:numPr>
        <w:rPr/>
      </w:pPr>
      <w:bookmarkStart w:id="1232" w:name="__RefHeading___Toc9424710_73709187"/>
      <w:bookmarkStart w:id="1233" w:name="_Toc469"/>
      <w:bookmarkEnd w:id="1232"/>
      <w:r>
        <w:rPr>
          <w:rtl w:val="true"/>
        </w:rPr>
        <w:t>رأی أهل السنّة فی خیار الصبیّ و الصبیّة بعد البلوغ</w:t>
      </w:r>
      <w:bookmarkEnd w:id="1233"/>
    </w:p>
    <w:p>
      <w:pPr>
        <w:pStyle w:val="BookText"/>
        <w:rPr/>
      </w:pPr>
      <w:r>
        <w:rPr>
          <w:rFonts w:ascii="Amiri" w:hAnsi="Amiri" w:eastAsia="Amiri" w:cs="Amiri"/>
          <w:color w:val="111111"/>
          <w:sz w:val="28"/>
          <w:sz w:val="28"/>
          <w:szCs w:val="28"/>
          <w:rtl w:val="true"/>
          <w:lang w:bidi="ar-SA"/>
        </w:rPr>
        <w:t>لا خلاف بین الفقهاء فی أنّه لا خیار للصغیر و الصغیرة بعد بلوغهما و رشدهما إذا زوّجهما الأب أو الجدّ، قال السرخسی من فقهاء الحنفیة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الأب إذا زوّج ابنته لا یثبت لها الخیار إذا بلغت، فإنّ رسول اللّه صلی الله علیه و آله لم یخیّرها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کان الخیار ثابتاً لها لخیّرها کما خیّر عند نزول آیة التخییر، حتّی قال لعائشة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أعرض علیک أمراً فلا تحدّثی فیه شیئاً حتّی تستشیری أبویک، ثمّ تلا علیها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فَتَعالَیْنَ أُمَتِّعْکُنَّ وَ أُسَرِّحْکُنَّ سَراحاً جَمِیلاً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لمّا لم یخیّرها هنا دلّ أنّه لا خیار للصغیرة إذا بلغت و قد زوّجها أبوها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علّل أیضاً بأنّ الأب وافر الشفقة، تامّ الولایة، فلا حاجة لإثبات الخیار فی عقده، و کذلک فی عقد الجدّ؛ لأنّه بمنزلة الأب</w:t>
      </w:r>
      <w:r>
        <w:rPr>
          <w:rFonts w:eastAsia="Amiri" w:cs="Amiri" w:ascii="Amiri" w:hAnsi="Amiri"/>
          <w:color w:val="111111"/>
          <w:sz w:val="28"/>
          <w:szCs w:val="28"/>
          <w:rtl w:val="true"/>
          <w:lang w:bidi="ar-SA"/>
        </w:rPr>
        <w:t>»</w:t>
      </w:r>
      <w:r>
        <w:rPr>
          <w:rStyle w:val="FootnoteAnchor"/>
          <w:rtl w:val="true"/>
        </w:rPr>
        <w:footnoteReference w:id="2627"/>
      </w:r>
      <w:r>
        <w:rPr>
          <w:rFonts w:eastAsia="Times New Roman" w:cs="Times New Roman" w:ascii="Times New Roman" w:hAnsi="Times New Roman"/>
          <w:color w:val="111111"/>
          <w:sz w:val="28"/>
          <w:szCs w:val="28"/>
          <w:rtl w:val="true"/>
          <w:lang w:val="en-US" w:bidi="en-US"/>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الکاسانی عند ذکره شرائط وقوع النکاح لازماً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الولیّ فی إنکاح الصغیر و الصغیرة هو الأب أو الجدّ، فإن کان غیر الأب و الجدّ من</w:t>
      </w:r>
    </w:p>
    <w:p>
      <w:pPr>
        <w:pStyle w:val="BookText"/>
        <w:rPr/>
      </w:pPr>
      <w:r>
        <w:rPr>
          <w:rFonts w:ascii="IRNazanin" w:hAnsi="IRNazanin" w:eastAsia="IRNazanin"/>
          <w:color w:val="111111"/>
          <w:sz w:val="28"/>
          <w:sz w:val="28"/>
          <w:szCs w:val="28"/>
          <w:rtl w:val="true"/>
          <w:lang w:bidi="fa-IR"/>
        </w:rPr>
        <w:t>الأولیاء کالأخ و العمّ لا یلزم النکاح حتّی یثبت لهما الخیار بعد البلوغ، هذا قول أبی حنیفة و محمّد، و عند أبی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لیس بشرط</w:t>
      </w:r>
      <w:r>
        <w:rPr>
          <w:rFonts w:eastAsia="IRNazanin" w:cs="IRNazanin"/>
          <w:color w:val="111111"/>
          <w:sz w:val="28"/>
          <w:szCs w:val="28"/>
          <w:rtl w:val="true"/>
          <w:lang w:bidi="fa-IR"/>
        </w:rPr>
        <w:t>...»</w:t>
      </w:r>
      <w:r>
        <w:rPr>
          <w:rStyle w:val="FootnoteAnchor"/>
          <w:rtl w:val="true"/>
        </w:rPr>
        <w:footnoteReference w:id="26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رأی الشافعیّة، فقد جاء فی المجموع شرح المهذّب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فالبکر الصغیرة للآباء إجبارهنّ علی النکاح، فیزوّجها الأب و الجدّ و إن علا إذا فقد الأب من غیر رضاها، و من غیر مراعاة لاختیارها، و یکون العقد لازماً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أنّ مالکاً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للجدّ إجبار الصغیرة کالأب</w:t>
      </w:r>
      <w:r>
        <w:rPr>
          <w:rFonts w:eastAsia="IRNazanin" w:cs="IRNazanin"/>
          <w:color w:val="111111"/>
          <w:sz w:val="28"/>
          <w:szCs w:val="28"/>
          <w:rtl w:val="true"/>
          <w:lang w:bidi="fa-IR"/>
        </w:rPr>
        <w:t>»</w:t>
      </w:r>
      <w:r>
        <w:rPr>
          <w:rStyle w:val="FootnoteAnchor"/>
          <w:rtl w:val="true"/>
        </w:rPr>
        <w:footnoteReference w:id="2629"/>
      </w:r>
      <w:r>
        <w:rPr>
          <w:rFonts w:eastAsia="Times New Roman" w:cs="Times New Roman" w:ascii="Times New Roman" w:hAnsi="Times New Roman"/>
          <w:color w:val="111111"/>
          <w:sz w:val="28"/>
          <w:szCs w:val="28"/>
          <w:rtl w:val="true"/>
          <w:lang w:val="en-US" w:bidi="en-US"/>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الحنابلة فقد قال ابن قدامة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زوّج الرجل ابنته البکر فوضعها فی کفایةٍ فالنکاح ثابت و إن کرهت، کبیرةً کانت أو صغیرةً، أمّا البکر الصغیرة فلا خلاف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 کلّ مَن نحفظ عنه من أهل العلم أنّ نکاح الأب ابنته البکر الصغیرة جائز إذا زوّجها من کفؤ</w:t>
      </w:r>
      <w:r>
        <w:rPr>
          <w:rFonts w:eastAsia="IRNazanin" w:cs="IRNazanin"/>
          <w:color w:val="111111"/>
          <w:sz w:val="28"/>
          <w:szCs w:val="28"/>
          <w:rtl w:val="true"/>
          <w:lang w:bidi="fa-IR"/>
        </w:rPr>
        <w:t>»</w:t>
      </w:r>
      <w:r>
        <w:rPr>
          <w:rStyle w:val="FootnoteAnchor"/>
          <w:rtl w:val="true"/>
        </w:rPr>
        <w:footnoteReference w:id="2630"/>
      </w:r>
      <w:bookmarkStart w:id="1234" w:name="pg11752_146614"/>
    </w:p>
    <w:p>
      <w:pPr>
        <w:pStyle w:val="Heading4"/>
        <w:numPr>
          <w:ilvl w:val="3"/>
          <w:numId w:val="1"/>
        </w:numPr>
        <w:rPr/>
      </w:pPr>
      <w:bookmarkStart w:id="1235" w:name="__RefHeading___Toc9424712_73709187"/>
      <w:bookmarkStart w:id="1236" w:name="_Toc470"/>
      <w:bookmarkEnd w:id="1234"/>
      <w:bookmarkEnd w:id="1235"/>
      <w:r>
        <w:rPr>
          <w:rtl w:val="true"/>
        </w:rPr>
        <w:t>المبحث السادس</w:t>
      </w:r>
      <w:r>
        <w:rPr>
          <w:rtl w:val="true"/>
        </w:rPr>
        <w:t>:</w:t>
      </w:r>
      <w:bookmarkEnd w:id="1236"/>
    </w:p>
    <w:p>
      <w:pPr>
        <w:pStyle w:val="Heading5"/>
        <w:numPr>
          <w:ilvl w:val="4"/>
          <w:numId w:val="1"/>
        </w:numPr>
        <w:rPr/>
      </w:pPr>
      <w:bookmarkStart w:id="1237" w:name="__RefHeading___Toc9424714_73709187"/>
      <w:bookmarkStart w:id="1238" w:name="_Toc471"/>
      <w:bookmarkEnd w:id="1237"/>
      <w:r>
        <w:rPr>
          <w:rtl w:val="true"/>
        </w:rPr>
        <w:t>اشارة</w:t>
      </w:r>
      <w:bookmarkEnd w:id="1238"/>
    </w:p>
    <w:p>
      <w:pPr>
        <w:pStyle w:val="BookText"/>
        <w:rPr/>
      </w:pPr>
      <w:r>
        <w:rPr>
          <w:rFonts w:ascii="IRNazanin" w:hAnsi="IRNazanin" w:eastAsia="IRNazanin"/>
          <w:color w:val="111111"/>
          <w:sz w:val="28"/>
          <w:sz w:val="28"/>
          <w:szCs w:val="28"/>
          <w:rtl w:val="true"/>
          <w:lang w:bidi="fa-IR"/>
        </w:rPr>
        <w:t>تزویج الولیّ الصغیرَ أو الصغیرةَ بمهر، دون مهر المثل أو أزید</w:t>
      </w:r>
    </w:p>
    <w:p>
      <w:pPr>
        <w:pStyle w:val="BookText"/>
        <w:rPr/>
      </w:pPr>
      <w:r>
        <w:rPr>
          <w:rFonts w:ascii="IRNazanin" w:hAnsi="IRNazanin" w:eastAsia="IRNazanin"/>
          <w:color w:val="111111"/>
          <w:sz w:val="28"/>
          <w:sz w:val="28"/>
          <w:szCs w:val="28"/>
          <w:rtl w:val="true"/>
          <w:lang w:bidi="fa-IR"/>
        </w:rPr>
        <w:t>بعد إثبات أنّه لا خیار للصغیر و الصغیرة فی فسخ النکاح إذا زوّجهما الأب أو الجدّ، فیمکن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زوّجهما الأب و الجدّ بمهر المثل، فیقع السؤال فی أنّه إن زوّجاهما بمهر دون مهر المثل، أو زوّجا الصغیر بأزید منه، فهل لهما بعد الکمال الاعتراض علی العقد أو المهر أم لا؟</w:t>
      </w:r>
    </w:p>
    <w:p>
      <w:pPr>
        <w:pStyle w:val="BookText"/>
        <w:rPr/>
      </w:pPr>
      <w:r>
        <w:rPr>
          <w:rFonts w:ascii="IRNazanin" w:hAnsi="IRNazanin" w:eastAsia="IRNazanin"/>
          <w:color w:val="111111"/>
          <w:sz w:val="28"/>
          <w:sz w:val="28"/>
          <w:szCs w:val="28"/>
          <w:rtl w:val="true"/>
          <w:lang w:bidi="fa-IR"/>
        </w:rPr>
        <w:t>لاستیفاء التحقیق فی شقوق هذه المسألة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یتصوّر لها حالات مختلفة لکلّ حالةٍ حکمها، فنذکرها تحت ثلاثة 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تزویج الولیّ الصغیرةَ بدون مهر المثل أو الصغیرَ بأزید منه مع وجود المصلحة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تزویجهما کذلک بدون المصلحة و المفسدة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تزویجهما مع وجود المفسدة</w:t>
      </w:r>
      <w:r>
        <w:rPr>
          <w:rFonts w:eastAsia="IRNazanin" w:cs="IRNazanin"/>
          <w:color w:val="111111"/>
          <w:sz w:val="28"/>
          <w:szCs w:val="28"/>
          <w:rtl w:val="true"/>
          <w:lang w:bidi="fa-IR"/>
        </w:rPr>
        <w:t>.</w:t>
      </w:r>
    </w:p>
    <w:p>
      <w:pPr>
        <w:pStyle w:val="Heading5"/>
        <w:numPr>
          <w:ilvl w:val="4"/>
          <w:numId w:val="1"/>
        </w:numPr>
        <w:rPr/>
      </w:pPr>
      <w:bookmarkStart w:id="1239" w:name="__RefHeading___Toc9424716_73709187"/>
      <w:bookmarkStart w:id="1240" w:name="_Toc472"/>
      <w:bookmarkEnd w:id="1239"/>
      <w:r>
        <w:rPr>
          <w:rtl w:val="true"/>
        </w:rPr>
        <w:t>الفرع الأوّل</w:t>
      </w:r>
      <w:r>
        <w:rPr>
          <w:rtl w:val="true"/>
        </w:rPr>
        <w:t xml:space="preserve">: </w:t>
      </w:r>
      <w:r>
        <w:rPr>
          <w:rtl w:val="true"/>
        </w:rPr>
        <w:t>و هو أنّه إذا زوّج الولیّ الصغیرةَ بدون مهر المثل أو الصغیرَ بأزید منه علی وجه المصلحة</w:t>
      </w:r>
      <w:bookmarkEnd w:id="1240"/>
    </w:p>
    <w:p>
      <w:pPr>
        <w:pStyle w:val="Heading6"/>
        <w:numPr>
          <w:ilvl w:val="5"/>
          <w:numId w:val="1"/>
        </w:numPr>
        <w:rPr/>
      </w:pPr>
      <w:bookmarkStart w:id="1241" w:name="__RefHeading___Toc9424718_73709187"/>
      <w:bookmarkStart w:id="1242" w:name="_Toc473"/>
      <w:bookmarkEnd w:id="1241"/>
      <w:r>
        <w:rPr>
          <w:rtl w:val="true"/>
        </w:rPr>
        <w:t>اشارة</w:t>
      </w:r>
      <w:bookmarkEnd w:id="1242"/>
    </w:p>
    <w:p>
      <w:pPr>
        <w:pStyle w:val="BookText"/>
        <w:rPr/>
      </w:pPr>
      <w:r>
        <w:rPr>
          <w:rFonts w:ascii="IRNazanin" w:hAnsi="IRNazanin" w:eastAsia="IRNazanin"/>
          <w:color w:val="111111"/>
          <w:sz w:val="28"/>
          <w:sz w:val="28"/>
          <w:szCs w:val="28"/>
          <w:rtl w:val="true"/>
          <w:lang w:bidi="fa-IR"/>
        </w:rPr>
        <w:t>، بأن وجد مثلاً کفؤ صالح و لم یبذل مقدار مهر المثل، و خاف من فواته عدم حصول مثله، أو وجدت للصغیر کفؤ صالحةٌ یطلب ولیّها أزید من مهر المثل، إذا زوّج کذلک صحّ العقد و المهر و لزم</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جامع المقاصد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یقتضیه صحیح النظر أنّه إن اقتضت المصلحة التزویج بدون مهر المثل صحّ العقد و المهر و لزم</w:t>
      </w:r>
      <w:r>
        <w:rPr>
          <w:rFonts w:eastAsia="IRNazanin" w:cs="IRNazanin"/>
          <w:color w:val="111111"/>
          <w:sz w:val="28"/>
          <w:szCs w:val="28"/>
          <w:rtl w:val="true"/>
          <w:lang w:bidi="fa-IR"/>
        </w:rPr>
        <w:t>»</w:t>
      </w:r>
      <w:r>
        <w:rPr>
          <w:rStyle w:val="FootnoteAnchor"/>
          <w:rtl w:val="true"/>
        </w:rPr>
        <w:footnoteReference w:id="2631"/>
      </w:r>
      <w:bookmarkStart w:id="1243" w:name="pg11752_146615"/>
    </w:p>
    <w:p>
      <w:pPr>
        <w:pStyle w:val="BookText"/>
        <w:rPr/>
      </w:pPr>
      <w:bookmarkEnd w:id="1243"/>
      <w:r>
        <w:rPr>
          <w:rFonts w:ascii="IRNazanin" w:hAnsi="IRNazanin" w:eastAsia="IRNazanin"/>
          <w:color w:val="111111"/>
          <w:sz w:val="28"/>
          <w:sz w:val="28"/>
          <w:szCs w:val="28"/>
          <w:rtl w:val="true"/>
          <w:lang w:bidi="fa-IR"/>
        </w:rPr>
        <w:t>و اختاره فی العروة</w:t>
      </w:r>
      <w:r>
        <w:rPr>
          <w:rStyle w:val="FootnoteAnchor"/>
          <w:rtl w:val="true"/>
        </w:rPr>
        <w:footnoteReference w:id="2632"/>
      </w:r>
      <w:r>
        <w:rPr>
          <w:rFonts w:ascii="IRNazanin" w:hAnsi="IRNazanin" w:eastAsia="IRNazanin"/>
          <w:color w:val="111111"/>
          <w:sz w:val="28"/>
          <w:sz w:val="28"/>
          <w:szCs w:val="28"/>
          <w:rtl w:val="true"/>
          <w:lang w:bidi="fa-IR"/>
        </w:rPr>
        <w:t>و التعلیقات علیها و المستمسک</w:t>
      </w:r>
      <w:r>
        <w:rPr>
          <w:rStyle w:val="FootnoteAnchor"/>
          <w:rtl w:val="true"/>
        </w:rPr>
        <w:footnoteReference w:id="2633"/>
      </w:r>
      <w:r>
        <w:rPr>
          <w:rFonts w:ascii="Amiri" w:hAnsi="Amiri" w:eastAsia="Amiri" w:cs="Amiri"/>
          <w:color w:val="111111"/>
          <w:sz w:val="28"/>
          <w:sz w:val="28"/>
          <w:szCs w:val="28"/>
          <w:rtl w:val="true"/>
          <w:lang w:bidi="ar-SA"/>
        </w:rPr>
        <w:t>و مستند العروة</w:t>
      </w:r>
      <w:r>
        <w:rPr>
          <w:rStyle w:val="FootnoteAnchor"/>
          <w:rtl w:val="true"/>
        </w:rPr>
        <w:footnoteReference w:id="2634"/>
      </w:r>
      <w:r>
        <w:rPr>
          <w:rFonts w:ascii="IRNazanin" w:hAnsi="IRNazanin" w:eastAsia="IRNazanin"/>
          <w:color w:val="111111"/>
          <w:sz w:val="28"/>
          <w:sz w:val="28"/>
          <w:szCs w:val="28"/>
          <w:rtl w:val="true"/>
          <w:lang w:bidi="fa-IR"/>
        </w:rPr>
        <w:t>، و کتاب النکاح للشیخ الأعظم الأنصاری</w:t>
      </w:r>
      <w:r>
        <w:rPr>
          <w:rStyle w:val="FootnoteAnchor"/>
          <w:rtl w:val="true"/>
        </w:rPr>
        <w:footnoteReference w:id="2635"/>
      </w:r>
      <w:r>
        <w:rPr>
          <w:rFonts w:ascii="IRNazanin" w:hAnsi="IRNazanin" w:eastAsia="IRNazanin"/>
          <w:color w:val="111111"/>
          <w:sz w:val="28"/>
          <w:sz w:val="28"/>
          <w:szCs w:val="28"/>
          <w:rtl w:val="true"/>
          <w:lang w:bidi="fa-IR"/>
        </w:rPr>
        <w:t>و تفصیل الشریعة</w:t>
      </w:r>
      <w:r>
        <w:rPr>
          <w:rStyle w:val="FootnoteAnchor"/>
          <w:rtl w:val="true"/>
        </w:rPr>
        <w:footnoteReference w:id="263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44" w:name="__RefHeading___Toc9424720_73709187"/>
      <w:bookmarkStart w:id="1245" w:name="_Toc474"/>
      <w:bookmarkEnd w:id="1244"/>
      <w:r>
        <w:rPr>
          <w:rtl w:val="true"/>
        </w:rPr>
        <w:t>أدلّة هذا القول</w:t>
      </w:r>
      <w:r>
        <w:rPr>
          <w:rtl w:val="true"/>
        </w:rPr>
        <w:t>:</w:t>
      </w:r>
      <w:bookmarkEnd w:id="1245"/>
    </w:p>
    <w:p>
      <w:pPr>
        <w:pStyle w:val="BookText"/>
        <w:rPr/>
      </w:pPr>
      <w:r>
        <w:rPr>
          <w:rFonts w:ascii="IRNazanin" w:hAnsi="IRNazanin" w:eastAsia="IRNazanin"/>
          <w:color w:val="111111"/>
          <w:sz w:val="28"/>
          <w:sz w:val="28"/>
          <w:szCs w:val="28"/>
          <w:rtl w:val="true"/>
          <w:lang w:bidi="fa-IR"/>
        </w:rPr>
        <w:t>و یمکن الاستدلال لصحّة العقد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أدلّة الولایة السالمة عن المقیّد؛ لأنّها مطلقةٌ بالنسبة إلی نقصان المهر و زیادته، و مفادها أنّ تزویج الولیّ جائز، سواء کان المهر بمقدار مهر المثل أو دونه أو أزید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العقد صدر من أهله فی محلّه، و المفروض أنّ الولیّ مأذون، و الزوج کفؤ، و المهر لیس رکناً فی عقد النکاح؛ و لهذا یجوز إخلاء العقد من المهر؛ لأنّ النکاح لیس معاوضة محضة، و البضع لیس مالاً بالحقیقة، و لا یکون الغرض الأصلی من النکاح إلاّ التحصّن و النسل لا المهر، فلا یؤثّر نقصانه فی العقد، و یصحّ العقد مع الزیادة و النقصان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 فی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یجوز للولی العفو عن بعض المهر بعد ثبوته، فإسقاطه ابتداءً أولی</w:t>
      </w:r>
      <w:r>
        <w:rPr>
          <w:rFonts w:eastAsia="IRNazanin" w:cs="IRNazanin"/>
          <w:color w:val="111111"/>
          <w:sz w:val="28"/>
          <w:szCs w:val="28"/>
          <w:rtl w:val="true"/>
          <w:lang w:bidi="fa-IR"/>
        </w:rPr>
        <w:t>»</w:t>
      </w:r>
      <w:r>
        <w:rPr>
          <w:rStyle w:val="FootnoteAnchor"/>
          <w:rtl w:val="true"/>
        </w:rPr>
        <w:footnoteReference w:id="2637"/>
      </w:r>
      <w:r>
        <w:rPr>
          <w:rFonts w:eastAsia="Times New Roman" w:cs="Times New Roman" w:ascii="Times New Roman" w:hAnsi="Times New Roman"/>
          <w:color w:val="111111"/>
          <w:sz w:val="28"/>
          <w:szCs w:val="28"/>
          <w:rtl w:val="true"/>
          <w:lang w:val="en-US" w:bidi="en-US"/>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العفو ثبت بدلیلٍ خاصّ فی موضع خاصّ، و لا یجوز التعدّی إلی سائر الموارد</w:t>
      </w:r>
      <w:r>
        <w:rPr>
          <w:rFonts w:eastAsia="IRNazanin" w:cs="IRNazanin"/>
          <w:color w:val="111111"/>
          <w:sz w:val="28"/>
          <w:szCs w:val="28"/>
          <w:rtl w:val="true"/>
          <w:lang w:bidi="fa-IR"/>
        </w:rPr>
        <w:t>.</w:t>
      </w:r>
      <w:bookmarkStart w:id="1246" w:name="pg11752_146616"/>
    </w:p>
    <w:p>
      <w:pPr>
        <w:pStyle w:val="BookText"/>
        <w:rPr/>
      </w:pPr>
      <w:bookmarkEnd w:id="1246"/>
      <w:r>
        <w:rPr>
          <w:rFonts w:ascii="IRNazanin" w:hAnsi="IRNazanin" w:eastAsia="IRNazanin"/>
          <w:color w:val="111111"/>
          <w:sz w:val="28"/>
          <w:sz w:val="28"/>
          <w:szCs w:val="28"/>
          <w:rtl w:val="true"/>
          <w:lang w:bidi="fa-IR"/>
        </w:rPr>
        <w:t>و أمّا الدلیل علی صحّة المهر و عدم الاعتراض بعد البلوغ و الکمال فلثبوت الولایة له علیها فی مالهما، بمعنی أنّ للولیّ أن یتصرّف فی مال الصغار کلّ ما کان لهما فیه مصلحةٌ، فإذا جاز إسقاط مالها عن ذمّة الغیر لمصلحتها جاز تقلیل مالها بطریقٍ أولی‌</w:t>
      </w:r>
      <w:r>
        <w:rPr>
          <w:rStyle w:val="FootnoteAnchor"/>
          <w:rtl w:val="true"/>
        </w:rPr>
        <w:footnoteReference w:id="26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نفی الضرر تقتضی أن یکون لهما الاعتراض بعد الکمال؛ لأنّ نقصان المهر فیه غضاضةٌ و مهانةٌ علی الزوجة، و الصبر علیه یصیر حرجیّاً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أنّ إطلاق أدلّة الولایة یقتضی صحّة العقد، و المصلحة تجبر نقصان المهر، فلا یکون ضررٌ حتّی یکون لهما الاعتراض، و علی فرض التنزّل یکون لهما الاعتراض فی المهر فقط، و لا یدلّ علی جواز الاعتراض فی أصل العقد أیضاً؛ لأنّ هذا خلاف إطلاق أدلّة الصحّة</w:t>
      </w:r>
      <w:r>
        <w:rPr>
          <w:rStyle w:val="FootnoteAnchor"/>
          <w:rtl w:val="true"/>
        </w:rPr>
        <w:footnoteReference w:id="26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47" w:name="__RefHeading___Toc9424722_73709187"/>
      <w:bookmarkStart w:id="1248" w:name="_Toc475"/>
      <w:bookmarkEnd w:id="1247"/>
      <w:r>
        <w:rPr>
          <w:rtl w:val="true"/>
        </w:rPr>
        <w:t>الفرع الثانی</w:t>
      </w:r>
      <w:r>
        <w:rPr>
          <w:rtl w:val="true"/>
        </w:rPr>
        <w:t xml:space="preserve">: </w:t>
      </w:r>
      <w:r>
        <w:rPr>
          <w:rtl w:val="true"/>
        </w:rPr>
        <w:t>و هو أنّه إذا زوّج الولیّ الصغیرةَ بدون مهر المثل أو الصغیرَ بأزید منه مع عدم المصلحة و المفسدة</w:t>
      </w:r>
      <w:bookmarkEnd w:id="1248"/>
    </w:p>
    <w:p>
      <w:pPr>
        <w:pStyle w:val="Heading6"/>
        <w:numPr>
          <w:ilvl w:val="5"/>
          <w:numId w:val="1"/>
        </w:numPr>
        <w:rPr/>
      </w:pPr>
      <w:bookmarkStart w:id="1249" w:name="__RefHeading___Toc9424724_73709187"/>
      <w:bookmarkStart w:id="1250" w:name="_Toc476"/>
      <w:bookmarkEnd w:id="1249"/>
      <w:r>
        <w:rPr>
          <w:rtl w:val="true"/>
        </w:rPr>
        <w:t>اشارة</w:t>
      </w:r>
      <w:bookmarkEnd w:id="1250"/>
    </w:p>
    <w:p>
      <w:pPr>
        <w:pStyle w:val="BookText"/>
        <w:rPr/>
      </w:pPr>
      <w:r>
        <w:rPr>
          <w:rFonts w:ascii="IRNazanin" w:hAnsi="IRNazanin" w:eastAsia="IRNazanin"/>
          <w:color w:val="111111"/>
          <w:sz w:val="28"/>
          <w:sz w:val="28"/>
          <w:szCs w:val="28"/>
          <w:rtl w:val="true"/>
          <w:lang w:bidi="fa-IR"/>
        </w:rPr>
        <w:t>، ففیه ثلاثة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العقد صحیح و المهر باطل و یرجع إلی مهر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 الشافعی</w:t>
      </w:r>
      <w:r>
        <w:rPr>
          <w:rStyle w:val="FootnoteAnchor"/>
          <w:rtl w:val="true"/>
        </w:rPr>
        <w:footnoteReference w:id="26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 و المهر یصحّان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 أبو حنیفة</w:t>
      </w:r>
      <w:r>
        <w:rPr>
          <w:rStyle w:val="FootnoteAnchor"/>
          <w:rtl w:val="true"/>
        </w:rPr>
        <w:footnoteReference w:id="26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العقد و المهر باطلان معاً</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ظاهر کلام المحقّق فی الشرائع،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الأظهر أنّ لها الاعتراض</w:t>
      </w:r>
      <w:r>
        <w:rPr>
          <w:rFonts w:eastAsia="IRNazanin" w:cs="IRNazanin"/>
          <w:color w:val="111111"/>
          <w:sz w:val="28"/>
          <w:szCs w:val="28"/>
          <w:rtl w:val="true"/>
          <w:lang w:bidi="fa-IR"/>
        </w:rPr>
        <w:t>»</w:t>
      </w:r>
      <w:r>
        <w:rPr>
          <w:rStyle w:val="FootnoteAnchor"/>
          <w:rtl w:val="true"/>
        </w:rPr>
        <w:footnoteReference w:id="2642"/>
      </w:r>
    </w:p>
    <w:p>
      <w:pPr>
        <w:pStyle w:val="BookText"/>
        <w:rPr/>
      </w:pPr>
      <w:r>
        <w:rPr>
          <w:rFonts w:ascii="IRNazanin" w:hAnsi="IRNazanin" w:eastAsia="IRNazanin"/>
          <w:color w:val="111111"/>
          <w:sz w:val="28"/>
          <w:sz w:val="28"/>
          <w:szCs w:val="28"/>
          <w:rtl w:val="true"/>
          <w:lang w:bidi="fa-IR"/>
        </w:rPr>
        <w:t>و استظهر منه فی المسالک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ظاهر الحکم بالاعتراض أنّه فی المهر المسمّی خاصّةً؛ لأنّ الفرض کون الزوج کفؤاً فلا اعتراض من حیث أصل العقد، و یحتمل أن یرید فی العقد أیضاً؛ لأنّ الاحتمال قائم فیهما</w:t>
      </w:r>
      <w:r>
        <w:rPr>
          <w:rFonts w:eastAsia="IRNazanin" w:cs="IRNazanin"/>
          <w:color w:val="111111"/>
          <w:sz w:val="28"/>
          <w:szCs w:val="28"/>
          <w:rtl w:val="true"/>
          <w:lang w:bidi="fa-IR"/>
        </w:rPr>
        <w:t>»</w:t>
      </w:r>
      <w:r>
        <w:rPr>
          <w:rStyle w:val="FootnoteAnchor"/>
          <w:rtl w:val="true"/>
        </w:rPr>
        <w:footnoteReference w:id="26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القواعد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یزوّج الولیّ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مهر مثلها فیصحّ العقد، و فی صحّة المسمّی قولان</w:t>
      </w:r>
      <w:r>
        <w:rPr>
          <w:rFonts w:eastAsia="IRNazanin" w:cs="IRNazanin"/>
          <w:color w:val="111111"/>
          <w:sz w:val="28"/>
          <w:szCs w:val="28"/>
          <w:rtl w:val="true"/>
          <w:lang w:bidi="fa-IR"/>
        </w:rPr>
        <w:t>»</w:t>
      </w:r>
      <w:r>
        <w:rPr>
          <w:rStyle w:val="FootnoteAnchor"/>
          <w:rtl w:val="true"/>
        </w:rPr>
        <w:footnoteReference w:id="26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أیضاً اختیار الإمام الخمینی قدس سره فی تعلیقته علی العروة، حیث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الأقوی هو صحّة العقد مع عدم المفسدة و توقّف صحّة المهر علی الإجازة، و مع عدم الإجازة یرجع إلی مهر المثل</w:t>
      </w:r>
      <w:r>
        <w:rPr>
          <w:rFonts w:eastAsia="IRNazanin" w:cs="IRNazanin"/>
          <w:color w:val="111111"/>
          <w:sz w:val="28"/>
          <w:szCs w:val="28"/>
          <w:rtl w:val="true"/>
          <w:lang w:bidi="fa-IR"/>
        </w:rPr>
        <w:t>»</w:t>
      </w:r>
      <w:r>
        <w:rPr>
          <w:rStyle w:val="FootnoteAnchor"/>
          <w:rtl w:val="true"/>
        </w:rPr>
        <w:footnoteReference w:id="2645"/>
      </w:r>
      <w:r>
        <w:rPr>
          <w:rFonts w:ascii="IRNazanin" w:hAnsi="IRNazanin" w:eastAsia="IRNazanin"/>
          <w:color w:val="111111"/>
          <w:sz w:val="28"/>
          <w:sz w:val="28"/>
          <w:szCs w:val="28"/>
          <w:rtl w:val="true"/>
          <w:lang w:bidi="fa-IR"/>
        </w:rPr>
        <w:t>و به قال الفقیه المعاصر الفاضل اللنکرانی</w:t>
      </w:r>
      <w:r>
        <w:rPr>
          <w:rStyle w:val="FootnoteAnchor"/>
          <w:rtl w:val="true"/>
        </w:rPr>
        <w:footnoteReference w:id="26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أصل العقد صحیحٌ، و إنّما المانع من قبل المهر، و یمکن جبره بفسخه خاصّة و الرجوع إلی مهر المثل</w:t>
      </w:r>
      <w:r>
        <w:rPr>
          <w:rFonts w:eastAsia="IRNazanin" w:cs="IRNazanin"/>
          <w:color w:val="111111"/>
          <w:sz w:val="28"/>
          <w:szCs w:val="28"/>
          <w:rtl w:val="true"/>
          <w:lang w:bidi="fa-IR"/>
        </w:rPr>
        <w:t>»</w:t>
      </w:r>
      <w:r>
        <w:rPr>
          <w:rStyle w:val="FootnoteAnchor"/>
          <w:rtl w:val="true"/>
        </w:rPr>
        <w:footnoteReference w:id="26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أوضحه الشیخ الأعظم فی رسالة النکاح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الظاهر من أخبار ولایة الأب و الجدّ أنّ ولایتهما علی الصغار لیس من باب الحسبة و الغبطة، بل ولایتهما علیه کولایة المولی علی العبد، کما یرشد إلیه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و مالک لأبیک</w:t>
      </w:r>
      <w:r>
        <w:rPr>
          <w:rFonts w:eastAsia="IRNazanin" w:cs="IRNazanin"/>
          <w:color w:val="111111"/>
          <w:sz w:val="28"/>
          <w:szCs w:val="28"/>
          <w:rtl w:val="true"/>
          <w:lang w:bidi="fa-IR"/>
        </w:rPr>
        <w:t>»</w:t>
      </w:r>
      <w:r>
        <w:rPr>
          <w:rStyle w:val="FootnoteAnchor"/>
          <w:rtl w:val="true"/>
        </w:rPr>
        <w:footnoteReference w:id="2648"/>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لها مع أبیها أمر إذا أنکحها جاز نکاحه و إن کانت کارهة</w:t>
      </w:r>
      <w:r>
        <w:rPr>
          <w:rFonts w:eastAsia="IRNazanin" w:cs="IRNazanin"/>
          <w:color w:val="111111"/>
          <w:sz w:val="28"/>
          <w:szCs w:val="28"/>
          <w:rtl w:val="true"/>
          <w:lang w:bidi="fa-IR"/>
        </w:rPr>
        <w:t>»</w:t>
      </w:r>
      <w:r>
        <w:rPr>
          <w:rStyle w:val="FootnoteAnchor"/>
          <w:rtl w:val="true"/>
        </w:rPr>
        <w:footnoteReference w:id="2649"/>
      </w:r>
      <w:r>
        <w:rPr>
          <w:rFonts w:eastAsia="Times New Roman" w:cs="Times New Roman" w:ascii="Times New Roman" w:hAnsi="Times New Roman"/>
          <w:color w:val="111111"/>
          <w:sz w:val="28"/>
          <w:szCs w:val="28"/>
          <w:rtl w:val="true"/>
          <w:lang w:val="en-US" w:bidi="en-US"/>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تزویج الولیّ بمقتضی العمومات، الأصل فیه اللزوم و الجواز علی المزوجة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نفی الضرر و الحرج دلّ علی عدم اللزوم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فجمعنا بین</w:t>
      </w:r>
    </w:p>
    <w:p>
      <w:pPr>
        <w:pStyle w:val="BookText"/>
        <w:rPr/>
      </w:pPr>
      <w:r>
        <w:rPr>
          <w:rFonts w:ascii="IRNazanin" w:hAnsi="IRNazanin" w:eastAsia="IRNazanin"/>
          <w:color w:val="111111"/>
          <w:sz w:val="28"/>
          <w:sz w:val="28"/>
          <w:szCs w:val="28"/>
          <w:rtl w:val="true"/>
          <w:lang w:bidi="fa-IR"/>
        </w:rPr>
        <w:t>مقتضی ما دلّ علی اللزوم و ما دلّ علی نفی الضرر علیها، بأنّ العقد لازم و للزوجة الاعتراض فی المهر فقط؛ لأنّ أدلّة نفی الضرر فی المقام لا تثبت إلاّ الاعتراض فی الصداق، و لا دلیل علی جواز الاعتراض فی العقد</w:t>
      </w:r>
      <w:r>
        <w:rPr>
          <w:rFonts w:eastAsia="IRNazanin" w:cs="IRNazanin"/>
          <w:color w:val="111111"/>
          <w:sz w:val="28"/>
          <w:szCs w:val="28"/>
          <w:rtl w:val="true"/>
          <w:lang w:bidi="fa-IR"/>
        </w:rPr>
        <w:t>»</w:t>
      </w:r>
      <w:r>
        <w:rPr>
          <w:rStyle w:val="FootnoteAnchor"/>
          <w:rtl w:val="true"/>
        </w:rPr>
        <w:footnoteReference w:id="26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یرد علیه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الضرر لیس فی جعل المهر نفسه، و إنّما هو بالنکاح علی المهر المذکور، فالضرر یکون بالنکاح المقیّد بالمهر، و انتفاؤه بدلیل نفی الضرر عین البطلان</w:t>
      </w:r>
      <w:r>
        <w:rPr>
          <w:rStyle w:val="FootnoteAnchor"/>
          <w:rtl w:val="true"/>
        </w:rPr>
        <w:footnoteReference w:id="26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صحّ التفکیک بین العقد و المهر، بأن کان التزویج من الولیّ غیر مقیّدٍ بالمهر المعیّن کان لکلامه قدس سره وجهٌ، و الأدلّة شاملة لنفس العقد، و إنّما الضرر فی الصداق، و هو یقتضی خروجه عن أدلّة الولایة، فیتوقّف علی الإجازة، و لکن التفکیک بین العقد و المهر مشکل و العرف لا یُساعده، و إن کان بحسب الدقّة العقلیة بینهما تفکیک کما أشار إلیه فی المستمسک</w:t>
      </w:r>
      <w:r>
        <w:rPr>
          <w:rStyle w:val="FootnoteAnchor"/>
          <w:rtl w:val="true"/>
        </w:rPr>
        <w:footnoteReference w:id="2652"/>
      </w:r>
      <w:r>
        <w:rPr>
          <w:rFonts w:ascii="IRNazanin" w:hAnsi="IRNazanin" w:eastAsia="IRNazanin"/>
          <w:color w:val="111111"/>
          <w:sz w:val="28"/>
          <w:sz w:val="28"/>
          <w:szCs w:val="28"/>
          <w:rtl w:val="true"/>
          <w:lang w:bidi="fa-IR"/>
        </w:rPr>
        <w:t>تبعاً للجواهر</w:t>
      </w:r>
      <w:r>
        <w:rPr>
          <w:rStyle w:val="FootnoteAnchor"/>
          <w:rtl w:val="true"/>
        </w:rPr>
        <w:footnoteReference w:id="26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أورد علیه أیضاً السیّد الخوئی بأنّه یعتبر التطابق بین الإیجاب و القبول، فلو أنشأ البائع بیع دارٍ و قبل المشتری شراء سیّارةٍ بطل العقد، و یلزم فی کلامه قدس سره عدم التطابق بین الإیجاب و القبول، فإنّ الزوج إنّما قبل العقد بالمهر المعیّن و لم یقبل العقد الخالی عن المهر</w:t>
      </w:r>
      <w:r>
        <w:rPr>
          <w:rStyle w:val="FootnoteAnchor"/>
          <w:rtl w:val="true"/>
        </w:rPr>
        <w:footnoteReference w:id="2654"/>
      </w:r>
      <w:r>
        <w:rPr>
          <w:rFonts w:eastAsia="Times New Roman" w:cs="Times New Roman" w:ascii="Times New Roman" w:hAnsi="Times New Roman"/>
          <w:color w:val="111111"/>
          <w:sz w:val="28"/>
          <w:szCs w:val="28"/>
          <w:rtl w:val="true"/>
          <w:lang w:val="en-US" w:bidi="en-US"/>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أضاف الشیخ الأعظم الأنصاری فی ذیل هذه المسألة نتیجتها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لو اعترضت المزوّجة و أُلزم الزوج بمهر المثل، فهل له الفسخ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إنّما أقدم علی</w:t>
      </w:r>
    </w:p>
    <w:p>
      <w:pPr>
        <w:pStyle w:val="BookText"/>
        <w:rPr/>
      </w:pPr>
      <w:r>
        <w:rPr>
          <w:rFonts w:ascii="IRNazanin" w:hAnsi="IRNazanin" w:eastAsia="IRNazanin"/>
          <w:color w:val="111111"/>
          <w:sz w:val="28"/>
          <w:sz w:val="28"/>
          <w:szCs w:val="28"/>
          <w:rtl w:val="true"/>
          <w:lang w:bidi="fa-IR"/>
        </w:rPr>
        <w:t xml:space="preserve">تزوّجها بالمسمّی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لا؟ أم فیه تفصیلٌ بین علم الزوج بالحال الموجب لإقدامه علی التزویج و إن آل الأمر إلی الاعتراض و الالتزام بمهر المثل، و بین جهله بالحال؟ وجوه، و المسألة مشکلة من أنّ إلزامه بأزید ممّا أقدم علیه ضرر، و من أصالة اللزوم، و عدم الدلیل علی الخیار، و أنّ مهر المثل قیمة المثل للبضع، فبذله فی مقابله لا یعدّ ضرراً</w:t>
      </w:r>
      <w:r>
        <w:rPr>
          <w:rFonts w:eastAsia="IRNazanin" w:cs="IRNazanin"/>
          <w:color w:val="111111"/>
          <w:sz w:val="28"/>
          <w:szCs w:val="28"/>
          <w:rtl w:val="true"/>
          <w:lang w:bidi="fa-IR"/>
        </w:rPr>
        <w:t>»</w:t>
      </w:r>
      <w:r>
        <w:rPr>
          <w:rStyle w:val="FootnoteAnchor"/>
          <w:rtl w:val="true"/>
        </w:rPr>
        <w:footnoteReference w:id="26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العقد و المهر یصحّان، و هو مذهب الشیخ رحمه الله فی الخلاف،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زوّج الأب أو الجدّ من له إجبارها علی النکاح، من البکر الصغیرة أو الکبیرة بمهر دون مهر المثل ثبت المسمّی و لا یجب مهر المثل</w:t>
      </w:r>
      <w:r>
        <w:rPr>
          <w:rFonts w:eastAsia="IRNazanin" w:cs="IRNazanin"/>
          <w:color w:val="111111"/>
          <w:sz w:val="28"/>
          <w:szCs w:val="28"/>
          <w:rtl w:val="true"/>
          <w:lang w:bidi="fa-IR"/>
        </w:rPr>
        <w:t>»</w:t>
      </w:r>
      <w:r>
        <w:rPr>
          <w:rStyle w:val="FootnoteAnchor"/>
          <w:rtl w:val="true"/>
        </w:rPr>
        <w:footnoteReference w:id="2656"/>
      </w:r>
    </w:p>
    <w:p>
      <w:pPr>
        <w:pStyle w:val="BookText"/>
        <w:rPr/>
      </w:pPr>
      <w:r>
        <w:rPr>
          <w:rFonts w:ascii="IRNazanin" w:hAnsi="IRNazanin" w:eastAsia="IRNazanin"/>
          <w:color w:val="111111"/>
          <w:sz w:val="28"/>
          <w:sz w:val="28"/>
          <w:szCs w:val="28"/>
          <w:rtl w:val="true"/>
          <w:lang w:bidi="fa-IR"/>
        </w:rPr>
        <w:t>و هکذا قال فی المبسوط أیضاً</w:t>
      </w:r>
      <w:r>
        <w:rPr>
          <w:rStyle w:val="FootnoteAnchor"/>
          <w:rtl w:val="true"/>
        </w:rPr>
        <w:footnoteReference w:id="26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استدلّ الشیخ رحمه الله لإثبات نظره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خلاف بأنّ مهر المسمّی واجب علیه، و من أوجب مهر المثل فعلیه الدلالة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طَلَّقْتُمُوهُنَّ مِنْ قَبْلِ أَنْ تَمَسُّوهُنَّ وَ قَدْ فَرَضْتُمْ لَهُنَّ فَرِیضَةً فَنِصْفُ ما فَرَضْتُمْ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لم یفصّل بین أن یکون دون مهر المثل أو مثله أو فوقه، فوجب حمله علی عمومه</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أدّوا العلائق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العلائق؟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تراضی علیه الأهلون</w:t>
      </w:r>
      <w:r>
        <w:rPr>
          <w:rFonts w:eastAsia="IRNazanin" w:cs="IRNazanin"/>
          <w:color w:val="111111"/>
          <w:sz w:val="28"/>
          <w:szCs w:val="28"/>
          <w:rtl w:val="true"/>
          <w:lang w:bidi="fa-IR"/>
        </w:rPr>
        <w:t>»</w:t>
      </w:r>
      <w:r>
        <w:rPr>
          <w:rStyle w:val="FootnoteAnchor"/>
          <w:rtl w:val="true"/>
        </w:rPr>
        <w:footnoteReference w:id="2658"/>
      </w:r>
    </w:p>
    <w:p>
      <w:pPr>
        <w:pStyle w:val="BookText"/>
        <w:rPr/>
      </w:pPr>
      <w:r>
        <w:rPr>
          <w:rFonts w:ascii="IRNazanin" w:hAnsi="IRNazanin" w:eastAsia="IRNazanin"/>
          <w:color w:val="111111"/>
          <w:sz w:val="28"/>
          <w:sz w:val="28"/>
          <w:szCs w:val="28"/>
          <w:rtl w:val="true"/>
          <w:lang w:bidi="fa-IR"/>
        </w:rPr>
        <w:t>و هذا قد تراضی الأهلون علیه فوجب أنْ لا یؤدّوا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علمنا أنّ النبیّ صلی الله علیه و آله زوّج بناته بخمسمائة درهم، و معلوم أنّ مهر مثل بنت النبیّ صلی الله علیه و آله لا یکون هذا القدر، فلو لا أنّ الولیّ إذا عقد علی أقلّ من مهر المثل صحّ و لزم المسمّی لما کان رسول اللّه یفعله</w:t>
      </w:r>
      <w:r>
        <w:rPr>
          <w:rStyle w:val="FootnoteAnchor"/>
          <w:rtl w:val="true"/>
        </w:rPr>
        <w:footnoteReference w:id="26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جمیع هذه الوجوه نظر، أمّا الأوّل و الثانی فسیأتی فی أدلّة القول الثالث أنّ إطلاقات الصحّة منصرفة عن هذا العقد، و تزویج الولیّ فی هذه الحالة باطل، فوجوب مهر المسمّی أو نصف المهر فی الآیة الکریمة متفرّعان علی صحّة النکاح، و فی هذا المورد یکون النکاح باطلاً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روایة ابن عمر مع ضعف سندها، فالظاهر منها أنّ المراد من العلائق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العلائق و المهور التی تترتّب علی عقدٍ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الوجه الرابع أعنی تزویج النبیّ صلی الله علیه و آله بناته، فلم یثبت أنّه من باب الولایة علی تزویج الصغار؛ لأنّ بنات النبیّ صلی الله علیه و آله حین تزویجهنّ کنّ کباراً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القول الثالث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هو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العقد و المهر معاً باطلان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المعتمد فی الفتوی أنّه إذا زوّجها کذلک مع المصلحة، فلا اعتراض لهما أصلاً، و إلاّ کان لها فسخ المسمّی و النکاح معاً</w:t>
      </w:r>
      <w:r>
        <w:rPr>
          <w:rFonts w:eastAsia="IRNazanin" w:cs="IRNazanin"/>
          <w:color w:val="111111"/>
          <w:sz w:val="28"/>
          <w:szCs w:val="28"/>
          <w:rtl w:val="true"/>
          <w:lang w:bidi="fa-IR"/>
        </w:rPr>
        <w:t>»</w:t>
      </w:r>
      <w:r>
        <w:rPr>
          <w:rStyle w:val="FootnoteAnchor"/>
          <w:rtl w:val="true"/>
        </w:rPr>
        <w:footnoteReference w:id="2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اختاره فی الجواهر</w:t>
      </w:r>
      <w:r>
        <w:rPr>
          <w:rStyle w:val="FootnoteAnchor"/>
          <w:rtl w:val="true"/>
        </w:rPr>
        <w:footnoteReference w:id="26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تبعه فی العروة</w:t>
      </w:r>
      <w:r>
        <w:rPr>
          <w:rStyle w:val="FootnoteAnchor"/>
          <w:rtl w:val="true"/>
        </w:rPr>
        <w:footnoteReference w:id="2662"/>
      </w:r>
      <w:r>
        <w:rPr>
          <w:rFonts w:ascii="IRNazanin" w:hAnsi="IRNazanin" w:eastAsia="IRNazanin"/>
          <w:color w:val="111111"/>
          <w:sz w:val="28"/>
          <w:sz w:val="28"/>
          <w:szCs w:val="28"/>
          <w:rtl w:val="true"/>
          <w:lang w:bidi="fa-IR"/>
        </w:rPr>
        <w:t>و التعلیقات علیها، و یدلّ علی هذا القول وجوهٌ</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أدلّةَ ولایة الأب و الجدّ تنصرف بحکم الغلبة إلی التزویج من الکفء</w:t>
      </w:r>
    </w:p>
    <w:p>
      <w:pPr>
        <w:pStyle w:val="BookText"/>
        <w:rPr/>
      </w:pPr>
      <w:r>
        <w:rPr>
          <w:rFonts w:ascii="IRNazanin" w:hAnsi="IRNazanin" w:eastAsia="IRNazanin"/>
          <w:color w:val="111111"/>
          <w:sz w:val="28"/>
          <w:sz w:val="28"/>
          <w:szCs w:val="28"/>
          <w:rtl w:val="true"/>
          <w:lang w:bidi="fa-IR"/>
        </w:rPr>
        <w:t>بمهر المثل، إلاّ أن تکون هناک مصلحة یجبر بها نقصان المهر، بل إنّ سوق النصوص السابقة لبیان غیر مورد النزاع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لا یبعد أن یکون ذلک التزویج من الولی ضرریّاً علی المولّی علیه؛ لنقصان المهر علی خلاف العرف و العادة، و لعلّه حرجیّ ما لم یقترن بمصلحةٍ خارجیّة؛ و لأنّ الصبر علی ذلک فیه مشقّةٌ عظیمة سیّما فیما نشاهده من أنّ فی تقلیل المهر عند النساء غضاضة و عاراً لا یتحمّلنه عادة، بل ربّما تقنع بعضهنّ بمجرّد اشتغال ذمّة الزوج بالصداق الکثیر فی متن العقد، ثمّ تبرئ ذمّته منه أو تصالحه علی شیءٍ 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فصبر النساء علی قلّة المهر فیه مشقةٌ عظیمة و غضاضة عند الأقران، و حیث إنّ الضرر و الحرج منفیّان فی الشریعة، و أدلّة نفی الحرج و الضرر حاکمةٌ علی أدلّة صحّة تزویج الأولیاء فتسقط أدلّة الولایة، فأصل العقد و المهر باطلٌ‌</w:t>
      </w:r>
      <w:r>
        <w:rPr>
          <w:rStyle w:val="FootnoteAnchor"/>
          <w:rtl w:val="true"/>
        </w:rPr>
        <w:footnoteReference w:id="26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العقد الواقع فی الخارج أمرٌ واحدٌ مشخّص، فإمّا أن یکون صحیحاً بلا إجازةٍ، أو تکون صحّته موقوفة علی الإجازة، و لا مجال للتفکیک بین ذات العقد فیصحّ و بین المهر فیتوقّف علی الإجازة، و ما وقع من الولی المنشئ للعقد أمرٌ واحدٌ، و هو التزویج المقیّد بمهر دون مهر المثل، و لم یکن هناک شیئان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جائز و الآخر ضرری منفیّ بدلیل نفی الضرر، بل ما هو ضرری هو هذا العقد المقیّد بالمهر، و أدلّة نفی الضرر و الحرج تنفیه، فالعقد و المهر کلاهما باطلان، و اللّه هو العالم بحکمه</w:t>
      </w:r>
      <w:r>
        <w:rPr>
          <w:rStyle w:val="FootnoteAnchor"/>
          <w:rtl w:val="true"/>
        </w:rPr>
        <w:footnoteReference w:id="2664"/>
      </w:r>
      <w:r>
        <w:rPr>
          <w:rFonts w:eastAsia="Times New Roman" w:cs="Times New Roman" w:ascii="Times New Roman" w:hAnsi="Times New Roman"/>
          <w:color w:val="111111"/>
          <w:sz w:val="28"/>
          <w:szCs w:val="28"/>
          <w:rtl w:val="true"/>
          <w:lang w:val="en-US" w:bidi="en-US"/>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 فی القول الثالث من الفرع الثانی ظهر الحال فی الفرع الثالث أیضاً،</w:t>
      </w:r>
      <w:bookmarkStart w:id="1251" w:name="pg11752_146622"/>
    </w:p>
    <w:p>
      <w:pPr>
        <w:pStyle w:val="BookText"/>
        <w:rPr/>
      </w:pPr>
      <w:bookmarkEnd w:id="1251"/>
      <w:r>
        <w:rPr>
          <w:rFonts w:ascii="IRNazanin" w:hAnsi="IRNazanin" w:eastAsia="IRNazanin"/>
          <w:color w:val="111111"/>
          <w:sz w:val="28"/>
          <w:sz w:val="28"/>
          <w:szCs w:val="28"/>
          <w:rtl w:val="true"/>
          <w:lang w:bidi="fa-IR"/>
        </w:rPr>
        <w:t>أی تزویج الولیّ الصغیرة أو الصغیر بمهرٍ دون مهر المثل أو أزید مع وجود المفسدة، فإنّ العقد باطل قطعاً، و لم نجد مَن قال بصحّته</w:t>
      </w:r>
      <w:r>
        <w:rPr>
          <w:rFonts w:eastAsia="IRNazanin" w:cs="IRNazanin"/>
          <w:color w:val="111111"/>
          <w:sz w:val="28"/>
          <w:szCs w:val="28"/>
          <w:rtl w:val="true"/>
          <w:lang w:bidi="fa-IR"/>
        </w:rPr>
        <w:t>.</w:t>
      </w:r>
    </w:p>
    <w:p>
      <w:pPr>
        <w:pStyle w:val="Heading6"/>
        <w:numPr>
          <w:ilvl w:val="5"/>
          <w:numId w:val="1"/>
        </w:numPr>
        <w:rPr/>
      </w:pPr>
      <w:bookmarkStart w:id="1252" w:name="__RefHeading___Toc9424726_73709187"/>
      <w:bookmarkStart w:id="1253" w:name="_Toc477"/>
      <w:bookmarkEnd w:id="1252"/>
      <w:r>
        <w:rPr>
          <w:rtl w:val="true"/>
        </w:rPr>
        <w:t>آراء الجمهور من أهل السنّة فی تزویج الولیّ الصغار بدون مهر المثل</w:t>
      </w:r>
      <w:bookmarkEnd w:id="1253"/>
    </w:p>
    <w:p>
      <w:pPr>
        <w:pStyle w:val="BookText"/>
        <w:rPr/>
      </w:pPr>
      <w:r>
        <w:rPr>
          <w:rFonts w:ascii="IRNazanin" w:hAnsi="IRNazanin" w:eastAsia="IRNazanin"/>
          <w:color w:val="111111"/>
          <w:sz w:val="28"/>
          <w:sz w:val="28"/>
          <w:szCs w:val="28"/>
          <w:rtl w:val="true"/>
          <w:lang w:bidi="fa-IR"/>
        </w:rPr>
        <w:t>إذا زوّج الأب ابنته الصغیرة و أنقص من مهرها، أو ابنه الصغیر و زاد فی مهر امرأته هل یصحّ العقد أم لا؟ فیه تفصیل عند أهل السنّة، و إلیک آراؤهم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الحنفیة</w:t>
      </w:r>
    </w:p>
    <w:p>
      <w:pPr>
        <w:pStyle w:val="BookText"/>
        <w:rPr/>
      </w:pPr>
      <w:r>
        <w:rPr>
          <w:rFonts w:ascii="IRNazanin" w:hAnsi="IRNazanin" w:eastAsia="IRNazanin"/>
          <w:color w:val="111111"/>
          <w:sz w:val="28"/>
          <w:sz w:val="28"/>
          <w:szCs w:val="28"/>
          <w:rtl w:val="true"/>
          <w:lang w:bidi="fa-IR"/>
        </w:rPr>
        <w:t>قال الکاسانی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کان تصرّف الأب و الجدّ مقیّداً بالنظر و المصلحة، فإذا زوّج الأب أو الجدّ الصغیرة بدون مهر المثل أو زوّج ابنه الصغیر امرأة بأکثر من مهر مثلها، إن کان ذلک ممّا یتغابن الناس فی مثله لا یجوز إجماعاً، و إن کان ممّا لا یتغابن الناس فی مثله یجوز فی قول أبی حنیفة، و لا یجوز عند أبی یوسف و محمّد بن الحسن الشیبانی، و وجه الأخیر بأنّ الولایة مقیّدة بشرط النظر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مراعاة المصلحة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فوات المصلحة یبطل العقد و النکاح الذی دون مهر المثل، و الزیادة علی مهر المثل لا مصلحة فیه بل فیه ضرر، و الإضرار لا یدخل تحت ولایة الولیّ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قول أبی حنیفة بروایة تزویج أبی بکر عائشة و هی صغیرة من رسول اللّه صلی الله علیه و آله علی خمسمائة درهم، و الحال أنّ مهر مثلها کان أضعاف ذلک، و إنّ الأب وافر الشفقة علی ولده ینظر له ما لا ینظر لنفسه</w:t>
      </w:r>
      <w:r>
        <w:rPr>
          <w:rFonts w:eastAsia="IRNazanin" w:cs="IRNazanin"/>
          <w:color w:val="111111"/>
          <w:sz w:val="28"/>
          <w:szCs w:val="28"/>
          <w:rtl w:val="true"/>
          <w:lang w:bidi="fa-IR"/>
        </w:rPr>
        <w:t>»</w:t>
      </w:r>
      <w:r>
        <w:rPr>
          <w:rStyle w:val="FootnoteAnchor"/>
          <w:rtl w:val="true"/>
        </w:rPr>
        <w:footnoteReference w:id="2665"/>
      </w:r>
      <w:r>
        <w:rPr>
          <w:rFonts w:eastAsia="Times New Roman" w:cs="Times New Roman" w:ascii="Times New Roman" w:hAnsi="Times New Roman"/>
          <w:color w:val="111111"/>
          <w:sz w:val="28"/>
          <w:szCs w:val="28"/>
          <w:rtl w:val="true"/>
          <w:lang w:val="en-US" w:bidi="en-US"/>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إن کان تصرّف الأب و الجدّ و إعمال ولایتهما مقیّداً بالنظر و المصلحة فیمکن أن یوجّه فی الصورتین بوجودها، و القول بأنّ التزویج بأقلّ من مهر المثل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إذا کان یتغابن فیه الناس إذا اقتضی المصلحة و أجبر الضرر و الغضاضة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یجوز، کما أنّ تزویج النبیّ صلی الله علیه و آله من عائشة بخمسمائة درهم کان لمصلحةٍ، و الظاهر أنّه کذلک؛ لأنّ شرف النبیّ و علوّ درجته یجبر الضرر و النقص من جهة المهر، و هذا معلوم شبهة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الحنابلة و المالکیّة</w:t>
      </w:r>
    </w:p>
    <w:p>
      <w:pPr>
        <w:pStyle w:val="BookText"/>
        <w:rPr/>
      </w:pPr>
      <w:r>
        <w:rPr>
          <w:rFonts w:ascii="IRNazanin" w:hAnsi="IRNazanin" w:eastAsia="IRNazanin"/>
          <w:color w:val="111111"/>
          <w:sz w:val="28"/>
          <w:sz w:val="28"/>
          <w:szCs w:val="28"/>
          <w:rtl w:val="true"/>
          <w:lang w:bidi="fa-IR"/>
        </w:rPr>
        <w:t>قال ابن قدامة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للأب تزویج ابنته بدون صداق مثلها، بکراً کانت أو ثیّباً صغیرةً کانت أو کبیرة، و وجّه نظره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تغالوا فی صداق النساء، فما أصدق رسول اللّه صلی الله علیه و آله أحداً من نسائه و لا أحداً من بناته أکثر من اثنتی عشرة أُوقیة، و کان ذلک بمحضرٍ من الصحابة و لم ینکروه، فکان اتّفاقاً منهم علی أنّ له أن یزوّج بذلک و إن کان دون صداق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سعید بن المسیب زوّج ابنته بدرهمین، و هو من سادات قریش شرفاً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أنّه لم یکن مهر 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لیس المقصود من النکاح العوض، و إنّما المقصود منه السکن و الازدواج و وضع المرأة عند من یکفیها</w:t>
      </w:r>
      <w:r>
        <w:rPr>
          <w:rStyle w:val="FootnoteAnchor"/>
          <w:rtl w:val="true"/>
        </w:rPr>
        <w:footnoteReference w:id="26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جمیع الوجوه الثلاثة نظر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فی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یعلم أنّ ذلک أقلّ من مهر المثل فی ذلک العصر، هذا أوّلاً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فی فعله صلی الله علیه و آله مصلحة، و إذا کان کذلک یجبر الضرر الوارد علی الصغیر و الصغیرة</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عمل سعید بن المسیب لا یکون حجّة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ما هو المقصود بالنکاح لا ینافی بأن یجعل فیه مهر المثل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الشافعیّة</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لأب الجاریة الصغیرة و الکبیرة البکر و سیّد الأمة أن یضع من مهرها، و لو زوّجهما الولیّ بمهر دون مهر المثل یبطل المسمّی و یجب مهر المثل</w:t>
      </w:r>
      <w:r>
        <w:rPr>
          <w:rStyle w:val="FootnoteAnchor"/>
          <w:rtl w:val="true"/>
        </w:rPr>
        <w:footnoteReference w:id="2667"/>
      </w:r>
      <w:r>
        <w:rPr>
          <w:rFonts w:ascii="IRNazanin" w:hAnsi="IRNazanin" w:eastAsia="IRNazanin"/>
          <w:color w:val="111111"/>
          <w:sz w:val="28"/>
          <w:sz w:val="28"/>
          <w:szCs w:val="28"/>
          <w:rtl w:val="true"/>
          <w:lang w:bidi="fa-IR"/>
        </w:rPr>
        <w:t>، و به قال الظاهریة</w:t>
      </w:r>
      <w:r>
        <w:rPr>
          <w:rStyle w:val="FootnoteAnchor"/>
          <w:rtl w:val="true"/>
        </w:rPr>
        <w:footnoteReference w:id="26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یرد علیه ما ذکرناه فی الجواب عن قول الحنفیّة</w:t>
      </w:r>
      <w:r>
        <w:rPr>
          <w:rFonts w:eastAsia="IRNazanin" w:cs="IRNazanin"/>
          <w:color w:val="111111"/>
          <w:sz w:val="28"/>
          <w:szCs w:val="28"/>
          <w:rtl w:val="true"/>
          <w:lang w:bidi="fa-IR"/>
        </w:rPr>
        <w:t>.</w:t>
      </w:r>
      <w:bookmarkStart w:id="1254" w:name="pg11752_146625"/>
    </w:p>
    <w:p>
      <w:pPr>
        <w:pStyle w:val="Heading4"/>
        <w:numPr>
          <w:ilvl w:val="3"/>
          <w:numId w:val="1"/>
        </w:numPr>
        <w:rPr/>
      </w:pPr>
      <w:bookmarkStart w:id="1255" w:name="__RefHeading___Toc9424728_73709187"/>
      <w:bookmarkStart w:id="1256" w:name="_Toc478"/>
      <w:bookmarkEnd w:id="1254"/>
      <w:bookmarkEnd w:id="1255"/>
      <w:r>
        <w:rPr>
          <w:rtl w:val="true"/>
        </w:rPr>
        <w:t>المبحث السابع</w:t>
      </w:r>
      <w:r>
        <w:rPr>
          <w:rtl w:val="true"/>
        </w:rPr>
        <w:t xml:space="preserve">: </w:t>
      </w:r>
      <w:r>
        <w:rPr>
          <w:rtl w:val="true"/>
        </w:rPr>
        <w:t>تزویج الصغیرة بمن به عیب</w:t>
      </w:r>
      <w:bookmarkEnd w:id="1256"/>
    </w:p>
    <w:p>
      <w:pPr>
        <w:pStyle w:val="Heading5"/>
        <w:numPr>
          <w:ilvl w:val="4"/>
          <w:numId w:val="1"/>
        </w:numPr>
        <w:rPr/>
      </w:pPr>
      <w:bookmarkStart w:id="1257" w:name="__RefHeading___Toc9424730_73709187"/>
      <w:bookmarkStart w:id="1258" w:name="_Toc479"/>
      <w:bookmarkEnd w:id="1257"/>
      <w:r>
        <w:rPr>
          <w:rtl w:val="true"/>
        </w:rPr>
        <w:t>اشارة</w:t>
      </w:r>
      <w:bookmarkEnd w:id="1258"/>
    </w:p>
    <w:p>
      <w:pPr>
        <w:pStyle w:val="BookText"/>
        <w:rPr/>
      </w:pPr>
      <w:r>
        <w:rPr>
          <w:rFonts w:ascii="IRNazanin" w:hAnsi="IRNazanin" w:eastAsia="IRNazanin"/>
          <w:color w:val="111111"/>
          <w:sz w:val="28"/>
          <w:sz w:val="28"/>
          <w:szCs w:val="28"/>
          <w:rtl w:val="true"/>
          <w:lang w:bidi="fa-IR"/>
        </w:rPr>
        <w:t>وقع البحث فی أنّه هل یجوز للولیّ تزویج الصغیر أو الصغیرة بمن به عیب، سواء کان العیب من العیوب المجوّزة للفسخ کالجنون أو غیر ذلک، أو لا یجوز له؟ و علی القول بالجواز هل لهما الخیار أم لا؟</w:t>
      </w:r>
    </w:p>
    <w:p>
      <w:pPr>
        <w:pStyle w:val="BookText"/>
        <w:rPr/>
      </w:pPr>
      <w:r>
        <w:rPr>
          <w:rFonts w:ascii="IRNazanin" w:hAnsi="IRNazanin" w:eastAsia="IRNazanin"/>
          <w:color w:val="111111"/>
          <w:sz w:val="28"/>
          <w:sz w:val="28"/>
          <w:szCs w:val="28"/>
          <w:rtl w:val="true"/>
          <w:lang w:bidi="fa-IR"/>
        </w:rPr>
        <w:t>صور المسألة ثمانیة، نبحث عن بعضها و نشیر إلی أنّ حکم بعضها الآخر مندرج فیما نبحث، و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تزویج الولیّ الصغیرة بمن به عیب موجب للفسخ</w:t>
      </w:r>
      <w:r>
        <w:rPr>
          <w:rStyle w:val="FootnoteAnchor"/>
          <w:rtl w:val="true"/>
        </w:rPr>
        <w:footnoteReference w:id="26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تزویج الولیّ الصغیر بالتی بها عیب موجب للفسخ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تزویج الولیّ الصغیرة بمن به عیب، و لم یکن من العیوب المجوّزة للفسخ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تزویج الولیّ الصغیر بالتی بها عیب و لم یکن من العیوب المجوّزة للفسخ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کلّ واحدٍ منها إمّا أن یکون هناک مصلحة تلزم المراعاة أو لم یکن کذلک، فنقول</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الصورة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أنّه إذا زوّج الولیّ الصغیرة بمن به عیب من العیوب المجوّزة للفسخ مع مراعاة المصلحة فالعقد صحیح، و لکن لها الخیار بعد البلوغ</w:t>
      </w:r>
    </w:p>
    <w:p>
      <w:pPr>
        <w:pStyle w:val="BookText"/>
        <w:rPr/>
      </w:pPr>
      <w:r>
        <w:rPr>
          <w:rFonts w:ascii="IRNazanin" w:hAnsi="IRNazanin" w:eastAsia="IRNazanin"/>
          <w:color w:val="111111"/>
          <w:sz w:val="28"/>
          <w:sz w:val="28"/>
          <w:szCs w:val="28"/>
          <w:rtl w:val="true"/>
          <w:lang w:bidi="fa-IR"/>
        </w:rPr>
        <w:t>و الکمال، و به قال الشیخ</w:t>
      </w:r>
      <w:r>
        <w:rPr>
          <w:rStyle w:val="FootnoteAnchor"/>
          <w:rtl w:val="true"/>
        </w:rPr>
        <w:footnoteReference w:id="2670"/>
      </w:r>
      <w:r>
        <w:rPr>
          <w:rFonts w:ascii="IRNazanin" w:hAnsi="IRNazanin" w:eastAsia="IRNazanin"/>
          <w:color w:val="111111"/>
          <w:sz w:val="28"/>
          <w:sz w:val="28"/>
          <w:szCs w:val="28"/>
          <w:rtl w:val="true"/>
          <w:lang w:bidi="fa-IR"/>
        </w:rPr>
        <w:t>و الفاضلان</w:t>
      </w:r>
      <w:r>
        <w:rPr>
          <w:rStyle w:val="FootnoteAnchor"/>
          <w:rtl w:val="true"/>
        </w:rPr>
        <w:footnoteReference w:id="2671"/>
      </w:r>
      <w:r>
        <w:rPr>
          <w:rFonts w:ascii="IRNazanin" w:hAnsi="IRNazanin" w:eastAsia="IRNazanin"/>
          <w:color w:val="111111"/>
          <w:sz w:val="28"/>
          <w:sz w:val="28"/>
          <w:szCs w:val="28"/>
          <w:rtl w:val="true"/>
          <w:lang w:bidi="fa-IR"/>
        </w:rPr>
        <w:t>و غیرهم</w:t>
      </w:r>
      <w:r>
        <w:rPr>
          <w:rStyle w:val="FootnoteAnchor"/>
          <w:rtl w:val="true"/>
        </w:rPr>
        <w:footnoteReference w:id="26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الدلیل علی صحّة العقد أنّ کلّ واحدٍ من المذکورین کفء؛ إذ العیوب المذکورة لا تنافی الکفاءة، فلا تنافی الصحّة، و إنّما المانع من الصحّة هو تزویجها بغیر الکفء، فأدلّةُ الولایة تشمل هذا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 الصغیرة لو کانت کاملةً لکان لها أن تتزوّج بمن ذکر، و الولیّ قائم مقام المولّی علیه فلا یکون إنکاح الولیّ الصغیرة بذی العیب باطلاً، و استدلّ فی المسالک</w:t>
      </w:r>
      <w:r>
        <w:rPr>
          <w:rStyle w:val="FootnoteAnchor"/>
          <w:rtl w:val="true"/>
        </w:rPr>
        <w:footnoteReference w:id="2673"/>
      </w:r>
      <w:r>
        <w:rPr>
          <w:rFonts w:ascii="IRNazanin" w:hAnsi="IRNazanin" w:eastAsia="IRNazanin"/>
          <w:color w:val="111111"/>
          <w:sz w:val="28"/>
          <w:sz w:val="28"/>
          <w:szCs w:val="28"/>
          <w:rtl w:val="true"/>
          <w:lang w:bidi="fa-IR"/>
        </w:rPr>
        <w:t>و الحدائق</w:t>
      </w:r>
      <w:r>
        <w:rPr>
          <w:rStyle w:val="FootnoteAnchor"/>
          <w:rtl w:val="true"/>
        </w:rPr>
        <w:footnoteReference w:id="2674"/>
      </w:r>
      <w:r>
        <w:rPr>
          <w:rFonts w:ascii="IRNazanin" w:hAnsi="IRNazanin" w:eastAsia="IRNazanin"/>
          <w:color w:val="111111"/>
          <w:sz w:val="28"/>
          <w:sz w:val="28"/>
          <w:szCs w:val="28"/>
          <w:rtl w:val="true"/>
          <w:lang w:bidi="fa-IR"/>
        </w:rPr>
        <w:t>و الجواهر</w:t>
      </w:r>
      <w:r>
        <w:rPr>
          <w:rStyle w:val="FootnoteAnchor"/>
          <w:rtl w:val="true"/>
        </w:rPr>
        <w:footnoteReference w:id="2675"/>
      </w:r>
      <w:r>
        <w:rPr>
          <w:rFonts w:ascii="IRNazanin" w:hAnsi="IRNazanin" w:eastAsia="IRNazanin"/>
          <w:color w:val="111111"/>
          <w:sz w:val="28"/>
          <w:sz w:val="28"/>
          <w:szCs w:val="28"/>
          <w:rtl w:val="true"/>
          <w:lang w:bidi="fa-IR"/>
        </w:rPr>
        <w:t>لصحّة هذا العقد بأصالة الصحّة فی العقود، و هو غیر تام؛ لأنّه لا دلیل علی أصالة الصحّة فی العقود سوی الإجماع، و هو دلیلٌ لببّی، و القدر المتیقّن منه هو ما إذا کان الشکّ فی الصحّة و الفساد مسبّباً عن الشکّ فی تأثیر العقد بعد الفراغ عن أهلیّة العاقد و قابلیّة المعقود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الشکّ فیما نحن فیه فی أنّه هل یکون للولیّ أهلیةٌ لهذا العقد أم لا؟ و مثل هذا لا یکون مجری أصالة الصحّة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أنّه هل کان للمولّی علیه خیار بعد بلوغه و کماله أم لا؟ وجهان</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ثبوت الخیار له کما یُشعر بذلک کلام الشیخ فی الخلاف؛ لأنّه أطلق جواز تزویج الولیّ الصغیرة بعبدٍ أو مجنون أو مجبوبٍ أو مجذومٍ أو أبرص أو خصیّ</w:t>
      </w:r>
      <w:r>
        <w:rPr>
          <w:rFonts w:eastAsia="IRNazanin" w:cs="IRNazanin"/>
          <w:color w:val="111111"/>
          <w:sz w:val="28"/>
          <w:szCs w:val="28"/>
          <w:rtl w:val="true"/>
          <w:lang w:bidi="fa-IR"/>
        </w:rPr>
        <w:t>...</w:t>
      </w:r>
      <w:r>
        <w:rPr>
          <w:rStyle w:val="FootnoteAnchor"/>
          <w:rtl w:val="true"/>
        </w:rPr>
        <w:footnoteReference w:id="2676"/>
      </w:r>
      <w:r>
        <w:rPr>
          <w:rFonts w:ascii="IRNazanin" w:hAnsi="IRNazanin" w:eastAsia="IRNazanin"/>
          <w:color w:val="111111"/>
          <w:sz w:val="28"/>
          <w:sz w:val="28"/>
          <w:szCs w:val="28"/>
          <w:rtl w:val="true"/>
          <w:lang w:bidi="fa-IR"/>
        </w:rPr>
        <w:t>من غیر ذکر للخیار، و یمکن أن یکون الوجه فی ذلک أنّ ما</w:t>
      </w:r>
    </w:p>
    <w:p>
      <w:pPr>
        <w:pStyle w:val="BookText"/>
        <w:rPr/>
      </w:pPr>
      <w:r>
        <w:rPr>
          <w:rFonts w:ascii="IRNazanin" w:hAnsi="IRNazanin" w:eastAsia="IRNazanin"/>
          <w:color w:val="111111"/>
          <w:sz w:val="28"/>
          <w:sz w:val="28"/>
          <w:szCs w:val="28"/>
          <w:rtl w:val="true"/>
          <w:lang w:bidi="fa-IR"/>
        </w:rPr>
        <w:t>دلّ علی الفسخ بأحد العیوب من الأخبار مختصّةٌ بما إذا جهلت الزوجة، لا ما إذا عقد الولیّ مع العلم بالعیب، بل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عقد الولیّ علی المُولّی علیه قبل الکمال بمنزلة عقد المُولّی علیه بعده، فکما لا خیار للمولّی علیه لو عقد مع العلم بالعیب، لا خیار له لو عقد ولیّه مع العلم بالعیب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نظر سیأتی وجهه فی ضمن کلام السید الخوئی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هو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یثبت له الخیار کما فی الشرائع</w:t>
      </w:r>
      <w:r>
        <w:rPr>
          <w:rStyle w:val="FootnoteAnchor"/>
          <w:rtl w:val="true"/>
        </w:rPr>
        <w:footnoteReference w:id="2677"/>
      </w:r>
      <w:r>
        <w:rPr>
          <w:rFonts w:ascii="IRNazanin" w:hAnsi="IRNazanin" w:eastAsia="IRNazanin"/>
          <w:color w:val="111111"/>
          <w:sz w:val="28"/>
          <w:sz w:val="28"/>
          <w:szCs w:val="28"/>
          <w:rtl w:val="true"/>
          <w:lang w:bidi="fa-IR"/>
        </w:rPr>
        <w:t>و القواعد</w:t>
      </w:r>
      <w:r>
        <w:rPr>
          <w:rStyle w:val="FootnoteAnchor"/>
          <w:rtl w:val="true"/>
        </w:rPr>
        <w:footnoteReference w:id="2678"/>
      </w:r>
    </w:p>
    <w:p>
      <w:pPr>
        <w:pStyle w:val="BookText"/>
        <w:rPr/>
      </w:pPr>
      <w:r>
        <w:rPr>
          <w:rFonts w:ascii="IRNazanin" w:hAnsi="IRNazanin" w:eastAsia="IRNazanin"/>
          <w:color w:val="111111"/>
          <w:sz w:val="28"/>
          <w:sz w:val="28"/>
          <w:szCs w:val="28"/>
          <w:rtl w:val="true"/>
          <w:lang w:bidi="fa-IR"/>
        </w:rPr>
        <w:t>و غیرهما</w:t>
      </w:r>
      <w:r>
        <w:rPr>
          <w:rStyle w:val="FootnoteAnchor"/>
          <w:rtl w:val="true"/>
        </w:rPr>
        <w:footnoteReference w:id="26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استظهر فی المسالک هذا أیضاً من کلام الشیخ الطوسی حیث ذکر بعد ما قال المحقّق و لها الخیار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قاله المصنّف رحمه الله أوضح و ما ذکره الشیخ غیر منافٍ له إلاّ فی العبد</w:t>
      </w:r>
      <w:r>
        <w:rPr>
          <w:rFonts w:eastAsia="IRNazanin" w:cs="IRNazanin"/>
          <w:color w:val="111111"/>
          <w:sz w:val="28"/>
          <w:szCs w:val="28"/>
          <w:rtl w:val="true"/>
          <w:lang w:bidi="fa-IR"/>
        </w:rPr>
        <w:t>»</w:t>
      </w:r>
      <w:r>
        <w:rPr>
          <w:rStyle w:val="FootnoteAnchor"/>
          <w:rtl w:val="true"/>
        </w:rPr>
        <w:footnoteReference w:id="26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أوجههما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ثبوت الخیار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لإطلاق أدلّة تلک العیوب</w:t>
      </w:r>
      <w:r>
        <w:rPr>
          <w:rStyle w:val="FootnoteAnchor"/>
          <w:rtl w:val="true"/>
        </w:rPr>
        <w:footnoteReference w:id="268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الشاملة لما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قصوره بمنزلة جهله، و علم الولیّ و لحاظه المصلحة لا یوجب سقوط الخیار للمُولّی علیه؛ و غایة ما تفید المصلحة إنّما هو صحّة العقد، فتبقی أدلّة الخیار بحالها</w:t>
      </w:r>
      <w:r>
        <w:rPr>
          <w:rFonts w:eastAsia="IRNazanin" w:cs="IRNazanin"/>
          <w:color w:val="111111"/>
          <w:sz w:val="28"/>
          <w:szCs w:val="28"/>
          <w:rtl w:val="true"/>
          <w:lang w:bidi="fa-IR"/>
        </w:rPr>
        <w:t>»</w:t>
      </w:r>
      <w:r>
        <w:rPr>
          <w:rStyle w:val="FootnoteAnchor"/>
          <w:rtl w:val="true"/>
        </w:rPr>
        <w:footnoteReference w:id="2682"/>
      </w:r>
      <w:r>
        <w:rPr>
          <w:rFonts w:eastAsia="Times New Roman" w:cs="Times New Roman" w:ascii="Times New Roman" w:hAnsi="Times New Roman"/>
          <w:color w:val="111111"/>
          <w:sz w:val="28"/>
          <w:szCs w:val="28"/>
          <w:rtl w:val="true"/>
          <w:lang w:val="en-US" w:bidi="en-US"/>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استشکل علیه فی المستمسک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هذا الإطلاق غیر ظاهرٍ، فإنّ</w:t>
      </w:r>
    </w:p>
    <w:p>
      <w:pPr>
        <w:pStyle w:val="BookText"/>
        <w:rPr/>
      </w:pPr>
      <w:r>
        <w:rPr>
          <w:rFonts w:ascii="IRNazanin" w:hAnsi="IRNazanin" w:eastAsia="IRNazanin"/>
          <w:color w:val="111111"/>
          <w:sz w:val="28"/>
          <w:sz w:val="28"/>
          <w:szCs w:val="28"/>
          <w:rtl w:val="true"/>
          <w:lang w:bidi="fa-IR"/>
        </w:rPr>
        <w:t>تلک الأدلّة کما لا تشمل صورة علم الزوج لا تشمل صورة علم ولیّه أو وکیله مع إقدامهما علی العیب لاقتضاء المصلحة ذلک، کما هو الحال فی سائر المعاملات التی یوقعها الولیّ أو الوکیل علی المعیب</w:t>
      </w:r>
      <w:r>
        <w:rPr>
          <w:rFonts w:eastAsia="IRNazanin" w:cs="IRNazanin"/>
          <w:color w:val="111111"/>
          <w:sz w:val="28"/>
          <w:szCs w:val="28"/>
          <w:rtl w:val="true"/>
          <w:lang w:bidi="fa-IR"/>
        </w:rPr>
        <w:t>»</w:t>
      </w:r>
      <w:r>
        <w:rPr>
          <w:rStyle w:val="FootnoteAnchor"/>
          <w:rtl w:val="true"/>
        </w:rPr>
        <w:footnoteReference w:id="26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علم الولیّ و الوکیل لمّا کان بمنزلة علم المُولّی علیه و الموکّل، خرج المورد عن منصرف أدلّة الخیار</w:t>
      </w:r>
      <w:r>
        <w:rPr>
          <w:rStyle w:val="FootnoteAnchor"/>
          <w:rtl w:val="true"/>
        </w:rPr>
        <w:footnoteReference w:id="26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أجاب عنه فی المستند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التوکیل أو الولایة لا یقتضیان إلاّ کون الفعل الصادر من الوکیل أو الولیّ بمنزلة الفعل الصادر من الموکّل أو المولّی علیه، و أمّا کون علمهما بمنزلة علمهما فهو ممّا لا یمکن إثباته بدلیلٍ، و لا موجب لتقیید المطلقات الدالّة علی ثبوت الخیار عند ظهور العیوب المعیّنة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تقیید المطلقات یحتاج إلی الدلیل، و لا دلیل علی کون علم الولیّ بمنزلة علم المُولّی علیه، فإطلاق الأخبار التی تدلّ علی الخیار تامّ یشمل المورد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استدلّ الشیخ الأعظم الأنصاری رحمه الله لثبوت الخیار بعموم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Style w:val="FootnoteAnchor"/>
          <w:rtl w:val="true"/>
        </w:rPr>
        <w:footnoteReference w:id="26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لکن تقدّم أنّ دلیل نفی الضرر إنّما هو ناظر إلی رفع الحکم الضرری، و لا یکون ناظراً إلی إثبات الخیار، فإنّ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یتکفّل إثبات الحکم، و إنّما هو یرفع الحکم الضرری و هو صحّة عقد الولیّ إنْ کان ضرریّاً، و یعتبر فی تصرّفه عدم الضرر، لا أنّه یثبت فیه الخیار إلاّ أن یکون مقصوده رحمه الله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یرفع اللزوم الذی کان ضرریّاً و ینتج الخیار</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أجاد فی المسالک فی الاستدلال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ثبوت الخیار فلوجود العیب الموجب له لو کان هو المباشر للعقد جاهلاً، و فعل الولیّ له حال صغره بمنزلة</w:t>
      </w:r>
    </w:p>
    <w:p>
      <w:pPr>
        <w:pStyle w:val="BookText"/>
        <w:rPr/>
      </w:pPr>
      <w:r>
        <w:rPr>
          <w:rFonts w:ascii="IRNazanin" w:hAnsi="IRNazanin" w:eastAsia="IRNazanin"/>
          <w:color w:val="111111"/>
          <w:sz w:val="28"/>
          <w:sz w:val="28"/>
          <w:szCs w:val="28"/>
          <w:rtl w:val="true"/>
          <w:lang w:bidi="fa-IR"/>
        </w:rPr>
        <w:t>الجهل</w:t>
      </w:r>
      <w:r>
        <w:rPr>
          <w:rFonts w:eastAsia="IRNazanin" w:cs="IRNazanin"/>
          <w:color w:val="111111"/>
          <w:sz w:val="28"/>
          <w:szCs w:val="28"/>
          <w:rtl w:val="true"/>
          <w:lang w:bidi="fa-IR"/>
        </w:rPr>
        <w:t>»</w:t>
      </w:r>
      <w:r>
        <w:rPr>
          <w:rStyle w:val="FootnoteAnchor"/>
          <w:rtl w:val="true"/>
        </w:rPr>
        <w:footnoteReference w:id="2686"/>
      </w:r>
      <w:r>
        <w:rPr>
          <w:rFonts w:ascii="IRNazanin" w:hAnsi="IRNazanin" w:eastAsia="IRNazanin"/>
          <w:color w:val="111111"/>
          <w:sz w:val="28"/>
          <w:sz w:val="28"/>
          <w:szCs w:val="28"/>
          <w:rtl w:val="true"/>
          <w:lang w:bidi="fa-IR"/>
        </w:rPr>
        <w:t>و تبعه فی الجواهر</w:t>
      </w:r>
      <w:r>
        <w:rPr>
          <w:rStyle w:val="FootnoteAnchor"/>
          <w:rtl w:val="true"/>
        </w:rPr>
        <w:footnoteReference w:id="2687"/>
      </w:r>
      <w:r>
        <w:rPr>
          <w:rFonts w:ascii="IRNazanin" w:hAnsi="IRNazanin" w:eastAsia="IRNazanin"/>
          <w:color w:val="111111"/>
          <w:sz w:val="28"/>
          <w:sz w:val="28"/>
          <w:szCs w:val="28"/>
          <w:rtl w:val="true"/>
          <w:lang w:bidi="fa-IR"/>
        </w:rPr>
        <w:t>، و اختاره فی الشرائع</w:t>
      </w:r>
      <w:r>
        <w:rPr>
          <w:rStyle w:val="FootnoteAnchor"/>
          <w:rtl w:val="true"/>
        </w:rPr>
        <w:footnoteReference w:id="2688"/>
      </w:r>
      <w:r>
        <w:rPr>
          <w:rFonts w:ascii="IRNazanin" w:hAnsi="IRNazanin" w:eastAsia="IRNazanin"/>
          <w:color w:val="111111"/>
          <w:sz w:val="28"/>
          <w:sz w:val="28"/>
          <w:szCs w:val="28"/>
          <w:rtl w:val="true"/>
          <w:lang w:bidi="fa-IR"/>
        </w:rPr>
        <w:t>و إرشاد الأذهان</w:t>
      </w:r>
      <w:r>
        <w:rPr>
          <w:rStyle w:val="FootnoteAnchor"/>
          <w:rtl w:val="true"/>
        </w:rPr>
        <w:footnoteReference w:id="2689"/>
      </w:r>
      <w:r>
        <w:rPr>
          <w:rFonts w:ascii="IRNazanin" w:hAnsi="IRNazanin" w:eastAsia="IRNazanin"/>
          <w:color w:val="111111"/>
          <w:sz w:val="28"/>
          <w:sz w:val="28"/>
          <w:szCs w:val="28"/>
          <w:rtl w:val="true"/>
          <w:lang w:bidi="fa-IR"/>
        </w:rPr>
        <w:t>و العروة و التعلیقات علیها</w:t>
      </w:r>
      <w:r>
        <w:rPr>
          <w:rStyle w:val="FootnoteAnchor"/>
          <w:rtl w:val="true"/>
        </w:rPr>
        <w:footnoteReference w:id="26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أیضاً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الزواج بذی العیب من العیوب المذکورة منقصةٌ و عارٌ و لو علی نحو الغضاضة العرفیة، بل حرج للنساء لا یتحمّلنه غالباً، فأدلّة الولایة منصرفة عن هذا المورد، فأصل العقد لا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 الشافعی</w:t>
      </w:r>
      <w:r>
        <w:rPr>
          <w:rStyle w:val="FootnoteAnchor"/>
          <w:rtl w:val="true"/>
        </w:rPr>
        <w:footnoteReference w:id="26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یشکل الحکم مع وجود المصلحة اللازم رعایتها، کما إذا کانت الصغیرة قرناء أو رتقاء أو عرجاء أو غیرها، بحیث لا یحصل لها کفء غیر هؤلاء المجبوبین، أو الصغیرة تحتاج إلی رجلٍ یتکفّل القیام بأمرها و لا یوجد من یقوم بذلک، فحینئذٍ یزوّجها الأب أو الجدّ أو الحاکم، و لکن لها الخیار بعد البلوغ و الکمال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فی هذه الصورة نعرف الحکم أیضاً فی صورته الثانیة، أی فیما لو زوّج الولیّ الطفل الصغیر بمن فیها أحد العیوب الموجبة للفسخ، من صحّة العقد و ثبوت الخیار لو کانت هناک مصلحة لازمة المراعاة، کما إذا احتاج الصغیر إلی من یخدمه و یتعهّد بالقیام به و لا یوجد من یقوم بذلک، فحینئذٍ یزوّجه الولیّ بامرأة ذات عیب بملاحظة هذه المصلحة</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تعرف الحکم فی الصورة الثالثة و الرابعة، یعنی لو زوّج الولیّ الصغیر أو الصغیرة بمن به أحد العیوب المجوّزة للفسخ من غیر أن تکون هناک مصلحةٌ لازمة، فإنّ العقد باطل؛ لأنّ أدلّة الولایة منصرفة عن هذا المورد، کما أنّه خلاف</w:t>
      </w:r>
      <w:bookmarkStart w:id="1259" w:name="pg11752_146630"/>
    </w:p>
    <w:p>
      <w:pPr>
        <w:pStyle w:val="BookText"/>
        <w:rPr/>
      </w:pPr>
      <w:bookmarkEnd w:id="1259"/>
      <w:r>
        <w:rPr>
          <w:rFonts w:ascii="IRNazanin" w:hAnsi="IRNazanin" w:eastAsia="IRNazanin"/>
          <w:color w:val="111111"/>
          <w:sz w:val="28"/>
          <w:sz w:val="28"/>
          <w:szCs w:val="28"/>
          <w:rtl w:val="true"/>
          <w:lang w:bidi="fa-IR"/>
        </w:rPr>
        <w:t>سیرة العقلاء و المتشرّعة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علم حکم أربع صور ممّا ذکرنا فی صدر البحث، و أمّا الأربع الباقیة فیأتی حکمها قریباً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أنّه إذا لم یکن العیب من العیوب المجوّزة للفسخ، و لم تکن هناک مصلحةٌ لازمة المراعاة، فلا یجوز للولیّ تزویج المولّی علیه بمن فیه عیبٌ؛ لأنّ فیه مضرّةٌ و مفسدةٌ و لو علی نحو الغضاضة العرفیة و الاستنکار، بل أنّه خلاف سیرة المتشرّعة و العقلاء فی الجملة، فینبغی الحکم بالبطلان رأساً، و لا وجه للصحّة و ثبوت الخیار؛ لأنّه یعتبر فی ولایة الولیّ ملاحظة مصالح المولّی علیه، فأخبار الباب لا تشمل المقام، سواء فی ذلک الصغیر أو الصغیرة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کانت هناک مصلحة تامّةٌ صحّ، و لا خیار للولیّ و لا لمُولّی علیه؛ لأصالة اللزوم بعد فرض أنّ العیب لا یکون من العیوب المجوّزة للفسخ، و العقد تامّ من جمیع الجهات، و أدلّة الخیار مختصّةٌ بعیوب معیّنة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صحّة العقد مع فرض وجود مصلحة لازمة المراعاة فتشملها الأدلّة لا محالة، و فی هذا أیضاً یستوی حکم الصغیر و الصغیرة، و منه یظهر حکم الصور الأربع الباقیة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 المراد بالعیب فی هذا المقام لا بدّ من أن یکون خصوص ما کان وجوده موجباً للضرر و المفسدة و الاستنکار عرفاً، فلا یشمل العیب الذی لا یکون وجوده ضرراً علی المزوّجین، و لا مهانةً و غضاضةً علیهما مثل کونه ناقصاً لبعض الأصابع أو زائد الأصابع، أو أن یکون أعور أو قصیر الهیکل و هکذا</w:t>
      </w:r>
      <w:r>
        <w:rPr>
          <w:rFonts w:eastAsia="IRNazanin" w:cs="IRNazanin"/>
          <w:color w:val="111111"/>
          <w:sz w:val="28"/>
          <w:szCs w:val="28"/>
          <w:rtl w:val="true"/>
          <w:lang w:bidi="fa-IR"/>
        </w:rPr>
        <w:t>.</w:t>
      </w:r>
    </w:p>
    <w:p>
      <w:pPr>
        <w:pStyle w:val="Heading5"/>
        <w:numPr>
          <w:ilvl w:val="4"/>
          <w:numId w:val="1"/>
        </w:numPr>
        <w:rPr/>
      </w:pPr>
      <w:bookmarkStart w:id="1260" w:name="__RefHeading___Toc9424732_73709187"/>
      <w:bookmarkStart w:id="1261" w:name="_Toc480"/>
      <w:bookmarkEnd w:id="1260"/>
      <w:r>
        <w:rPr>
          <w:rtl w:val="true"/>
        </w:rPr>
        <w:t>آراء الجمهور من أهل السنّة فی التزویج بمَن به عیب</w:t>
      </w:r>
      <w:bookmarkEnd w:id="1261"/>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اختلف الفقهاء من أهل السنّة فی أنّه هل یجوز لولیّ الصغیر أو الصغیرة</w:t>
      </w:r>
    </w:p>
    <w:p>
      <w:pPr>
        <w:pStyle w:val="BookText"/>
        <w:rPr/>
      </w:pPr>
      <w:r>
        <w:rPr>
          <w:rFonts w:ascii="IRNazanin" w:hAnsi="IRNazanin" w:eastAsia="IRNazanin"/>
          <w:color w:val="111111"/>
          <w:sz w:val="28"/>
          <w:sz w:val="28"/>
          <w:szCs w:val="28"/>
          <w:rtl w:val="true"/>
          <w:lang w:bidi="fa-IR"/>
        </w:rPr>
        <w:t>تزویجهما بمن به عیب أم لا؟ و لنذکر آراءَهم بالترتیب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الحنابلة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قدامة فی هذا 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لولیّ الصغیر و الصغیرة و سیّد الأَمَة تزویجهم لمن به أحد هذه العیوب؛ لأنّه ناظر لهم بما فیه الحظّ، و لا حظّ فی هذا العقد، فإن زوّجهم مع العلم بالعیب لم یصحّ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یعلم بالعیب صحّ، کما لو اشتری لهم معیباً لا یعلم عیبه، و یجب علیه الفسخ إذا علم؛ لأنّ علیه النظر بما فیه الحظّ، و الحظّ فی الفسخ، و یحتمل أن لا یصحّ النکاح؛ لأنّه زوّجهم ممّن لا یملک تزویجهم إیّاه، فلم یصحّ کما لو زوّجهم بمن یحرم علیهم</w:t>
      </w:r>
      <w:r>
        <w:rPr>
          <w:rFonts w:eastAsia="IRNazanin" w:cs="IRNazanin"/>
          <w:color w:val="111111"/>
          <w:sz w:val="28"/>
          <w:szCs w:val="28"/>
          <w:rtl w:val="true"/>
          <w:lang w:bidi="fa-IR"/>
        </w:rPr>
        <w:t>»</w:t>
      </w:r>
      <w:r>
        <w:rPr>
          <w:rStyle w:val="FootnoteAnchor"/>
          <w:rtl w:val="true"/>
        </w:rPr>
        <w:footnoteReference w:id="26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عند أبی حنیفة أن یزوّج الأب ابنته الصغیرة ممّن لا یکافئها أو یزوّج ابنه الصغیر امرأةً لیست بکفء له، و لم یجز عند أبی یوسف و محمّد بن الحسن الشیبانی</w:t>
      </w:r>
      <w:r>
        <w:rPr>
          <w:rStyle w:val="FootnoteAnchor"/>
          <w:rtl w:val="true"/>
        </w:rPr>
        <w:footnoteReference w:id="2693"/>
      </w:r>
      <w:r>
        <w:rPr>
          <w:rFonts w:ascii="IRNazanin" w:hAnsi="IRNazanin" w:eastAsia="IRNazanin"/>
          <w:color w:val="111111"/>
          <w:sz w:val="28"/>
          <w:sz w:val="28"/>
          <w:szCs w:val="28"/>
          <w:rtl w:val="true"/>
          <w:lang w:bidi="fa-IR"/>
        </w:rPr>
        <w:t>و قال ابن عابدین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یعتبر فی الکفاءة السلامة من العیوب التی یفسخ بها النکاح، کالجذام و الجنون و</w:t>
      </w:r>
      <w:r>
        <w:rPr>
          <w:rFonts w:eastAsia="IRNazanin" w:cs="IRNazanin"/>
          <w:color w:val="111111"/>
          <w:sz w:val="28"/>
          <w:szCs w:val="28"/>
          <w:rtl w:val="true"/>
          <w:lang w:bidi="fa-IR"/>
        </w:rPr>
        <w:t>...»</w:t>
      </w:r>
      <w:r>
        <w:rPr>
          <w:rStyle w:val="FootnoteAnchor"/>
          <w:rtl w:val="true"/>
        </w:rPr>
        <w:footnoteReference w:id="26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الشافعیّة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عندهم أن یزوّج الأب و الجدّ الصبیة بمن فیه أحد العیوب، قال المزنی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له أن یزوّج ابنته الصبیة عبداً و لا غیر کفء و لا مجنوناً و لا مخبولاً و لا مجذوماً و لا أبرص و لا مجبوباً</w:t>
      </w:r>
      <w:r>
        <w:rPr>
          <w:rFonts w:eastAsia="IRNazanin" w:cs="IRNazanin"/>
          <w:color w:val="111111"/>
          <w:sz w:val="28"/>
          <w:szCs w:val="28"/>
          <w:rtl w:val="true"/>
          <w:lang w:bidi="fa-IR"/>
        </w:rPr>
        <w:t>»</w:t>
      </w:r>
      <w:r>
        <w:rPr>
          <w:rStyle w:val="FootnoteAnchor"/>
          <w:rtl w:val="true"/>
        </w:rPr>
        <w:footnoteReference w:id="26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الماوردی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الأب إذا أراد أن یزوّج بنته أن یطلب الحظّ لها فی اختیار الأزواج، و إذا کان کذلک لم یکن له أن یزوّج بنته الصغیرة 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یزوّجها غیر کفء بما یلحقها من العار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یزوّجها مجنوناً</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مجذوماً و لا أبرص و لا خصیاً و لا مجبوباً</w:t>
      </w:r>
      <w:r>
        <w:rPr>
          <w:rFonts w:eastAsia="IRNazanin" w:cs="IRNazanin"/>
          <w:color w:val="111111"/>
          <w:sz w:val="28"/>
          <w:szCs w:val="28"/>
          <w:rtl w:val="true"/>
          <w:lang w:bidi="fa-IR"/>
        </w:rPr>
        <w:t>»</w:t>
      </w:r>
      <w:r>
        <w:rPr>
          <w:rStyle w:val="FootnoteAnchor"/>
          <w:rtl w:val="true"/>
        </w:rPr>
        <w:footnoteReference w:id="2696"/>
      </w:r>
      <w:r>
        <w:rPr>
          <w:rFonts w:ascii="IRNazanin" w:hAnsi="IRNazanin" w:eastAsia="IRNazanin"/>
          <w:color w:val="111111"/>
          <w:sz w:val="28"/>
          <w:sz w:val="28"/>
          <w:szCs w:val="28"/>
          <w:rtl w:val="true"/>
          <w:lang w:bidi="fa-IR"/>
        </w:rPr>
        <w:t>، و بمثل ذلک قال فی المجموع</w:t>
      </w:r>
    </w:p>
    <w:p>
      <w:pPr>
        <w:pStyle w:val="BookText"/>
        <w:rPr/>
      </w:pPr>
      <w:r>
        <w:rPr>
          <w:rFonts w:ascii="Amiri" w:hAnsi="Amiri" w:eastAsia="Amiri" w:cs="Amiri"/>
          <w:color w:val="111111"/>
          <w:sz w:val="28"/>
          <w:sz w:val="28"/>
          <w:szCs w:val="28"/>
          <w:rtl w:val="true"/>
          <w:lang w:bidi="ar-SA"/>
        </w:rPr>
        <w:t>شرح المهذّب</w:t>
      </w:r>
      <w:r>
        <w:rPr>
          <w:rStyle w:val="FootnoteAnchor"/>
          <w:rtl w:val="true"/>
        </w:rPr>
        <w:footnoteReference w:id="26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 الماوردی فی المقام فرعاً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زوّج الأب بنته بمن فیه أحد هذه العیوب، و کانت هی من ذوات العیوب فعلی ضربین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یختلف عیباهما فیکون الزوج مجذوماً و هی برصاء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یتماثل عیباهما فیکونا مجنونین أو أبرصین، فعلی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یجوز لتکافئهما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الأصحّ أنّه لا یجوز؛ لأنّ الإنسان قد یعاف من غیره ما لا یُعاف من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أضاف بأنّه إذا زوّج بنته بمن لا یجوز أن یزوّجها به من أصحاب هذه العیوب فهذا علی ضربین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یزوّجها بهم عالماً بعیوبهم و نقصهم، فالنکاح باطل؛ لأنّه أقدم علی عقد و هو ممنوع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الضرب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غیر عالمٍ بعیوبهم و نقصهم، ففی العقد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لما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و یستحقّ به خیار الفسخ</w:t>
      </w:r>
      <w:r>
        <w:rPr>
          <w:rStyle w:val="FootnoteAnchor"/>
          <w:rtl w:val="true"/>
        </w:rPr>
        <w:footnoteReference w:id="26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اختار النووی أیضاً فی روضة الطالبین</w:t>
      </w:r>
      <w:r>
        <w:rPr>
          <w:rFonts w:eastAsia="IRNazanin" w:cs="IRNazanin"/>
          <w:color w:val="111111"/>
          <w:sz w:val="28"/>
          <w:szCs w:val="28"/>
          <w:rtl w:val="true"/>
          <w:lang w:bidi="fa-IR"/>
        </w:rPr>
        <w:t>»</w:t>
      </w:r>
      <w:r>
        <w:rPr>
          <w:rStyle w:val="FootnoteAnchor"/>
          <w:rtl w:val="true"/>
        </w:rPr>
        <w:footnoteReference w:id="2699"/>
      </w:r>
      <w:r>
        <w:rPr>
          <w:rFonts w:eastAsia="Times New Roman" w:cs="Times New Roman" w:ascii="Times New Roman" w:hAnsi="Times New Roman"/>
          <w:color w:val="111111"/>
          <w:sz w:val="28"/>
          <w:szCs w:val="28"/>
          <w:rtl w:val="true"/>
          <w:lang w:val="en-US" w:bidi="en-US"/>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فیما إذا زوّجها الولیّ بمن به أحد العیوب قال 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کان نقصاً یضرّ بها کالجنون و الجذام و البرص، أو یؤدّی إلی نقص الوط‌ء کأحد العیوب المثبتة لخیار الردّ لم یکن کفؤاً، و کان لها ردّ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النقص غیر ذلک لم یثبت لها به خیار</w:t>
      </w:r>
      <w:r>
        <w:rPr>
          <w:rFonts w:eastAsia="IRNazanin" w:cs="IRNazanin"/>
          <w:color w:val="111111"/>
          <w:sz w:val="28"/>
          <w:szCs w:val="28"/>
          <w:rtl w:val="true"/>
          <w:lang w:bidi="fa-IR"/>
        </w:rPr>
        <w:t>»</w:t>
      </w:r>
      <w:r>
        <w:rPr>
          <w:rStyle w:val="FootnoteAnchor"/>
          <w:rtl w:val="true"/>
        </w:rPr>
        <w:footnoteReference w:id="2700"/>
      </w:r>
      <w:bookmarkStart w:id="1262" w:name="pg11752_146633"/>
    </w:p>
    <w:p>
      <w:pPr>
        <w:pStyle w:val="Heading3"/>
        <w:numPr>
          <w:ilvl w:val="2"/>
          <w:numId w:val="1"/>
        </w:numPr>
        <w:rPr/>
      </w:pPr>
      <w:bookmarkStart w:id="1263" w:name="__RefHeading___Toc9424734_73709187"/>
      <w:bookmarkStart w:id="1264" w:name="_Toc481"/>
      <w:bookmarkEnd w:id="1262"/>
      <w:bookmarkEnd w:id="1263"/>
      <w:r>
        <w:rPr>
          <w:rtl w:val="true"/>
        </w:rPr>
        <w:t>الفصل الثانی فی ولایة المولی و السیّد</w:t>
      </w:r>
      <w:bookmarkEnd w:id="1264"/>
    </w:p>
    <w:p>
      <w:pPr>
        <w:pStyle w:val="BookText"/>
        <w:rPr/>
      </w:pPr>
      <w:r>
        <w:rPr>
          <w:rFonts w:ascii="IRNazanin" w:hAnsi="IRNazanin" w:eastAsia="IRNazanin"/>
          <w:color w:val="111111"/>
          <w:sz w:val="28"/>
          <w:sz w:val="28"/>
          <w:szCs w:val="28"/>
          <w:rtl w:val="true"/>
          <w:lang w:bidi="fa-IR"/>
        </w:rPr>
        <w:t>نظراً لعدم الابتلاء بهذه المسألة و انتفاء موضوعها فی زماننا هذا، نشیر إلی حکمها علی نحو الاختصار، و نذکر هنا مبحثاً واحداً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خلاف بین فقهاء الشیعة</w:t>
      </w:r>
      <w:r>
        <w:rPr>
          <w:rStyle w:val="FootnoteAnchor"/>
          <w:rtl w:val="true"/>
        </w:rPr>
        <w:footnoteReference w:id="2701"/>
      </w:r>
      <w:r>
        <w:rPr>
          <w:rFonts w:ascii="Amiri" w:hAnsi="Amiri" w:eastAsia="Amiri" w:cs="Amiri"/>
          <w:color w:val="111111"/>
          <w:sz w:val="28"/>
          <w:sz w:val="28"/>
          <w:szCs w:val="28"/>
          <w:rtl w:val="true"/>
          <w:lang w:bidi="ar-SA"/>
        </w:rPr>
        <w:t>و السنّة</w:t>
      </w:r>
      <w:r>
        <w:rPr>
          <w:rStyle w:val="FootnoteAnchor"/>
          <w:rtl w:val="true"/>
        </w:rPr>
        <w:footnoteReference w:id="2702"/>
      </w:r>
      <w:r>
        <w:rPr>
          <w:rFonts w:ascii="IRNazanin" w:hAnsi="IRNazanin" w:eastAsia="IRNazanin"/>
          <w:color w:val="111111"/>
          <w:sz w:val="28"/>
          <w:sz w:val="28"/>
          <w:szCs w:val="28"/>
          <w:rtl w:val="true"/>
          <w:lang w:bidi="fa-IR"/>
        </w:rPr>
        <w:t>أنّ الولایة بالملک تثبت علی العبد و الأمَة صغیرین کانا أم کبیرین، سواء کان المولی ذکراً أم أنثی، فأمر تزویج العبد و الأمة بید السیّد، و یجوز له تزویجهما و لو من غیر رضاهما بلا خلاف و لا إشکال</w:t>
      </w:r>
      <w:r>
        <w:rPr>
          <w:rStyle w:val="FootnoteAnchor"/>
          <w:rtl w:val="true"/>
        </w:rPr>
        <w:footnoteReference w:id="2703"/>
      </w:r>
      <w:r>
        <w:rPr>
          <w:rFonts w:ascii="IRNazanin" w:hAnsi="IRNazanin" w:eastAsia="IRNazanin"/>
          <w:color w:val="111111"/>
          <w:sz w:val="28"/>
          <w:sz w:val="28"/>
          <w:szCs w:val="28"/>
          <w:rtl w:val="true"/>
          <w:lang w:bidi="fa-IR"/>
        </w:rPr>
        <w:t>، قال فی جامع المقاصد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ذلک إجماع الخاصّ و العام</w:t>
      </w:r>
      <w:r>
        <w:rPr>
          <w:rFonts w:eastAsia="IRNazanin" w:cs="IRNazanin"/>
          <w:color w:val="111111"/>
          <w:sz w:val="28"/>
          <w:szCs w:val="28"/>
          <w:rtl w:val="true"/>
          <w:lang w:bidi="fa-IR"/>
        </w:rPr>
        <w:t>»</w:t>
      </w:r>
      <w:r>
        <w:rPr>
          <w:rStyle w:val="FootnoteAnchor"/>
          <w:rtl w:val="true"/>
        </w:rPr>
        <w:footnoteReference w:id="2704"/>
      </w:r>
      <w:r>
        <w:rPr>
          <w:rFonts w:eastAsia="Times New Roman" w:cs="Times New Roman" w:ascii="Times New Roman" w:hAnsi="Times New Roman"/>
          <w:color w:val="111111"/>
          <w:sz w:val="28"/>
          <w:szCs w:val="28"/>
          <w:rtl w:val="true"/>
          <w:lang w:val="en-US" w:bidi="en-US"/>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إجماعاً أو ضرورة من المذهب أو الدین</w:t>
      </w:r>
      <w:r>
        <w:rPr>
          <w:rFonts w:eastAsia="IRNazanin" w:cs="IRNazanin"/>
          <w:color w:val="111111"/>
          <w:sz w:val="28"/>
          <w:szCs w:val="28"/>
          <w:rtl w:val="true"/>
          <w:lang w:bidi="fa-IR"/>
        </w:rPr>
        <w:t>»</w:t>
      </w:r>
      <w:r>
        <w:rPr>
          <w:rStyle w:val="FootnoteAnchor"/>
          <w:rtl w:val="true"/>
        </w:rPr>
        <w:footnoteReference w:id="2705"/>
      </w:r>
    </w:p>
    <w:p>
      <w:pPr>
        <w:pStyle w:val="BookText"/>
        <w:rPr/>
      </w:pPr>
      <w:r>
        <w:rPr>
          <w:rFonts w:ascii="IRNazanin" w:hAnsi="IRNazanin" w:eastAsia="IRNazanin"/>
          <w:color w:val="111111"/>
          <w:sz w:val="28"/>
          <w:sz w:val="28"/>
          <w:szCs w:val="28"/>
          <w:rtl w:val="true"/>
          <w:lang w:bidi="fa-IR"/>
        </w:rPr>
        <w:t>و تدلّ علی ذلک عدّة من الآیات الکریمة و النصوص المتظافرة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الآیات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أَنْکِحُوا الْأَیامی مِنْکُمْ وَ الصّالِحِینَ مِنْ عِبادِکُمْ وَ إِمائِکُمْ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فإنّ بعد الفراغ عن أنّه لیس للعبد و الأمة شیءٌ من الأمر، یکون الخطاب فی الآیة متوجّهاً إلی المولی، فتدلّ علی تزویجه لهما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فَانْکِحُوهُنَّ بِإِذْنِ أَهْلِهِنَّ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اللّهُ مَثَلاً عَبْداً مَمْلُوکاً لا یَقْدِرُ عَلی شَیْ‌ءٍ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فإنّها تدلّ علی أنّ المملوک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فی ذلک العبد و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من الأمر شیءٌ، فلا یترتّب علی نکاحه بدون إذن مولاه أثر</w:t>
      </w:r>
      <w:r>
        <w:rPr>
          <w:rStyle w:val="FootnoteAnchor"/>
          <w:rtl w:val="true"/>
        </w:rPr>
        <w:footnoteReference w:id="27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النصوص فهی کثیرةٌ متظافرة، و فی بعضها أنّه لیس له النکاح و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عبد اللّه بن سنان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للعبد تحریر و لا تزویج و لا إعطاء من ماله إلاّ بإذن مولاه</w:t>
      </w:r>
      <w:r>
        <w:rPr>
          <w:rFonts w:eastAsia="IRNazanin" w:cs="IRNazanin"/>
          <w:color w:val="111111"/>
          <w:sz w:val="28"/>
          <w:szCs w:val="28"/>
          <w:rtl w:val="true"/>
          <w:lang w:bidi="fa-IR"/>
        </w:rPr>
        <w:t>»</w:t>
      </w:r>
      <w:r>
        <w:rPr>
          <w:rStyle w:val="FootnoteAnchor"/>
          <w:rtl w:val="true"/>
        </w:rPr>
        <w:footnoteReference w:id="27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أبی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الأمَة تتزوّج بغیر إذن أهلها؟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یحرم ذلک علیها و هو الزنا</w:t>
      </w:r>
      <w:r>
        <w:rPr>
          <w:rFonts w:eastAsia="IRNazanin" w:cs="IRNazanin"/>
          <w:color w:val="111111"/>
          <w:sz w:val="28"/>
          <w:szCs w:val="28"/>
          <w:rtl w:val="true"/>
          <w:lang w:bidi="fa-IR"/>
        </w:rPr>
        <w:t>»</w:t>
      </w:r>
      <w:r>
        <w:rPr>
          <w:rStyle w:val="FootnoteAnchor"/>
          <w:rtl w:val="true"/>
        </w:rPr>
        <w:footnoteReference w:id="2708"/>
      </w:r>
      <w:r>
        <w:rPr>
          <w:rFonts w:eastAsia="Times New Roman" w:cs="Times New Roman" w:ascii="Times New Roman" w:hAnsi="Times New Roman"/>
          <w:color w:val="111111"/>
          <w:sz w:val="28"/>
          <w:szCs w:val="28"/>
          <w:rtl w:val="true"/>
          <w:lang w:val="en-US" w:bidi="en-US"/>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غیرها من النصوص الکثیرة</w:t>
      </w:r>
      <w:r>
        <w:rPr>
          <w:rStyle w:val="FootnoteAnchor"/>
          <w:rtl w:val="true"/>
        </w:rPr>
        <w:footnoteReference w:id="2709"/>
      </w:r>
    </w:p>
    <w:p>
      <w:pPr>
        <w:pStyle w:val="BookText"/>
        <w:rPr/>
      </w:pPr>
      <w:r>
        <w:rPr>
          <w:rFonts w:ascii="IRNazanin" w:hAnsi="IRNazanin" w:eastAsia="IRNazanin"/>
          <w:color w:val="111111"/>
          <w:sz w:val="28"/>
          <w:sz w:val="28"/>
          <w:szCs w:val="28"/>
          <w:rtl w:val="true"/>
          <w:lang w:bidi="fa-IR"/>
        </w:rPr>
        <w:t xml:space="preserve">قال فی المستند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الإشارة بإمکان استفادة هذا الحکم من الآیات الکریمة و النصوص المتظافرة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و مع غضّ النظر عن ذلک تقتضیه القاعدة، فإنّ العبد و الأمة لمّا کانا قابلین للتزویج، و لم یکن لهما من الأمر شیء، کان أمر ذلک بید المولی لا محالة</w:t>
      </w:r>
      <w:r>
        <w:rPr>
          <w:rFonts w:eastAsia="IRNazanin" w:cs="IRNazanin"/>
          <w:color w:val="111111"/>
          <w:sz w:val="28"/>
          <w:szCs w:val="28"/>
          <w:rtl w:val="true"/>
          <w:lang w:bidi="fa-IR"/>
        </w:rPr>
        <w:t>»</w:t>
      </w:r>
      <w:r>
        <w:rPr>
          <w:rStyle w:val="FootnoteAnchor"/>
          <w:rtl w:val="true"/>
        </w:rPr>
        <w:footnoteReference w:id="27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أوضح منه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بأنّ الملک و منافعه لمالکه؛ لقوله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الإماء و العبید ملک لموالیهم، و تزویجهما بمنزلة المنافع، و لم یکن لهما فی ذلک من الأمر شیء، فکان أمر ذلک بید المولی، 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آراء فقهاء أهل السنّة فی المسألة</w:t>
      </w:r>
    </w:p>
    <w:p>
      <w:pPr>
        <w:pStyle w:val="BookText"/>
        <w:rPr/>
      </w:pPr>
      <w:r>
        <w:rPr>
          <w:rFonts w:ascii="IRNazanin" w:hAnsi="IRNazanin" w:eastAsia="IRNazanin"/>
          <w:color w:val="111111"/>
          <w:sz w:val="28"/>
          <w:sz w:val="28"/>
          <w:szCs w:val="28"/>
          <w:rtl w:val="true"/>
          <w:lang w:bidi="fa-IR"/>
        </w:rPr>
        <w:t>الحنابلة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قدامة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زوّج أمته بغیر إذنها فقد لزمها النکاح، کبیرةً کانت أو صغیرة لا نعلم فی هذا خلافاً</w:t>
      </w:r>
      <w:r>
        <w:rPr>
          <w:rFonts w:eastAsia="IRNazanin" w:cs="IRNazanin"/>
          <w:color w:val="111111"/>
          <w:sz w:val="28"/>
          <w:szCs w:val="28"/>
          <w:rtl w:val="true"/>
          <w:lang w:bidi="fa-IR"/>
        </w:rPr>
        <w:t>»</w:t>
      </w:r>
      <w:r>
        <w:rPr>
          <w:rStyle w:val="FootnoteAnchor"/>
          <w:rtl w:val="true"/>
        </w:rPr>
        <w:footnoteReference w:id="2711"/>
      </w:r>
      <w:r>
        <w:rPr>
          <w:rFonts w:ascii="IRNazanin" w:hAnsi="IRNazanin" w:eastAsia="IRNazanin"/>
          <w:color w:val="111111"/>
          <w:sz w:val="28"/>
          <w:sz w:val="28"/>
          <w:szCs w:val="28"/>
          <w:rtl w:val="true"/>
          <w:lang w:bidi="fa-IR"/>
        </w:rPr>
        <w:t>، و قال فی موضع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العبد الصغیر الذی لم یبلغ للسید تزویجه فی قول أکثر أهل العلم</w:t>
      </w:r>
      <w:r>
        <w:rPr>
          <w:rFonts w:eastAsia="IRNazanin" w:cs="IRNazanin"/>
          <w:color w:val="111111"/>
          <w:sz w:val="28"/>
          <w:szCs w:val="28"/>
          <w:rtl w:val="true"/>
          <w:lang w:bidi="fa-IR"/>
        </w:rPr>
        <w:t>»</w:t>
      </w:r>
      <w:r>
        <w:rPr>
          <w:rStyle w:val="FootnoteAnchor"/>
          <w:rtl w:val="true"/>
        </w:rPr>
        <w:footnoteReference w:id="27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السرخسی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للمولی أن یکره أمَته أو عبده علی النکاح</w:t>
      </w:r>
      <w:r>
        <w:rPr>
          <w:rFonts w:eastAsia="IRNazanin" w:cs="IRNazanin"/>
          <w:color w:val="111111"/>
          <w:sz w:val="28"/>
          <w:szCs w:val="28"/>
          <w:rtl w:val="true"/>
          <w:lang w:bidi="fa-IR"/>
        </w:rPr>
        <w:t>»</w:t>
      </w:r>
      <w:r>
        <w:rPr>
          <w:rStyle w:val="FootnoteAnchor"/>
          <w:rtl w:val="true"/>
        </w:rPr>
        <w:footnoteReference w:id="2713"/>
      </w:r>
    </w:p>
    <w:p>
      <w:pPr>
        <w:pStyle w:val="BookText"/>
        <w:rPr/>
      </w:pPr>
      <w:r>
        <w:rPr>
          <w:rFonts w:ascii="IRNazanin" w:hAnsi="IRNazanin" w:eastAsia="IRNazanin"/>
          <w:color w:val="111111"/>
          <w:sz w:val="28"/>
          <w:sz w:val="28"/>
          <w:szCs w:val="28"/>
          <w:rtl w:val="true"/>
          <w:lang w:bidi="fa-IR"/>
        </w:rPr>
        <w:t>و قال السغدی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المولی فله أن یزوّج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کبیراً کان العبد أم صغیراً، راضیاً کان أو کارهاً</w:t>
      </w:r>
      <w:r>
        <w:rPr>
          <w:rFonts w:eastAsia="IRNazanin" w:cs="IRNazanin"/>
          <w:color w:val="111111"/>
          <w:sz w:val="28"/>
          <w:szCs w:val="28"/>
          <w:rtl w:val="true"/>
          <w:lang w:bidi="fa-IR"/>
        </w:rPr>
        <w:t>»</w:t>
      </w:r>
      <w:r>
        <w:rPr>
          <w:rStyle w:val="FootnoteAnchor"/>
          <w:rtl w:val="true"/>
        </w:rPr>
        <w:footnoteReference w:id="27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الشافعیّة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کان العبد بالغاً، فهل یجوز لمولاه أن یزوّجه بغیر رضاه؟ أو هل له إجباره علی النکاح؟ قولان</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قوله فی القدیم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ذلک؛ لأنّه بالعقد یملک منافعه و رقبته، و بیعه</w:t>
      </w:r>
    </w:p>
    <w:p>
      <w:pPr>
        <w:pStyle w:val="BookText"/>
        <w:rPr/>
      </w:pPr>
      <w:r>
        <w:rPr>
          <w:rFonts w:ascii="IRNazanin" w:hAnsi="IRNazanin" w:eastAsia="IRNazanin"/>
          <w:color w:val="111111"/>
          <w:sz w:val="28"/>
          <w:sz w:val="28"/>
          <w:szCs w:val="28"/>
          <w:rtl w:val="true"/>
          <w:lang w:bidi="fa-IR"/>
        </w:rPr>
        <w:t>و إجارته، فملک تزویجه من غیر رضاه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الجدید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للسیّد ذلک، أی إجباره علی النکاح؛ لأنّ النکاح یجری مجری الاستمتاع و الملاذّ و الشهوات التی لیس للسیّد إجبار عبده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العبد صغیراً فطریقان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القولین فی الکبیر؛ لأنّه تصرّف فی حقّ الملک، فاستوی فیه الصغیر و 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إجباره علی التزویج؛ لأنّه لما کان للسیّد أو الولیّ إجبار ولده الصغیر علی الزواج، فإجبار عبده الصغیر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الأصحّ أنّه کالکبیر، و اختار ابن کج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یجبر قطعاً</w:t>
      </w:r>
      <w:r>
        <w:rPr>
          <w:rFonts w:eastAsia="IRNazanin" w:cs="IRNazanin"/>
          <w:color w:val="111111"/>
          <w:sz w:val="28"/>
          <w:szCs w:val="28"/>
          <w:rtl w:val="true"/>
          <w:lang w:bidi="fa-IR"/>
        </w:rPr>
        <w:t>»</w:t>
      </w:r>
      <w:r>
        <w:rPr>
          <w:rStyle w:val="FootnoteAnchor"/>
          <w:rtl w:val="true"/>
        </w:rPr>
        <w:footnoteReference w:id="27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المالکیة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تزوّج العبد بغیر إذن مولاه صحّ العقد و للسیّد أن یفسخ، بخلاف الأَمة فإن تزوّجت من غیر إذن أهلها فإنّ عقدها باطل</w:t>
      </w:r>
      <w:r>
        <w:rPr>
          <w:rFonts w:eastAsia="IRNazanin" w:cs="IRNazanin"/>
          <w:color w:val="111111"/>
          <w:sz w:val="28"/>
          <w:szCs w:val="28"/>
          <w:rtl w:val="true"/>
          <w:lang w:bidi="fa-IR"/>
        </w:rPr>
        <w:t>»</w:t>
      </w:r>
      <w:r>
        <w:rPr>
          <w:rStyle w:val="FootnoteAnchor"/>
          <w:rtl w:val="true"/>
        </w:rPr>
        <w:footnoteReference w:id="2716"/>
      </w:r>
      <w:r>
        <w:rPr>
          <w:rFonts w:eastAsia="Times New Roman" w:cs="Times New Roman" w:ascii="Times New Roman" w:hAnsi="Times New Roman"/>
          <w:color w:val="111111"/>
          <w:sz w:val="28"/>
          <w:szCs w:val="28"/>
          <w:rtl w:val="true"/>
          <w:lang w:val="en-US" w:bidi="en-US"/>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تفسیر القرطبی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فَانْکِحُوهُنَّ بِإِذْنِ أَهْلِهِنَّ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بولایة أربابهنّ المالکین و إذنهم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العبد لا ینکح إلاّ بإذن سیّده؛ لأنّ العبد مملوک لا أمر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الفرق بینهما أنّ العبد إذا تزوّج بغیر إذن سیّده، فإن أجازه السیّد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الأمَة إذا تزوّجت بغیر إذن أهلها فُسِخَ و لم یجز بإجازة السیّد</w:t>
      </w:r>
      <w:r>
        <w:rPr>
          <w:rFonts w:eastAsia="Amiri" w:cs="Amiri" w:ascii="Amiri" w:hAnsi="Amiri"/>
          <w:color w:val="111111"/>
          <w:sz w:val="28"/>
          <w:szCs w:val="28"/>
          <w:rtl w:val="true"/>
          <w:lang w:bidi="ar-SA"/>
        </w:rPr>
        <w:t>»</w:t>
      </w:r>
      <w:r>
        <w:rPr>
          <w:rStyle w:val="FootnoteAnchor"/>
          <w:rtl w:val="true"/>
        </w:rPr>
        <w:footnoteReference w:id="2717"/>
      </w:r>
      <w:bookmarkStart w:id="1265" w:name="pg11752_146637"/>
    </w:p>
    <w:p>
      <w:pPr>
        <w:pStyle w:val="Heading3"/>
        <w:numPr>
          <w:ilvl w:val="2"/>
          <w:numId w:val="1"/>
        </w:numPr>
        <w:rPr/>
      </w:pPr>
      <w:bookmarkStart w:id="1266" w:name="__RefHeading___Toc9424736_73709187"/>
      <w:bookmarkStart w:id="1267" w:name="_Toc482"/>
      <w:bookmarkEnd w:id="1265"/>
      <w:bookmarkEnd w:id="1266"/>
      <w:r>
        <w:rPr>
          <w:rtl w:val="true"/>
        </w:rPr>
        <w:t>الفصل الثالث فی ولایة الوصیّ</w:t>
      </w:r>
      <w:bookmarkEnd w:id="1267"/>
    </w:p>
    <w:p>
      <w:pPr>
        <w:pStyle w:val="Heading4"/>
        <w:numPr>
          <w:ilvl w:val="3"/>
          <w:numId w:val="1"/>
        </w:numPr>
        <w:rPr/>
      </w:pPr>
      <w:bookmarkStart w:id="1268" w:name="__RefHeading___Toc9424738_73709187"/>
      <w:bookmarkStart w:id="1269" w:name="_Toc483"/>
      <w:bookmarkEnd w:id="1268"/>
      <w:r>
        <w:rPr>
          <w:rtl w:val="true"/>
        </w:rPr>
        <w:t>اشارة</w:t>
      </w:r>
      <w:bookmarkEnd w:id="1269"/>
    </w:p>
    <w:p>
      <w:pPr>
        <w:pStyle w:val="BookText"/>
        <w:rPr/>
      </w:pPr>
      <w:r>
        <w:rPr>
          <w:rFonts w:ascii="IRNazanin" w:hAnsi="IRNazanin" w:eastAsia="IRNazanin"/>
          <w:color w:val="111111"/>
          <w:sz w:val="28"/>
          <w:sz w:val="28"/>
          <w:szCs w:val="28"/>
          <w:rtl w:val="true"/>
          <w:lang w:bidi="fa-IR"/>
        </w:rPr>
        <w:t>اختلف الفقهاء رضوان اللّه تعالی علیهم فی ثبوت ولایة الوصیّ من الأب أو الجدّ علی تزویج الصغار علی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الولایة للوصیّ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الولایة مطلقاً</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الحقّ، ثبوت الولایة للوصیّ إن نصّ الموصی بذلک و إلاّ فلا</w:t>
      </w:r>
      <w:r>
        <w:rPr>
          <w:rFonts w:eastAsia="IRNazanin" w:cs="IRNazanin"/>
          <w:color w:val="111111"/>
          <w:sz w:val="28"/>
          <w:szCs w:val="28"/>
          <w:rtl w:val="true"/>
          <w:lang w:bidi="fa-IR"/>
        </w:rPr>
        <w:t>.</w:t>
      </w:r>
      <w:bookmarkStart w:id="1270" w:name="pg11752_146638"/>
    </w:p>
    <w:p>
      <w:pPr>
        <w:pStyle w:val="Heading4"/>
        <w:numPr>
          <w:ilvl w:val="3"/>
          <w:numId w:val="1"/>
        </w:numPr>
        <w:rPr/>
      </w:pPr>
      <w:bookmarkStart w:id="1271" w:name="__RefHeading___Toc9424740_73709187"/>
      <w:bookmarkStart w:id="1272" w:name="_Toc484"/>
      <w:bookmarkEnd w:id="1270"/>
      <w:bookmarkEnd w:id="1271"/>
      <w:r>
        <w:rPr>
          <w:rtl w:val="true"/>
        </w:rPr>
        <w:t>القول الأوّل</w:t>
      </w:r>
      <w:r>
        <w:rPr>
          <w:rtl w:val="true"/>
        </w:rPr>
        <w:t xml:space="preserve">: </w:t>
      </w:r>
      <w:r>
        <w:rPr>
          <w:rtl w:val="true"/>
        </w:rPr>
        <w:t>ثبوت الولایة للوصیّ مطلقاً</w:t>
      </w:r>
      <w:bookmarkEnd w:id="1272"/>
    </w:p>
    <w:p>
      <w:pPr>
        <w:pStyle w:val="Heading5"/>
        <w:numPr>
          <w:ilvl w:val="4"/>
          <w:numId w:val="1"/>
        </w:numPr>
        <w:rPr/>
      </w:pPr>
      <w:bookmarkStart w:id="1273" w:name="__RefHeading___Toc9424742_73709187"/>
      <w:bookmarkStart w:id="1274" w:name="_Toc485"/>
      <w:bookmarkEnd w:id="1273"/>
      <w:r>
        <w:rPr>
          <w:rtl w:val="true"/>
        </w:rPr>
        <w:t>اشارة</w:t>
      </w:r>
      <w:bookmarkEnd w:id="1274"/>
    </w:p>
    <w:p>
      <w:pPr>
        <w:pStyle w:val="BookText"/>
        <w:rPr/>
      </w:pPr>
      <w:r>
        <w:rPr>
          <w:rFonts w:ascii="IRNazanin" w:hAnsi="IRNazanin" w:eastAsia="IRNazanin"/>
          <w:color w:val="111111"/>
          <w:sz w:val="28"/>
          <w:sz w:val="28"/>
          <w:szCs w:val="28"/>
          <w:rtl w:val="true"/>
          <w:lang w:bidi="fa-IR"/>
        </w:rPr>
        <w:t>للوصیّ ولایة علی تزویج الصغار مطلقاً، أی سواء نصّ الموصی و أذن فی ذلک فی زمان حیاته أم لا؟ اختاره الشهید الثانی</w:t>
      </w:r>
      <w:r>
        <w:rPr>
          <w:rStyle w:val="FootnoteAnchor"/>
          <w:rtl w:val="true"/>
        </w:rPr>
        <w:footnoteReference w:id="2718"/>
      </w:r>
      <w:r>
        <w:rPr>
          <w:rFonts w:ascii="IRNazanin" w:hAnsi="IRNazanin" w:eastAsia="IRNazanin"/>
          <w:color w:val="111111"/>
          <w:sz w:val="28"/>
          <w:sz w:val="28"/>
          <w:szCs w:val="28"/>
          <w:rtl w:val="true"/>
          <w:lang w:bidi="fa-IR"/>
        </w:rPr>
        <w:t>و السیّد صاحب المدارک</w:t>
      </w:r>
      <w:r>
        <w:rPr>
          <w:rStyle w:val="FootnoteAnchor"/>
          <w:rtl w:val="true"/>
        </w:rPr>
        <w:footnoteReference w:id="2719"/>
      </w:r>
    </w:p>
    <w:p>
      <w:pPr>
        <w:pStyle w:val="BookText"/>
        <w:rPr/>
      </w:pPr>
      <w:r>
        <w:rPr>
          <w:rFonts w:ascii="IRNazanin" w:hAnsi="IRNazanin" w:eastAsia="IRNazanin"/>
          <w:color w:val="111111"/>
          <w:sz w:val="28"/>
          <w:sz w:val="28"/>
          <w:szCs w:val="28"/>
          <w:rtl w:val="true"/>
          <w:lang w:bidi="fa-IR"/>
        </w:rPr>
        <w:t>و المحدّث البحرانی</w:t>
      </w:r>
      <w:r>
        <w:rPr>
          <w:rStyle w:val="FootnoteAnchor"/>
          <w:rtl w:val="true"/>
        </w:rPr>
        <w:footnoteReference w:id="2720"/>
      </w:r>
      <w:r>
        <w:rPr>
          <w:rFonts w:ascii="IRNazanin" w:hAnsi="IRNazanin" w:eastAsia="IRNazanin"/>
          <w:color w:val="111111"/>
          <w:sz w:val="28"/>
          <w:sz w:val="28"/>
          <w:szCs w:val="28"/>
          <w:rtl w:val="true"/>
          <w:lang w:bidi="fa-IR"/>
        </w:rPr>
        <w:t>و هو الظاهر من کلام العلاّمة</w:t>
      </w:r>
      <w:r>
        <w:rPr>
          <w:rStyle w:val="FootnoteAnchor"/>
          <w:rtl w:val="true"/>
        </w:rPr>
        <w:footnoteReference w:id="2721"/>
      </w:r>
      <w:r>
        <w:rPr>
          <w:rFonts w:ascii="IRNazanin" w:hAnsi="IRNazanin" w:eastAsia="IRNazanin"/>
          <w:color w:val="111111"/>
          <w:sz w:val="28"/>
          <w:sz w:val="28"/>
          <w:szCs w:val="28"/>
          <w:rtl w:val="true"/>
          <w:lang w:bidi="fa-IR"/>
        </w:rPr>
        <w:t>و الشهید الأوّل</w:t>
      </w:r>
      <w:r>
        <w:rPr>
          <w:rStyle w:val="FootnoteAnchor"/>
          <w:rtl w:val="true"/>
        </w:rPr>
        <w:footnoteReference w:id="27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نسبه إلیه فی الروضة</w:t>
      </w:r>
      <w:r>
        <w:rPr>
          <w:rStyle w:val="FootnoteAnchor"/>
          <w:rtl w:val="true"/>
        </w:rPr>
        <w:footnoteReference w:id="27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 أیضاً عن الشیخ فی موضعٍ من المبسوط‌</w:t>
      </w:r>
      <w:r>
        <w:rPr>
          <w:rStyle w:val="FootnoteAnchor"/>
          <w:rtl w:val="true"/>
        </w:rPr>
        <w:footnoteReference w:id="27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75" w:name="__RefHeading___Toc9424744_73709187"/>
      <w:bookmarkStart w:id="1276" w:name="_Toc486"/>
      <w:bookmarkEnd w:id="1275"/>
      <w:r>
        <w:rPr>
          <w:rtl w:val="true"/>
        </w:rPr>
        <w:t>أدلّة هذا القول</w:t>
      </w:r>
      <w:r>
        <w:rPr>
          <w:rtl w:val="true"/>
        </w:rPr>
        <w:t>:</w:t>
      </w:r>
      <w:bookmarkEnd w:id="1276"/>
    </w:p>
    <w:p>
      <w:pPr>
        <w:pStyle w:val="BookText"/>
        <w:rPr/>
      </w:pPr>
      <w:r>
        <w:rPr>
          <w:rFonts w:ascii="IRNazanin" w:hAnsi="IRNazanin" w:eastAsia="IRNazanin"/>
          <w:color w:val="111111"/>
          <w:sz w:val="28"/>
          <w:sz w:val="28"/>
          <w:szCs w:val="28"/>
          <w:rtl w:val="true"/>
          <w:lang w:bidi="fa-IR"/>
        </w:rPr>
        <w:t>استدلّ للقول بثبوت الولایة للوصیّ مطلقاً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w:t>
      </w:r>
      <w:r>
        <w:rPr>
          <w:rStyle w:val="FootnoteAnchor"/>
          <w:rtl w:val="true"/>
        </w:rPr>
        <w:footnoteReference w:id="2725"/>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بَدَّلَهُ بَعْدَ ما سَمِعَهُ فَإِنَّما إِثْمُهُ عَلَی الَّذِینَ یُبَدِّلُونَهُ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ثبوت الولایة علی التزویج للوصیّ مطلقاً و إن لم یصرّح به الموصی أوّل الکلام، فالآیة لا تشمل المورد</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ببیان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الآیة هو أنّ تبدیل الوصیّة حرام، أمّا إثبات الولایة</w:t>
      </w:r>
    </w:p>
    <w:p>
      <w:pPr>
        <w:pStyle w:val="BookText"/>
        <w:rPr/>
      </w:pPr>
      <w:r>
        <w:rPr>
          <w:rFonts w:ascii="IRNazanin" w:hAnsi="IRNazanin" w:eastAsia="IRNazanin"/>
          <w:color w:val="111111"/>
          <w:sz w:val="28"/>
          <w:sz w:val="28"/>
          <w:szCs w:val="28"/>
          <w:rtl w:val="true"/>
          <w:lang w:bidi="fa-IR"/>
        </w:rPr>
        <w:t>للوصیّ فلا تکون فی مقام بیانها، و لیس لها من هذه الحیثیة 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النصوص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روایة أبی بصیر و سماعة المتقدّمة، عن أبی عبد اللّه علیه السلام فی قول اللّه عزّ و 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طَلَّقْتُمُوهُنَّ مِنْ قَبْلِ أَنْ تَمَسُّوهُنَّ وَ قَدْ فَرَضْتُمْ لَهُنَّ فَرِیضَةً فَنِصْفُ ما فَرَضْتُمْ إِلاّ أَنْ یَعْفُونَ أَوْ یَعْفُوَا الَّذِی بِیَدِهِ عُقْدَةُ النِّکاحِ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الأب أو الأخ أو الرجل یوصی إلیه، و الذی یجوز أمره فی مال المرأة فیبتاع لها فتجیز، فإذا عفا فقد جاز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الحلبی، عن أبی عبد اللّه علیه السلام مثله، إلاّ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فیبیع لها و یشتری</w:t>
      </w:r>
      <w:r>
        <w:rPr>
          <w:rFonts w:eastAsia="IRNazanin" w:cs="IRNazanin"/>
          <w:color w:val="111111"/>
          <w:sz w:val="28"/>
          <w:szCs w:val="28"/>
          <w:rtl w:val="true"/>
          <w:lang w:bidi="fa-IR"/>
        </w:rPr>
        <w:t>»</w:t>
      </w:r>
      <w:r>
        <w:rPr>
          <w:rStyle w:val="FootnoteAnchor"/>
          <w:rtl w:val="true"/>
        </w:rPr>
        <w:footnoteReference w:id="27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هکذا صحیحة أبی بصیر و محمّد بن مسلم و صحیحة عبد اللّه بن سنان</w:t>
      </w:r>
      <w:r>
        <w:rPr>
          <w:rStyle w:val="FootnoteAnchor"/>
          <w:rtl w:val="true"/>
        </w:rPr>
        <w:footnoteReference w:id="27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استدلّ بهذه النصوص المحدّث البحرانی، قال فی الحدائق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أنت خبیر بأنّ هذه الأخبار مع صحّة أسانیدها ظاهرة الدلالة فی القول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ثبوت الولایة للوصیّ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لاتّفاقها علی عدّ الموصی إلیه فی جملة من بیدهم عقدة النکاح، الذی هو بمعنی الولایة فی التزویج کالأب</w:t>
      </w:r>
      <w:r>
        <w:rPr>
          <w:rFonts w:eastAsia="IRNazanin" w:cs="IRNazanin"/>
          <w:color w:val="111111"/>
          <w:sz w:val="28"/>
          <w:szCs w:val="28"/>
          <w:rtl w:val="true"/>
          <w:lang w:bidi="fa-IR"/>
        </w:rPr>
        <w:t>»</w:t>
      </w:r>
      <w:r>
        <w:rPr>
          <w:rStyle w:val="FootnoteAnchor"/>
          <w:rtl w:val="true"/>
        </w:rPr>
        <w:footnoteReference w:id="27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أورد علی الاستدلال بها فی مستند الشیعة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تلک النصوص غیر صحیحة عبد اللّه بن سنان مجملةٌ؛ لاشتمالها علی الوکیل فی المال، و هو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یجوز أمره فی مال المرأة فیبیع لها و یشتری</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شکّ أنّه لیس بیده عقدة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أنّها مشتملةٌ علی الأخ أیضاً، فلا بدّ من ارتکاب تجوّزٍ أو تخصیصٍ، فتصیر الروایات مجملةً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المراد بالرجل الذی یُوصی إلیه یمکن أن یکون وصیّ المرأة المطلّقة قبل المسّ، فإنّه له العفو أیضاً بعد موتها</w:t>
      </w:r>
      <w:r>
        <w:rPr>
          <w:rFonts w:eastAsia="IRNazanin" w:cs="IRNazanin"/>
          <w:color w:val="111111"/>
          <w:sz w:val="28"/>
          <w:szCs w:val="28"/>
          <w:rtl w:val="true"/>
          <w:lang w:bidi="fa-IR"/>
        </w:rPr>
        <w:t>»</w:t>
      </w:r>
      <w:r>
        <w:rPr>
          <w:rStyle w:val="FootnoteAnchor"/>
          <w:rtl w:val="true"/>
        </w:rPr>
        <w:footnoteReference w:id="27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الأولی أن یُقال فی الجواب عن الاستدلال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الظاهر من الذی یوصی إلیه الوصیّ، الوصیُّ الذی صرّح له الموصی بالتزویج، و أنّ المتیقّن من الوصیّ الذی بیده عقدة النکاح هو ذلک، و أمّا الوصیّ المطلق الذی جعله المیّت وصیّاً علی أمواله و أطفاله، و لم یأذن له بتزویج أولاده الصغار فی متن الوصیة و زمان حیاته، لا ینتقل الذهن من تلک الوصیّة إلی النکاح، و لا أقلّ من الشکّ فیه، و الأصل عدم ثبوت 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ببیان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یفهم العرف من الوصیة علی الأموال و الأولاد الوصیّةَ علی التزویج أیضاً، فلا یمکن حمل النصوص علی غیر ما هو متفاهم عرفاً؛ لأنّها ملقاة إلی العرف إلاّ إذا کانت فیها قرائن خاصّة تدلّ علی المقصود، و المفروض أنّها لم تکن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الوصیّ العام قد فوّض إلیه الموصی ما کان له فیه الولایة، و تصرّفاته کُلّها منوطة بالغبطة، و قد تتحقّق الغبطة فی نکاح الصغیر من ذکر أو أنثی بوجودٍ کفء لا یتّفق فی کلّ وقتٍ و یخاف بتأخیره فوته</w:t>
      </w:r>
      <w:r>
        <w:rPr>
          <w:rStyle w:val="FootnoteAnchor"/>
          <w:rtl w:val="true"/>
        </w:rPr>
        <w:footnoteReference w:id="27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أیضاً إطلاق الموصی إلیه و هو من جعله المیّت وصیّاً علی أمواله و أطفاله و وصایاه، و إن لم یصرّح بخصوصیّة الوصیّة فی النکاح یشمل ذلک، و الأدلّة مطلقة أیضاً، أی سواء نصّ الموصی علی ذلک أم لا</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ظهر ممّا قلنا فی الاستدلال بالنصوص ما فی هذه أیضاً؛ لأنّ النکاح لیس من التصرّفات التی ینتقل إلیها الذهن عند الإطلاق، بل یتوقّف ثبوت</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ولایة الوصیّ فی النکاح علی التصریح به، و إثبات ولایة الوصی علی التزویج بإطلاق وصیّة الموصی علی الأموال هو أوّل الکلام، 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من اطلق القول من الأصحاب بثبوت الولایة للوصیّ، یکون التقیید و التصریح به فی متن العقد، قال فی جامع المقاصد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تثبت ولایة الوصیّ فی النکاح بتعمیم الوصیّة أم لا بدّ من التصریح بالوصیّة فی النکاح؟ یلوح من عبارة القائلین بالثبوت الثانی</w:t>
      </w:r>
      <w:r>
        <w:rPr>
          <w:rFonts w:eastAsia="IRNazanin" w:cs="IRNazanin"/>
          <w:color w:val="111111"/>
          <w:sz w:val="28"/>
          <w:szCs w:val="28"/>
          <w:rtl w:val="true"/>
          <w:lang w:bidi="fa-IR"/>
        </w:rPr>
        <w:t>»</w:t>
      </w:r>
      <w:r>
        <w:rPr>
          <w:rStyle w:val="FootnoteAnchor"/>
          <w:rtl w:val="true"/>
        </w:rPr>
        <w:footnoteReference w:id="2731"/>
      </w:r>
      <w:r>
        <w:rPr>
          <w:rFonts w:ascii="IRNazanin" w:hAnsi="IRNazanin" w:eastAsia="IRNazanin"/>
          <w:color w:val="111111"/>
          <w:sz w:val="28"/>
          <w:sz w:val="28"/>
          <w:szCs w:val="28"/>
          <w:rtl w:val="true"/>
          <w:lang w:bidi="fa-IR"/>
        </w:rPr>
        <w:t>و کذا فی نهایة المرام</w:t>
      </w:r>
      <w:r>
        <w:rPr>
          <w:rStyle w:val="FootnoteAnchor"/>
          <w:rtl w:val="true"/>
        </w:rPr>
        <w:footnoteReference w:id="2732"/>
      </w:r>
      <w:r>
        <w:rPr>
          <w:rFonts w:ascii="IRNazanin" w:hAnsi="IRNazanin" w:eastAsia="IRNazanin"/>
          <w:color w:val="111111"/>
          <w:sz w:val="28"/>
          <w:sz w:val="28"/>
          <w:szCs w:val="28"/>
          <w:rtl w:val="true"/>
          <w:lang w:bidi="fa-IR"/>
        </w:rPr>
        <w:t>و الحدائق</w:t>
      </w:r>
      <w:r>
        <w:rPr>
          <w:rStyle w:val="FootnoteAnchor"/>
          <w:rtl w:val="true"/>
        </w:rPr>
        <w:footnoteReference w:id="2733"/>
      </w:r>
      <w:bookmarkStart w:id="1277" w:name="pg11752_146642"/>
    </w:p>
    <w:p>
      <w:pPr>
        <w:pStyle w:val="Heading4"/>
        <w:numPr>
          <w:ilvl w:val="3"/>
          <w:numId w:val="1"/>
        </w:numPr>
        <w:rPr/>
      </w:pPr>
      <w:bookmarkStart w:id="1278" w:name="__RefHeading___Toc9424746_73709187"/>
      <w:bookmarkStart w:id="1279" w:name="_Toc487"/>
      <w:bookmarkEnd w:id="1277"/>
      <w:bookmarkEnd w:id="1278"/>
      <w:r>
        <w:rPr>
          <w:rtl w:val="true"/>
        </w:rPr>
        <w:t>القول الثانی</w:t>
      </w:r>
      <w:r>
        <w:rPr>
          <w:rtl w:val="true"/>
        </w:rPr>
        <w:t>:</w:t>
      </w:r>
      <w:bookmarkEnd w:id="1279"/>
    </w:p>
    <w:p>
      <w:pPr>
        <w:pStyle w:val="Heading5"/>
        <w:numPr>
          <w:ilvl w:val="4"/>
          <w:numId w:val="1"/>
        </w:numPr>
        <w:rPr/>
      </w:pPr>
      <w:bookmarkStart w:id="1280" w:name="__RefHeading___Toc9424748_73709187"/>
      <w:bookmarkStart w:id="1281" w:name="_Toc488"/>
      <w:bookmarkEnd w:id="1280"/>
      <w:r>
        <w:rPr>
          <w:rtl w:val="true"/>
        </w:rPr>
        <w:t>اشارة</w:t>
      </w:r>
      <w:bookmarkEnd w:id="1281"/>
    </w:p>
    <w:p>
      <w:pPr>
        <w:pStyle w:val="BookText"/>
        <w:rPr/>
      </w:pPr>
      <w:r>
        <w:rPr>
          <w:rFonts w:ascii="IRNazanin" w:hAnsi="IRNazanin" w:eastAsia="IRNazanin"/>
          <w:color w:val="111111"/>
          <w:sz w:val="28"/>
          <w:sz w:val="28"/>
          <w:szCs w:val="28"/>
          <w:rtl w:val="true"/>
          <w:lang w:bidi="fa-IR"/>
        </w:rPr>
        <w:t>عدم ثبوت الولایة للوصیّ علی تزویج الصغیرین</w:t>
      </w:r>
    </w:p>
    <w:p>
      <w:pPr>
        <w:pStyle w:val="BookText"/>
        <w:rPr/>
      </w:pPr>
      <w:r>
        <w:rPr>
          <w:rFonts w:ascii="IRNazanin" w:hAnsi="IRNazanin" w:eastAsia="IRNazanin"/>
          <w:color w:val="111111"/>
          <w:sz w:val="28"/>
          <w:sz w:val="28"/>
          <w:szCs w:val="28"/>
          <w:rtl w:val="true"/>
          <w:lang w:bidi="fa-IR"/>
        </w:rPr>
        <w:t>یستفاد من کلمات بعض الفقهاء أنّه لیس للوصیّ ولایة علی تزویج الصغار مطلقاً، نصّ الموصی و أذن فی ذلک فی زمان حیاته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قدس سره فی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لیس له أن یزوّج الصغیرة التی یلی علیها؛ لأنّ ولایة النکاح لا تُستفاد بالوصیة</w:t>
      </w:r>
      <w:r>
        <w:rPr>
          <w:rFonts w:eastAsia="IRNazanin" w:cs="IRNazanin"/>
          <w:color w:val="111111"/>
          <w:sz w:val="28"/>
          <w:szCs w:val="28"/>
          <w:rtl w:val="true"/>
          <w:lang w:bidi="fa-IR"/>
        </w:rPr>
        <w:t>»</w:t>
      </w:r>
      <w:r>
        <w:rPr>
          <w:rStyle w:val="FootnoteAnchor"/>
          <w:rtl w:val="true"/>
        </w:rPr>
        <w:footnoteReference w:id="27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المحقّق فی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ولایة للوصی و إن نصّ له الموصی علی النکاح علی الأظهر</w:t>
      </w:r>
      <w:r>
        <w:rPr>
          <w:rFonts w:eastAsia="IRNazanin" w:cs="IRNazanin"/>
          <w:color w:val="111111"/>
          <w:sz w:val="28"/>
          <w:szCs w:val="28"/>
          <w:rtl w:val="true"/>
          <w:lang w:bidi="fa-IR"/>
        </w:rPr>
        <w:t>»</w:t>
      </w:r>
      <w:r>
        <w:rPr>
          <w:rStyle w:val="FootnoteAnchor"/>
          <w:rtl w:val="true"/>
        </w:rPr>
        <w:footnoteReference w:id="2735"/>
      </w:r>
      <w:r>
        <w:rPr>
          <w:rFonts w:ascii="IRNazanin" w:hAnsi="IRNazanin" w:eastAsia="IRNazanin"/>
          <w:color w:val="111111"/>
          <w:sz w:val="28"/>
          <w:sz w:val="28"/>
          <w:szCs w:val="28"/>
          <w:rtl w:val="true"/>
          <w:lang w:bidi="fa-IR"/>
        </w:rPr>
        <w:t>و کذا فی المختصر النافع</w:t>
      </w:r>
      <w:r>
        <w:rPr>
          <w:rStyle w:val="FootnoteAnchor"/>
          <w:rtl w:val="true"/>
        </w:rPr>
        <w:footnoteReference w:id="27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اختاره العلاّمة فی القواعد</w:t>
      </w:r>
      <w:r>
        <w:rPr>
          <w:rStyle w:val="FootnoteAnchor"/>
          <w:rtl w:val="true"/>
        </w:rPr>
        <w:footnoteReference w:id="2737"/>
      </w:r>
      <w:r>
        <w:rPr>
          <w:rFonts w:ascii="IRNazanin" w:hAnsi="IRNazanin" w:eastAsia="IRNazanin"/>
          <w:color w:val="111111"/>
          <w:sz w:val="28"/>
          <w:sz w:val="28"/>
          <w:szCs w:val="28"/>
          <w:rtl w:val="true"/>
          <w:lang w:bidi="fa-IR"/>
        </w:rPr>
        <w:t>و التحریر</w:t>
      </w:r>
      <w:r>
        <w:rPr>
          <w:rStyle w:val="FootnoteAnchor"/>
          <w:rtl w:val="true"/>
        </w:rPr>
        <w:footnoteReference w:id="2738"/>
      </w:r>
      <w:r>
        <w:rPr>
          <w:rFonts w:ascii="IRNazanin" w:hAnsi="IRNazanin" w:eastAsia="IRNazanin"/>
          <w:color w:val="111111"/>
          <w:sz w:val="28"/>
          <w:sz w:val="28"/>
          <w:szCs w:val="28"/>
          <w:rtl w:val="true"/>
          <w:lang w:bidi="fa-IR"/>
        </w:rPr>
        <w:t>و التذکرة</w:t>
      </w:r>
      <w:r>
        <w:rPr>
          <w:rStyle w:val="FootnoteAnchor"/>
          <w:rtl w:val="true"/>
        </w:rPr>
        <w:footnoteReference w:id="2739"/>
      </w:r>
      <w:r>
        <w:rPr>
          <w:rFonts w:ascii="IRNazanin" w:hAnsi="IRNazanin" w:eastAsia="IRNazanin"/>
          <w:color w:val="111111"/>
          <w:sz w:val="28"/>
          <w:sz w:val="28"/>
          <w:szCs w:val="28"/>
          <w:rtl w:val="true"/>
          <w:lang w:bidi="fa-IR"/>
        </w:rPr>
        <w:t>و الإرشاد</w:t>
      </w:r>
      <w:r>
        <w:rPr>
          <w:rStyle w:val="FootnoteAnchor"/>
          <w:rtl w:val="true"/>
        </w:rPr>
        <w:footnoteReference w:id="2740"/>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قال الشهید فی اللمعة</w:t>
      </w:r>
      <w:r>
        <w:rPr>
          <w:rStyle w:val="FootnoteAnchor"/>
          <w:rtl w:val="true"/>
        </w:rPr>
        <w:footnoteReference w:id="27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المشهور أو الأشهر، کما فی المسالک</w:t>
      </w:r>
      <w:r>
        <w:rPr>
          <w:rStyle w:val="FootnoteAnchor"/>
          <w:rtl w:val="true"/>
        </w:rPr>
        <w:footnoteReference w:id="2742"/>
      </w:r>
      <w:r>
        <w:rPr>
          <w:rFonts w:ascii="Amiri" w:hAnsi="Amiri" w:eastAsia="Amiri" w:cs="Amiri"/>
          <w:color w:val="111111"/>
          <w:sz w:val="28"/>
          <w:sz w:val="28"/>
          <w:szCs w:val="28"/>
          <w:rtl w:val="true"/>
          <w:lang w:bidi="ar-SA"/>
        </w:rPr>
        <w:t>و الروضة</w:t>
      </w:r>
      <w:r>
        <w:rPr>
          <w:rStyle w:val="FootnoteAnchor"/>
          <w:rtl w:val="true"/>
        </w:rPr>
        <w:footnoteReference w:id="27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اختاره فی المستند</w:t>
      </w:r>
      <w:r>
        <w:rPr>
          <w:rStyle w:val="FootnoteAnchor"/>
          <w:rtl w:val="true"/>
        </w:rPr>
        <w:footnoteReference w:id="2744"/>
      </w:r>
      <w:r>
        <w:rPr>
          <w:rFonts w:ascii="IRNazanin" w:hAnsi="IRNazanin" w:eastAsia="IRNazanin"/>
          <w:color w:val="111111"/>
          <w:sz w:val="28"/>
          <w:sz w:val="28"/>
          <w:szCs w:val="28"/>
          <w:rtl w:val="true"/>
          <w:lang w:bidi="fa-IR"/>
        </w:rPr>
        <w:t>و کذا فی الریاض</w:t>
      </w:r>
      <w:r>
        <w:rPr>
          <w:rStyle w:val="FootnoteAnchor"/>
          <w:rtl w:val="true"/>
        </w:rPr>
        <w:footnoteReference w:id="2745"/>
      </w:r>
      <w:r>
        <w:rPr>
          <w:rFonts w:ascii="IRNazanin" w:hAnsi="IRNazanin" w:eastAsia="IRNazanin"/>
          <w:color w:val="111111"/>
          <w:sz w:val="28"/>
          <w:sz w:val="28"/>
          <w:szCs w:val="28"/>
          <w:rtl w:val="true"/>
          <w:lang w:bidi="fa-IR"/>
        </w:rPr>
        <w:t>و جامع</w:t>
      </w:r>
      <w:bookmarkStart w:id="1282" w:name="pg11752_146643"/>
    </w:p>
    <w:p>
      <w:pPr>
        <w:pStyle w:val="BookText"/>
        <w:rPr/>
      </w:pPr>
      <w:bookmarkEnd w:id="1282"/>
      <w:r>
        <w:rPr>
          <w:rFonts w:ascii="IRNazanin" w:hAnsi="IRNazanin" w:eastAsia="IRNazanin"/>
          <w:color w:val="111111"/>
          <w:sz w:val="28"/>
          <w:sz w:val="28"/>
          <w:szCs w:val="28"/>
          <w:rtl w:val="true"/>
          <w:lang w:bidi="fa-IR"/>
        </w:rPr>
        <w:t>المدارک</w:t>
      </w:r>
      <w:r>
        <w:rPr>
          <w:rStyle w:val="FootnoteAnchor"/>
          <w:rtl w:val="true"/>
        </w:rPr>
        <w:footnoteReference w:id="2746"/>
      </w:r>
      <w:r>
        <w:rPr>
          <w:rFonts w:ascii="IRNazanin" w:hAnsi="IRNazanin" w:eastAsia="IRNazanin"/>
          <w:color w:val="111111"/>
          <w:sz w:val="28"/>
          <w:sz w:val="28"/>
          <w:szCs w:val="28"/>
          <w:rtl w:val="true"/>
          <w:lang w:bidi="fa-IR"/>
        </w:rPr>
        <w:t>و مهذّب الأحکام</w:t>
      </w:r>
      <w:r>
        <w:rPr>
          <w:rStyle w:val="FootnoteAnchor"/>
          <w:rtl w:val="true"/>
        </w:rPr>
        <w:footnoteReference w:id="27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أشکل الإمام الخمینی قدس سره فی تعلیقته علی العروة،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أمر الصغیر مشکل فلا یترک الاحتیاط فیه</w:t>
      </w:r>
      <w:r>
        <w:rPr>
          <w:rStyle w:val="FootnoteAnchor"/>
          <w:rtl w:val="true"/>
        </w:rPr>
        <w:footnoteReference w:id="27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تحریر الوسیلة</w:t>
      </w:r>
      <w:r>
        <w:rPr>
          <w:rStyle w:val="FootnoteAnchor"/>
          <w:rtl w:val="true"/>
        </w:rPr>
        <w:footnoteReference w:id="2749"/>
      </w:r>
      <w:r>
        <w:rPr>
          <w:rFonts w:ascii="IRNazanin" w:hAnsi="IRNazanin" w:eastAsia="IRNazanin"/>
          <w:color w:val="111111"/>
          <w:sz w:val="28"/>
          <w:sz w:val="28"/>
          <w:szCs w:val="28"/>
          <w:rtl w:val="true"/>
          <w:lang w:bidi="fa-IR"/>
        </w:rPr>
        <w:t>و غیره</w:t>
      </w:r>
      <w:r>
        <w:rPr>
          <w:rStyle w:val="FootnoteAnchor"/>
          <w:rtl w:val="true"/>
        </w:rPr>
        <w:footnoteReference w:id="27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83" w:name="__RefHeading___Toc9424750_73709187"/>
      <w:bookmarkStart w:id="1284" w:name="_Toc489"/>
      <w:bookmarkEnd w:id="1283"/>
      <w:r>
        <w:rPr>
          <w:rtl w:val="true"/>
        </w:rPr>
        <w:t>أدلّة عدم ولایة الوصیّ علی تزویج الصغیرین</w:t>
      </w:r>
      <w:r>
        <w:rPr>
          <w:rtl w:val="true"/>
        </w:rPr>
        <w:t>:</w:t>
      </w:r>
      <w:bookmarkEnd w:id="1284"/>
    </w:p>
    <w:p>
      <w:pPr>
        <w:pStyle w:val="BookText"/>
        <w:rPr/>
      </w:pPr>
      <w:r>
        <w:rPr>
          <w:rFonts w:ascii="IRNazanin" w:hAnsi="IRNazanin" w:eastAsia="IRNazanin"/>
          <w:color w:val="111111"/>
          <w:sz w:val="28"/>
          <w:sz w:val="28"/>
          <w:szCs w:val="28"/>
          <w:rtl w:val="true"/>
          <w:lang w:bidi="fa-IR"/>
        </w:rPr>
        <w:t>یمکن الاستدلال علی القول بعدم ولایة الوصیّ علی تزویج الصغیرین بأمور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عدم الولایة للوصیّ علی النکاح، و عدم انتقال الولایة من الموصی إلی الوصیّ مع انقطاع الولایة عن الموصی بموته، بعد القول بعدم ثبوت مشروعیّة إحداث الولایة للأب و الجدّ علی وجهٍ یشمل ولایة الوصیّ‌</w:t>
      </w:r>
      <w:r>
        <w:rPr>
          <w:rStyle w:val="FootnoteAnchor"/>
          <w:rtl w:val="true"/>
        </w:rPr>
        <w:footnoteReference w:id="27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عدم صحّة العقد مع ردّ الصغیر بعد البلوغ</w:t>
      </w:r>
      <w:r>
        <w:rPr>
          <w:rStyle w:val="FootnoteAnchor"/>
          <w:rtl w:val="true"/>
        </w:rPr>
        <w:footnoteReference w:id="27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 دلیل حیث لا یوجد دلیل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سنذکر قریباً أنّ ولایة الوصیّ تثبت بالدلیل من الآیة و النصوص، فلا یجری الأصلان المتقدّمان</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دعوی عدم ثبوت مشروعیّة إحداث الولایة للأب و الجدّ علی نحو یشمل المورد ممنوعة؛ ضرورة أنّ الوصیّ یکون بمنزلة الوکیل ینتقل إلیه کلّما کان للموصی فعله حال کونه حیّاً، و لا سیّما بعد اعتراف الخصم بأنّ للوصیّ أنْ یزوّج</w:t>
      </w:r>
    </w:p>
    <w:p>
      <w:pPr>
        <w:pStyle w:val="BookText"/>
        <w:rPr/>
      </w:pPr>
      <w:r>
        <w:rPr>
          <w:rFonts w:ascii="IRNazanin" w:hAnsi="IRNazanin" w:eastAsia="IRNazanin"/>
          <w:color w:val="111111"/>
          <w:sz w:val="28"/>
          <w:sz w:val="28"/>
          <w:szCs w:val="28"/>
          <w:rtl w:val="true"/>
          <w:lang w:bidi="fa-IR"/>
        </w:rPr>
        <w:t>من بلغ فاسد العقل إذا کان به ضرورة إلی النکاح، و علیه الأکثر کما قال المحقّق الثانی</w:t>
      </w:r>
      <w:r>
        <w:rPr>
          <w:rStyle w:val="FootnoteAnchor"/>
          <w:rtl w:val="true"/>
        </w:rPr>
        <w:footnoteReference w:id="27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نفی بعضهم الخلاف عن ثبوتها فی ذلک، بل عن ظاهر الکفایة</w:t>
      </w:r>
      <w:r>
        <w:rPr>
          <w:rStyle w:val="FootnoteAnchor"/>
          <w:rtl w:val="true"/>
        </w:rPr>
        <w:footnoteReference w:id="2754"/>
      </w:r>
      <w:r>
        <w:rPr>
          <w:rFonts w:ascii="IRNazanin" w:hAnsi="IRNazanin" w:eastAsia="IRNazanin"/>
          <w:color w:val="111111"/>
          <w:sz w:val="28"/>
          <w:sz w:val="28"/>
          <w:szCs w:val="28"/>
          <w:rtl w:val="true"/>
          <w:lang w:bidi="fa-IR"/>
        </w:rPr>
        <w:t>الإجماع علیه؛ إذ لو کانت الولایة غیر قابلة لذلک لم تثبت ولایة الوصیّ فی هذا الحال</w:t>
      </w:r>
      <w:r>
        <w:rPr>
          <w:rStyle w:val="FootnoteAnchor"/>
          <w:rtl w:val="true"/>
        </w:rPr>
        <w:footnoteReference w:id="27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الصبیّ یزوّج الصبیّة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أبواهما اللذان زوّجاهما فنعم جائز، و لکن لهما الخیار إذا أدرکا</w:t>
      </w:r>
      <w:r>
        <w:rPr>
          <w:rFonts w:eastAsia="IRNazanin" w:cs="IRNazanin"/>
          <w:color w:val="111111"/>
          <w:sz w:val="28"/>
          <w:szCs w:val="28"/>
          <w:rtl w:val="true"/>
          <w:lang w:bidi="fa-IR"/>
        </w:rPr>
        <w:t>»</w:t>
      </w:r>
      <w:r>
        <w:rPr>
          <w:rStyle w:val="FootnoteAnchor"/>
          <w:rtl w:val="true"/>
        </w:rPr>
        <w:footnoteReference w:id="27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دلالتها لیست بمجرّد مفهوم الشرط حتّی یُتأمّل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التأمّل لیس فی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لأجل استفصال الإمام علیه السلام مع کون کلام السائل مطلقاً، و التفصیل قاطع للشرکة، ففی الحقیقة أنّ الصحیحة دالّةٌ علی الحکم منطوقاً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تدلّ علیه أیضاً صحیحة أخری له</w:t>
      </w:r>
      <w:r>
        <w:rPr>
          <w:rStyle w:val="FootnoteAnchor"/>
          <w:rtl w:val="true"/>
        </w:rPr>
        <w:footnoteReference w:id="2757"/>
      </w:r>
      <w:r>
        <w:rPr>
          <w:rFonts w:ascii="IRNazanin" w:hAnsi="IRNazanin" w:eastAsia="IRNazanin"/>
          <w:color w:val="111111"/>
          <w:sz w:val="28"/>
          <w:sz w:val="28"/>
          <w:szCs w:val="28"/>
          <w:rtl w:val="true"/>
          <w:lang w:bidi="fa-IR"/>
        </w:rPr>
        <w:t>و معتبرة عبید بن زرارة</w:t>
      </w:r>
      <w:r>
        <w:rPr>
          <w:rStyle w:val="FootnoteAnchor"/>
          <w:rtl w:val="true"/>
        </w:rPr>
        <w:footnoteReference w:id="2758"/>
      </w:r>
      <w:r>
        <w:rPr>
          <w:rFonts w:eastAsia="Times New Roman" w:cs="Times New Roman" w:ascii="Times New Roman" w:hAnsi="Times New Roman"/>
          <w:color w:val="111111"/>
          <w:sz w:val="28"/>
          <w:szCs w:val="28"/>
          <w:rtl w:val="true"/>
          <w:lang w:val="en-US" w:bidi="en-US"/>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أبی عبیدة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غلام و جاریة زوّجهما ولیّان لهما و هما غیر مدرکین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النکاح جائز أیّهما أدرک کان له الخیار، فإن ماتا قبل أن یدرکا فلا میراث بینهما و لا مهر إلاّ أن یکونا قد أدرکا و رضیا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w:t>
      </w:r>
      <w:r>
        <w:rPr>
          <w:rStyle w:val="FootnoteAnchor"/>
          <w:rtl w:val="true"/>
        </w:rPr>
        <w:footnoteReference w:id="2759"/>
      </w:r>
      <w:r>
        <w:rPr>
          <w:rFonts w:ascii="IRNazanin" w:hAnsi="IRNazanin" w:eastAsia="IRNazanin"/>
          <w:color w:val="111111"/>
          <w:sz w:val="28"/>
          <w:sz w:val="28"/>
          <w:szCs w:val="28"/>
          <w:rtl w:val="true"/>
          <w:lang w:bidi="fa-IR"/>
        </w:rPr>
        <w:t>، فهذه أیضاً تدلّ علی عدم ولایة الوصیّ علی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الاستدلال بتلک الأخبار لا یکون تامّاً؛ لأنّها غیر مسوقةٍ لبیان انحصار الولایة للأب فقط، بل المتفاهم العرفی من هذه النصوص أنّ العقد إن صدر ممّن له الولایة وجب و لزم و إلاّ کان فضولیّاً، و لا خصوصیّة لعقد الأبوین جزماً، و إنّما ذکرا من جهة أنّهما أظهر مصداق للولیّ، کما قال فی مستند العروة</w:t>
      </w:r>
      <w:r>
        <w:rPr>
          <w:rStyle w:val="FootnoteAnchor"/>
          <w:rtl w:val="true"/>
        </w:rPr>
        <w:footnoteReference w:id="27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لهذا یثبت التوارث فیما إذا کان زوّجهما الجدّ و المالک بلا خلاف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الحاکم علی قولٍ کما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الأخبار لا تدلّ علی بطلان العقد الصادر عن غیر الأب، و إنّما تدلّ علی اعتبار صدور العقد ممّن بیده الأمر، سواء کان هو الأب أم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مضمرة محمّد بن إسماعیل بن بزیع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رجل عن رجل مات و ترک أخوین و ابنة و البنت صغیرة، فعمد أحد الأخوین الوصیّ فزوّج الابنة من ابنه، ثمّ مات أبو الابن المزوّج، فلمّا أن مات 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أخی لم یزوّج ابنه فزوّج الجاریة من ابنه، فقیل للجاریة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الزوجین أحبّ إلیک الأوّل أو الآخر؟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الآخر، ثمّ إنّ الأخ الثانی مات و للأخ الأوّل ابن أکبر من الابن المزوّج، فقال للجاریة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اختاری أیّهما أحبّ إلیک الزوج الأوّل أو الزوج الآخر،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الروایة فیها أنّها للزوج الأخیر، و ذلک أنّها قد کانت أدرکت حین زوّجها، و لیس لها أن تنقض ما عقدته بعد إدراکها</w:t>
      </w:r>
      <w:r>
        <w:rPr>
          <w:rFonts w:eastAsia="IRNazanin" w:cs="IRNazanin"/>
          <w:color w:val="111111"/>
          <w:sz w:val="28"/>
          <w:szCs w:val="28"/>
          <w:rtl w:val="true"/>
          <w:lang w:bidi="fa-IR"/>
        </w:rPr>
        <w:t>»</w:t>
      </w:r>
      <w:r>
        <w:rPr>
          <w:rStyle w:val="FootnoteAnchor"/>
          <w:rtl w:val="true"/>
        </w:rPr>
        <w:footnoteReference w:id="2761"/>
      </w:r>
      <w:r>
        <w:rPr>
          <w:rFonts w:eastAsia="Times New Roman" w:cs="Times New Roman" w:ascii="Times New Roman" w:hAnsi="Times New Roman"/>
          <w:color w:val="111111"/>
          <w:sz w:val="28"/>
          <w:szCs w:val="28"/>
          <w:rtl w:val="true"/>
          <w:lang w:val="en-US" w:bidi="en-US"/>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کما تری ظاهرة فی أنّ عقد الوصیّ غیر لازم للصغیرة، بل هو فضولی</w:t>
      </w:r>
    </w:p>
    <w:p>
      <w:pPr>
        <w:pStyle w:val="BookText"/>
        <w:rPr/>
      </w:pPr>
      <w:r>
        <w:rPr>
          <w:rFonts w:ascii="IRNazanin" w:hAnsi="IRNazanin" w:eastAsia="IRNazanin"/>
          <w:color w:val="111111"/>
          <w:sz w:val="28"/>
          <w:sz w:val="28"/>
          <w:szCs w:val="28"/>
          <w:rtl w:val="true"/>
          <w:lang w:bidi="fa-IR"/>
        </w:rPr>
        <w:t>یقف علی الإجازة؛ لأنّه لو کان للوصیّ ولایة علی تزویجها لا یکون لها أن تختار الزوج الأخیر، فتدلّ علی عدم ولایة الوصیّ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الاستدلال بهذه الصحیحة ممنوعٌ 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أجنبیّة عن محلّ الکلام؛ إذ لم یفرض کون الوصیّ وصیّاً فی التزویج، فلا تعارض مع ما سنذکر من الأخبار الصحیحة التی دلّت علی ولایة الوصیّ فی التزویج إذا نصّ علیه الموصی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إنکار الأخ الثانی ما فعله الأخ الأوّل من التزویج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أخی لم یزوّج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علی وقوع العقد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الروایة مضمرةً و لم یعلم إسنادها إلی المعصوم علیه السلام، و یحتمل أن تکون مرسلة لوجود الواسطة بین السائل و الراوی</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یکون صدورها للتقیّة، و نسبة ذلک إلی الروایة مشعرة بالتقیة لو فرض کونه من الإمام علیه السلام، کما قال فی الجواهر</w:t>
      </w:r>
      <w:r>
        <w:rPr>
          <w:rStyle w:val="FootnoteAnchor"/>
          <w:rtl w:val="true"/>
        </w:rPr>
        <w:footnoteReference w:id="27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حملها علی الوصیّ فی غیر النکاح، کإدارة شئون الوصیة العامة</w:t>
      </w:r>
      <w:r>
        <w:rPr>
          <w:rFonts w:eastAsia="IRNazanin" w:cs="IRNazanin"/>
          <w:color w:val="111111"/>
          <w:sz w:val="28"/>
          <w:szCs w:val="28"/>
          <w:rtl w:val="true"/>
          <w:lang w:bidi="fa-IR"/>
        </w:rPr>
        <w:t>.</w:t>
      </w:r>
      <w:bookmarkStart w:id="1285" w:name="pg11752_146647"/>
    </w:p>
    <w:p>
      <w:pPr>
        <w:pStyle w:val="Heading4"/>
        <w:numPr>
          <w:ilvl w:val="3"/>
          <w:numId w:val="1"/>
        </w:numPr>
        <w:rPr/>
      </w:pPr>
      <w:bookmarkStart w:id="1286" w:name="__RefHeading___Toc9424752_73709187"/>
      <w:bookmarkStart w:id="1287" w:name="_Toc490"/>
      <w:bookmarkEnd w:id="1285"/>
      <w:bookmarkEnd w:id="1286"/>
      <w:r>
        <w:rPr>
          <w:rtl w:val="true"/>
        </w:rPr>
        <w:t>القول الثالث</w:t>
      </w:r>
      <w:r>
        <w:rPr>
          <w:rtl w:val="true"/>
        </w:rPr>
        <w:t xml:space="preserve">: </w:t>
      </w:r>
      <w:r>
        <w:rPr>
          <w:rtl w:val="true"/>
        </w:rPr>
        <w:t>ثبوت الولایة للوصیّ إن نصّ الموصی بذلک</w:t>
      </w:r>
      <w:bookmarkEnd w:id="1287"/>
    </w:p>
    <w:p>
      <w:pPr>
        <w:pStyle w:val="Heading5"/>
        <w:numPr>
          <w:ilvl w:val="4"/>
          <w:numId w:val="1"/>
        </w:numPr>
        <w:rPr/>
      </w:pPr>
      <w:bookmarkStart w:id="1288" w:name="__RefHeading___Toc9424754_73709187"/>
      <w:bookmarkStart w:id="1289" w:name="_Toc491"/>
      <w:bookmarkEnd w:id="1288"/>
      <w:r>
        <w:rPr>
          <w:rtl w:val="true"/>
        </w:rPr>
        <w:t>اشارة</w:t>
      </w:r>
      <w:bookmarkEnd w:id="1289"/>
    </w:p>
    <w:p>
      <w:pPr>
        <w:pStyle w:val="BookText"/>
        <w:rPr/>
      </w:pPr>
      <w:r>
        <w:rPr>
          <w:rFonts w:ascii="IRNazanin" w:hAnsi="IRNazanin" w:eastAsia="IRNazanin"/>
          <w:color w:val="111111"/>
          <w:sz w:val="28"/>
          <w:sz w:val="28"/>
          <w:szCs w:val="28"/>
          <w:rtl w:val="true"/>
          <w:lang w:bidi="fa-IR"/>
        </w:rPr>
        <w:t>یستفاد من کلمات بعض الفقهاء أنّ للوصیّ ولایة علی تزویج الصغار بشرط نصّ الموصی بذلک، سواء عیّن الزوج أو الزوجة أم أطلق، و لا فرق بین أن یکون الوصیّ وصیّاً من قِبل الأب أو من قبل الجدّ مع فقد الآخر، و لا یجوز مع وجود أحدهما؛ لأنّه مع وجود الآخر لا موضوع لولایة الوصیّ کما هو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إلی هذا القول المفید رحمه الله،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مات الرجل عن بنتٍ صغیرةٍ فلیس لأحدٍ من ذوی أرحامها و عصبتها أن یعقدوا علیها عقد نکاح حتّی تبلغ، إلاّ أن یکون أبوها قد جعل بعضهم وصیّاً علیها فی ذلک</w:t>
      </w:r>
      <w:r>
        <w:rPr>
          <w:rFonts w:eastAsia="IRNazanin" w:cs="IRNazanin"/>
          <w:color w:val="111111"/>
          <w:sz w:val="28"/>
          <w:szCs w:val="28"/>
          <w:rtl w:val="true"/>
          <w:lang w:bidi="fa-IR"/>
        </w:rPr>
        <w:t>»</w:t>
      </w:r>
      <w:r>
        <w:rPr>
          <w:rStyle w:val="FootnoteAnchor"/>
          <w:rtl w:val="true"/>
        </w:rPr>
        <w:footnoteReference w:id="27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قول الشیخ رحمه الله فی الخلاف</w:t>
      </w:r>
      <w:r>
        <w:rPr>
          <w:rStyle w:val="FootnoteAnchor"/>
          <w:rtl w:val="true"/>
        </w:rPr>
        <w:footnoteReference w:id="2764"/>
      </w:r>
      <w:r>
        <w:rPr>
          <w:rFonts w:ascii="IRNazanin" w:hAnsi="IRNazanin" w:eastAsia="IRNazanin"/>
          <w:color w:val="111111"/>
          <w:sz w:val="28"/>
          <w:sz w:val="28"/>
          <w:szCs w:val="28"/>
          <w:rtl w:val="true"/>
          <w:lang w:bidi="fa-IR"/>
        </w:rPr>
        <w:t>، و فی موضعٍ من المبسوط، کما حکاه فی المختلف</w:t>
      </w:r>
      <w:r>
        <w:rPr>
          <w:rStyle w:val="FootnoteAnchor"/>
          <w:rtl w:val="true"/>
        </w:rPr>
        <w:footnoteReference w:id="2765"/>
      </w:r>
      <w:r>
        <w:rPr>
          <w:rFonts w:ascii="IRNazanin" w:hAnsi="IRNazanin" w:eastAsia="IRNazanin"/>
          <w:color w:val="111111"/>
          <w:sz w:val="28"/>
          <w:sz w:val="28"/>
          <w:szCs w:val="28"/>
          <w:rtl w:val="true"/>
          <w:lang w:bidi="fa-IR"/>
        </w:rPr>
        <w:t>و غیره، و لکنّا لم نجده، و تبعه فی المؤتلف من المختلف</w:t>
      </w:r>
      <w:r>
        <w:rPr>
          <w:rStyle w:val="FootnoteAnchor"/>
          <w:rtl w:val="true"/>
        </w:rPr>
        <w:footnoteReference w:id="2766"/>
      </w:r>
      <w:r>
        <w:rPr>
          <w:rFonts w:ascii="IRNazanin" w:hAnsi="IRNazanin" w:eastAsia="IRNazanin"/>
          <w:color w:val="111111"/>
          <w:sz w:val="28"/>
          <w:sz w:val="28"/>
          <w:szCs w:val="28"/>
          <w:rtl w:val="true"/>
          <w:lang w:bidi="fa-IR"/>
        </w:rPr>
        <w:t>، و اختاره العلاّمة فی موضعٍ من المختلف</w:t>
      </w:r>
      <w:r>
        <w:rPr>
          <w:rStyle w:val="FootnoteAnchor"/>
          <w:rtl w:val="true"/>
        </w:rPr>
        <w:footnoteReference w:id="2767"/>
      </w:r>
      <w:r>
        <w:rPr>
          <w:rFonts w:ascii="IRNazanin" w:hAnsi="IRNazanin" w:eastAsia="IRNazanin"/>
          <w:color w:val="111111"/>
          <w:sz w:val="28"/>
          <w:sz w:val="28"/>
          <w:szCs w:val="28"/>
          <w:rtl w:val="true"/>
          <w:lang w:bidi="fa-IR"/>
        </w:rPr>
        <w:t>و الشهید فی شرح الإرشاد</w:t>
      </w:r>
      <w:r>
        <w:rPr>
          <w:rStyle w:val="FootnoteAnchor"/>
          <w:rtl w:val="true"/>
        </w:rPr>
        <w:footnoteReference w:id="2768"/>
      </w:r>
      <w:r>
        <w:rPr>
          <w:rFonts w:ascii="IRNazanin" w:hAnsi="IRNazanin" w:eastAsia="IRNazanin"/>
          <w:color w:val="111111"/>
          <w:sz w:val="28"/>
          <w:sz w:val="28"/>
          <w:szCs w:val="28"/>
          <w:rtl w:val="true"/>
          <w:lang w:bidi="fa-IR"/>
        </w:rPr>
        <w:t>و ابن سعید</w:t>
      </w:r>
      <w:r>
        <w:rPr>
          <w:rStyle w:val="FootnoteAnchor"/>
          <w:rtl w:val="true"/>
        </w:rPr>
        <w:footnoteReference w:id="2769"/>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جماعة من المتأخّرین</w:t>
      </w:r>
      <w:r>
        <w:rPr>
          <w:rStyle w:val="FootnoteAnchor"/>
          <w:rtl w:val="true"/>
        </w:rPr>
        <w:footnoteReference w:id="27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اختاره فی العروة و أکثر المعاصرین الذین علّقوا علیها</w:t>
      </w:r>
      <w:r>
        <w:rPr>
          <w:rStyle w:val="FootnoteAnchor"/>
          <w:rtl w:val="true"/>
        </w:rPr>
        <w:footnoteReference w:id="2771"/>
      </w:r>
      <w:bookmarkStart w:id="1290" w:name="pg11752_146648"/>
    </w:p>
    <w:p>
      <w:pPr>
        <w:pStyle w:val="BookText"/>
        <w:rPr/>
      </w:pPr>
      <w:bookmarkEnd w:id="1290"/>
      <w:r>
        <w:rPr>
          <w:rFonts w:ascii="IRNazanin" w:hAnsi="IRNazanin" w:eastAsia="IRNazanin"/>
          <w:color w:val="111111"/>
          <w:sz w:val="28"/>
          <w:sz w:val="28"/>
          <w:szCs w:val="28"/>
          <w:rtl w:val="true"/>
          <w:lang w:bidi="fa-IR"/>
        </w:rPr>
        <w:t>و السیّد الخوئی</w:t>
      </w:r>
      <w:r>
        <w:rPr>
          <w:rStyle w:val="FootnoteAnchor"/>
          <w:rtl w:val="true"/>
        </w:rPr>
        <w:footnoteReference w:id="27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91" w:name="__RefHeading___Toc9424756_73709187"/>
      <w:bookmarkStart w:id="1292" w:name="_Toc492"/>
      <w:bookmarkEnd w:id="1291"/>
      <w:r>
        <w:rPr>
          <w:rtl w:val="true"/>
        </w:rPr>
        <w:t>أدلّة ولایة الوصیّ بشرط النصّ‌</w:t>
      </w:r>
      <w:bookmarkEnd w:id="1292"/>
    </w:p>
    <w:p>
      <w:pPr>
        <w:pStyle w:val="BookText"/>
        <w:rPr/>
      </w:pPr>
      <w:r>
        <w:rPr>
          <w:rFonts w:ascii="IRNazanin" w:hAnsi="IRNazanin" w:eastAsia="IRNazanin"/>
          <w:color w:val="111111"/>
          <w:sz w:val="28"/>
          <w:sz w:val="28"/>
          <w:szCs w:val="28"/>
          <w:rtl w:val="true"/>
          <w:lang w:bidi="fa-IR"/>
        </w:rPr>
        <w:t>یمکن الاستدلال لهذا القول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بَدَّلَهُ بَعْدَ ما سَمِعَهُ فَإِنَّما إِثْمُهُ عَلَی الَّذِینَ یُبَدِّلُونَهُ إِنَّ اللّهَ سَمِیعٌ عَلِیمٌ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الضمیر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عائد إلی الوصیّة، و تذکیره باعتبار المعنی؛ لأنّ الإیصاء و الوصیة واحدة، و الهاء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عائدة إلی التبدیل الذی دلّ علیه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بَدَّلَهُ بَعْدَ ما 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التبدیل هو تغییر الشیء عن الحقّ فیه، و البدل هو وضع شیءٍ مکان آخر</w:t>
      </w:r>
      <w:r>
        <w:rPr>
          <w:rStyle w:val="FootnoteAnchor"/>
          <w:rtl w:val="true"/>
        </w:rPr>
        <w:footnoteReference w:id="27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فیفهم من الآیة تحریم تبدیل الوصیّة، و لیس للوصیّ أنْ یبدّل أمر الوصیّة بعد سماعه، إلاّ أن یخاف من الموصی أمر بغیر المعروف مخالفاً لأمر اللّه، فحینئذٍ یجوز للوصیّ أن یبدّل الوصیّة و یصلح؛ لأنّه ردٌ إلی أمر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مقتضی الآیة الکریمة جواز إنکاح الوصیّ بعد ما سمعه من الموصی؛ تمسّکاً بعموم حرمة تبدیل الوصیة المستلزم لتحقّق الولایة للوصیّ بتولیة الموصی، فإنّ عزلَ الوصیّ عن ذلک مع تولیة الموصی تبدیل للوصیّة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أورد فی الریاض علی الاستدلال بعموم الآیة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الضمیر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بَدَّلَهُ</w:t>
      </w:r>
      <w:r>
        <w:rPr>
          <w:rFonts w:eastAsia="Amiri" w:cs="Amiri" w:ascii="Amiri" w:hAnsi="Amiri"/>
          <w:color w:val="111111"/>
          <w:sz w:val="28"/>
          <w:szCs w:val="28"/>
          <w:rtl w:val="true"/>
          <w:lang w:bidi="ar-SA"/>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 إلی الإیصاء للوالدین و الأقربین المتقدّم ذکرهم فی آیة الوصیة، فلا یعمّ مطلق التبدیل</w:t>
      </w:r>
      <w:r>
        <w:rPr>
          <w:rFonts w:eastAsia="IRNazanin" w:cs="IRNazanin"/>
          <w:color w:val="111111"/>
          <w:sz w:val="28"/>
          <w:szCs w:val="28"/>
          <w:rtl w:val="true"/>
          <w:lang w:bidi="fa-IR"/>
        </w:rPr>
        <w:t>»</w:t>
      </w:r>
      <w:r>
        <w:rPr>
          <w:rStyle w:val="FootnoteAnchor"/>
          <w:rtl w:val="true"/>
        </w:rPr>
        <w:footnoteReference w:id="2774"/>
      </w:r>
    </w:p>
    <w:p>
      <w:pPr>
        <w:pStyle w:val="BookText"/>
        <w:rPr/>
      </w:pPr>
      <w:r>
        <w:rPr>
          <w:rFonts w:ascii="IRNazanin" w:hAnsi="IRNazanin" w:eastAsia="IRNazanin"/>
          <w:color w:val="111111"/>
          <w:sz w:val="28"/>
          <w:sz w:val="28"/>
          <w:szCs w:val="28"/>
          <w:rtl w:val="true"/>
          <w:lang w:bidi="fa-IR"/>
        </w:rPr>
        <w:t>و هو ضعیفٌ؛ لأنّ المستفاد من الآیة کما فهم الفقهاء</w:t>
      </w:r>
      <w:r>
        <w:rPr>
          <w:rStyle w:val="FootnoteAnchor"/>
          <w:rtl w:val="true"/>
        </w:rPr>
        <w:footnoteReference w:id="2775"/>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الشیخ رحمه الله </w:t>
      </w:r>
      <w:r>
        <w:rPr>
          <w:rStyle w:val="FootnoteAnchor"/>
          <w:rtl w:val="true"/>
        </w:rPr>
        <w:footnoteReference w:id="27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الموصی به، مضافاً إلی أنّه وردت الأخبار المستفیضة المشتملة</w:t>
      </w:r>
      <w:r>
        <w:rPr>
          <w:rStyle w:val="FootnoteAnchor"/>
          <w:rtl w:val="true"/>
        </w:rPr>
        <w:footnoteReference w:id="2777"/>
      </w:r>
      <w:r>
        <w:rPr>
          <w:rFonts w:ascii="IRNazanin" w:hAnsi="IRNazanin" w:eastAsia="IRNazanin"/>
          <w:color w:val="111111"/>
          <w:sz w:val="28"/>
          <w:sz w:val="28"/>
          <w:szCs w:val="28"/>
          <w:rtl w:val="true"/>
          <w:lang w:bidi="fa-IR"/>
        </w:rPr>
        <w:t xml:space="preserve">علی استدلال المعصوم فی أحکام کثیرة من الوصایا بعموم الآیة، فلا بدّ من إرجاع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مطلق الإیصاء لا خصوص الإیصاء للوالدین و الأقربین؛ لأنّ حکم الإثم منوط بأصل تبدیل الإیصاء، فالآیة بمعونة هذه الأخبار ظاهرةٌ فی المدّعی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الکثیرة، و منها الصحاح المستفیضة التی وردت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یَعْفُوَا الَّذِی بِیَدِهِ عُقْدَةُ النِّکاحِ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فسّر بالأب و الأخ و الرجل یوصی إلیه، و الذی یجوز أمره فی مال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أبو بصیر بطریقٍ صحیح و سماعة بطریقٍ موثّق عن أبی عبد اللّه علیه السلام فی قول اللّه عزّ و 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یَعْفُوَا الَّذِی بِیَدِهِ عُقْدَةُ النِّکاحِ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الأب أو الأخ أو الرجل یوصی إلیه، و الذی یجوز أمره فی مال المرأة فیبتاع لها فتجیز، فإذا عفا فقد جاز</w:t>
      </w:r>
      <w:r>
        <w:rPr>
          <w:rFonts w:eastAsia="Amiri" w:cs="Amiri" w:ascii="Amiri" w:hAnsi="Amiri"/>
          <w:color w:val="111111"/>
          <w:sz w:val="28"/>
          <w:szCs w:val="28"/>
          <w:rtl w:val="true"/>
          <w:lang w:bidi="ar-SA"/>
        </w:rPr>
        <w:t>»</w:t>
      </w:r>
      <w:r>
        <w:rPr>
          <w:rStyle w:val="FootnoteAnchor"/>
          <w:rtl w:val="true"/>
        </w:rPr>
        <w:footnoteReference w:id="27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هکذا رواه الحلبی بطریقٍ صحیحٍ إلاّ أنّه زاد فی ذیلها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فیبیع لها و یشتری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الذی بیده عقدة النکاح؟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الأب و الأخ و الرجل یوصی إلیه، و الذی یجوز أمره فی مال</w:t>
      </w:r>
    </w:p>
    <w:p>
      <w:pPr>
        <w:pStyle w:val="BookText"/>
        <w:rPr/>
      </w:pPr>
      <w:r>
        <w:rPr>
          <w:rFonts w:ascii="IRNazanin" w:hAnsi="IRNazanin" w:eastAsia="IRNazanin"/>
          <w:color w:val="111111"/>
          <w:sz w:val="28"/>
          <w:sz w:val="28"/>
          <w:szCs w:val="28"/>
          <w:rtl w:val="true"/>
          <w:lang w:bidi="fa-IR"/>
        </w:rPr>
        <w:t>المرأة فیبتاع لها و یشتری، فأیّ هؤلاء عفا فقد جاز</w:t>
      </w:r>
      <w:r>
        <w:rPr>
          <w:rFonts w:eastAsia="IRNazanin" w:cs="IRNazanin"/>
          <w:color w:val="111111"/>
          <w:sz w:val="28"/>
          <w:szCs w:val="28"/>
          <w:rtl w:val="true"/>
          <w:lang w:bidi="fa-IR"/>
        </w:rPr>
        <w:t>»</w:t>
      </w:r>
      <w:r>
        <w:rPr>
          <w:rStyle w:val="FootnoteAnchor"/>
          <w:rtl w:val="true"/>
        </w:rPr>
        <w:footnoteReference w:id="2779"/>
      </w:r>
      <w:r>
        <w:rPr>
          <w:rFonts w:ascii="IRNazanin" w:hAnsi="IRNazanin" w:eastAsia="IRNazanin"/>
          <w:color w:val="111111"/>
          <w:sz w:val="28"/>
          <w:sz w:val="28"/>
          <w:szCs w:val="28"/>
          <w:rtl w:val="true"/>
          <w:lang w:bidi="fa-IR"/>
        </w:rPr>
        <w:t>و مثلها صحیحة أبو بصیر و محمّد بن مسلم عن أبی جعفر علیهما السلام</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أنت خبیر بأنّ هذه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صحّة أسانیدها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الدلالة علی أنّ الوصیّ من جملة مَن بیده عقدة النکاح الذی هو عین الولایة فی التزویج، 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استدلّ به الشیخ الأعظم الأنصاری فی رسالته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لثبوت الولایة بالوصایة بعموم ما ورد فی توقیع الصفّار، عن العسکری علیه السلام، الذی رواه المشایخ الثلاثة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جائز للمیّت ما أوصی به علی ما أوصی إن شاء اللّه</w:t>
      </w:r>
      <w:r>
        <w:rPr>
          <w:rFonts w:eastAsia="IRNazanin" w:cs="IRNazanin"/>
          <w:color w:val="111111"/>
          <w:sz w:val="28"/>
          <w:szCs w:val="28"/>
          <w:rtl w:val="true"/>
          <w:lang w:bidi="fa-IR"/>
        </w:rPr>
        <w:t>»</w:t>
      </w:r>
      <w:r>
        <w:rPr>
          <w:rStyle w:val="FootnoteAnchor"/>
          <w:rtl w:val="true"/>
        </w:rPr>
        <w:footnoteReference w:id="278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عموم الکلام لا یترک لخصوص المورد</w:t>
      </w:r>
      <w:r>
        <w:rPr>
          <w:rStyle w:val="FootnoteAnchor"/>
          <w:rtl w:val="true"/>
        </w:rPr>
        <w:footnoteReference w:id="2781"/>
      </w:r>
      <w:r>
        <w:rPr>
          <w:rFonts w:eastAsia="Times New Roman" w:cs="Times New Roman" w:ascii="Times New Roman" w:hAnsi="Times New Roman"/>
          <w:color w:val="111111"/>
          <w:sz w:val="28"/>
          <w:szCs w:val="28"/>
          <w:rtl w:val="true"/>
          <w:lang w:val="en-US" w:bidi="en-US"/>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رواه فی الکافی و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مسلم، عن أبی عبد اللّه علیه السلام أنّه سئل عن رجلٍ أوصی إلی رجلٍ بولده و بمال لهم، و أذنَ له عند الوصیّة أن یعمل بالمال، و أن یکون الربح بینه و بینهم،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به من أجل أنّ أباه قد أذِنَ له فی ذلک و هو حیّ</w:t>
      </w:r>
      <w:r>
        <w:rPr>
          <w:rFonts w:eastAsia="IRNazanin" w:cs="IRNazanin"/>
          <w:color w:val="111111"/>
          <w:sz w:val="28"/>
          <w:szCs w:val="28"/>
          <w:rtl w:val="true"/>
          <w:lang w:bidi="fa-IR"/>
        </w:rPr>
        <w:t>»</w:t>
      </w:r>
      <w:r>
        <w:rPr>
          <w:rStyle w:val="FootnoteAnchor"/>
          <w:rtl w:val="true"/>
        </w:rPr>
        <w:footnoteReference w:id="2782"/>
      </w:r>
      <w:r>
        <w:rPr>
          <w:rFonts w:ascii="IRNazanin" w:hAnsi="IRNazanin" w:eastAsia="IRNazanin"/>
          <w:color w:val="111111"/>
          <w:sz w:val="28"/>
          <w:sz w:val="28"/>
          <w:szCs w:val="28"/>
          <w:rtl w:val="true"/>
          <w:lang w:bidi="fa-IR"/>
        </w:rPr>
        <w:t>دالّ بمقتضی عموم العلّة و إلغاء الخصوصیّة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کلّ ما أذن فیه أبو الصغیر فی حال حیاته فهو نافذٌ ماضٍ بعد مماته، و منه إذنه للوصیّ فی تزویج صغیره و تولیته له فیه</w:t>
      </w:r>
      <w:r>
        <w:rPr>
          <w:rStyle w:val="FootnoteAnchor"/>
          <w:rtl w:val="true"/>
        </w:rPr>
        <w:footnoteReference w:id="2783"/>
      </w:r>
    </w:p>
    <w:p>
      <w:pPr>
        <w:pStyle w:val="BookText"/>
        <w:rPr/>
      </w:pPr>
      <w:r>
        <w:rPr>
          <w:rFonts w:ascii="IRNazanin" w:hAnsi="IRNazanin" w:eastAsia="IRNazanin"/>
          <w:color w:val="111111"/>
          <w:sz w:val="28"/>
          <w:sz w:val="28"/>
          <w:szCs w:val="28"/>
          <w:rtl w:val="true"/>
          <w:lang w:bidi="fa-IR"/>
        </w:rPr>
        <w:t>الإیراد علی الاستدلال بالنصوص</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هذه الصحاح تعارض مرسلة ابن أبی عمیر، عن أبی عبد اللّه علیه السلام لأنّه جاء فی 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ذلک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یَعْفُونَ أَوْ یَعْفُوَا الَّذِی بِیَدِهِ عُقْدَةُ النِّکاحِ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یعنی الأب و الذی توکّله المرأة و تولّیه أمرها من أخٍ أو قرابةٍ أو غیرهما</w:t>
      </w:r>
      <w:r>
        <w:rPr>
          <w:rStyle w:val="FootnoteAnchor"/>
          <w:rtl w:val="true"/>
        </w:rPr>
        <w:footnoteReference w:id="27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بیده عقدة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بالأب و من توکّله المرأة و تولّی أمرها من أخٍ أو قرابةٍ أو غیرهما، و لیس فیهم الوصیّ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یکون الضمیر 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عائداً إلی الأب و الوکیل، فلا تکون معارضةً للصحاح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المرسلة تثبت الولایة للأب و الوکیل، و تلک الصحاح تثبت الولایة للأب و الوکیل و الوصیّ، فتکونان مثبتتین فلا تعارض بینهما؛ لأنّ التعارض إنّما یتحقّق بین المثبت و النافی، و المرسلة لا تکون نافیة لولایة الوصیّ</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المرسلة لا تقاوم للمعارضة مع الصحاح المستفیضة المتقدّمة و التی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عبد اللّه بن سنان،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بیده عقدة النکاح هو ولیّ أمرها</w:t>
      </w:r>
      <w:r>
        <w:rPr>
          <w:rFonts w:eastAsia="IRNazanin" w:cs="IRNazanin"/>
          <w:color w:val="111111"/>
          <w:sz w:val="28"/>
          <w:szCs w:val="28"/>
          <w:rtl w:val="true"/>
          <w:lang w:bidi="fa-IR"/>
        </w:rPr>
        <w:t>»</w:t>
      </w:r>
      <w:r>
        <w:rPr>
          <w:rStyle w:val="FootnoteAnchor"/>
          <w:rtl w:val="true"/>
        </w:rPr>
        <w:footnoteReference w:id="2785"/>
      </w:r>
      <w:r>
        <w:rPr>
          <w:rFonts w:ascii="IRNazanin" w:hAnsi="IRNazanin" w:eastAsia="IRNazanin"/>
          <w:color w:val="111111"/>
          <w:sz w:val="28"/>
          <w:sz w:val="28"/>
          <w:szCs w:val="28"/>
          <w:rtl w:val="true"/>
          <w:lang w:bidi="fa-IR"/>
        </w:rPr>
        <w:t xml:space="preserve">لأنّه 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بیده عقدة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بولیّ أمرها، و لا یخفی أنّ المراد ولیّ أمرها فی غیر النکاح، و إلاّ لزم التفسیر بما یساوی المفسَّر فی الإجمال، و لم یفد بیاناً، و لا ریب أنّ الوصیّ علی الصغیرة ولیّ أمرها فی غیر النکاح، فیکون عقدته بیده</w:t>
      </w:r>
      <w:r>
        <w:rPr>
          <w:rStyle w:val="FootnoteAnchor"/>
          <w:rtl w:val="true"/>
        </w:rPr>
        <w:footnoteReference w:id="2786"/>
      </w:r>
    </w:p>
    <w:p>
      <w:pPr>
        <w:pStyle w:val="BookText"/>
        <w:rPr/>
      </w:pPr>
      <w:r>
        <w:rPr>
          <w:rFonts w:ascii="IRNazanin" w:hAnsi="IRNazanin" w:eastAsia="IRNazanin"/>
          <w:color w:val="111111"/>
          <w:sz w:val="28"/>
          <w:sz w:val="28"/>
          <w:szCs w:val="28"/>
          <w:rtl w:val="true"/>
          <w:lang w:bidi="fa-IR"/>
        </w:rPr>
        <w:t>و أورد فی الریاض علی الاستدلال بتلک النصوص لإثبات ولایة الوصیّ، بأنّها تشتمل علی ذکر الأخ و لا ولایة له عندنا قطعاً، و أیضاً القائل بولایة الوصیّ نادرٌ، فیحمل الموصی إلیه فیها علی الجدّ أو الإمام، أو تحمل علی استحباب إطاعتها له کحملها علیه بالإضافة إلی الأخ</w:t>
      </w:r>
      <w:r>
        <w:rPr>
          <w:rStyle w:val="FootnoteAnchor"/>
          <w:rtl w:val="true"/>
        </w:rPr>
        <w:footnoteReference w:id="27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الإیراد أیضاً غیر واردٍ، کما قال فی المسالک</w:t>
      </w:r>
      <w:r>
        <w:rPr>
          <w:rStyle w:val="FootnoteAnchor"/>
          <w:rtl w:val="true"/>
        </w:rPr>
        <w:footnoteReference w:id="2788"/>
      </w:r>
      <w:r>
        <w:rPr>
          <w:rFonts w:ascii="IRNazanin" w:hAnsi="IRNazanin" w:eastAsia="IRNazanin"/>
          <w:color w:val="111111"/>
          <w:sz w:val="28"/>
          <w:sz w:val="28"/>
          <w:szCs w:val="28"/>
          <w:rtl w:val="true"/>
          <w:lang w:bidi="fa-IR"/>
        </w:rPr>
        <w:t>و الجواهر</w:t>
      </w:r>
      <w:r>
        <w:rPr>
          <w:rStyle w:val="FootnoteAnchor"/>
          <w:rtl w:val="true"/>
        </w:rPr>
        <w:footnoteReference w:id="2789"/>
      </w:r>
      <w:r>
        <w:rPr>
          <w:rFonts w:ascii="IRNazanin" w:hAnsi="IRNazanin" w:eastAsia="IRNazanin"/>
          <w:color w:val="111111"/>
          <w:sz w:val="28"/>
          <w:sz w:val="28"/>
          <w:szCs w:val="28"/>
          <w:rtl w:val="true"/>
          <w:lang w:bidi="fa-IR"/>
        </w:rPr>
        <w:t>لأنّه یمکن أن یُحمل الأخ علی کونه وکیلاً لها أو وصیّاً، و یکون عطف الوصیّ علیه من باب عطف العامّ علی الخاصّ، و صرّح الإمام علیه السلام فی مرسلة ابن عمیر المتقدّمة بأنّ الأخ وکیل عنها</w:t>
      </w:r>
      <w:r>
        <w:rPr>
          <w:rStyle w:val="FootnoteAnchor"/>
          <w:rtl w:val="true"/>
        </w:rPr>
        <w:footnoteReference w:id="2790"/>
      </w:r>
      <w:r>
        <w:rPr>
          <w:rFonts w:eastAsia="Times New Roman" w:cs="Times New Roman" w:ascii="Times New Roman" w:hAnsi="Times New Roman"/>
          <w:color w:val="111111"/>
          <w:sz w:val="28"/>
          <w:szCs w:val="28"/>
          <w:rtl w:val="true"/>
          <w:lang w:val="en-US" w:bidi="en-US"/>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أنّ ذکر الأخ لا یسقطها عن الحجیّة فی غیره، بناءً علی القول بالتفکیک فی الحجّیّة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القائل بها نادرٌ، فقد عرفت القائلین بولایة الوصیّ من القدماء و المتأخّرین و متأخّری المتأخّرین</w:t>
      </w:r>
      <w:r>
        <w:rPr>
          <w:rFonts w:eastAsia="IRNazanin" w:cs="IRNazanin"/>
          <w:color w:val="111111"/>
          <w:sz w:val="28"/>
          <w:szCs w:val="28"/>
          <w:rtl w:val="true"/>
          <w:lang w:bidi="fa-IR"/>
        </w:rPr>
        <w:t>.</w:t>
      </w:r>
      <w:bookmarkStart w:id="1293" w:name="pg11752_146653"/>
    </w:p>
    <w:p>
      <w:pPr>
        <w:pStyle w:val="Heading5"/>
        <w:numPr>
          <w:ilvl w:val="4"/>
          <w:numId w:val="1"/>
        </w:numPr>
        <w:rPr/>
      </w:pPr>
      <w:bookmarkStart w:id="1294" w:name="__RefHeading___Toc9424758_73709187"/>
      <w:bookmarkStart w:id="1295" w:name="_Toc493"/>
      <w:bookmarkEnd w:id="1293"/>
      <w:bookmarkEnd w:id="1294"/>
      <w:r>
        <w:rPr>
          <w:rtl w:val="true"/>
        </w:rPr>
        <w:t>آراء الجمهور من أهل السنّة فی ولایة الوصیّ علی تزویج الصغار</w:t>
      </w:r>
      <w:bookmarkEnd w:id="1295"/>
    </w:p>
    <w:p>
      <w:pPr>
        <w:pStyle w:val="BookText"/>
        <w:rPr/>
      </w:pPr>
      <w:r>
        <w:rPr>
          <w:rFonts w:ascii="IRNazanin" w:hAnsi="IRNazanin" w:eastAsia="IRNazanin"/>
          <w:color w:val="111111"/>
          <w:sz w:val="28"/>
          <w:sz w:val="28"/>
          <w:szCs w:val="28"/>
          <w:rtl w:val="true"/>
          <w:lang w:bidi="fa-IR"/>
        </w:rPr>
        <w:t>لهم فی هذه المسألة أربعة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تستفاد الولایة فی النکاح بالوصیّة، اختاره الإمام أحمد فی أحد قولیه، و به قال الخرقی و الحسن و حمّاد بن أبی سلمان و مالک</w:t>
      </w:r>
      <w:r>
        <w:rPr>
          <w:rStyle w:val="FootnoteAnchor"/>
          <w:rtl w:val="true"/>
        </w:rPr>
        <w:footnoteReference w:id="2791"/>
      </w:r>
      <w:r>
        <w:rPr>
          <w:rFonts w:ascii="IRNazanin" w:hAnsi="IRNazanin" w:eastAsia="IRNazanin"/>
          <w:color w:val="111111"/>
          <w:sz w:val="28"/>
          <w:sz w:val="28"/>
          <w:szCs w:val="28"/>
          <w:rtl w:val="true"/>
          <w:lang w:bidi="fa-IR"/>
        </w:rPr>
        <w:t>و ابن شاس</w:t>
      </w:r>
      <w:r>
        <w:rPr>
          <w:rStyle w:val="FootnoteAnchor"/>
          <w:rtl w:val="true"/>
        </w:rPr>
        <w:footnoteReference w:id="2792"/>
      </w:r>
    </w:p>
    <w:p>
      <w:pPr>
        <w:pStyle w:val="BookText"/>
        <w:rPr/>
      </w:pPr>
      <w:r>
        <w:rPr>
          <w:rFonts w:ascii="IRNazanin" w:hAnsi="IRNazanin" w:eastAsia="IRNazanin"/>
          <w:color w:val="111111"/>
          <w:sz w:val="28"/>
          <w:sz w:val="28"/>
          <w:szCs w:val="28"/>
          <w:rtl w:val="true"/>
          <w:lang w:bidi="fa-IR"/>
        </w:rPr>
        <w:t>و أبو لیلی</w:t>
      </w:r>
      <w:r>
        <w:rPr>
          <w:rStyle w:val="FootnoteAnchor"/>
          <w:rtl w:val="true"/>
        </w:rPr>
        <w:footnoteReference w:id="27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المغنی لابن قدامة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عیّن الأب الزوج ملک الوصیّ إجبارها صغیرةً کانت أو کبیرةً، و إن لم یعیّن الزوج و کانت بنته کبیرةً صحّت الوصیة و اعتبر إذنها، و إن کانت صغیرةً انتظرنا بلوغها، فإذا أذنت جاز أن یزوّجها بإذنها</w:t>
      </w:r>
      <w:r>
        <w:rPr>
          <w:rStyle w:val="FootnoteAnchor"/>
          <w:rtl w:val="true"/>
        </w:rPr>
        <w:footnoteReference w:id="2794"/>
      </w:r>
      <w:r>
        <w:rPr>
          <w:rFonts w:ascii="IRNazanin" w:hAnsi="IRNazanin" w:eastAsia="IRNazanin"/>
          <w:color w:val="111111"/>
          <w:sz w:val="28"/>
          <w:sz w:val="28"/>
          <w:szCs w:val="28"/>
          <w:rtl w:val="true"/>
          <w:lang w:bidi="fa-IR"/>
        </w:rPr>
        <w:t xml:space="preserve">، و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للوصیّ ولایة مطلقاً سواء عیّن الزوج أم لا</w:t>
      </w:r>
      <w:r>
        <w:rPr>
          <w:rFonts w:eastAsia="IRNazanin" w:cs="IRNazanin"/>
          <w:color w:val="111111"/>
          <w:sz w:val="28"/>
          <w:szCs w:val="28"/>
          <w:rtl w:val="true"/>
          <w:lang w:bidi="fa-IR"/>
        </w:rPr>
        <w:t>»</w:t>
      </w:r>
      <w:r>
        <w:rPr>
          <w:rStyle w:val="FootnoteAnchor"/>
          <w:rtl w:val="true"/>
        </w:rPr>
        <w:footnoteReference w:id="27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ولایة للوصیّ مطلقاً، سواء أطلق الموصی الوصایة أو نصّ علی النکاح، و سواء عیّن الزوج أو لم یعیّن، و به قال الشافعیة و الحنفیة</w:t>
      </w:r>
      <w:r>
        <w:rPr>
          <w:rStyle w:val="FootnoteAnchor"/>
          <w:rtl w:val="true"/>
        </w:rPr>
        <w:footnoteReference w:id="2796"/>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الظاهریة و الثوری و الشعبی و النخعی</w:t>
      </w:r>
      <w:r>
        <w:rPr>
          <w:rStyle w:val="FootnoteAnchor"/>
          <w:rtl w:val="true"/>
        </w:rPr>
        <w:footnoteReference w:id="2797"/>
      </w:r>
      <w:r>
        <w:rPr>
          <w:rFonts w:ascii="IRNazanin" w:hAnsi="IRNazanin" w:eastAsia="IRNazanin"/>
          <w:color w:val="111111"/>
          <w:sz w:val="28"/>
          <w:sz w:val="28"/>
          <w:szCs w:val="28"/>
          <w:rtl w:val="true"/>
          <w:lang w:bidi="fa-IR"/>
        </w:rPr>
        <w:t>و المزنی</w:t>
      </w:r>
      <w:r>
        <w:rPr>
          <w:rStyle w:val="FootnoteAnchor"/>
          <w:rtl w:val="true"/>
        </w:rPr>
        <w:footnoteReference w:id="2798"/>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الصغیرة و الصغیر، و هو قول آخر لمالک؛ لأنّه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للوصیّ و لا لأحدٍ أن یزوّج صغیرة لم تحض إلاّ الأب، فأمّا الغلام فللوصی أن یزوّجه قبل أن یحتلم</w:t>
      </w:r>
      <w:r>
        <w:rPr>
          <w:rFonts w:eastAsia="IRNazanin" w:cs="IRNazanin"/>
          <w:color w:val="111111"/>
          <w:sz w:val="28"/>
          <w:szCs w:val="28"/>
          <w:rtl w:val="true"/>
          <w:lang w:bidi="fa-IR"/>
        </w:rPr>
        <w:t>»</w:t>
      </w:r>
      <w:r>
        <w:rPr>
          <w:rStyle w:val="FootnoteAnchor"/>
          <w:rtl w:val="true"/>
        </w:rPr>
        <w:footnoteReference w:id="27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وجود العصبة و عدمها، قال أبو عبد اللّه بن حامد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لها عصبة لم تجز الوصیة بنکاحها؛ لأنّه یسقط حقّهم بوصیته، و إن لم یکن عصبة جاز؛ لعدم ذلک</w:t>
      </w:r>
      <w:r>
        <w:rPr>
          <w:rFonts w:eastAsia="IRNazanin" w:cs="IRNazanin"/>
          <w:color w:val="111111"/>
          <w:sz w:val="28"/>
          <w:szCs w:val="28"/>
          <w:rtl w:val="true"/>
          <w:lang w:bidi="fa-IR"/>
        </w:rPr>
        <w:t>»</w:t>
      </w:r>
      <w:r>
        <w:rPr>
          <w:rStyle w:val="FootnoteAnchor"/>
          <w:rtl w:val="true"/>
        </w:rPr>
        <w:footnoteReference w:id="28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استدلّ للقول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ولایة تزویج الصغار ثابتةٌ لأبیهم یوصی بها کولایة المال، و بأنّه یجوز للأب أن یستنیب فی الولایة فی حیاته، فیکون نائبه قائماً مقامه، فکذلک یجوز أن یستنیب بعد موته بالوصیّة، فیکون الوصیّ قائماً مقام الموصی بعد موته، فتکون له ولایة التزویج کولایة الموصی</w:t>
      </w:r>
      <w:r>
        <w:rPr>
          <w:rStyle w:val="FootnoteAnchor"/>
          <w:rtl w:val="true"/>
        </w:rPr>
        <w:footnoteReference w:id="28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ضعفهما؛ لأنّه قد تقدّم أنّ مقتضی الأصل عدم ثبوت ولایة الوصیّ، و عدم انتقال الولایة إلیه شرعاً، بل إثباتها یحتاج إلی دلیلٍ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هذان الدلیلان استحسان عقلی و قیاس ظنّی، و لا یقاومان فی مقابل الأصل، فینحصر الدلیل فی هذه المسألة بما تقدّم من الآیة الکریمة و النصوص المعتبرة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للقول الثانی باُمور</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بما روی عنه صلی الله علیه و آله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 إلی العصبات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الوصیّ لیس بعصبةٍ إذا لم یکن من قرابته، فهو کسائر الأجانب فی التزویج، و إن کان الوصیّ من القرابة بأن کان عمّاً أو غیره، فله ولایة التزویج بالقرابة لا بالوصایة</w:t>
      </w:r>
      <w:r>
        <w:rPr>
          <w:rStyle w:val="FootnoteAnchor"/>
          <w:rtl w:val="true"/>
        </w:rPr>
        <w:footnoteReference w:id="280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بما روی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تنکح الیتیمة إلاّ بإذنها</w:t>
      </w:r>
      <w:r>
        <w:rPr>
          <w:rFonts w:eastAsia="IRNazanin" w:cs="IRNazanin"/>
          <w:color w:val="111111"/>
          <w:sz w:val="28"/>
          <w:szCs w:val="28"/>
          <w:rtl w:val="true"/>
          <w:lang w:bidi="fa-IR"/>
        </w:rPr>
        <w:t>»</w:t>
      </w:r>
      <w:r>
        <w:rPr>
          <w:rStyle w:val="FootnoteAnchor"/>
          <w:rtl w:val="true"/>
        </w:rPr>
        <w:footnoteReference w:id="2803"/>
      </w:r>
      <w:r>
        <w:rPr>
          <w:rFonts w:ascii="IRNazanin" w:hAnsi="IRNazanin" w:eastAsia="IRNazanin"/>
          <w:color w:val="111111"/>
          <w:sz w:val="28"/>
          <w:sz w:val="28"/>
          <w:szCs w:val="28"/>
          <w:rtl w:val="true"/>
          <w:lang w:bidi="fa-IR"/>
        </w:rPr>
        <w:t>، و الصغیرة إذا مات أبوها صارت یتیمة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أنّ ولایة النکاح للأب تنتقل إلی غیره بعد الموت شرعاً، فلم یجز أن یوصی بها کالحضانة</w:t>
      </w:r>
      <w:r>
        <w:rPr>
          <w:rStyle w:val="FootnoteAnchor"/>
          <w:rtl w:val="true"/>
        </w:rPr>
        <w:footnoteReference w:id="28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الأدلّة لا تنهض لإثبات ما ذهب إلیه القائلون بهذا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الروایة لا تدلّ علی حصر الولایة بالعصبات؛ لأنّ للحاکم و المالک و الوکیل ولایةً جزماً و هم لیسوا من العصبات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الوصیّ بمنزلة الأب و قائم مقامه کوکیله فی حیاته، فلا یکون إنکاح الوصیّ إنکاح غیر العصبات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من الیتیمة هی البالغة العاقلة بقرینة الاستئذان منها؛ لأنّ إذن الصغیرة لا یکون معتبراً، فعلم أنّ المراد من الیتیمة فی الروایة البالغة، و عبّر عنها بالیتیمة باعتبار ما کانت علیه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انتقال ولایة الأب و الجدّ بعد الموت إلی الغیر، فلا ینافی ثبوت الولایة للوصیّ؛ 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الولایة بعد موت الأب للوصیّ و لا نکاح للأولیاء مع الوصیّ، و الوصیّ أولی من الأولیاء کما فی المدوّنة الکبری‌</w:t>
      </w:r>
      <w:r>
        <w:rPr>
          <w:rStyle w:val="FootnoteAnchor"/>
          <w:rtl w:val="true"/>
        </w:rPr>
        <w:footnoteReference w:id="28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بطل هذا الاستدلال أیضاً بثبوت الولایة للوصیّ فی المال قطعاً، فکما أنّ انتقال الولایة إلی الغیر بعد موت الأب فی المال لا ینافی ولایة الوصیّ فی المال فکذلک لا ینافی ولایته فی التزویج</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نجد له وجهاً، و الذی ذکر للقول الرابع و أشرنا إلیه فی بیانه</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أیضاً ظاهر البطلان؛ لأنّه لا دلیل لحصر ولایة التزویج بالعصبة فقط، بل علی خلافه؛ لأنّ للحاکم و المالک و الوکیل ولایةً قطعاً، و هم لیسوا من العصبات، و الحمد للّه أوّلاً و آخراً</w:t>
      </w:r>
      <w:r>
        <w:rPr>
          <w:rFonts w:eastAsia="IRNazanin" w:cs="IRNazanin"/>
          <w:color w:val="111111"/>
          <w:sz w:val="28"/>
          <w:szCs w:val="28"/>
          <w:rtl w:val="true"/>
          <w:lang w:bidi="fa-IR"/>
        </w:rPr>
        <w:t>.</w:t>
      </w:r>
      <w:bookmarkStart w:id="1296" w:name="pg11752_146657"/>
    </w:p>
    <w:p>
      <w:pPr>
        <w:pStyle w:val="Heading3"/>
        <w:numPr>
          <w:ilvl w:val="2"/>
          <w:numId w:val="1"/>
        </w:numPr>
        <w:rPr/>
      </w:pPr>
      <w:bookmarkStart w:id="1297" w:name="__RefHeading___Toc9424760_73709187"/>
      <w:bookmarkStart w:id="1298" w:name="_Toc494"/>
      <w:bookmarkEnd w:id="1296"/>
      <w:bookmarkEnd w:id="1297"/>
      <w:r>
        <w:rPr>
          <w:rtl w:val="true"/>
        </w:rPr>
        <w:t>الفصل الرابع فی شرائط الأولیاء</w:t>
      </w:r>
      <w:bookmarkEnd w:id="1298"/>
    </w:p>
    <w:p>
      <w:pPr>
        <w:pStyle w:val="Heading4"/>
        <w:numPr>
          <w:ilvl w:val="3"/>
          <w:numId w:val="1"/>
        </w:numPr>
        <w:rPr/>
      </w:pPr>
      <w:bookmarkStart w:id="1299" w:name="__RefHeading___Toc9424762_73709187"/>
      <w:bookmarkStart w:id="1300" w:name="_Toc495"/>
      <w:bookmarkEnd w:id="1299"/>
      <w:r>
        <w:rPr>
          <w:rtl w:val="true"/>
        </w:rPr>
        <w:t>اشارة</w:t>
      </w:r>
      <w:bookmarkEnd w:id="1300"/>
    </w:p>
    <w:p>
      <w:pPr>
        <w:pStyle w:val="BookText"/>
        <w:rPr/>
      </w:pPr>
      <w:r>
        <w:rPr>
          <w:rFonts w:ascii="IRNazanin" w:hAnsi="IRNazanin" w:eastAsia="IRNazanin"/>
          <w:color w:val="111111"/>
          <w:sz w:val="28"/>
          <w:sz w:val="28"/>
          <w:szCs w:val="28"/>
          <w:rtl w:val="true"/>
          <w:lang w:bidi="fa-IR"/>
        </w:rPr>
        <w:t>لمّا أثبتنا حدود ولایة الأب و الجدّ و غیرهما فی التزویج، ینبغی أن نذکر الأمور التی هی شرط فی ثبوتها، و هی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و البلوغ، و العقل، و الحریّة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عبّر المحقّق فی الشرائع، بأنّ عدمها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الکفر و الجنون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زال المانع عادت الولایة</w:t>
      </w:r>
      <w:r>
        <w:rPr>
          <w:rFonts w:eastAsia="IRNazanin" w:cs="IRNazanin"/>
          <w:color w:val="111111"/>
          <w:sz w:val="28"/>
          <w:szCs w:val="28"/>
          <w:rtl w:val="true"/>
          <w:lang w:bidi="fa-IR"/>
        </w:rPr>
        <w:t>»</w:t>
      </w:r>
      <w:r>
        <w:rPr>
          <w:rStyle w:val="FootnoteAnchor"/>
          <w:rtl w:val="true"/>
        </w:rPr>
        <w:footnoteReference w:id="2806"/>
      </w:r>
      <w:r>
        <w:rPr>
          <w:rFonts w:eastAsia="Times New Roman" w:cs="Times New Roman" w:ascii="Times New Roman" w:hAnsi="Times New Roman"/>
          <w:color w:val="111111"/>
          <w:sz w:val="28"/>
          <w:szCs w:val="28"/>
          <w:rtl w:val="true"/>
          <w:lang w:val="en-US" w:bidi="en-US"/>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عبّر العلاّمة قدس سره بالمسقطات</w:t>
      </w:r>
      <w:r>
        <w:rPr>
          <w:rStyle w:val="FootnoteAnchor"/>
          <w:rtl w:val="true"/>
        </w:rPr>
        <w:footnoteReference w:id="2807"/>
      </w:r>
      <w:r>
        <w:rPr>
          <w:rFonts w:ascii="IRNazanin" w:hAnsi="IRNazanin" w:eastAsia="IRNazanin"/>
          <w:color w:val="111111"/>
          <w:sz w:val="28"/>
          <w:sz w:val="28"/>
          <w:szCs w:val="28"/>
          <w:rtl w:val="true"/>
          <w:lang w:bidi="fa-IR"/>
        </w:rPr>
        <w:t>، و کذا فی جامع المقاصد</w:t>
      </w:r>
      <w:r>
        <w:rPr>
          <w:rStyle w:val="FootnoteAnchor"/>
          <w:rtl w:val="true"/>
        </w:rPr>
        <w:footnoteReference w:id="28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عبّر فی المسالک</w:t>
      </w:r>
      <w:r>
        <w:rPr>
          <w:rStyle w:val="FootnoteAnchor"/>
          <w:rtl w:val="true"/>
        </w:rPr>
        <w:footnoteReference w:id="2809"/>
      </w:r>
      <w:r>
        <w:rPr>
          <w:rFonts w:ascii="Amiri" w:hAnsi="Amiri" w:eastAsia="Amiri" w:cs="Amiri"/>
          <w:color w:val="111111"/>
          <w:sz w:val="28"/>
          <w:sz w:val="28"/>
          <w:szCs w:val="28"/>
          <w:rtl w:val="true"/>
          <w:lang w:bidi="ar-SA"/>
        </w:rPr>
        <w:t>و العروة</w:t>
      </w:r>
      <w:r>
        <w:rPr>
          <w:rStyle w:val="FootnoteAnchor"/>
          <w:rtl w:val="true"/>
        </w:rPr>
        <w:footnoteReference w:id="2810"/>
      </w:r>
      <w:r>
        <w:rPr>
          <w:rFonts w:ascii="IRNazanin" w:hAnsi="IRNazanin" w:eastAsia="IRNazanin"/>
          <w:color w:val="111111"/>
          <w:sz w:val="28"/>
          <w:sz w:val="28"/>
          <w:szCs w:val="28"/>
          <w:rtl w:val="true"/>
          <w:lang w:bidi="fa-IR"/>
        </w:rPr>
        <w:t>و بعض شروحها</w:t>
      </w:r>
      <w:r>
        <w:rPr>
          <w:rStyle w:val="FootnoteAnchor"/>
          <w:rtl w:val="true"/>
        </w:rPr>
        <w:footnoteReference w:id="2811"/>
      </w:r>
      <w:r>
        <w:rPr>
          <w:rFonts w:ascii="IRNazanin" w:hAnsi="IRNazanin" w:eastAsia="IRNazanin"/>
          <w:color w:val="111111"/>
          <w:sz w:val="28"/>
          <w:sz w:val="28"/>
          <w:szCs w:val="28"/>
          <w:rtl w:val="true"/>
          <w:lang w:bidi="fa-IR"/>
        </w:rPr>
        <w:t>بالاشتراط‌</w:t>
      </w:r>
      <w:r>
        <w:rPr>
          <w:rStyle w:val="FootnoteAnchor"/>
          <w:rtl w:val="true"/>
        </w:rPr>
        <w:footnoteReference w:id="2812"/>
      </w:r>
      <w:bookmarkStart w:id="1301" w:name="pg11752_146658"/>
    </w:p>
    <w:p>
      <w:pPr>
        <w:pStyle w:val="BookText"/>
        <w:rPr/>
      </w:pPr>
      <w:bookmarkEnd w:id="1301"/>
      <w:r>
        <w:rPr>
          <w:rFonts w:ascii="IRNazanin" w:hAnsi="IRNazanin" w:eastAsia="IRNazanin"/>
          <w:color w:val="111111"/>
          <w:sz w:val="28"/>
          <w:sz w:val="28"/>
          <w:szCs w:val="28"/>
          <w:rtl w:val="true"/>
          <w:lang w:bidi="fa-IR"/>
        </w:rPr>
        <w:t>و تظهر الثمرة فی موارد الشکّ، فإن قلنا بأنّ الکفر مانع و شککنا فی أنّه هل صار کافراً بإنکاره الحکم الفلانی مثلاً أم لا؟ فمرجعه إلی أنّه هل زالت ولایته أم لا؟ فالأصل عدم زواله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إن عبّرنا بالمسقط فیحکم ببقاء ولایته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اسلامه شرطٌ فمع إنکاره الحکم الفلانی إن شککنا فی ولایته فی انّه هل کان واجداً للشرط أم لا؟ فالأصل عدم کونه واجداً للشرط، فیحکم بعدم ثبوت الولایة، فعلی هذا ما استشکل بعضهم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فالأولی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ثمرة عملیة لهذا البحث</w:t>
      </w:r>
      <w:r>
        <w:rPr>
          <w:rFonts w:eastAsia="IRNazanin" w:cs="IRNazanin"/>
          <w:color w:val="111111"/>
          <w:sz w:val="28"/>
          <w:szCs w:val="28"/>
          <w:rtl w:val="true"/>
          <w:lang w:bidi="fa-IR"/>
        </w:rPr>
        <w:t>»</w:t>
      </w:r>
      <w:r>
        <w:rPr>
          <w:rStyle w:val="FootnoteAnchor"/>
          <w:rtl w:val="true"/>
        </w:rPr>
        <w:footnoteReference w:id="2813"/>
      </w:r>
      <w:r>
        <w:rPr>
          <w:rFonts w:ascii="Amiri" w:hAnsi="Amiri" w:eastAsia="Amiri" w:cs="Amiri"/>
          <w:color w:val="111111"/>
          <w:sz w:val="28"/>
          <w:sz w:val="28"/>
          <w:szCs w:val="28"/>
          <w:rtl w:val="true"/>
          <w:lang w:bidi="ar-SA"/>
        </w:rPr>
        <w:t>لیس فی محلّه</w:t>
      </w:r>
      <w:r>
        <w:rPr>
          <w:rFonts w:eastAsia="Amiri" w:cs="Amiri" w:ascii="Amiri" w:hAnsi="Amiri"/>
          <w:color w:val="111111"/>
          <w:sz w:val="28"/>
          <w:szCs w:val="28"/>
          <w:rtl w:val="true"/>
          <w:lang w:bidi="ar-SA"/>
        </w:rPr>
        <w:t>.</w:t>
      </w:r>
    </w:p>
    <w:p>
      <w:pPr>
        <w:pStyle w:val="Heading4"/>
        <w:numPr>
          <w:ilvl w:val="3"/>
          <w:numId w:val="1"/>
        </w:numPr>
        <w:rPr/>
      </w:pPr>
      <w:bookmarkStart w:id="1302" w:name="__RefHeading___Toc9424764_73709187"/>
      <w:bookmarkStart w:id="1303" w:name="_Toc496"/>
      <w:bookmarkEnd w:id="1302"/>
      <w:r>
        <w:rPr>
          <w:rtl w:val="true"/>
        </w:rPr>
        <w:t>علی کلّ تقدیر یشترط فی ولایة الأب و الجدّ و المولی و الوصیّ شرائط</w:t>
      </w:r>
      <w:r>
        <w:rPr>
          <w:rtl w:val="true"/>
        </w:rPr>
        <w:t>:</w:t>
      </w:r>
      <w:bookmarkEnd w:id="1303"/>
    </w:p>
    <w:p>
      <w:pPr>
        <w:pStyle w:val="Heading5"/>
        <w:numPr>
          <w:ilvl w:val="4"/>
          <w:numId w:val="1"/>
        </w:numPr>
        <w:rPr/>
      </w:pPr>
      <w:bookmarkStart w:id="1304" w:name="__RefHeading___Toc9424766_73709187"/>
      <w:bookmarkStart w:id="1305" w:name="_Toc497"/>
      <w:bookmarkEnd w:id="1304"/>
      <w:r>
        <w:rPr>
          <w:rtl w:val="true"/>
        </w:rPr>
        <w:t>الأوّل</w:t>
      </w:r>
      <w:r>
        <w:rPr>
          <w:rtl w:val="true"/>
        </w:rPr>
        <w:t xml:space="preserve">: </w:t>
      </w:r>
      <w:r>
        <w:rPr>
          <w:rtl w:val="true"/>
        </w:rPr>
        <w:t>الإسلام</w:t>
      </w:r>
      <w:bookmarkEnd w:id="1305"/>
    </w:p>
    <w:p>
      <w:pPr>
        <w:pStyle w:val="Heading6"/>
        <w:numPr>
          <w:ilvl w:val="5"/>
          <w:numId w:val="1"/>
        </w:numPr>
        <w:rPr/>
      </w:pPr>
      <w:bookmarkStart w:id="1306" w:name="__RefHeading___Toc9424768_73709187"/>
      <w:bookmarkStart w:id="1307" w:name="_Toc498"/>
      <w:bookmarkEnd w:id="1306"/>
      <w:r>
        <w:rPr>
          <w:rtl w:val="true"/>
        </w:rPr>
        <w:t>اشارة</w:t>
      </w:r>
      <w:bookmarkEnd w:id="1307"/>
    </w:p>
    <w:p>
      <w:pPr>
        <w:pStyle w:val="BookText"/>
        <w:rPr/>
      </w:pPr>
      <w:r>
        <w:rPr>
          <w:rFonts w:ascii="IRNazanin" w:hAnsi="IRNazanin" w:eastAsia="IRNazanin"/>
          <w:color w:val="111111"/>
          <w:sz w:val="28"/>
          <w:sz w:val="28"/>
          <w:szCs w:val="28"/>
          <w:rtl w:val="true"/>
          <w:lang w:bidi="fa-IR"/>
        </w:rPr>
        <w:t>، الظاهر أنّه لا خلاف بین فقهائنا رضوان اللّه تعالی علیهم، بل ثبت الإجماع بأنّه یشترط فی ولایة الأب أن یکون مسلماً، فلا ولایة للکافر أباً کان أو جدّاً علی ولده المسلم، صغیراً کان الولد أو مجنوناً، ذکراً کان أو انثی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الجنید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أبو الصبیّة کافراً أو عبداً و هی حرّة أو مسلمة لم یکن لهما أن یعقدا علیها حتّی تبلغ و تختار لنفسها</w:t>
      </w:r>
      <w:r>
        <w:rPr>
          <w:rFonts w:eastAsia="IRNazanin" w:cs="IRNazanin"/>
          <w:color w:val="111111"/>
          <w:sz w:val="28"/>
          <w:szCs w:val="28"/>
          <w:rtl w:val="true"/>
          <w:lang w:bidi="fa-IR"/>
        </w:rPr>
        <w:t>»</w:t>
      </w:r>
      <w:r>
        <w:rPr>
          <w:rStyle w:val="FootnoteAnchor"/>
          <w:rtl w:val="true"/>
        </w:rPr>
        <w:footnoteReference w:id="2814"/>
      </w:r>
      <w:r>
        <w:rPr>
          <w:rFonts w:eastAsia="Times New Roman" w:cs="Times New Roman" w:ascii="Times New Roman" w:hAnsi="Times New Roman"/>
          <w:color w:val="111111"/>
          <w:sz w:val="28"/>
          <w:szCs w:val="28"/>
          <w:rtl w:val="true"/>
          <w:lang w:val="en-US" w:bidi="en-US"/>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ادّعی فی کشف اللثام</w:t>
      </w:r>
      <w:r>
        <w:rPr>
          <w:rStyle w:val="FootnoteAnchor"/>
          <w:rtl w:val="true"/>
        </w:rPr>
        <w:footnoteReference w:id="2815"/>
      </w:r>
      <w:r>
        <w:rPr>
          <w:rFonts w:ascii="IRNazanin" w:hAnsi="IRNazanin" w:eastAsia="IRNazanin"/>
          <w:color w:val="111111"/>
          <w:sz w:val="28"/>
          <w:sz w:val="28"/>
          <w:szCs w:val="28"/>
          <w:rtl w:val="true"/>
          <w:lang w:bidi="fa-IR"/>
        </w:rPr>
        <w:t>و الجواهر</w:t>
      </w:r>
      <w:r>
        <w:rPr>
          <w:rStyle w:val="FootnoteAnchor"/>
          <w:rtl w:val="true"/>
        </w:rPr>
        <w:footnoteReference w:id="2816"/>
      </w:r>
      <w:r>
        <w:rPr>
          <w:rFonts w:ascii="IRNazanin" w:hAnsi="IRNazanin" w:eastAsia="IRNazanin"/>
          <w:color w:val="111111"/>
          <w:sz w:val="28"/>
          <w:sz w:val="28"/>
          <w:szCs w:val="28"/>
          <w:rtl w:val="true"/>
          <w:lang w:bidi="fa-IR"/>
        </w:rPr>
        <w:t>و المسالک</w:t>
      </w:r>
      <w:r>
        <w:rPr>
          <w:rStyle w:val="FootnoteAnchor"/>
          <w:rtl w:val="true"/>
        </w:rPr>
        <w:footnoteReference w:id="2817"/>
      </w:r>
      <w:r>
        <w:rPr>
          <w:rFonts w:ascii="IRNazanin" w:hAnsi="IRNazanin" w:eastAsia="IRNazanin"/>
          <w:color w:val="111111"/>
          <w:sz w:val="28"/>
          <w:sz w:val="28"/>
          <w:szCs w:val="28"/>
          <w:rtl w:val="true"/>
          <w:lang w:bidi="fa-IR"/>
        </w:rPr>
        <w:t>الإجماع علیه، و عبّر فی</w:t>
      </w:r>
      <w:bookmarkStart w:id="1308" w:name="pg11752_146659"/>
    </w:p>
    <w:p>
      <w:pPr>
        <w:pStyle w:val="BookText"/>
        <w:rPr/>
      </w:pPr>
      <w:bookmarkEnd w:id="1308"/>
      <w:r>
        <w:rPr>
          <w:rFonts w:ascii="IRNazanin" w:hAnsi="IRNazanin" w:eastAsia="IRNazanin"/>
          <w:color w:val="111111"/>
          <w:sz w:val="28"/>
          <w:sz w:val="28"/>
          <w:szCs w:val="28"/>
          <w:rtl w:val="true"/>
          <w:lang w:bidi="fa-IR"/>
        </w:rPr>
        <w:t xml:space="preserve">الحدائق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خلاف بین الأصحاب فی ذلک</w:t>
      </w:r>
      <w:r>
        <w:rPr>
          <w:rFonts w:eastAsia="IRNazanin" w:cs="IRNazanin"/>
          <w:color w:val="111111"/>
          <w:sz w:val="28"/>
          <w:szCs w:val="28"/>
          <w:rtl w:val="true"/>
          <w:lang w:bidi="fa-IR"/>
        </w:rPr>
        <w:t>»</w:t>
      </w:r>
      <w:r>
        <w:rPr>
          <w:rStyle w:val="FootnoteAnchor"/>
          <w:rtl w:val="true"/>
        </w:rPr>
        <w:footnoteReference w:id="2818"/>
      </w:r>
      <w:r>
        <w:rPr>
          <w:rFonts w:ascii="IRNazanin" w:hAnsi="IRNazanin" w:eastAsia="IRNazanin"/>
          <w:color w:val="111111"/>
          <w:sz w:val="28"/>
          <w:sz w:val="28"/>
          <w:szCs w:val="28"/>
          <w:rtl w:val="true"/>
          <w:lang w:bidi="fa-IR"/>
        </w:rPr>
        <w:t xml:space="preserve">، و هکذا قال السیّد الخوئی رحمه الله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خلاف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أضاف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الظاهر من کلماتهم أنّه من الواضحات المتسالم علیها</w:t>
      </w:r>
      <w:r>
        <w:rPr>
          <w:rFonts w:eastAsia="IRNazanin" w:cs="IRNazanin"/>
          <w:color w:val="111111"/>
          <w:sz w:val="28"/>
          <w:szCs w:val="28"/>
          <w:rtl w:val="true"/>
          <w:lang w:bidi="fa-IR"/>
        </w:rPr>
        <w:t>»</w:t>
      </w:r>
      <w:r>
        <w:rPr>
          <w:rStyle w:val="FootnoteAnchor"/>
          <w:rtl w:val="true"/>
        </w:rPr>
        <w:footnoteReference w:id="28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مهذّب الأحکام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للإجماع، بل الضرورة الفقهیّة فی اعتبار جمیع هذه الشروط فی الجملة</w:t>
      </w:r>
      <w:r>
        <w:rPr>
          <w:rFonts w:eastAsia="IRNazanin" w:cs="IRNazanin"/>
          <w:color w:val="111111"/>
          <w:sz w:val="28"/>
          <w:szCs w:val="28"/>
          <w:rtl w:val="true"/>
          <w:lang w:bidi="fa-IR"/>
        </w:rPr>
        <w:t>»</w:t>
      </w:r>
      <w:r>
        <w:rPr>
          <w:rStyle w:val="FootnoteAnchor"/>
          <w:rtl w:val="true"/>
        </w:rPr>
        <w:footnoteReference w:id="28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ادّعی علیه الإجماع الفقیه المحقّق الفاضل اللنکرانی</w:t>
      </w:r>
      <w:r>
        <w:rPr>
          <w:rStyle w:val="FootnoteAnchor"/>
          <w:rtl w:val="true"/>
        </w:rPr>
        <w:footnoteReference w:id="28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یتصوّر إسلام الولد فی هذا الحال بإسلام امّه أو جدّه علی قولٍ، أو بقبوله الإسلام قبل البلوغ بناءً علی اعتباره، کما سیأتی</w:t>
      </w:r>
      <w:r>
        <w:rPr>
          <w:rFonts w:eastAsia="IRNazanin" w:cs="IRNazanin"/>
          <w:color w:val="111111"/>
          <w:sz w:val="28"/>
          <w:szCs w:val="28"/>
          <w:rtl w:val="true"/>
          <w:lang w:bidi="fa-IR"/>
        </w:rPr>
        <w:t>.</w:t>
      </w:r>
    </w:p>
    <w:p>
      <w:pPr>
        <w:pStyle w:val="Heading6"/>
        <w:numPr>
          <w:ilvl w:val="5"/>
          <w:numId w:val="1"/>
        </w:numPr>
        <w:rPr/>
      </w:pPr>
      <w:bookmarkStart w:id="1309" w:name="__RefHeading___Toc9424770_73709187"/>
      <w:bookmarkStart w:id="1310" w:name="_Toc499"/>
      <w:bookmarkEnd w:id="1309"/>
      <w:r>
        <w:rPr>
          <w:rtl w:val="true"/>
        </w:rPr>
        <w:t>أدلّة هذا الشرط‌</w:t>
      </w:r>
      <w:bookmarkEnd w:id="1310"/>
    </w:p>
    <w:p>
      <w:pPr>
        <w:pStyle w:val="BookText"/>
        <w:rPr/>
      </w:pPr>
      <w:r>
        <w:rPr>
          <w:rFonts w:ascii="IRNazanin" w:hAnsi="IRNazanin" w:eastAsia="IRNazanin"/>
          <w:color w:val="111111"/>
          <w:sz w:val="28"/>
          <w:sz w:val="28"/>
          <w:szCs w:val="28"/>
          <w:rtl w:val="true"/>
          <w:lang w:bidi="fa-IR"/>
        </w:rPr>
        <w:t>و یمکن الاستدلال باشتراط الإسلام فی ولایة الأب و عدم ولایة الکافر علی ولده المسلم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 یَجْعَلَ اللّهُ لِلْکافِرِینَ عَلَی الْمُؤْمِنِینَ سَبِیلاً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ولایة الکافر علی ولده المسلم سبیلٌ علیه، و هو منفیّ بالآیة الکریمة، و استدلّ بها العلاّمة</w:t>
      </w:r>
      <w:r>
        <w:rPr>
          <w:rStyle w:val="FootnoteAnchor"/>
          <w:rtl w:val="true"/>
        </w:rPr>
        <w:footnoteReference w:id="2822"/>
      </w:r>
      <w:r>
        <w:rPr>
          <w:rFonts w:ascii="Amiri" w:hAnsi="Amiri" w:eastAsia="Amiri" w:cs="Amiri"/>
          <w:color w:val="111111"/>
          <w:sz w:val="28"/>
          <w:sz w:val="28"/>
          <w:szCs w:val="28"/>
          <w:rtl w:val="true"/>
          <w:lang w:bidi="ar-SA"/>
        </w:rPr>
        <w:t>و المحقّق</w:t>
      </w:r>
      <w:r>
        <w:rPr>
          <w:rStyle w:val="FootnoteAnchor"/>
          <w:rtl w:val="true"/>
        </w:rPr>
        <w:footnoteReference w:id="2823"/>
      </w:r>
      <w:r>
        <w:rPr>
          <w:rFonts w:ascii="IRNazanin" w:hAnsi="IRNazanin" w:eastAsia="IRNazanin"/>
          <w:color w:val="111111"/>
          <w:sz w:val="28"/>
          <w:sz w:val="28"/>
          <w:szCs w:val="28"/>
          <w:rtl w:val="true"/>
          <w:lang w:bidi="fa-IR"/>
        </w:rPr>
        <w:t>و الشهید الثانی</w:t>
      </w:r>
      <w:r>
        <w:rPr>
          <w:rStyle w:val="FootnoteAnchor"/>
          <w:rtl w:val="true"/>
        </w:rPr>
        <w:footnoteReference w:id="2824"/>
      </w:r>
      <w:r>
        <w:rPr>
          <w:rFonts w:ascii="IRNazanin" w:hAnsi="IRNazanin" w:eastAsia="IRNazanin"/>
          <w:color w:val="111111"/>
          <w:sz w:val="28"/>
          <w:sz w:val="28"/>
          <w:szCs w:val="28"/>
          <w:rtl w:val="true"/>
          <w:lang w:bidi="fa-IR"/>
        </w:rPr>
        <w:t>و الفاضل الأصفهانی</w:t>
      </w:r>
      <w:r>
        <w:rPr>
          <w:rStyle w:val="FootnoteAnchor"/>
          <w:rtl w:val="true"/>
        </w:rPr>
        <w:footnoteReference w:id="2825"/>
      </w:r>
      <w:bookmarkStart w:id="1311" w:name="pg11752_146660"/>
    </w:p>
    <w:p>
      <w:pPr>
        <w:pStyle w:val="BookText"/>
        <w:rPr/>
      </w:pPr>
      <w:bookmarkEnd w:id="1311"/>
      <w:r>
        <w:rPr>
          <w:rFonts w:ascii="Amiri" w:hAnsi="Amiri" w:eastAsia="Amiri" w:cs="Amiri"/>
          <w:color w:val="111111"/>
          <w:sz w:val="28"/>
          <w:sz w:val="28"/>
          <w:szCs w:val="28"/>
          <w:rtl w:val="true"/>
          <w:lang w:bidi="ar-SA"/>
        </w:rPr>
        <w:t>و المحدِّث البحرانی</w:t>
      </w:r>
      <w:r>
        <w:rPr>
          <w:rStyle w:val="FootnoteAnchor"/>
          <w:rtl w:val="true"/>
        </w:rPr>
        <w:footnoteReference w:id="2826"/>
      </w:r>
      <w:r>
        <w:rPr>
          <w:rFonts w:ascii="IRNazanin" w:hAnsi="IRNazanin" w:eastAsia="IRNazanin"/>
          <w:color w:val="111111"/>
          <w:sz w:val="28"/>
          <w:sz w:val="28"/>
          <w:szCs w:val="28"/>
          <w:rtl w:val="true"/>
          <w:lang w:bidi="fa-IR"/>
        </w:rPr>
        <w:t>و الشیخ الأعظم</w:t>
      </w:r>
      <w:r>
        <w:rPr>
          <w:rStyle w:val="FootnoteAnchor"/>
          <w:rtl w:val="true"/>
        </w:rPr>
        <w:footnoteReference w:id="2827"/>
      </w:r>
      <w:r>
        <w:rPr>
          <w:rFonts w:ascii="IRNazanin" w:hAnsi="IRNazanin" w:eastAsia="IRNazanin"/>
          <w:color w:val="111111"/>
          <w:sz w:val="28"/>
          <w:sz w:val="28"/>
          <w:szCs w:val="28"/>
          <w:rtl w:val="true"/>
          <w:lang w:bidi="fa-IR"/>
        </w:rPr>
        <w:t>و غیرهم</w:t>
      </w:r>
      <w:r>
        <w:rPr>
          <w:rStyle w:val="FootnoteAnchor"/>
          <w:rtl w:val="true"/>
        </w:rPr>
        <w:footnoteReference w:id="282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12" w:name="__RefHeading___Toc9424772_73709187"/>
      <w:bookmarkStart w:id="1313" w:name="_Toc500"/>
      <w:bookmarkEnd w:id="1312"/>
      <w:r>
        <w:rPr>
          <w:rtl w:val="true"/>
        </w:rPr>
        <w:t>إیراد الشیخ الأنصاری علی الاستدلال بالآیة</w:t>
      </w:r>
      <w:bookmarkEnd w:id="1313"/>
    </w:p>
    <w:p>
      <w:pPr>
        <w:pStyle w:val="BookText"/>
        <w:rPr/>
      </w:pPr>
      <w:r>
        <w:rPr>
          <w:rFonts w:ascii="IRNazanin" w:hAnsi="IRNazanin" w:eastAsia="IRNazanin"/>
          <w:color w:val="111111"/>
          <w:sz w:val="28"/>
          <w:sz w:val="28"/>
          <w:szCs w:val="28"/>
          <w:rtl w:val="true"/>
          <w:lang w:bidi="fa-IR"/>
        </w:rPr>
        <w:t>و أورد الشیخ الأعظم فی کتابه البیع</w:t>
      </w:r>
      <w:r>
        <w:rPr>
          <w:rStyle w:val="FootnoteAnchor"/>
          <w:rtl w:val="true"/>
        </w:rPr>
        <w:footnoteReference w:id="2829"/>
      </w:r>
      <w:r>
        <w:rPr>
          <w:rFonts w:ascii="IRNazanin" w:hAnsi="IRNazanin" w:eastAsia="IRNazanin"/>
          <w:color w:val="111111"/>
          <w:sz w:val="28"/>
          <w:sz w:val="28"/>
          <w:szCs w:val="28"/>
          <w:rtl w:val="true"/>
          <w:lang w:bidi="fa-IR"/>
        </w:rPr>
        <w:t>علی الاستدلال بها بوجوه، أهمّها أنّ الآیة الکریمة فسّرت فی بعض الأخبار بنفی الحجّة للکفّار علی المؤمنین، و هو ما روی فی عیون أخبار الرضا علیه السلام عن أبی الصلت الهروی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إنّ فی سواد الکوفة قوماً یزعمون أنّ الحسین بن علیّ علیهما السلام لم یقتل، و أنّه القی شبهه علی حنظلة بن أسعد الشامی، و أنّه رفع إلی السماء کما رفع عیسی بن مریم علیه السلام، و یحتجّون بهذه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 یَجْعَلَ اللّهُ لِلْکافِرِینَ عَلَی الْمُؤْمِنِینَ سَبِیلاً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کذبوا، علیهم غضب اللّه و لعنته، و کفروا بتکذیبهم لنبیّ اللّه فی إخباره، بأنّ الحسین بن علیّ علیهما السلام سیقتل، و اللّه لقد قتل الحسین علیه السلام، و قتل مَن کان خیراً من الحسین أمیر المؤمنین و الحسن بن علی علیهما السلام، و ما منّا إلاّ مقتول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 یَجْعَلَ اللّهُ لِلْکافِرِینَ عَلَی الْمُؤْمِنِینَ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یقول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لن یجعل اللّه للکافر علی مؤمن حجّة، و قد أخبر اللّه عزّ و جلّ عن کفّارٍ قتلوا النبیّین بغیر الحقّ، و مع قتلهم إیّاهم لن یجعل اللّه لهم علی أنبیائه علیهم السلام سبیلاً من طریق الحجّة</w:t>
      </w:r>
      <w:r>
        <w:rPr>
          <w:rFonts w:eastAsia="IRNazanin" w:cs="IRNazanin"/>
          <w:color w:val="111111"/>
          <w:sz w:val="28"/>
          <w:szCs w:val="28"/>
          <w:rtl w:val="true"/>
          <w:lang w:bidi="fa-IR"/>
        </w:rPr>
        <w:t>»</w:t>
      </w:r>
      <w:r>
        <w:rPr>
          <w:rStyle w:val="FootnoteAnchor"/>
          <w:rtl w:val="true"/>
        </w:rPr>
        <w:footnoteReference w:id="2830"/>
      </w:r>
      <w:r>
        <w:rPr>
          <w:rFonts w:eastAsia="Times New Roman" w:cs="Times New Roman" w:ascii="Times New Roman" w:hAnsi="Times New Roman"/>
          <w:color w:val="111111"/>
          <w:sz w:val="28"/>
          <w:szCs w:val="28"/>
          <w:rtl w:val="true"/>
          <w:lang w:val="en-US" w:bidi="en-US"/>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فیکون هذا الخبر شارحاً و مفسِّراً للآیة الکریمة، فلا یمکن حملها علی نفی</w:t>
      </w:r>
      <w:bookmarkStart w:id="1314" w:name="pg11752_146661"/>
    </w:p>
    <w:p>
      <w:pPr>
        <w:pStyle w:val="BookText"/>
        <w:rPr/>
      </w:pPr>
      <w:bookmarkEnd w:id="1314"/>
      <w:r>
        <w:rPr>
          <w:rFonts w:ascii="IRNazanin" w:hAnsi="IRNazanin" w:eastAsia="IRNazanin"/>
          <w:color w:val="111111"/>
          <w:sz w:val="28"/>
          <w:sz w:val="28"/>
          <w:szCs w:val="28"/>
          <w:rtl w:val="true"/>
          <w:lang w:bidi="fa-IR"/>
        </w:rPr>
        <w:t>الولایة، و وافقه فی هذا الإشکال السیّد الحکیم</w:t>
      </w:r>
      <w:r>
        <w:rPr>
          <w:rStyle w:val="FootnoteAnchor"/>
          <w:rtl w:val="true"/>
        </w:rPr>
        <w:footnoteReference w:id="2831"/>
      </w:r>
      <w:r>
        <w:rPr>
          <w:rFonts w:ascii="IRNazanin" w:hAnsi="IRNazanin" w:eastAsia="IRNazanin"/>
          <w:color w:val="111111"/>
          <w:sz w:val="28"/>
          <w:sz w:val="28"/>
          <w:szCs w:val="28"/>
          <w:rtl w:val="true"/>
          <w:lang w:bidi="fa-IR"/>
        </w:rPr>
        <w:t xml:space="preserve">و السیّد الخوئی </w:t>
      </w:r>
      <w:r>
        <w:rPr>
          <w:rFonts w:eastAsia="IRNazanin" w:cs="IRNazanin"/>
          <w:color w:val="111111"/>
          <w:sz w:val="28"/>
          <w:szCs w:val="28"/>
          <w:lang w:bidi="fa-IR"/>
        </w:rPr>
        <w:t>0</w:t>
      </w:r>
      <w:r>
        <w:rPr>
          <w:rStyle w:val="FootnoteAnchor"/>
          <w:rtl w:val="true"/>
        </w:rPr>
        <w:footnoteReference w:id="28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أجاب عنه المحقّق النائینی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ما ورد فی تفسیر الآیات غیر منافٍ للأخذ بظواهرها و لا یصادم حجّیة ظهورها؛ لکون هذه التفاسیر بیاناً لما فی بطون الکتاب الکریم، الغیر المنافیة مع الأخذ بظاهره</w:t>
      </w:r>
      <w:r>
        <w:rPr>
          <w:rFonts w:eastAsia="IRNazanin" w:cs="IRNazanin"/>
          <w:color w:val="111111"/>
          <w:sz w:val="28"/>
          <w:szCs w:val="28"/>
          <w:rtl w:val="true"/>
          <w:lang w:bidi="fa-IR"/>
        </w:rPr>
        <w:t>»</w:t>
      </w:r>
      <w:r>
        <w:rPr>
          <w:rStyle w:val="FootnoteAnchor"/>
          <w:rtl w:val="true"/>
        </w:rPr>
        <w:footnoteReference w:id="283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15" w:name="__RefHeading___Toc9424774_73709187"/>
      <w:bookmarkStart w:id="1316" w:name="_Toc501"/>
      <w:bookmarkEnd w:id="1315"/>
      <w:r>
        <w:rPr>
          <w:rtl w:val="true"/>
        </w:rPr>
        <w:t>جواب الإمام الخمینی عن إیراد الشیخ الأنصاری</w:t>
      </w:r>
      <w:bookmarkEnd w:id="1316"/>
    </w:p>
    <w:p>
      <w:pPr>
        <w:pStyle w:val="BookText"/>
        <w:rPr/>
      </w:pPr>
      <w:r>
        <w:rPr>
          <w:rFonts w:ascii="IRNazanin" w:hAnsi="IRNazanin" w:eastAsia="IRNazanin"/>
          <w:color w:val="111111"/>
          <w:sz w:val="28"/>
          <w:sz w:val="28"/>
          <w:szCs w:val="28"/>
          <w:rtl w:val="true"/>
          <w:lang w:bidi="fa-IR"/>
        </w:rPr>
        <w:t>و الذی یحسم مادّة الإشکال و یدفع إیراد الشیخ رحمه الله ما ذکره الإمام الخمینی قدس سره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الظاهر عدم استعمال السبیل إلاّ فی معناه، و هو الطریق</w:t>
      </w:r>
      <w:r>
        <w:rPr>
          <w:rStyle w:val="FootnoteAnchor"/>
          <w:rtl w:val="true"/>
        </w:rPr>
        <w:footnoteReference w:id="2834"/>
      </w:r>
      <w:r>
        <w:rPr>
          <w:rFonts w:ascii="IRNazanin" w:hAnsi="IRNazanin" w:eastAsia="IRNazanin"/>
          <w:color w:val="111111"/>
          <w:sz w:val="28"/>
          <w:sz w:val="28"/>
          <w:szCs w:val="28"/>
          <w:rtl w:val="true"/>
          <w:lang w:bidi="fa-IR"/>
        </w:rPr>
        <w:t>فی جمیع الاستعمالات التی وقعت فی الکتاب الکریم و غیره، و مواردها کثیرة جدّاً فی الکتاب العزیز، لکن ارید منه فی بعضها معناه الحقیقی بحسب الجدّ، و فی أغلبها المعنی المجازی بنحو الحقیقة الادّعائیة نحو سبیل اللّه و سبیل المؤمنین و سبیل المجرمین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بدعوی کون المعنویات کالحسّیات و نحوها آیة نفی السبیل، فلم یستعمل السبیل فی النصر أو الحجّة، بل من الممکن أن یکون المراد نفی جعل السبیل مطلقاً</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فالمراد أنّه تعالی لن یجعل للکافرین طریقاً و سبیلاً علی المؤمنین لا فی التکوین و لا فی التشریع، أمّا فی التکوین فلأنّه تعالی أیّد رسوله صلی الله علیه و آله و المؤمنین بتأییداتٍ کثیرة معنویّةٍ و صوریّةٍ و أمدّهم بالملائکة و وعدهم بالنصر، و غیر ذلک ممّا توجب</w:t>
      </w:r>
    </w:p>
    <w:p>
      <w:pPr>
        <w:pStyle w:val="BookText"/>
        <w:rPr/>
      </w:pPr>
      <w:r>
        <w:rPr>
          <w:rFonts w:ascii="Amiri" w:hAnsi="Amiri" w:eastAsia="Amiri" w:cs="Amiri"/>
          <w:color w:val="111111"/>
          <w:sz w:val="28"/>
          <w:sz w:val="28"/>
          <w:szCs w:val="28"/>
          <w:rtl w:val="true"/>
          <w:lang w:bidi="ar-SA"/>
        </w:rPr>
        <w:t>قوّةً و شدّةً و اطمئناناً للجیش الإسلامی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نَصَرَکُمُ اللّهُ بِبَدْرٍ وَ أَنْتُمْ أَذِلَّةٌ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غیر ذلک من الآیات</w:t>
      </w:r>
      <w:r>
        <w:rPr>
          <w:rStyle w:val="FootnoteAnchor"/>
          <w:rtl w:val="true"/>
        </w:rPr>
        <w:footnoteReference w:id="28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فاللّه تعالی جعل طرقاً کثیرة للمؤمنین علی الکافرین فی التکوین، و لن یجعل للکافرین علی المؤمنین طریقاً و سبیلاً؛ إذ لم یؤیّدهم بتأیید صوری أو معنوی یوجب تقویتهم و غلبتهم، فهذه التأییدات و السبل أمور زائدة علی ما هو المشترک بین طوائف البشر، من إعطاء العقل و القوّة و القدرة، فعلی هذا 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یجعل اللّه للکافرین علی المؤمنین سبیلاً فی التکوین، بل جعل لهم علیهم سبیلاً بل طرقاً و سبلاً، و کذا لم یجعل طریقاً لهم علی المؤمنین فی الاحتجاج، فإنّ کتاب المؤمنین کتابٌ لا یأتیه الباطل من بین یدیه و لا من خلفه، بل حجّة المؤمنین حجّة ظاهرة قویّة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التشریع فلأنّه لن یجعل اللّه للکافرین سلطة اعتباریّة علی المؤمنین مثل ما جعل رسول اللّه صلی الله علیه و آله ولیّاً و سلطاناً علی الناس و من بعده خلفاءه المعصومین علیهم الصلاة و السلام، و من بعدهم العلماء باللّه الاُمناء علی حلاله و حرامه، فهذا أیضاً طریق و سبیل لن یجعله لهم علیهم، کما أنّ الحجّة للمؤمنین علی الکافرین فی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من ذلک أنّ نفی السبیل مطلقاً لازمه نفی جمیع السبل تکویناً و تشریعاً</w:t>
      </w:r>
      <w:r>
        <w:rPr>
          <w:rFonts w:eastAsia="IRNazanin" w:cs="IRNazanin"/>
          <w:color w:val="111111"/>
          <w:sz w:val="28"/>
          <w:szCs w:val="28"/>
          <w:rtl w:val="true"/>
          <w:lang w:bidi="fa-IR"/>
        </w:rPr>
        <w:t>»</w:t>
      </w:r>
      <w:r>
        <w:rPr>
          <w:rStyle w:val="FootnoteAnchor"/>
          <w:rtl w:val="true"/>
        </w:rPr>
        <w:footnoteReference w:id="2836"/>
      </w:r>
      <w:r>
        <w:rPr>
          <w:rFonts w:eastAsia="Times New Roman" w:cs="Times New Roman" w:ascii="Times New Roman" w:hAnsi="Times New Roman"/>
          <w:color w:val="111111"/>
          <w:sz w:val="28"/>
          <w:szCs w:val="28"/>
          <w:rtl w:val="true"/>
          <w:lang w:val="en-US" w:bidi="en-US"/>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یؤیّده ما اختاره المحقّق الأردبیلی من حمل السبیل فی الآیة الکریمة علی العموم کما هو الظاهر منها؛ لأنّه نکرةٌ فی سیاق النفی یفید العموم، فلا شیء من</w:t>
      </w:r>
    </w:p>
    <w:p>
      <w:pPr>
        <w:pStyle w:val="BookText"/>
        <w:rPr/>
      </w:pPr>
      <w:r>
        <w:rPr>
          <w:rFonts w:ascii="IRNazanin" w:hAnsi="IRNazanin" w:eastAsia="IRNazanin"/>
          <w:color w:val="111111"/>
          <w:sz w:val="28"/>
          <w:sz w:val="28"/>
          <w:szCs w:val="28"/>
          <w:rtl w:val="true"/>
          <w:lang w:bidi="fa-IR"/>
        </w:rPr>
        <w:t xml:space="preserve">السبیل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للکافر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المسلم</w:t>
      </w:r>
      <w:r>
        <w:rPr>
          <w:rStyle w:val="FootnoteAnchor"/>
          <w:rtl w:val="true"/>
        </w:rPr>
        <w:footnoteReference w:id="28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المحقّق الإیروانی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أقرب المحامل هو الحمل علی نفی السلطنة، فتدلُّ علی محجوریّة الکافر فی التصرّف فی شئون المسلم، و الآیة فی مقام احترام المؤمن و کرامة المؤمن علی اللّه تعالی</w:t>
      </w:r>
      <w:r>
        <w:rPr>
          <w:rFonts w:eastAsia="IRNazanin" w:cs="IRNazanin"/>
          <w:color w:val="111111"/>
          <w:sz w:val="28"/>
          <w:szCs w:val="28"/>
          <w:rtl w:val="true"/>
          <w:lang w:bidi="fa-IR"/>
        </w:rPr>
        <w:t>»</w:t>
      </w:r>
      <w:r>
        <w:rPr>
          <w:rStyle w:val="FootnoteAnchor"/>
          <w:rtl w:val="true"/>
        </w:rPr>
        <w:footnoteReference w:id="28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أیضاً اشتُهر بین الأصحاب التمسّک بالآیة، حتّی اسند فی کنز العرفان الاستدلال بهذه الآیة إلی الفقهاء فی الموارد التسعة فی أبواب الفقه</w:t>
      </w:r>
      <w:r>
        <w:rPr>
          <w:rStyle w:val="FootnoteAnchor"/>
          <w:rtl w:val="true"/>
        </w:rPr>
        <w:footnoteReference w:id="28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نسب المحقّق الأردبیلی الاحتجاج بها إلی أصحابنا فی موارد متعدّدة</w:t>
      </w:r>
      <w:r>
        <w:rPr>
          <w:rStyle w:val="FootnoteAnchor"/>
          <w:rtl w:val="true"/>
        </w:rPr>
        <w:footnoteReference w:id="28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فتحصّل ممّا ذکرنا بطوله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الآیة تدلّ علی عدم ولایة الکافر علی المسلم، و منها ولایة الجدّ و الأب علی ولده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النبویّ المشهور بین الفریقین المنجبر بعمل الأصحاب، و استدلالهم به فی موارد متعدّدة، و نسبه الشیخ الصدوق إلی النبیّ صلی الله علیه و آله جزماً، فهو من المراسیل المعتبرة و المتلقّی بالقبول، بحیث یغنی عن ملاحظة سنده، و هو 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الإسلام یعلو و لا یُعلی علیه</w:t>
      </w:r>
      <w:r>
        <w:rPr>
          <w:rFonts w:eastAsia="IRNazanin" w:cs="IRNazanin"/>
          <w:color w:val="111111"/>
          <w:sz w:val="28"/>
          <w:szCs w:val="28"/>
          <w:rtl w:val="true"/>
          <w:lang w:bidi="fa-IR"/>
        </w:rPr>
        <w:t>»</w:t>
      </w:r>
      <w:r>
        <w:rPr>
          <w:rStyle w:val="FootnoteAnchor"/>
          <w:rtl w:val="true"/>
        </w:rPr>
        <w:footnoteReference w:id="28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جَعلُ الولایة للکافر علی المؤمن، علوّ و استیلاءٌ للکافر علی المؤمن، و مقتضی النبویّ عدم جوازه</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و التسالم بین الفقهاء کما تقدّم، فإنّهم یتسالمون علی عدم</w:t>
      </w:r>
    </w:p>
    <w:p>
      <w:pPr>
        <w:pStyle w:val="BookText"/>
        <w:rPr/>
      </w:pPr>
      <w:r>
        <w:rPr>
          <w:rFonts w:ascii="IRNazanin" w:hAnsi="IRNazanin" w:eastAsia="IRNazanin"/>
          <w:color w:val="111111"/>
          <w:sz w:val="28"/>
          <w:sz w:val="28"/>
          <w:szCs w:val="28"/>
          <w:rtl w:val="true"/>
          <w:lang w:bidi="fa-IR"/>
        </w:rPr>
        <w:t>وجود السبیل للکافر علی المسلم و یرسلونه إرسال المسلّمات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الأدلّة، فإنّ المتفاهم العرفی منها کون الولایة من جهة احترامهم و أداء حقوقهم، فلا تشمل الکافر الذی یجب عدم موادّته، و الابتعاد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الإلزام، فإنّ الکفّار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بحسب ما هو معلوم من الخارج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یلتزمون بجواز إنکاح الصغیر، کما لا یلتزمون بالولایة علی بناتهم الأبکار و توقف نکاحهنّ علی إذنهم، و حینئذٍ فمقتضی هذه القاعدة سقوط الولایة عنه و الالتزام بصحّة نکاحها من غیر إذنه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 السیّد الخوئی رحمه الله بالوجهین الأخیرین</w:t>
      </w:r>
      <w:r>
        <w:rPr>
          <w:rStyle w:val="FootnoteAnchor"/>
          <w:rtl w:val="true"/>
        </w:rPr>
        <w:footnoteReference w:id="2842"/>
      </w:r>
      <w:r>
        <w:rPr>
          <w:rFonts w:ascii="IRNazanin" w:hAnsi="IRNazanin" w:eastAsia="IRNazanin"/>
          <w:color w:val="111111"/>
          <w:sz w:val="28"/>
          <w:sz w:val="28"/>
          <w:szCs w:val="28"/>
          <w:rtl w:val="true"/>
          <w:lang w:bidi="fa-IR"/>
        </w:rPr>
        <w:t>و لکن فی کلا الوجهین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یرد علی الأوّل، فإنّ دعوی الانصراف ممنوعة، و المتفاهم العرفی من جعل الولایة للأب و الجدّ من جهة شفقتهما للصبیّ و الصبیّة، قال فی جامع المقاصد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الولد الکافر، فإنّ ولایته علیه ثابتة، کما تثبت ولایة الأب الفاسق علی ولده الفاسق؛ للعموم، و لأنّ الاحتیاط فی إنکاحه مستند إلی الشفقة المسبّبة عن القرابة، و هی حاصلةٌ حین الکفر</w:t>
      </w:r>
      <w:r>
        <w:rPr>
          <w:rFonts w:eastAsia="IRNazanin" w:cs="IRNazanin"/>
          <w:color w:val="111111"/>
          <w:sz w:val="28"/>
          <w:szCs w:val="28"/>
          <w:rtl w:val="true"/>
          <w:lang w:bidi="fa-IR"/>
        </w:rPr>
        <w:t>»</w:t>
      </w:r>
      <w:r>
        <w:rPr>
          <w:rStyle w:val="FootnoteAnchor"/>
          <w:rtl w:val="true"/>
        </w:rPr>
        <w:footnoteReference w:id="28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فرق بین الأب الکافر و الأب المسلم من هذه الجهة، و لا وجه لانصراف الأدلّة عن ولایة الکافر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الثانی</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القاعدة تشبه الأحکام الثانویة أو هی منها</w:t>
      </w:r>
      <w:r>
        <w:rPr>
          <w:rStyle w:val="FootnoteAnchor"/>
          <w:rtl w:val="true"/>
        </w:rPr>
        <w:footnoteReference w:id="28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قرّر فی محلّه ولایة الأب و الجدّ أو عدم ولایتهما من الأحکام الواقعیّة الأوّلیة</w:t>
      </w:r>
      <w:r>
        <w:rPr>
          <w:rFonts w:eastAsia="IRNazanin" w:cs="IRNazanin"/>
          <w:color w:val="111111"/>
          <w:sz w:val="28"/>
          <w:szCs w:val="28"/>
          <w:rtl w:val="true"/>
          <w:lang w:bidi="fa-IR"/>
        </w:rPr>
        <w:t>.</w:t>
      </w:r>
      <w:bookmarkStart w:id="1317" w:name="pg11752_146665"/>
    </w:p>
    <w:p>
      <w:pPr>
        <w:pStyle w:val="BookText"/>
        <w:rPr/>
      </w:pPr>
      <w:bookmarkEnd w:id="1317"/>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المخالفین الذین یلتزمون أحکاماً بمقتضی مذهبهم هم المسلمون من سائر الطوائف غیر الطائفة الإمامیّة الاثنی عشریة، و لا یشمل سائر أرباب الأدیان و الملل</w:t>
      </w:r>
      <w:r>
        <w:rPr>
          <w:rStyle w:val="FootnoteAnchor"/>
          <w:rtl w:val="true"/>
        </w:rPr>
        <w:footnoteReference w:id="2845"/>
      </w:r>
      <w:r>
        <w:rPr>
          <w:rFonts w:ascii="IRNazanin" w:hAnsi="IRNazanin" w:eastAsia="IRNazanin"/>
          <w:color w:val="111111"/>
          <w:sz w:val="28"/>
          <w:sz w:val="28"/>
          <w:szCs w:val="28"/>
          <w:rtl w:val="true"/>
          <w:lang w:bidi="fa-IR"/>
        </w:rPr>
        <w:t>و لا أقلّ من الشکّ فی شمولها لسائر الأدیان، و وافقنا فی هذا الحکم الحنابلة و الشافعیة</w:t>
      </w:r>
      <w:r>
        <w:rPr>
          <w:rStyle w:val="FootnoteAnchor"/>
          <w:rtl w:val="true"/>
        </w:rPr>
        <w:footnoteReference w:id="2846"/>
      </w:r>
      <w:r>
        <w:rPr>
          <w:rFonts w:ascii="IRNazanin" w:hAnsi="IRNazanin" w:eastAsia="IRNazanin"/>
          <w:color w:val="111111"/>
          <w:sz w:val="28"/>
          <w:sz w:val="28"/>
          <w:szCs w:val="28"/>
          <w:rtl w:val="true"/>
          <w:lang w:bidi="fa-IR"/>
        </w:rPr>
        <w:t>و الحنفیة</w:t>
      </w:r>
      <w:r>
        <w:rPr>
          <w:rStyle w:val="FootnoteAnchor"/>
          <w:rtl w:val="true"/>
        </w:rPr>
        <w:footnoteReference w:id="2847"/>
      </w:r>
      <w:r>
        <w:rPr>
          <w:rFonts w:ascii="IRNazanin" w:hAnsi="IRNazanin" w:eastAsia="IRNazanin"/>
          <w:color w:val="111111"/>
          <w:sz w:val="28"/>
          <w:sz w:val="28"/>
          <w:szCs w:val="28"/>
          <w:rtl w:val="true"/>
          <w:lang w:bidi="fa-IR"/>
        </w:rPr>
        <w:t>و المالکیة</w:t>
      </w:r>
      <w:r>
        <w:rPr>
          <w:rStyle w:val="FootnoteAnchor"/>
          <w:rtl w:val="true"/>
        </w:rPr>
        <w:footnoteReference w:id="28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قدامة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الشرط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و لا یثبت للکافر ولایةٌ علی مسلمةٍ، و هو قول عامّة أهل العلم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 عامّة من نحفظ عنه من أهل العلم علی هذا</w:t>
      </w:r>
      <w:r>
        <w:rPr>
          <w:rFonts w:eastAsia="IRNazanin" w:cs="IRNazanin"/>
          <w:color w:val="111111"/>
          <w:sz w:val="28"/>
          <w:szCs w:val="28"/>
          <w:rtl w:val="true"/>
          <w:lang w:bidi="fa-IR"/>
        </w:rPr>
        <w:t>»</w:t>
      </w:r>
      <w:r>
        <w:rPr>
          <w:rStyle w:val="FootnoteAnchor"/>
          <w:rtl w:val="true"/>
        </w:rPr>
        <w:footnoteReference w:id="284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18" w:name="__RefHeading___Toc9424776_73709187"/>
      <w:bookmarkStart w:id="1319" w:name="_Toc502"/>
      <w:bookmarkEnd w:id="1318"/>
      <w:r>
        <w:rPr>
          <w:rtl w:val="true"/>
        </w:rPr>
        <w:t>فرعٌ‌</w:t>
      </w:r>
      <w:bookmarkEnd w:id="1319"/>
    </w:p>
    <w:p>
      <w:pPr>
        <w:pStyle w:val="BookText"/>
        <w:rPr/>
      </w:pPr>
      <w:r>
        <w:rPr>
          <w:rFonts w:ascii="IRNazanin" w:hAnsi="IRNazanin" w:eastAsia="IRNazanin"/>
          <w:color w:val="111111"/>
          <w:sz w:val="28"/>
          <w:sz w:val="28"/>
          <w:szCs w:val="28"/>
          <w:rtl w:val="true"/>
          <w:lang w:bidi="fa-IR"/>
        </w:rPr>
        <w:t>ما قلنا باشتراط ولایة الأب أو الجدّ بکونهما مسلمَیْن یختصّ بموردٍ کان المولّی علیه أیضاً 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کان المولّی علیه کافراً فلا یشترط فی ولایتهما أن یکونا مسلمین، و الدلیل علی ذلک عموم أدلّة ولایة الأبوین</w:t>
      </w:r>
      <w:r>
        <w:rPr>
          <w:rStyle w:val="FootnoteAnchor"/>
          <w:rtl w:val="true"/>
        </w:rPr>
        <w:footnoteReference w:id="2850"/>
      </w:r>
      <w:r>
        <w:rPr>
          <w:rFonts w:ascii="IRNazanin" w:hAnsi="IRNazanin" w:eastAsia="IRNazanin"/>
          <w:color w:val="111111"/>
          <w:sz w:val="28"/>
          <w:sz w:val="28"/>
          <w:szCs w:val="28"/>
          <w:rtl w:val="true"/>
          <w:lang w:bidi="fa-IR"/>
        </w:rPr>
        <w:t>و هکذا قوله تعالی</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فَانْکِحُوهُنَّ بِإِذْنِ أَهْلِهِنَّ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رحمه الله فی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 الکافرة لا یکون إلاّ کافراً</w:t>
      </w:r>
      <w:r>
        <w:rPr>
          <w:rStyle w:val="FootnoteAnchor"/>
          <w:rtl w:val="true"/>
        </w:rPr>
        <w:footnoteReference w:id="2851"/>
      </w:r>
      <w:r>
        <w:rPr>
          <w:rFonts w:ascii="Amiri" w:hAnsi="Amiri" w:eastAsia="Amiri" w:cs="Amiri"/>
          <w:color w:val="111111"/>
          <w:sz w:val="28"/>
          <w:sz w:val="28"/>
          <w:szCs w:val="28"/>
          <w:rtl w:val="true"/>
          <w:lang w:bidi="ar-SA"/>
        </w:rPr>
        <w:t>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کَفَرُوا بَعْضُهُمْ أَوْلِیاءُ بَعْضٍ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المقصود من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المحبّة و المساعدة فی الاُمور لا الولایة بمعنی المدّعی</w:t>
      </w:r>
      <w:r>
        <w:rPr>
          <w:rFonts w:eastAsia="Amiri" w:cs="Amiri" w:ascii="Amiri" w:hAnsi="Amiri"/>
          <w:color w:val="111111"/>
          <w:sz w:val="28"/>
          <w:szCs w:val="28"/>
          <w:rtl w:val="true"/>
          <w:lang w:bidi="ar-SA"/>
        </w:rPr>
        <w:t>.</w:t>
      </w:r>
      <w:bookmarkStart w:id="1320" w:name="pg11752_146666"/>
    </w:p>
    <w:p>
      <w:pPr>
        <w:pStyle w:val="BookText"/>
        <w:rPr/>
      </w:pPr>
      <w:bookmarkEnd w:id="1320"/>
      <w:r>
        <w:rPr>
          <w:rFonts w:ascii="IRNazanin" w:hAnsi="IRNazanin" w:eastAsia="IRNazanin"/>
          <w:color w:val="111111"/>
          <w:sz w:val="28"/>
          <w:sz w:val="28"/>
          <w:szCs w:val="28"/>
          <w:rtl w:val="true"/>
          <w:lang w:bidi="fa-IR"/>
        </w:rPr>
        <w:t>و یظهر من ظاهر کلمات بعضهم القول باشتراط الإسلام هنا</w:t>
      </w:r>
      <w:r>
        <w:rPr>
          <w:rStyle w:val="FootnoteAnchor"/>
          <w:rtl w:val="true"/>
        </w:rPr>
        <w:footnoteReference w:id="2852"/>
      </w:r>
      <w:r>
        <w:rPr>
          <w:rFonts w:ascii="IRNazanin" w:hAnsi="IRNazanin" w:eastAsia="IRNazanin"/>
          <w:color w:val="111111"/>
          <w:sz w:val="28"/>
          <w:sz w:val="28"/>
          <w:szCs w:val="28"/>
          <w:rtl w:val="true"/>
          <w:lang w:bidi="fa-IR"/>
        </w:rPr>
        <w:t>أیضاً، کما هو ظاهر عبارة المحقّق رحمه الله،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الولیّ کافراً، فلا ولایة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وجه المنع من ولایة الکافر علی الکافر غیر ظاهرٍ، و الأجود أنّ الکافر یتولّی نکاح الکافرة إذا لم یکن لها ولیّ مسلم و إلاّ فالمسلم أولی، خلافاً لما ذکره الشیخ فی المبسوط من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لها ولیّان أحدهما مسلم و الآخر کافر، کان الذی یتولّی تزویجها الکافر دون المسلم</w:t>
      </w:r>
      <w:r>
        <w:rPr>
          <w:rFonts w:eastAsia="IRNazanin" w:cs="IRNazanin"/>
          <w:color w:val="111111"/>
          <w:sz w:val="28"/>
          <w:szCs w:val="28"/>
          <w:rtl w:val="true"/>
          <w:lang w:bidi="fa-IR"/>
        </w:rPr>
        <w:t>»</w:t>
      </w:r>
      <w:r>
        <w:rPr>
          <w:rStyle w:val="FootnoteAnchor"/>
          <w:rtl w:val="true"/>
        </w:rPr>
        <w:footnoteReference w:id="28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1" w:name="__RefHeading___Toc9424778_73709187"/>
      <w:bookmarkStart w:id="1322" w:name="_Toc503"/>
      <w:bookmarkEnd w:id="1321"/>
      <w:r>
        <w:rPr>
          <w:rtl w:val="true"/>
        </w:rPr>
        <w:t>الثانی</w:t>
      </w:r>
      <w:r>
        <w:rPr>
          <w:rtl w:val="true"/>
        </w:rPr>
        <w:t xml:space="preserve">: </w:t>
      </w:r>
      <w:r>
        <w:rPr>
          <w:rtl w:val="true"/>
        </w:rPr>
        <w:t>البلوغ</w:t>
      </w:r>
      <w:bookmarkEnd w:id="1322"/>
    </w:p>
    <w:p>
      <w:pPr>
        <w:pStyle w:val="BookText"/>
        <w:rPr/>
      </w:pPr>
      <w:r>
        <w:rPr>
          <w:rFonts w:ascii="IRNazanin" w:hAnsi="IRNazanin" w:eastAsia="IRNazanin"/>
          <w:color w:val="111111"/>
          <w:sz w:val="28"/>
          <w:sz w:val="28"/>
          <w:szCs w:val="28"/>
          <w:rtl w:val="true"/>
          <w:lang w:bidi="fa-IR"/>
        </w:rPr>
        <w:t>، یشترط فی ولایة الأولیاء البلوغ، فلا ولایة للصغیر و الصغیرة علی مملوکهما من عبدٍ أو أمةٍ، بل الولایة حینئذٍ لولیّهما بلا خلافٍ فیه، کما قال فی مستند العروة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ادّعی علیه الإجماع</w:t>
      </w:r>
      <w:r>
        <w:rPr>
          <w:rFonts w:eastAsia="IRNazanin" w:cs="IRNazanin"/>
          <w:color w:val="111111"/>
          <w:sz w:val="28"/>
          <w:szCs w:val="28"/>
          <w:rtl w:val="true"/>
          <w:lang w:bidi="fa-IR"/>
        </w:rPr>
        <w:t>»</w:t>
      </w:r>
      <w:r>
        <w:rPr>
          <w:rStyle w:val="FootnoteAnchor"/>
          <w:rtl w:val="true"/>
        </w:rPr>
        <w:footnoteReference w:id="28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فی المستمسک</w:t>
      </w:r>
      <w:r>
        <w:rPr>
          <w:rStyle w:val="FootnoteAnchor"/>
          <w:rtl w:val="true"/>
        </w:rPr>
        <w:footnoteReference w:id="2855"/>
      </w:r>
    </w:p>
    <w:p>
      <w:pPr>
        <w:pStyle w:val="BookText"/>
        <w:rPr/>
      </w:pPr>
      <w:r>
        <w:rPr>
          <w:rFonts w:ascii="IRNazanin" w:hAnsi="IRNazanin" w:eastAsia="IRNazanin"/>
          <w:color w:val="111111"/>
          <w:sz w:val="28"/>
          <w:sz w:val="28"/>
          <w:szCs w:val="28"/>
          <w:rtl w:val="true"/>
          <w:lang w:bidi="fa-IR"/>
        </w:rPr>
        <w:t>و الجواهر</w:t>
      </w:r>
      <w:r>
        <w:rPr>
          <w:rStyle w:val="FootnoteAnchor"/>
          <w:rtl w:val="true"/>
        </w:rPr>
        <w:footnoteReference w:id="2856"/>
      </w:r>
      <w:r>
        <w:rPr>
          <w:rFonts w:ascii="IRNazanin" w:hAnsi="IRNazanin" w:eastAsia="IRNazanin"/>
          <w:color w:val="111111"/>
          <w:sz w:val="28"/>
          <w:sz w:val="28"/>
          <w:szCs w:val="28"/>
          <w:rtl w:val="true"/>
          <w:lang w:bidi="fa-IR"/>
        </w:rPr>
        <w:t>؛ لأنّ أهلیة الولایة تتوقّف علی القدرة علی تحصیل النظر للمولّی علیه، و هو یحصل بکمال الرأی و العقل، و هذا غیر موجودٍ فی الصبیّ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کان تصرّف الولیّ منوطاً بالغبطة و المصلحة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یحصل بالبحث و النظر ممّن له أهلیة معرفة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اعتبر فی الولیّ أن لا یکون صبیّاً، لنقصه و عدم اعتبار أفعاله و أقواله</w:t>
      </w:r>
      <w:r>
        <w:rPr>
          <w:rFonts w:eastAsia="IRNazanin" w:cs="IRNazanin"/>
          <w:color w:val="111111"/>
          <w:sz w:val="28"/>
          <w:szCs w:val="28"/>
          <w:rtl w:val="true"/>
          <w:lang w:bidi="fa-IR"/>
        </w:rPr>
        <w:t>»</w:t>
      </w:r>
      <w:r>
        <w:rPr>
          <w:rStyle w:val="FootnoteAnchor"/>
          <w:rtl w:val="true"/>
        </w:rPr>
        <w:footnoteReference w:id="28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هکذا قال فی الحدائق</w:t>
      </w:r>
      <w:r>
        <w:rPr>
          <w:rStyle w:val="FootnoteAnchor"/>
          <w:rtl w:val="true"/>
        </w:rPr>
        <w:footnoteReference w:id="28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الظاهر من مفهوم کلام العلاّمة</w:t>
      </w:r>
      <w:r>
        <w:rPr>
          <w:rStyle w:val="FootnoteAnchor"/>
          <w:rtl w:val="true"/>
        </w:rPr>
        <w:footnoteReference w:id="2859"/>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bookmarkStart w:id="1323" w:name="pg11752_146667"/>
    </w:p>
    <w:p>
      <w:pPr>
        <w:pStyle w:val="BookText"/>
        <w:rPr/>
      </w:pPr>
      <w:bookmarkEnd w:id="1323"/>
      <w:r>
        <w:rPr>
          <w:rFonts w:ascii="IRNazanin" w:hAnsi="IRNazanin" w:eastAsia="IRNazanin"/>
          <w:color w:val="111111"/>
          <w:sz w:val="28"/>
          <w:sz w:val="28"/>
          <w:szCs w:val="28"/>
          <w:rtl w:val="true"/>
          <w:lang w:bidi="fa-IR"/>
        </w:rPr>
        <w:t xml:space="preserve">الفقیه المعاصر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الصغیر و الصغیرة یحتاجان إلی الولیّ و لا معنی لثبوت الولایة لهما علی غیره</w:t>
      </w:r>
      <w:r>
        <w:rPr>
          <w:rFonts w:eastAsia="IRNazanin" w:cs="IRNazanin"/>
          <w:color w:val="111111"/>
          <w:sz w:val="28"/>
          <w:szCs w:val="28"/>
          <w:rtl w:val="true"/>
          <w:lang w:bidi="fa-IR"/>
        </w:rPr>
        <w:t>»</w:t>
      </w:r>
      <w:r>
        <w:rPr>
          <w:rStyle w:val="FootnoteAnchor"/>
          <w:rtl w:val="true"/>
        </w:rPr>
        <w:footnoteReference w:id="28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4" w:name="__RefHeading___Toc9424780_73709187"/>
      <w:bookmarkStart w:id="1325" w:name="_Toc504"/>
      <w:bookmarkEnd w:id="1324"/>
      <w:r>
        <w:rPr>
          <w:rtl w:val="true"/>
        </w:rPr>
        <w:t>الثالث</w:t>
      </w:r>
      <w:r>
        <w:rPr>
          <w:rtl w:val="true"/>
        </w:rPr>
        <w:t xml:space="preserve">: </w:t>
      </w:r>
      <w:r>
        <w:rPr>
          <w:rtl w:val="true"/>
        </w:rPr>
        <w:t>العقل</w:t>
      </w:r>
      <w:bookmarkEnd w:id="1325"/>
    </w:p>
    <w:p>
      <w:pPr>
        <w:pStyle w:val="BookText"/>
        <w:rPr/>
      </w:pPr>
      <w:r>
        <w:rPr>
          <w:rFonts w:ascii="IRNazanin" w:hAnsi="IRNazanin" w:eastAsia="IRNazanin"/>
          <w:color w:val="111111"/>
          <w:sz w:val="28"/>
          <w:sz w:val="28"/>
          <w:szCs w:val="28"/>
          <w:rtl w:val="true"/>
          <w:lang w:bidi="fa-IR"/>
        </w:rPr>
        <w:t>، و یشترط أیضاً فی ولایة الأولیاء العقل، فلا ولایة للمجنون و لا المغمی علیه و لا السکران الموجب سکره؛ لذهاب عقله، کما صرّح به الفاضلان</w:t>
      </w:r>
      <w:r>
        <w:rPr>
          <w:rStyle w:val="FootnoteAnchor"/>
          <w:rtl w:val="true"/>
        </w:rPr>
        <w:footnoteReference w:id="2861"/>
      </w:r>
      <w:r>
        <w:rPr>
          <w:rFonts w:ascii="Amiri" w:hAnsi="Amiri" w:eastAsia="Amiri" w:cs="Amiri"/>
          <w:color w:val="111111"/>
          <w:sz w:val="28"/>
          <w:sz w:val="28"/>
          <w:szCs w:val="28"/>
          <w:rtl w:val="true"/>
          <w:lang w:bidi="ar-SA"/>
        </w:rPr>
        <w:t>، و المحقّق</w:t>
      </w:r>
      <w:r>
        <w:rPr>
          <w:rStyle w:val="FootnoteAnchor"/>
          <w:rtl w:val="true"/>
        </w:rPr>
        <w:footnoteReference w:id="2862"/>
      </w:r>
      <w:r>
        <w:rPr>
          <w:rFonts w:ascii="IRNazanin" w:hAnsi="IRNazanin" w:eastAsia="IRNazanin"/>
          <w:color w:val="111111"/>
          <w:sz w:val="28"/>
          <w:sz w:val="28"/>
          <w:szCs w:val="28"/>
          <w:rtl w:val="true"/>
          <w:lang w:bidi="fa-IR"/>
        </w:rPr>
        <w:t>و الشهیدان</w:t>
      </w:r>
      <w:r>
        <w:rPr>
          <w:rStyle w:val="FootnoteAnchor"/>
          <w:rtl w:val="true"/>
        </w:rPr>
        <w:footnoteReference w:id="2863"/>
      </w:r>
      <w:r>
        <w:rPr>
          <w:rFonts w:ascii="IRNazanin" w:hAnsi="IRNazanin" w:eastAsia="IRNazanin"/>
          <w:color w:val="111111"/>
          <w:sz w:val="28"/>
          <w:sz w:val="28"/>
          <w:szCs w:val="28"/>
          <w:rtl w:val="true"/>
          <w:lang w:bidi="fa-IR"/>
        </w:rPr>
        <w:t>و الفاضل الأصفهانی</w:t>
      </w:r>
      <w:r>
        <w:rPr>
          <w:rStyle w:val="FootnoteAnchor"/>
          <w:rtl w:val="true"/>
        </w:rPr>
        <w:footnoteReference w:id="2864"/>
      </w:r>
      <w:r>
        <w:rPr>
          <w:rFonts w:ascii="IRNazanin" w:hAnsi="IRNazanin" w:eastAsia="IRNazanin"/>
          <w:color w:val="111111"/>
          <w:sz w:val="28"/>
          <w:sz w:val="28"/>
          <w:szCs w:val="28"/>
          <w:rtl w:val="true"/>
          <w:lang w:bidi="fa-IR"/>
        </w:rPr>
        <w:t>و المحدّث البحرانی</w:t>
      </w:r>
      <w:r>
        <w:rPr>
          <w:rStyle w:val="FootnoteAnchor"/>
          <w:rtl w:val="true"/>
        </w:rPr>
        <w:footnoteReference w:id="2865"/>
      </w:r>
      <w:r>
        <w:rPr>
          <w:rFonts w:ascii="IRNazanin" w:hAnsi="IRNazanin" w:eastAsia="IRNazanin"/>
          <w:color w:val="111111"/>
          <w:sz w:val="28"/>
          <w:sz w:val="28"/>
          <w:szCs w:val="28"/>
          <w:rtl w:val="true"/>
          <w:lang w:bidi="fa-IR"/>
        </w:rPr>
        <w:t>و صاحب الجواهر</w:t>
      </w:r>
      <w:r>
        <w:rPr>
          <w:rStyle w:val="FootnoteAnchor"/>
          <w:rtl w:val="true"/>
        </w:rPr>
        <w:footnoteReference w:id="2866"/>
      </w:r>
      <w:r>
        <w:rPr>
          <w:rFonts w:ascii="IRNazanin" w:hAnsi="IRNazanin" w:eastAsia="IRNazanin"/>
          <w:color w:val="111111"/>
          <w:sz w:val="28"/>
          <w:sz w:val="28"/>
          <w:szCs w:val="28"/>
          <w:rtl w:val="true"/>
          <w:lang w:bidi="fa-IR"/>
        </w:rPr>
        <w:t>و الشیخ الأعظم</w:t>
      </w:r>
      <w:r>
        <w:rPr>
          <w:rStyle w:val="FootnoteAnchor"/>
          <w:rtl w:val="true"/>
        </w:rPr>
        <w:footnoteReference w:id="2867"/>
      </w:r>
      <w:r>
        <w:rPr>
          <w:rFonts w:ascii="IRNazanin" w:hAnsi="IRNazanin" w:eastAsia="IRNazanin"/>
          <w:color w:val="111111"/>
          <w:sz w:val="28"/>
          <w:sz w:val="28"/>
          <w:szCs w:val="28"/>
          <w:rtl w:val="true"/>
          <w:lang w:bidi="fa-IR"/>
        </w:rPr>
        <w:t>و السیّدان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الحکیم</w:t>
      </w:r>
      <w:r>
        <w:rPr>
          <w:rStyle w:val="FootnoteAnchor"/>
          <w:rtl w:val="true"/>
        </w:rPr>
        <w:footnoteReference w:id="2868"/>
      </w:r>
    </w:p>
    <w:p>
      <w:pPr>
        <w:pStyle w:val="BookText"/>
        <w:rPr/>
      </w:pPr>
      <w:r>
        <w:rPr>
          <w:rFonts w:ascii="IRNazanin" w:hAnsi="IRNazanin" w:eastAsia="IRNazanin"/>
          <w:color w:val="111111"/>
          <w:sz w:val="28"/>
          <w:sz w:val="28"/>
          <w:szCs w:val="28"/>
          <w:rtl w:val="true"/>
          <w:lang w:bidi="fa-IR"/>
        </w:rPr>
        <w:t>و الخوئی</w:t>
      </w:r>
      <w:r>
        <w:rPr>
          <w:rStyle w:val="FootnoteAnchor"/>
          <w:rtl w:val="true"/>
        </w:rPr>
        <w:footnoteReference w:id="2869"/>
      </w:r>
      <w:r>
        <w:rPr>
          <w:rFonts w:ascii="IRNazanin" w:hAnsi="IRNazanin" w:eastAsia="IRNazanin"/>
          <w:color w:val="111111"/>
          <w:sz w:val="28"/>
          <w:sz w:val="28"/>
          <w:szCs w:val="28"/>
          <w:rtl w:val="true"/>
          <w:lang w:bidi="fa-IR"/>
        </w:rPr>
        <w:t>و غیرهم</w:t>
      </w:r>
      <w:r>
        <w:rPr>
          <w:rStyle w:val="FootnoteAnchor"/>
          <w:rtl w:val="true"/>
        </w:rPr>
        <w:footnoteReference w:id="28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 فی ذلک هو أنّ هؤلاء لعجزهم عن القیام بوظائف الولایة، و عن اختیار الأزواج و النظر فی أحوالهم و إدراک التفاوت بینهم لا تثبت لهم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زال الجنون و الإغماء و السکر عادت الولایة، و أنّهم إذا کانوا محجورین عن التصرّف فی أنفسهم و أموالهم فهم أولی بالحجر عن التصرّف فی نفس الغیر و ماله</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یؤیّد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انصراف جملة من النصوص السابقة الواردة فی المقام</w:t>
      </w:r>
      <w:bookmarkStart w:id="1326" w:name="pg11752_146668"/>
    </w:p>
    <w:p>
      <w:pPr>
        <w:pStyle w:val="BookText"/>
        <w:rPr/>
      </w:pPr>
      <w:bookmarkEnd w:id="1326"/>
      <w:r>
        <w:rPr>
          <w:rFonts w:ascii="IRNazanin" w:hAnsi="IRNazanin" w:eastAsia="IRNazanin"/>
          <w:color w:val="111111"/>
          <w:sz w:val="28"/>
          <w:sz w:val="28"/>
          <w:szCs w:val="28"/>
          <w:rtl w:val="true"/>
          <w:lang w:bidi="fa-IR"/>
        </w:rPr>
        <w:t xml:space="preserve">إلی 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فی صحیحة الفضل بن عبد الملک المتقدّمة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الجدّ مرضیّاً</w:t>
      </w:r>
      <w:r>
        <w:rPr>
          <w:rFonts w:eastAsia="IRNazanin" w:cs="IRNazanin"/>
          <w:color w:val="111111"/>
          <w:sz w:val="28"/>
          <w:szCs w:val="28"/>
          <w:rtl w:val="true"/>
          <w:lang w:bidi="fa-IR"/>
        </w:rPr>
        <w:t>»</w:t>
      </w:r>
      <w:r>
        <w:rPr>
          <w:rStyle w:val="FootnoteAnchor"/>
          <w:rtl w:val="true"/>
        </w:rPr>
        <w:footnoteReference w:id="2871"/>
      </w:r>
      <w:r>
        <w:rPr>
          <w:rFonts w:ascii="IRNazanin" w:hAnsi="IRNazanin" w:eastAsia="IRNazanin"/>
          <w:color w:val="111111"/>
          <w:sz w:val="28"/>
          <w:sz w:val="28"/>
          <w:szCs w:val="28"/>
          <w:rtl w:val="true"/>
          <w:lang w:bidi="fa-IR"/>
        </w:rPr>
        <w:t>و المجنون و المغمی علیه و السکران لا یکونون مرضیّین، و کذا ما ورد فی بعض النصوص من لزوم المهر علی الأب إذا لم یکن للولد مال</w:t>
      </w:r>
      <w:r>
        <w:rPr>
          <w:rStyle w:val="FootnoteAnchor"/>
          <w:rtl w:val="true"/>
        </w:rPr>
        <w:footnoteReference w:id="2872"/>
      </w:r>
      <w:r>
        <w:rPr>
          <w:rFonts w:ascii="IRNazanin" w:hAnsi="IRNazanin" w:eastAsia="IRNazanin"/>
          <w:color w:val="111111"/>
          <w:sz w:val="28"/>
          <w:sz w:val="28"/>
          <w:szCs w:val="28"/>
          <w:rtl w:val="true"/>
          <w:lang w:bidi="fa-IR"/>
        </w:rPr>
        <w:t>، فإنّه مختصّ بالعاقل البالغ الکامل، فإنّ المجنون و المغمی علیه و السکران لا یلزمون بشیء، فلا معنی لکون المهر علیهم فی حیاتهم و خروجه من ترکتهم بعد وفاتهم</w:t>
      </w:r>
      <w:r>
        <w:rPr>
          <w:rStyle w:val="FootnoteAnchor"/>
          <w:rtl w:val="true"/>
        </w:rPr>
        <w:footnoteReference w:id="28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7" w:name="__RefHeading___Toc9424782_73709187"/>
      <w:bookmarkStart w:id="1328" w:name="_Toc505"/>
      <w:bookmarkEnd w:id="1327"/>
      <w:r>
        <w:rPr>
          <w:rtl w:val="true"/>
        </w:rPr>
        <w:t>الرابع</w:t>
      </w:r>
      <w:r>
        <w:rPr>
          <w:rtl w:val="true"/>
        </w:rPr>
        <w:t xml:space="preserve">: </w:t>
      </w:r>
      <w:r>
        <w:rPr>
          <w:rtl w:val="true"/>
        </w:rPr>
        <w:t>الرشد و الکمال</w:t>
      </w:r>
      <w:bookmarkEnd w:id="1328"/>
    </w:p>
    <w:p>
      <w:pPr>
        <w:pStyle w:val="Heading6"/>
        <w:numPr>
          <w:ilvl w:val="5"/>
          <w:numId w:val="1"/>
        </w:numPr>
        <w:rPr/>
      </w:pPr>
      <w:bookmarkStart w:id="1329" w:name="__RefHeading___Toc9424784_73709187"/>
      <w:bookmarkStart w:id="1330" w:name="_Toc506"/>
      <w:bookmarkEnd w:id="1329"/>
      <w:r>
        <w:rPr>
          <w:rtl w:val="true"/>
        </w:rPr>
        <w:t>اشارة</w:t>
      </w:r>
      <w:bookmarkEnd w:id="1330"/>
    </w:p>
    <w:p>
      <w:pPr>
        <w:pStyle w:val="BookText"/>
        <w:rPr/>
      </w:pPr>
      <w:r>
        <w:rPr>
          <w:rFonts w:ascii="IRNazanin" w:hAnsi="IRNazanin" w:eastAsia="IRNazanin"/>
          <w:color w:val="111111"/>
          <w:sz w:val="28"/>
          <w:sz w:val="28"/>
          <w:szCs w:val="28"/>
          <w:rtl w:val="true"/>
          <w:lang w:bidi="fa-IR"/>
        </w:rPr>
        <w:t>قال العلاّمة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سلب العقل مسقط للولایة سواء کان لصغر کالصبیّ أو مجنون، أو لسفهٍ أو لسُکرٍ أو لمرضٍ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المحجور علیه للسفه فالأقرب زوال ولایته لأنّ الحجر علیه لنقصانه فلا یُحسن أن یفوّض إلیه أمر غیره</w:t>
      </w:r>
      <w:r>
        <w:rPr>
          <w:rFonts w:eastAsia="IRNazanin" w:cs="IRNazanin"/>
          <w:color w:val="111111"/>
          <w:sz w:val="28"/>
          <w:szCs w:val="28"/>
          <w:rtl w:val="true"/>
          <w:lang w:bidi="fa-IR"/>
        </w:rPr>
        <w:t>»</w:t>
      </w:r>
      <w:r>
        <w:rPr>
          <w:rStyle w:val="FootnoteAnchor"/>
          <w:rtl w:val="true"/>
        </w:rPr>
        <w:footnoteReference w:id="28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عبّر فی القواعد، بأنّ النقص عن کمال الرشد مسقط للولایة</w:t>
      </w:r>
      <w:r>
        <w:rPr>
          <w:rStyle w:val="FootnoteAnchor"/>
          <w:rtl w:val="true"/>
        </w:rPr>
        <w:footnoteReference w:id="28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المحقّق الثانی فی شرحه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السفه مانع لأنّه سبب فی ثبوت الولایة علی السفیه فوجب أن لا تکون له ولایة علی غیره علی الأقرب</w:t>
      </w:r>
      <w:r>
        <w:rPr>
          <w:rFonts w:eastAsia="IRNazanin" w:cs="IRNazanin"/>
          <w:color w:val="111111"/>
          <w:sz w:val="28"/>
          <w:szCs w:val="28"/>
          <w:rtl w:val="true"/>
          <w:lang w:bidi="fa-IR"/>
        </w:rPr>
        <w:t>»</w:t>
      </w:r>
      <w:r>
        <w:rPr>
          <w:rStyle w:val="FootnoteAnchor"/>
          <w:rtl w:val="true"/>
        </w:rPr>
        <w:footnoteReference w:id="2876"/>
      </w:r>
      <w:r>
        <w:rPr>
          <w:rFonts w:ascii="IRNazanin" w:hAnsi="IRNazanin" w:eastAsia="IRNazanin"/>
          <w:color w:val="111111"/>
          <w:sz w:val="28"/>
          <w:sz w:val="28"/>
          <w:szCs w:val="28"/>
          <w:rtl w:val="true"/>
          <w:lang w:bidi="fa-IR"/>
        </w:rPr>
        <w:t>و کذا فی کشف اللثام</w:t>
      </w:r>
      <w:r>
        <w:rPr>
          <w:rStyle w:val="FootnoteAnchor"/>
          <w:rtl w:val="true"/>
        </w:rPr>
        <w:footnoteReference w:id="2877"/>
      </w:r>
      <w:r>
        <w:rPr>
          <w:rFonts w:eastAsia="Times New Roman" w:cs="Times New Roman" w:ascii="Times New Roman" w:hAnsi="Times New Roman"/>
          <w:color w:val="111111"/>
          <w:sz w:val="28"/>
          <w:szCs w:val="28"/>
          <w:rtl w:val="true"/>
          <w:lang w:val="en-US" w:bidi="en-US"/>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أنّ السفیه محجور علیه و عجز عن التصرّف فی ماله علی وجه المصلحة فوجب أن لا تکون له الولایة التی اشترط فی اعمالها رعایة الغبطة</w:t>
      </w:r>
      <w:bookmarkStart w:id="1331" w:name="pg11752_146669"/>
    </w:p>
    <w:p>
      <w:pPr>
        <w:pStyle w:val="BookText"/>
        <w:rPr/>
      </w:pPr>
      <w:bookmarkEnd w:id="1331"/>
      <w:r>
        <w:rPr>
          <w:rFonts w:ascii="Amiri" w:hAnsi="Amiri" w:eastAsia="Amiri" w:cs="Amiri"/>
          <w:color w:val="111111"/>
          <w:sz w:val="28"/>
          <w:sz w:val="28"/>
          <w:szCs w:val="28"/>
          <w:rtl w:val="true"/>
          <w:lang w:bidi="ar-SA"/>
        </w:rPr>
        <w:t>و المصلحة التی لا تحصل إلاّ بالبحث و النظر، و السفیه لیس أهلاً لذلک،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تُؤْتُوا السُّفَهاءَ أَمْوالَکُمُ الَّتِی جَعَلَ اللّهُ لَکُمْ قِیاماً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Heading6"/>
        <w:numPr>
          <w:ilvl w:val="5"/>
          <w:numId w:val="1"/>
        </w:numPr>
        <w:rPr/>
      </w:pPr>
      <w:bookmarkStart w:id="1332" w:name="__RefHeading___Toc9424786_73709187"/>
      <w:bookmarkStart w:id="1333" w:name="_Toc507"/>
      <w:bookmarkEnd w:id="1332"/>
      <w:r>
        <w:rPr>
          <w:rtl w:val="true"/>
        </w:rPr>
        <w:t>إیضاح</w:t>
      </w:r>
      <w:bookmarkEnd w:id="1333"/>
    </w:p>
    <w:p>
      <w:pPr>
        <w:pStyle w:val="BookText"/>
        <w:rPr/>
      </w:pPr>
      <w:r>
        <w:rPr>
          <w:rFonts w:ascii="IRNazanin" w:hAnsi="IRNazanin" w:eastAsia="IRNazanin"/>
          <w:color w:val="111111"/>
          <w:sz w:val="28"/>
          <w:sz w:val="28"/>
          <w:szCs w:val="28"/>
          <w:rtl w:val="true"/>
          <w:lang w:bidi="fa-IR"/>
        </w:rPr>
        <w:t>و اعلم أنّ الشرط الرابع لم یذکر فی کلمات أکثر الفقهاء و اکتفوا بذکر العقل فقط و لعلّه لشموله عدم السفاهة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مقابس الأنوار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یلحق بالمجنون کلّ مسلوب العقل بالفعل لسکرٍ أو إغماءٍ أو شرب مرقد أو کبر أو دهشة لتساوی الجمیع فی انتفاء العقلی، و القصد علی خلاف مقتضی الطبیعة</w:t>
      </w:r>
      <w:r>
        <w:rPr>
          <w:rFonts w:eastAsia="IRNazanin" w:cs="IRNazanin"/>
          <w:color w:val="111111"/>
          <w:sz w:val="28"/>
          <w:szCs w:val="28"/>
          <w:rtl w:val="true"/>
          <w:lang w:bidi="fa-IR"/>
        </w:rPr>
        <w:t>»</w:t>
      </w:r>
      <w:r>
        <w:rPr>
          <w:rStyle w:val="FootnoteAnchor"/>
          <w:rtl w:val="true"/>
        </w:rPr>
        <w:footnoteReference w:id="28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قریب من هذا فی التذکرة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سلب الولایة اختلال العقل و ضعف النظر إمّا بسبب هرم و کبر سنّ أو بخبل أو فی جبلته أو کان عارضاً للعجز عن اختیار المصلحة و الغبطة</w:t>
      </w:r>
      <w:r>
        <w:rPr>
          <w:rFonts w:eastAsia="IRNazanin" w:cs="IRNazanin"/>
          <w:color w:val="111111"/>
          <w:sz w:val="28"/>
          <w:szCs w:val="28"/>
          <w:rtl w:val="true"/>
          <w:lang w:bidi="fa-IR"/>
        </w:rPr>
        <w:t>...»</w:t>
      </w:r>
      <w:r>
        <w:rPr>
          <w:rStyle w:val="FootnoteAnchor"/>
          <w:rtl w:val="true"/>
        </w:rPr>
        <w:footnoteReference w:id="28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الحاصل أنّ العاقل الذی کان أهلاً للنظر و رعایة المصلحة و الغبطة لا یکون سفیهاً قطعاً علی هذا یندرج الشرط الرابع فی الثالث، و یجیء فی ذلک زیادة توضیح فی باب الحجر علی الأطفال إن شاء اللّه تعالی</w:t>
      </w:r>
      <w:r>
        <w:rPr>
          <w:rFonts w:eastAsia="IRNazanin" w:cs="IRNazanin"/>
          <w:color w:val="111111"/>
          <w:sz w:val="28"/>
          <w:szCs w:val="28"/>
          <w:rtl w:val="true"/>
          <w:lang w:bidi="fa-IR"/>
        </w:rPr>
        <w:t>.</w:t>
      </w:r>
    </w:p>
    <w:p>
      <w:pPr>
        <w:pStyle w:val="Heading6"/>
        <w:numPr>
          <w:ilvl w:val="5"/>
          <w:numId w:val="1"/>
        </w:numPr>
        <w:rPr/>
      </w:pPr>
      <w:bookmarkStart w:id="1334" w:name="__RefHeading___Toc9424788_73709187"/>
      <w:bookmarkStart w:id="1335" w:name="_Toc508"/>
      <w:bookmarkEnd w:id="1334"/>
      <w:r>
        <w:rPr>
          <w:rtl w:val="true"/>
        </w:rPr>
        <w:t>اعتبار العقل و البلوغ فی ولایة الأولیاء عند أهل السنّة</w:t>
      </w:r>
      <w:bookmarkEnd w:id="1335"/>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اعتبر لثبوت الولایة عند المذاهب الأربعة العقل و البلوغ، قال الفقیه الحنفی فی البدائع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تثبت الولایة للمجنون و الصبیّ؛ لأنّهما لیسا من أهل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لم تثبت لهما الولایة علی أنفسهما مع أنّهما أقرب إلیهما، فلأن تثبت</w:t>
      </w:r>
      <w:bookmarkStart w:id="1336" w:name="pg11752_146670"/>
    </w:p>
    <w:p>
      <w:pPr>
        <w:pStyle w:val="BookText"/>
        <w:rPr/>
      </w:pPr>
      <w:bookmarkEnd w:id="1336"/>
      <w:r>
        <w:rPr>
          <w:rFonts w:ascii="IRNazanin" w:hAnsi="IRNazanin" w:eastAsia="IRNazanin"/>
          <w:color w:val="111111"/>
          <w:sz w:val="28"/>
          <w:sz w:val="28"/>
          <w:szCs w:val="28"/>
          <w:rtl w:val="true"/>
          <w:lang w:bidi="fa-IR"/>
        </w:rPr>
        <w:t>علی غیرهما أولی</w:t>
      </w:r>
      <w:r>
        <w:rPr>
          <w:rFonts w:eastAsia="IRNazanin" w:cs="IRNazanin"/>
          <w:color w:val="111111"/>
          <w:sz w:val="28"/>
          <w:szCs w:val="28"/>
          <w:rtl w:val="true"/>
          <w:lang w:bidi="fa-IR"/>
        </w:rPr>
        <w:t>»</w:t>
      </w:r>
      <w:r>
        <w:rPr>
          <w:rStyle w:val="FootnoteAnchor"/>
          <w:rtl w:val="true"/>
        </w:rPr>
        <w:footnoteReference w:id="28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قدامة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البلوغ شرطٌ فی ظاهر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قول أکثر أهل العلم،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الثوری و الشافعی و إسحاق و ابن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العقل فلا خلاف فی اعتباره؛ لأنّ الولایة إنّما تثبت نظراً للمولّی علیه عند عجزه عن النظر لنفسه، و من لا عقل له لا یمکنه النظر و لا یلی نفسه، فغیره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 الشافعیة</w:t>
      </w:r>
      <w:r>
        <w:rPr>
          <w:rFonts w:eastAsia="IRNazanin" w:cs="IRNazanin"/>
          <w:color w:val="111111"/>
          <w:sz w:val="28"/>
          <w:szCs w:val="28"/>
          <w:rtl w:val="true"/>
          <w:lang w:bidi="fa-IR"/>
        </w:rPr>
        <w:t>»</w:t>
      </w:r>
      <w:r>
        <w:rPr>
          <w:rStyle w:val="FootnoteAnchor"/>
          <w:rtl w:val="true"/>
        </w:rPr>
        <w:footnoteReference w:id="2881"/>
      </w:r>
    </w:p>
    <w:p>
      <w:pPr>
        <w:pStyle w:val="BookText"/>
        <w:rPr/>
      </w:pPr>
      <w:r>
        <w:rPr>
          <w:rFonts w:ascii="Amiri" w:hAnsi="Amiri" w:eastAsia="Amiri" w:cs="Amiri"/>
          <w:color w:val="111111"/>
          <w:sz w:val="28"/>
          <w:sz w:val="28"/>
          <w:szCs w:val="28"/>
          <w:rtl w:val="true"/>
          <w:lang w:bidi="ar-SA"/>
        </w:rPr>
        <w:t>و المالکیّة</w:t>
      </w:r>
      <w:r>
        <w:rPr>
          <w:rStyle w:val="FootnoteAnchor"/>
          <w:rtl w:val="true"/>
        </w:rPr>
        <w:footnoteReference w:id="2882"/>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p>
    <w:p>
      <w:pPr>
        <w:pStyle w:val="Heading5"/>
        <w:numPr>
          <w:ilvl w:val="4"/>
          <w:numId w:val="1"/>
        </w:numPr>
        <w:rPr/>
      </w:pPr>
      <w:bookmarkStart w:id="1337" w:name="__RefHeading___Toc9424790_73709187"/>
      <w:bookmarkStart w:id="1338" w:name="_Toc509"/>
      <w:bookmarkEnd w:id="1337"/>
      <w:r>
        <w:rPr>
          <w:rtl w:val="true"/>
        </w:rPr>
        <w:t>الخامس</w:t>
      </w:r>
      <w:r>
        <w:rPr>
          <w:rtl w:val="true"/>
        </w:rPr>
        <w:t xml:space="preserve">: </w:t>
      </w:r>
      <w:r>
        <w:rPr>
          <w:rtl w:val="true"/>
        </w:rPr>
        <w:t>الحریّة</w:t>
      </w:r>
      <w:bookmarkEnd w:id="1338"/>
    </w:p>
    <w:p>
      <w:pPr>
        <w:pStyle w:val="Heading6"/>
        <w:numPr>
          <w:ilvl w:val="5"/>
          <w:numId w:val="1"/>
        </w:numPr>
        <w:rPr/>
      </w:pPr>
      <w:bookmarkStart w:id="1339" w:name="__RefHeading___Toc9424792_73709187"/>
      <w:bookmarkStart w:id="1340" w:name="_Toc510"/>
      <w:bookmarkEnd w:id="1339"/>
      <w:r>
        <w:rPr>
          <w:rtl w:val="true"/>
        </w:rPr>
        <w:t>اشارة</w:t>
      </w:r>
      <w:bookmarkEnd w:id="1340"/>
    </w:p>
    <w:p>
      <w:pPr>
        <w:pStyle w:val="BookText"/>
        <w:rPr/>
      </w:pPr>
      <w:r>
        <w:rPr>
          <w:rFonts w:ascii="IRNazanin" w:hAnsi="IRNazanin" w:eastAsia="IRNazanin"/>
          <w:color w:val="111111"/>
          <w:sz w:val="28"/>
          <w:sz w:val="28"/>
          <w:szCs w:val="28"/>
          <w:rtl w:val="true"/>
          <w:lang w:bidi="fa-IR"/>
        </w:rPr>
        <w:t>، و یشترط أن یکون الولیّ حرّاً، فلا ولایة للمملوک علی ولده، حرّاً کان الولد أو مملوکاً بلا خلاف فی ذلک، صرّح بذلک المحقّق الثانی</w:t>
      </w:r>
      <w:r>
        <w:rPr>
          <w:rStyle w:val="FootnoteAnchor"/>
          <w:rtl w:val="true"/>
        </w:rPr>
        <w:footnoteReference w:id="2883"/>
      </w:r>
    </w:p>
    <w:p>
      <w:pPr>
        <w:pStyle w:val="BookText"/>
        <w:rPr/>
      </w:pPr>
      <w:r>
        <w:rPr>
          <w:rFonts w:ascii="IRNazanin" w:hAnsi="IRNazanin" w:eastAsia="IRNazanin"/>
          <w:color w:val="111111"/>
          <w:sz w:val="28"/>
          <w:sz w:val="28"/>
          <w:szCs w:val="28"/>
          <w:rtl w:val="true"/>
          <w:lang w:bidi="fa-IR"/>
        </w:rPr>
        <w:t>و الفاضل الهندی</w:t>
      </w:r>
      <w:r>
        <w:rPr>
          <w:rStyle w:val="FootnoteAnchor"/>
          <w:rtl w:val="true"/>
        </w:rPr>
        <w:footnoteReference w:id="2884"/>
      </w:r>
      <w:r>
        <w:rPr>
          <w:rFonts w:ascii="Amiri" w:hAnsi="Amiri" w:eastAsia="Amiri" w:cs="Amiri"/>
          <w:color w:val="111111"/>
          <w:sz w:val="28"/>
          <w:sz w:val="28"/>
          <w:szCs w:val="28"/>
          <w:rtl w:val="true"/>
          <w:lang w:bidi="ar-SA"/>
        </w:rPr>
        <w:t>و المحدِّث البحرانی</w:t>
      </w:r>
      <w:r>
        <w:rPr>
          <w:rStyle w:val="FootnoteAnchor"/>
          <w:rtl w:val="true"/>
        </w:rPr>
        <w:footnoteReference w:id="2885"/>
      </w:r>
      <w:r>
        <w:rPr>
          <w:rFonts w:ascii="IRNazanin" w:hAnsi="IRNazanin" w:eastAsia="IRNazanin"/>
          <w:color w:val="111111"/>
          <w:sz w:val="28"/>
          <w:sz w:val="28"/>
          <w:szCs w:val="28"/>
          <w:rtl w:val="true"/>
          <w:lang w:bidi="fa-IR"/>
        </w:rPr>
        <w:t>و السیّد فی العروة</w:t>
      </w:r>
      <w:r>
        <w:rPr>
          <w:rStyle w:val="FootnoteAnchor"/>
          <w:rtl w:val="true"/>
        </w:rPr>
        <w:footnoteReference w:id="2886"/>
      </w:r>
      <w:r>
        <w:rPr>
          <w:rFonts w:ascii="IRNazanin" w:hAnsi="IRNazanin" w:eastAsia="IRNazanin"/>
          <w:color w:val="111111"/>
          <w:sz w:val="28"/>
          <w:sz w:val="28"/>
          <w:szCs w:val="28"/>
          <w:rtl w:val="true"/>
          <w:lang w:bidi="fa-IR"/>
        </w:rPr>
        <w:t>و کذا فی التعلیقات علیها، و تحریر الوسیلة</w:t>
      </w:r>
      <w:r>
        <w:rPr>
          <w:rStyle w:val="FootnoteAnchor"/>
          <w:rtl w:val="true"/>
        </w:rPr>
        <w:footnoteReference w:id="2887"/>
      </w:r>
      <w:r>
        <w:rPr>
          <w:rFonts w:ascii="IRNazanin" w:hAnsi="IRNazanin" w:eastAsia="IRNazanin"/>
          <w:color w:val="111111"/>
          <w:sz w:val="28"/>
          <w:sz w:val="28"/>
          <w:szCs w:val="28"/>
          <w:rtl w:val="true"/>
          <w:lang w:bidi="fa-IR"/>
        </w:rPr>
        <w:t>و المستمسک</w:t>
      </w:r>
      <w:r>
        <w:rPr>
          <w:rStyle w:val="FootnoteAnchor"/>
          <w:rtl w:val="true"/>
        </w:rPr>
        <w:footnoteReference w:id="2888"/>
      </w:r>
      <w:r>
        <w:rPr>
          <w:rFonts w:ascii="Amiri" w:hAnsi="Amiri" w:eastAsia="Amiri" w:cs="Amiri"/>
          <w:color w:val="111111"/>
          <w:sz w:val="28"/>
          <w:sz w:val="28"/>
          <w:szCs w:val="28"/>
          <w:rtl w:val="true"/>
          <w:lang w:bidi="ar-SA"/>
        </w:rPr>
        <w:t>و مستند العروة</w:t>
      </w:r>
      <w:r>
        <w:rPr>
          <w:rStyle w:val="FootnoteAnchor"/>
          <w:rtl w:val="true"/>
        </w:rPr>
        <w:footnoteReference w:id="2889"/>
      </w:r>
      <w:r>
        <w:rPr>
          <w:rFonts w:ascii="IRNazanin" w:hAnsi="IRNazanin" w:eastAsia="IRNazanin"/>
          <w:color w:val="111111"/>
          <w:sz w:val="28"/>
          <w:sz w:val="28"/>
          <w:szCs w:val="28"/>
          <w:rtl w:val="true"/>
          <w:lang w:bidi="fa-IR"/>
        </w:rPr>
        <w:t>و غیرهم</w:t>
      </w:r>
      <w:r>
        <w:rPr>
          <w:rStyle w:val="FootnoteAnchor"/>
          <w:rtl w:val="true"/>
        </w:rPr>
        <w:footnoteReference w:id="2890"/>
      </w:r>
      <w:r>
        <w:rPr>
          <w:rFonts w:eastAsia="Times New Roman" w:cs="Times New Roman" w:ascii="Times New Roman" w:hAnsi="Times New Roman"/>
          <w:color w:val="111111"/>
          <w:sz w:val="28"/>
          <w:szCs w:val="28"/>
          <w:rtl w:val="true"/>
          <w:lang w:val="en-US" w:bidi="en-US"/>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الولیّ رقّاً و لو مکاتبةً قد تحرّر أکثر، فلا ولایة له علی ولده الحرّ و المملوک الذکر و الاُنثی بلا خلافٍ و لا إشکال</w:t>
      </w:r>
      <w:r>
        <w:rPr>
          <w:rFonts w:eastAsia="IRNazanin" w:cs="IRNazanin"/>
          <w:color w:val="111111"/>
          <w:sz w:val="28"/>
          <w:szCs w:val="28"/>
          <w:rtl w:val="true"/>
          <w:lang w:bidi="fa-IR"/>
        </w:rPr>
        <w:t>»</w:t>
      </w:r>
      <w:r>
        <w:rPr>
          <w:rStyle w:val="FootnoteAnchor"/>
          <w:rtl w:val="true"/>
        </w:rPr>
        <w:footnoteReference w:id="2891"/>
      </w:r>
      <w:bookmarkStart w:id="1341" w:name="pg11752_146671"/>
    </w:p>
    <w:p>
      <w:pPr>
        <w:pStyle w:val="Heading6"/>
        <w:numPr>
          <w:ilvl w:val="5"/>
          <w:numId w:val="1"/>
        </w:numPr>
        <w:rPr/>
      </w:pPr>
      <w:bookmarkStart w:id="1342" w:name="__RefHeading___Toc9424794_73709187"/>
      <w:bookmarkStart w:id="1343" w:name="_Toc511"/>
      <w:bookmarkEnd w:id="1341"/>
      <w:bookmarkEnd w:id="1342"/>
      <w:r>
        <w:rPr>
          <w:rtl w:val="true"/>
        </w:rPr>
        <w:t>أدلّة هذا الشرط‌</w:t>
      </w:r>
      <w:bookmarkEnd w:id="1343"/>
    </w:p>
    <w:p>
      <w:pPr>
        <w:pStyle w:val="BookText"/>
        <w:rPr/>
      </w:pPr>
      <w:r>
        <w:rPr>
          <w:rFonts w:ascii="IRNazanin" w:hAnsi="IRNazanin" w:eastAsia="IRNazanin"/>
          <w:color w:val="111111"/>
          <w:sz w:val="28"/>
          <w:sz w:val="28"/>
          <w:szCs w:val="28"/>
          <w:rtl w:val="true"/>
          <w:lang w:bidi="fa-IR"/>
        </w:rPr>
        <w:t>و یمکن أن یستدلّ علی اشتراط الحرّیة فی ولایة أولیاء العقد بأمورٍ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w:t>
      </w:r>
      <w:r>
        <w:rPr>
          <w:rStyle w:val="FootnoteAnchor"/>
          <w:rtl w:val="true"/>
        </w:rPr>
        <w:footnoteReference w:id="2892"/>
      </w:r>
      <w:r>
        <w:rPr>
          <w:rFonts w:ascii="IRNazanin" w:hAnsi="IRNazanin" w:eastAsia="IRNazanin"/>
          <w:color w:val="111111"/>
          <w:sz w:val="28"/>
          <w:sz w:val="28"/>
          <w:szCs w:val="28"/>
          <w:rtl w:val="true"/>
          <w:lang w:bidi="fa-IR"/>
        </w:rPr>
        <w:t>، أی عدم جعل الولایة للعبید و الإماء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لکونه عبداً، قال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 مَمْلُوکاً لا یَقْدِرُ عَلی شَیْ‌ءٍ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العبد لا یستطیع تزویج نفسه فمن غیره أولی، و بعبارةٍ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اختیار له فی تزویج نفسه إلاّ بإذن سیّده، فبالنسبة إلی غیره لا یستطیع بطریق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الولایة تستدعی البحث و النظر، و العبد مشغول بخدمة سیّده لا یتفرّغ لهما، کما فی جامع المقاصد</w:t>
      </w:r>
      <w:r>
        <w:rPr>
          <w:rStyle w:val="FootnoteAnchor"/>
          <w:rtl w:val="true"/>
        </w:rPr>
        <w:footnoteReference w:id="28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أنّه لا منافاة بین اشتغاله بخدمة السیّد، و إمکان البحث و النظر فی أوقات فراغه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ظهر ممّا قلنا ما فی کلام العلاّمة رحمه الله، حیث قال فی المختلف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العبد فالأقوی صحّة ولایته؛ لأنّه بالغ رشید أب، فأشبه الحرّ، و کونه مُولّی علیه لا ینافی ولایته</w:t>
      </w:r>
      <w:r>
        <w:rPr>
          <w:rFonts w:eastAsia="IRNazanin" w:cs="IRNazanin"/>
          <w:color w:val="111111"/>
          <w:sz w:val="28"/>
          <w:szCs w:val="28"/>
          <w:rtl w:val="true"/>
          <w:lang w:bidi="fa-IR"/>
        </w:rPr>
        <w:t>»</w:t>
      </w:r>
      <w:r>
        <w:rPr>
          <w:rStyle w:val="FootnoteAnchor"/>
          <w:rtl w:val="true"/>
        </w:rPr>
        <w:footnoteReference w:id="28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کلّه إذا لم یأذن له سیِّده، و أمّا إذا أذِن له فی العقد علی بنته المملوکة له کان ذلک توکیلاً من السیّد لا إثبات الولایة له؛ لأنّ المقتضی لسلب ولایته هو الرقّ و لا یزول بالإذن، و لکن یجوز للعبد أن یکون وکیلاً فی النکاح کغیره من العقود؛ لأنّ عبارته صحیحةٌ قطعاً</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اعتبار هذا الشرط مسلّم عند المذاهب الأربعة من أهل السنّة أیضاً،</w:t>
      </w:r>
      <w:bookmarkStart w:id="1344" w:name="pg11752_146672"/>
    </w:p>
    <w:p>
      <w:pPr>
        <w:pStyle w:val="BookText"/>
        <w:rPr/>
      </w:pPr>
      <w:bookmarkEnd w:id="1344"/>
      <w:r>
        <w:rPr>
          <w:rFonts w:ascii="IRNazanin" w:hAnsi="IRNazanin" w:eastAsia="IRNazanin"/>
          <w:color w:val="111111"/>
          <w:sz w:val="28"/>
          <w:sz w:val="28"/>
          <w:szCs w:val="28"/>
          <w:rtl w:val="true"/>
          <w:lang w:bidi="fa-IR"/>
        </w:rPr>
        <w:t>فلا ولایة للعبد عندهم؛ لأنّ العبد لا ولایة له لنفسه فعلی غیره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الکاسانی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ولایة للمملوک علی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 المملوک لیس من أهل الولایة</w:t>
      </w:r>
      <w:r>
        <w:rPr>
          <w:rFonts w:eastAsia="IRNazanin" w:cs="IRNazanin"/>
          <w:color w:val="111111"/>
          <w:sz w:val="28"/>
          <w:szCs w:val="28"/>
          <w:rtl w:val="true"/>
          <w:lang w:bidi="fa-IR"/>
        </w:rPr>
        <w:t>»</w:t>
      </w:r>
      <w:r>
        <w:rPr>
          <w:rStyle w:val="FootnoteAnchor"/>
          <w:rtl w:val="true"/>
        </w:rPr>
        <w:footnoteReference w:id="28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 الشافعیة</w:t>
      </w:r>
      <w:r>
        <w:rPr>
          <w:rStyle w:val="FootnoteAnchor"/>
          <w:rtl w:val="true"/>
        </w:rPr>
        <w:footnoteReference w:id="2896"/>
      </w:r>
      <w:r>
        <w:rPr>
          <w:rFonts w:ascii="IRNazanin" w:hAnsi="IRNazanin" w:eastAsia="IRNazanin"/>
          <w:color w:val="111111"/>
          <w:sz w:val="28"/>
          <w:sz w:val="28"/>
          <w:szCs w:val="28"/>
          <w:rtl w:val="true"/>
          <w:lang w:bidi="fa-IR"/>
        </w:rPr>
        <w:t>، و المالکیة</w:t>
      </w:r>
      <w:r>
        <w:rPr>
          <w:rStyle w:val="FootnoteAnchor"/>
          <w:rtl w:val="true"/>
        </w:rPr>
        <w:footnoteReference w:id="2897"/>
      </w:r>
      <w:r>
        <w:rPr>
          <w:rFonts w:ascii="Amiri" w:hAnsi="Amiri" w:eastAsia="Amiri" w:cs="Amiri"/>
          <w:color w:val="111111"/>
          <w:sz w:val="28"/>
          <w:sz w:val="28"/>
          <w:szCs w:val="28"/>
          <w:rtl w:val="true"/>
          <w:lang w:bidi="ar-SA"/>
        </w:rPr>
        <w:t>و الحنابلة</w:t>
      </w:r>
      <w:r>
        <w:rPr>
          <w:rStyle w:val="FootnoteAnchor"/>
          <w:rtl w:val="true"/>
        </w:rPr>
        <w:footnoteReference w:id="28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45" w:name="__RefHeading___Toc9424796_73709187"/>
      <w:bookmarkStart w:id="1346" w:name="_Toc512"/>
      <w:bookmarkEnd w:id="1345"/>
      <w:r>
        <w:rPr>
          <w:rtl w:val="true"/>
        </w:rPr>
        <w:t>هنا فرع ارتبط بالمقام</w:t>
      </w:r>
      <w:bookmarkEnd w:id="1346"/>
    </w:p>
    <w:p>
      <w:pPr>
        <w:pStyle w:val="Heading5"/>
        <w:numPr>
          <w:ilvl w:val="4"/>
          <w:numId w:val="1"/>
        </w:numPr>
        <w:rPr/>
      </w:pPr>
      <w:bookmarkStart w:id="1347" w:name="__RefHeading___Toc9424798_73709187"/>
      <w:bookmarkStart w:id="1348" w:name="_Toc513"/>
      <w:bookmarkEnd w:id="1347"/>
      <w:r>
        <w:rPr>
          <w:rtl w:val="true"/>
        </w:rPr>
        <w:t>اشارة</w:t>
      </w:r>
      <w:bookmarkEnd w:id="1348"/>
    </w:p>
    <w:p>
      <w:pPr>
        <w:pStyle w:val="BookText"/>
        <w:rPr/>
      </w:pPr>
      <w:r>
        <w:rPr>
          <w:rFonts w:ascii="IRNazanin" w:hAnsi="IRNazanin" w:eastAsia="IRNazanin"/>
          <w:color w:val="111111"/>
          <w:sz w:val="28"/>
          <w:sz w:val="28"/>
          <w:szCs w:val="28"/>
          <w:rtl w:val="true"/>
          <w:lang w:bidi="fa-IR"/>
        </w:rPr>
        <w:t>ذکرنا إلی الآن الاُمور التی کانت شرطاً فی ثبوت ولایة أولیاء العقد أوّلاً و بالذات و فی جمیع الحالات، و یمکن أن یفرض للأولیاء حالات خاصّة لا یصحّ لهم العقد فیها، منها فی حال السکر</w:t>
      </w:r>
      <w:r>
        <w:rPr>
          <w:rStyle w:val="FootnoteAnchor"/>
          <w:rtl w:val="true"/>
        </w:rPr>
        <w:footnoteReference w:id="28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حال کونه محرماً، فالمسلّم عند الفقهاء عدم جواز العقد فی حال کون الولیّ محرماً، أو کان المولّی علیه محرماً، سواء کان بالمباشرة أو بالتوکیل</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الصدوق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للمحرم أن یتزوّج و لا یزوّج مُحلاًّ، فإن زوّج أو تزوّج فتزویجه باطل</w:t>
      </w:r>
      <w:r>
        <w:rPr>
          <w:rFonts w:eastAsia="IRNazanin" w:cs="IRNazanin"/>
          <w:color w:val="111111"/>
          <w:sz w:val="28"/>
          <w:szCs w:val="28"/>
          <w:rtl w:val="true"/>
          <w:lang w:bidi="fa-IR"/>
        </w:rPr>
        <w:t>»</w:t>
      </w:r>
      <w:r>
        <w:rPr>
          <w:rStyle w:val="FootnoteAnchor"/>
          <w:rtl w:val="true"/>
        </w:rPr>
        <w:footnoteReference w:id="29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السرائر</w:t>
      </w:r>
      <w:r>
        <w:rPr>
          <w:rStyle w:val="FootnoteAnchor"/>
          <w:rtl w:val="true"/>
        </w:rPr>
        <w:footnoteReference w:id="29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أضاف فی الکافی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عقد النکاح فاسد و عاقده آثم</w:t>
      </w:r>
      <w:r>
        <w:rPr>
          <w:rFonts w:eastAsia="IRNazanin" w:cs="IRNazanin"/>
          <w:color w:val="111111"/>
          <w:sz w:val="28"/>
          <w:szCs w:val="28"/>
          <w:rtl w:val="true"/>
          <w:lang w:bidi="fa-IR"/>
        </w:rPr>
        <w:t>»</w:t>
      </w:r>
      <w:r>
        <w:rPr>
          <w:rStyle w:val="FootnoteAnchor"/>
          <w:rtl w:val="true"/>
        </w:rPr>
        <w:footnoteReference w:id="29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صرّح به فی الغنیة</w:t>
      </w:r>
      <w:r>
        <w:rPr>
          <w:rStyle w:val="FootnoteAnchor"/>
          <w:rtl w:val="true"/>
        </w:rPr>
        <w:footnoteReference w:id="2903"/>
      </w:r>
      <w:r>
        <w:rPr>
          <w:rFonts w:ascii="IRNazanin" w:hAnsi="IRNazanin" w:eastAsia="IRNazanin"/>
          <w:color w:val="111111"/>
          <w:sz w:val="28"/>
          <w:sz w:val="28"/>
          <w:szCs w:val="28"/>
          <w:rtl w:val="true"/>
          <w:lang w:bidi="fa-IR"/>
        </w:rPr>
        <w:t>و یستفاد هذا أیضاً من إطلاق کلام المفید رحمه الله</w:t>
      </w:r>
      <w:r>
        <w:rPr>
          <w:rStyle w:val="FootnoteAnchor"/>
          <w:rtl w:val="true"/>
        </w:rPr>
        <w:footnoteReference w:id="2904"/>
      </w:r>
      <w:bookmarkStart w:id="1349" w:name="pg11752_146673"/>
    </w:p>
    <w:p>
      <w:pPr>
        <w:pStyle w:val="BookText"/>
        <w:rPr/>
      </w:pPr>
      <w:bookmarkEnd w:id="1349"/>
      <w:r>
        <w:rPr>
          <w:rFonts w:ascii="IRNazanin" w:hAnsi="IRNazanin" w:eastAsia="IRNazanin"/>
          <w:color w:val="111111"/>
          <w:sz w:val="28"/>
          <w:sz w:val="28"/>
          <w:szCs w:val="28"/>
          <w:rtl w:val="true"/>
          <w:lang w:bidi="fa-IR"/>
        </w:rPr>
        <w:t>و قال الشیخ فی الخلاف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الولیّ أو وکیله، أو الزوج أو وکیله فی القبول أو المرأة محرمین، أو واحدٌ منهم محرماً فالنکاح باطل</w:t>
      </w:r>
      <w:r>
        <w:rPr>
          <w:rFonts w:eastAsia="IRNazanin" w:cs="IRNazanin"/>
          <w:color w:val="111111"/>
          <w:sz w:val="28"/>
          <w:szCs w:val="28"/>
          <w:rtl w:val="true"/>
          <w:lang w:bidi="fa-IR"/>
        </w:rPr>
        <w:t>»</w:t>
      </w:r>
      <w:r>
        <w:rPr>
          <w:rStyle w:val="FootnoteAnchor"/>
          <w:rtl w:val="true"/>
        </w:rPr>
        <w:footnoteReference w:id="29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 ذلک جاء فی الشرائع و بعض کتب العلاّمة</w:t>
      </w:r>
      <w:r>
        <w:rPr>
          <w:rStyle w:val="FootnoteAnchor"/>
          <w:rtl w:val="true"/>
        </w:rPr>
        <w:footnoteReference w:id="29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اختاره أیضاً المتأخّرون</w:t>
      </w:r>
      <w:r>
        <w:rPr>
          <w:rStyle w:val="FootnoteAnchor"/>
          <w:rtl w:val="true"/>
        </w:rPr>
        <w:footnoteReference w:id="2907"/>
      </w:r>
      <w:r>
        <w:rPr>
          <w:rFonts w:ascii="IRNazanin" w:hAnsi="IRNazanin" w:eastAsia="IRNazanin"/>
          <w:color w:val="111111"/>
          <w:sz w:val="28"/>
          <w:sz w:val="28"/>
          <w:szCs w:val="28"/>
          <w:rtl w:val="true"/>
          <w:lang w:bidi="fa-IR"/>
        </w:rPr>
        <w:t>و فقهاء العصر</w:t>
      </w:r>
      <w:r>
        <w:rPr>
          <w:rStyle w:val="FootnoteAnchor"/>
          <w:rtl w:val="true"/>
        </w:rPr>
        <w:footnoteReference w:id="29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50" w:name="__RefHeading___Toc9424800_73709187"/>
      <w:bookmarkStart w:id="1351" w:name="_Toc514"/>
      <w:bookmarkEnd w:id="1350"/>
      <w:r>
        <w:rPr>
          <w:rtl w:val="true"/>
        </w:rPr>
        <w:t>أدلّة هذه المسألة</w:t>
      </w:r>
      <w:bookmarkEnd w:id="1351"/>
    </w:p>
    <w:p>
      <w:pPr>
        <w:pStyle w:val="BookText"/>
        <w:rPr/>
      </w:pPr>
      <w:r>
        <w:rPr>
          <w:rFonts w:ascii="IRNazanin" w:hAnsi="IRNazanin" w:eastAsia="IRNazanin"/>
          <w:color w:val="111111"/>
          <w:sz w:val="28"/>
          <w:sz w:val="28"/>
          <w:szCs w:val="28"/>
          <w:rtl w:val="true"/>
          <w:lang w:bidi="fa-IR"/>
        </w:rPr>
        <w:t>و یمکن الاستدلال لهذا الحکم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الشیخ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قول علیّ علیه السلام، قال فی الخلاف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قال فی الصحابة علیّ علیه السلام و عمر و ابن عمر و زید بن ثابت، و لا مخالف لهم فی الصحابة</w:t>
      </w:r>
      <w:r>
        <w:rPr>
          <w:rFonts w:eastAsia="IRNazanin" w:cs="IRNazanin"/>
          <w:color w:val="111111"/>
          <w:sz w:val="28"/>
          <w:szCs w:val="28"/>
          <w:rtl w:val="true"/>
          <w:lang w:bidi="fa-IR"/>
        </w:rPr>
        <w:t>»</w:t>
      </w:r>
      <w:r>
        <w:rPr>
          <w:rStyle w:val="FootnoteAnchor"/>
          <w:rtl w:val="true"/>
        </w:rPr>
        <w:footnoteReference w:id="29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الذی ادّعاه فی الخلاف</w:t>
      </w:r>
      <w:r>
        <w:rPr>
          <w:rStyle w:val="FootnoteAnchor"/>
          <w:rtl w:val="true"/>
        </w:rPr>
        <w:footnoteReference w:id="2910"/>
      </w:r>
      <w:r>
        <w:rPr>
          <w:rFonts w:ascii="IRNazanin" w:hAnsi="IRNazanin" w:eastAsia="IRNazanin"/>
          <w:color w:val="111111"/>
          <w:sz w:val="28"/>
          <w:sz w:val="28"/>
          <w:szCs w:val="28"/>
          <w:rtl w:val="true"/>
          <w:lang w:bidi="fa-IR"/>
        </w:rPr>
        <w:t>و الغنیة</w:t>
      </w:r>
      <w:r>
        <w:rPr>
          <w:rStyle w:val="FootnoteAnchor"/>
          <w:rtl w:val="true"/>
        </w:rPr>
        <w:footnoteReference w:id="2911"/>
      </w:r>
      <w:r>
        <w:rPr>
          <w:rFonts w:ascii="IRNazanin" w:hAnsi="IRNazanin" w:eastAsia="IRNazanin"/>
          <w:color w:val="111111"/>
          <w:sz w:val="28"/>
          <w:sz w:val="28"/>
          <w:szCs w:val="28"/>
          <w:rtl w:val="true"/>
          <w:lang w:bidi="fa-IR"/>
        </w:rPr>
        <w:t>و المنتهی</w:t>
      </w:r>
      <w:r>
        <w:rPr>
          <w:rStyle w:val="FootnoteAnchor"/>
          <w:rtl w:val="true"/>
        </w:rPr>
        <w:footnoteReference w:id="2912"/>
      </w:r>
      <w:r>
        <w:rPr>
          <w:rFonts w:ascii="IRNazanin" w:hAnsi="IRNazanin" w:eastAsia="IRNazanin"/>
          <w:color w:val="111111"/>
          <w:sz w:val="28"/>
          <w:sz w:val="28"/>
          <w:szCs w:val="28"/>
          <w:rtl w:val="true"/>
          <w:lang w:bidi="fa-IR"/>
        </w:rPr>
        <w:t>، و کشف اللثام</w:t>
      </w:r>
      <w:r>
        <w:rPr>
          <w:rStyle w:val="FootnoteAnchor"/>
          <w:rtl w:val="true"/>
        </w:rPr>
        <w:footnoteReference w:id="2913"/>
      </w:r>
      <w:r>
        <w:rPr>
          <w:rFonts w:eastAsia="Times New Roman" w:cs="Times New Roman" w:ascii="Times New Roman" w:hAnsi="Times New Roman"/>
          <w:color w:val="111111"/>
          <w:sz w:val="28"/>
          <w:szCs w:val="28"/>
          <w:rtl w:val="true"/>
          <w:lang w:val="en-US" w:bidi="en-US"/>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تحرم علیه النساء لمساً بشهوة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عقداً لنفسه أو لغیره بلا خلاف أجده فیه، بل الإجماع بقسمیه علیه، بل المحکیّ منهما مستفیض إن لم</w:t>
      </w:r>
    </w:p>
    <w:p>
      <w:pPr>
        <w:pStyle w:val="BookText"/>
        <w:rPr/>
      </w:pPr>
      <w:r>
        <w:rPr>
          <w:rFonts w:ascii="IRNazanin" w:hAnsi="IRNazanin" w:eastAsia="IRNazanin"/>
          <w:color w:val="111111"/>
          <w:sz w:val="28"/>
          <w:sz w:val="28"/>
          <w:szCs w:val="28"/>
          <w:rtl w:val="true"/>
          <w:lang w:bidi="fa-IR"/>
        </w:rPr>
        <w:t>یکن متواتراً کالنصوص</w:t>
      </w:r>
      <w:r>
        <w:rPr>
          <w:rStyle w:val="FootnoteAnchor"/>
          <w:rtl w:val="true"/>
        </w:rPr>
        <w:footnoteReference w:id="29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المستمسک</w:t>
      </w:r>
      <w:r>
        <w:rPr>
          <w:rStyle w:val="FootnoteAnchor"/>
          <w:rtl w:val="true"/>
        </w:rPr>
        <w:footnoteReference w:id="29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طریقة الاحتیاط تقتضیه؛ لأنّه إذا عقد فی حال الاحلال کان العقد صحیحاً بلا خلافٍ، و إذا عقد فی حال الإحرام ففیه خلاف، هذا ما ذکره إلیه الشیخ</w:t>
      </w:r>
      <w:r>
        <w:rPr>
          <w:rStyle w:val="FootnoteAnchor"/>
          <w:rtl w:val="true"/>
        </w:rPr>
        <w:footnoteReference w:id="2916"/>
      </w:r>
      <w:r>
        <w:rPr>
          <w:rFonts w:ascii="Amiri" w:hAnsi="Amiri" w:eastAsia="Amiri" w:cs="Amiri"/>
          <w:color w:val="111111"/>
          <w:sz w:val="28"/>
          <w:sz w:val="28"/>
          <w:szCs w:val="28"/>
          <w:rtl w:val="true"/>
          <w:lang w:bidi="ar-SA"/>
        </w:rPr>
        <w:t>و ابن زهرة</w:t>
      </w:r>
      <w:r>
        <w:rPr>
          <w:rStyle w:val="FootnoteAnchor"/>
          <w:rtl w:val="true"/>
        </w:rPr>
        <w:footnoteReference w:id="2917"/>
      </w:r>
      <w:r>
        <w:rPr>
          <w:rFonts w:ascii="Amiri" w:hAnsi="Amiri" w:eastAsia="Amiri" w:cs="Amiri"/>
          <w:color w:val="111111"/>
          <w:sz w:val="28"/>
          <w:sz w:val="28"/>
          <w:szCs w:val="28"/>
          <w:rtl w:val="true"/>
          <w:lang w:bidi="ar-SA"/>
        </w:rPr>
        <w:t>و هو حسنٌ؛ لأنّ الاحتیاط فی الاُمور المهمّة لازم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استباحة الفرج لا تجوز إلاّ بحکمٍ شرعیٍّ بلا خلاف، و لا دلیل فی الشرع علی استباحته بالعقد حال الاحرام</w:t>
      </w:r>
      <w:r>
        <w:rPr>
          <w:rStyle w:val="FootnoteAnchor"/>
          <w:rtl w:val="true"/>
        </w:rPr>
        <w:footnoteReference w:id="29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تصرّف الولیّ مقیّد بکونه مشروعاً، فإذا لم یکن کذلک لکون الولیّ أو المُولّی علیه محرماً لم یکن له ولایة علیه و حکم ببطلانه؛ لما دلّ علی أنّ المحرم لا یتزوّج و لا یزوّج، و لیس هذا لقصورٍ فی ولایته، و إنّما القصور فی الفعل الصادر منه، فهو نظیر تزویج الخامسة أو ذات البعل</w:t>
      </w:r>
      <w:r>
        <w:rPr>
          <w:rStyle w:val="FootnoteAnchor"/>
          <w:rtl w:val="true"/>
        </w:rPr>
        <w:footnoteReference w:id="29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العمدة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صحیحة ابن سنان،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للمحرم أن یتزوّج و لا یزوّج، و إن تزوّج مُحِلاًّ فتزویجه باطلٌ</w:t>
      </w:r>
      <w:r>
        <w:rPr>
          <w:rFonts w:eastAsia="IRNazanin" w:cs="IRNazanin"/>
          <w:color w:val="111111"/>
          <w:sz w:val="28"/>
          <w:szCs w:val="28"/>
          <w:rtl w:val="true"/>
          <w:lang w:bidi="fa-IR"/>
        </w:rPr>
        <w:t>»</w:t>
      </w:r>
      <w:r>
        <w:rPr>
          <w:rStyle w:val="FootnoteAnchor"/>
          <w:rtl w:val="true"/>
        </w:rPr>
        <w:footnoteReference w:id="29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صحیحة عبد الرحمن بن أبی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رجلاً من الأنصار تزوّج و هو محرمٌ، فأبطل رسول اللّه صلی الله علیه و آله نکاحه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صحیحة اخری لعبد اللّه بن سنان،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bookmarkStart w:id="1352" w:name="pg11752_146675"/>
    </w:p>
    <w:p>
      <w:pPr>
        <w:pStyle w:val="BookText"/>
        <w:rPr/>
      </w:pPr>
      <w:bookmarkEnd w:id="135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ینبغی للمحرم أن یتزوّج و لا یزوّج مُحلاًّ</w:t>
      </w:r>
      <w:r>
        <w:rPr>
          <w:rFonts w:eastAsia="Amiri" w:cs="Amiri" w:ascii="Amiri" w:hAnsi="Amiri"/>
          <w:color w:val="111111"/>
          <w:sz w:val="28"/>
          <w:szCs w:val="28"/>
          <w:rtl w:val="true"/>
          <w:lang w:bidi="ar-SA"/>
        </w:rPr>
        <w:t>»</w:t>
      </w:r>
      <w:r>
        <w:rPr>
          <w:rStyle w:val="FootnoteAnchor"/>
          <w:rtl w:val="true"/>
        </w:rPr>
        <w:footnoteReference w:id="29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کذا موثّقة معاویة بن عمّار و سماعة بن مهران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دلالتها ظاهرة</w:t>
      </w:r>
      <w:r>
        <w:rPr>
          <w:rFonts w:eastAsia="IRNazanin" w:cs="IRNazanin"/>
          <w:color w:val="111111"/>
          <w:sz w:val="28"/>
          <w:szCs w:val="28"/>
          <w:rtl w:val="true"/>
          <w:lang w:bidi="fa-IR"/>
        </w:rPr>
        <w:t>.</w:t>
      </w:r>
    </w:p>
    <w:p>
      <w:pPr>
        <w:pStyle w:val="Heading5"/>
        <w:numPr>
          <w:ilvl w:val="4"/>
          <w:numId w:val="1"/>
        </w:numPr>
        <w:rPr/>
      </w:pPr>
      <w:bookmarkStart w:id="1353" w:name="__RefHeading___Toc9424802_73709187"/>
      <w:bookmarkStart w:id="1354" w:name="_Toc515"/>
      <w:bookmarkEnd w:id="1353"/>
      <w:r>
        <w:rPr>
          <w:rtl w:val="true"/>
        </w:rPr>
        <w:t>آراء فقهاء أهل السنّة فی المسألة</w:t>
      </w:r>
      <w:bookmarkEnd w:id="1354"/>
    </w:p>
    <w:p>
      <w:pPr>
        <w:pStyle w:val="Heading6"/>
        <w:numPr>
          <w:ilvl w:val="5"/>
          <w:numId w:val="1"/>
        </w:numPr>
        <w:rPr/>
      </w:pPr>
      <w:bookmarkStart w:id="1355" w:name="__RefHeading___Toc9424804_73709187"/>
      <w:bookmarkStart w:id="1356" w:name="_Toc516"/>
      <w:bookmarkEnd w:id="1355"/>
      <w:r>
        <w:rPr>
          <w:rtl w:val="true"/>
        </w:rPr>
        <w:t>اشارة</w:t>
      </w:r>
      <w:bookmarkEnd w:id="1356"/>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الشافعیة، قال المزنی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یَنکح المحرم و لا یُنکح؛ لأنّ النبیّ صلی الله علیه و آله و سلم نهی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نکح أو أنکح فالنکاح فاسدٌ</w:t>
      </w:r>
      <w:r>
        <w:rPr>
          <w:rFonts w:eastAsia="IRNazanin" w:cs="IRNazanin"/>
          <w:color w:val="111111"/>
          <w:sz w:val="28"/>
          <w:szCs w:val="28"/>
          <w:rtl w:val="true"/>
          <w:lang w:bidi="fa-IR"/>
        </w:rPr>
        <w:t>»</w:t>
      </w:r>
      <w:r>
        <w:rPr>
          <w:rStyle w:val="FootnoteAnchor"/>
          <w:rtl w:val="true"/>
        </w:rPr>
        <w:footnoteReference w:id="29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یستفاد هذا المعنی أیضاً من کلام بعض آخر</w:t>
      </w:r>
      <w:r>
        <w:rPr>
          <w:rStyle w:val="FootnoteAnchor"/>
          <w:rtl w:val="true"/>
        </w:rPr>
        <w:footnoteReference w:id="2923"/>
      </w:r>
      <w:r>
        <w:rPr>
          <w:rFonts w:ascii="IRNazanin" w:hAnsi="IRNazanin" w:eastAsia="IRNazanin"/>
          <w:color w:val="111111"/>
          <w:sz w:val="28"/>
          <w:sz w:val="28"/>
          <w:szCs w:val="28"/>
          <w:rtl w:val="true"/>
          <w:lang w:bidi="fa-IR"/>
        </w:rPr>
        <w:t>من الشافعیة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الحنابلة، قال ابن قدامة فی المغنی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یتزوّج المحرم، أی لا یقبل النکاح لنفسه و لا یزوّج، أی لا یکون ولیّاً فی النکاح و لا وکیلاً فیه، و هکذا لا یجوز تزویج المحرمة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 الزهری و الأوزاعی و مالک و الشافعی</w:t>
      </w:r>
      <w:r>
        <w:rPr>
          <w:rFonts w:eastAsia="IRNazanin" w:cs="IRNazanin"/>
          <w:color w:val="111111"/>
          <w:sz w:val="28"/>
          <w:szCs w:val="28"/>
          <w:rtl w:val="true"/>
          <w:lang w:bidi="fa-IR"/>
        </w:rPr>
        <w:t>»</w:t>
      </w:r>
      <w:r>
        <w:rPr>
          <w:rStyle w:val="FootnoteAnchor"/>
          <w:rtl w:val="true"/>
        </w:rPr>
        <w:footnoteReference w:id="29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بمثل هذا قال فی الکافی فی فقه الإمام أحمد</w:t>
      </w:r>
      <w:r>
        <w:rPr>
          <w:rStyle w:val="FootnoteAnchor"/>
          <w:rtl w:val="true"/>
        </w:rPr>
        <w:footnoteReference w:id="2925"/>
      </w:r>
      <w:r>
        <w:rPr>
          <w:rFonts w:ascii="IRNazanin" w:hAnsi="IRNazanin" w:eastAsia="IRNazanin"/>
          <w:color w:val="111111"/>
          <w:sz w:val="28"/>
          <w:sz w:val="28"/>
          <w:szCs w:val="28"/>
          <w:rtl w:val="true"/>
          <w:lang w:bidi="fa-IR"/>
        </w:rPr>
        <w:t>، و هکذا قال ابن المفلح فی المبدع</w:t>
      </w:r>
      <w:r>
        <w:rPr>
          <w:rStyle w:val="FootnoteAnchor"/>
          <w:rtl w:val="true"/>
        </w:rPr>
        <w:footnoteReference w:id="2926"/>
      </w:r>
      <w:r>
        <w:rPr>
          <w:rFonts w:ascii="IRNazanin" w:hAnsi="IRNazanin" w:eastAsia="IRNazanin"/>
          <w:color w:val="111111"/>
          <w:sz w:val="28"/>
          <w:sz w:val="28"/>
          <w:szCs w:val="28"/>
          <w:rtl w:val="true"/>
          <w:lang w:bidi="fa-IR"/>
        </w:rPr>
        <w:t>، و المرداوی فی الإنصاف</w:t>
      </w:r>
      <w:r>
        <w:rPr>
          <w:rStyle w:val="FootnoteAnchor"/>
          <w:rtl w:val="true"/>
        </w:rPr>
        <w:footnoteReference w:id="2927"/>
      </w:r>
      <w:r>
        <w:rPr>
          <w:rFonts w:ascii="IRNazanin" w:hAnsi="IRNazanin" w:eastAsia="IRNazanin"/>
          <w:color w:val="111111"/>
          <w:sz w:val="28"/>
          <w:sz w:val="28"/>
          <w:szCs w:val="28"/>
          <w:rtl w:val="true"/>
          <w:lang w:bidi="fa-IR"/>
        </w:rPr>
        <w:t>و غیرهم</w:t>
      </w:r>
      <w:r>
        <w:rPr>
          <w:rStyle w:val="FootnoteAnchor"/>
          <w:rtl w:val="true"/>
        </w:rPr>
        <w:footnoteReference w:id="29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المالکیة</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أیضاً موافقون لما اختاره فقهاء الإمامیّة و الشافعیّة و الحنابلة فی هذه المسألة، قال الدردیر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منع صحّة النکاح إحرامٌ بحجٍّ أو عمرةٍ من أحد الثلاث</w:t>
      </w:r>
      <w:r>
        <w:rPr>
          <w:rFonts w:eastAsia="IRNazanin" w:cs="IRNazanin"/>
          <w:color w:val="111111"/>
          <w:sz w:val="28"/>
          <w:szCs w:val="28"/>
          <w:rtl w:val="true"/>
          <w:lang w:bidi="fa-IR"/>
        </w:rPr>
        <w:t>:</w:t>
      </w:r>
      <w:bookmarkStart w:id="1357" w:name="pg11752_146676"/>
    </w:p>
    <w:p>
      <w:pPr>
        <w:pStyle w:val="BookText"/>
        <w:rPr/>
      </w:pPr>
      <w:bookmarkEnd w:id="1357"/>
      <w:r>
        <w:rPr>
          <w:rFonts w:ascii="IRNazanin" w:hAnsi="IRNazanin" w:eastAsia="IRNazanin"/>
          <w:color w:val="111111"/>
          <w:sz w:val="28"/>
          <w:sz w:val="28"/>
          <w:szCs w:val="28"/>
          <w:rtl w:val="true"/>
          <w:lang w:bidi="fa-IR"/>
        </w:rPr>
        <w:t>الزوج و الزوجة و ولیّها، و لا یوکّلون و لا یجیزون و یفسخ أبداً</w:t>
      </w:r>
      <w:r>
        <w:rPr>
          <w:rFonts w:eastAsia="IRNazanin" w:cs="IRNazanin"/>
          <w:color w:val="111111"/>
          <w:sz w:val="28"/>
          <w:szCs w:val="28"/>
          <w:rtl w:val="true"/>
          <w:lang w:bidi="fa-IR"/>
        </w:rPr>
        <w:t>..»</w:t>
      </w:r>
      <w:r>
        <w:rPr>
          <w:rStyle w:val="FootnoteAnchor"/>
          <w:rtl w:val="true"/>
        </w:rPr>
        <w:footnoteReference w:id="2929"/>
      </w:r>
      <w:r>
        <w:rPr>
          <w:rFonts w:ascii="IRNazanin" w:hAnsi="IRNazanin" w:eastAsia="IRNazanin"/>
          <w:color w:val="111111"/>
          <w:sz w:val="28"/>
          <w:sz w:val="28"/>
          <w:szCs w:val="28"/>
          <w:rtl w:val="true"/>
          <w:lang w:bidi="fa-IR"/>
        </w:rPr>
        <w:t>و بمثل ذلک قال بعض آخر منهم</w:t>
      </w:r>
      <w:r>
        <w:rPr>
          <w:rStyle w:val="FootnoteAnchor"/>
          <w:rtl w:val="true"/>
        </w:rPr>
        <w:footnoteReference w:id="29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الحنفیة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الحاوی الکبیر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تأثیر للإحرام فی عقد النکاح بوجهٍ، ذهب إلیه الثوری و أبو حنیفة و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الطحاوی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نری بذلک بأساً للمحرم، و لکنّه إن تزوّج فلا ینبغی له أن یدخل بها حتّی یحلّ</w:t>
      </w:r>
      <w:r>
        <w:rPr>
          <w:rFonts w:eastAsia="IRNazanin" w:cs="IRNazanin"/>
          <w:color w:val="111111"/>
          <w:sz w:val="28"/>
          <w:szCs w:val="28"/>
          <w:rtl w:val="true"/>
          <w:lang w:bidi="fa-IR"/>
        </w:rPr>
        <w:t>»</w:t>
      </w:r>
      <w:r>
        <w:rPr>
          <w:rStyle w:val="FootnoteAnchor"/>
          <w:rtl w:val="true"/>
        </w:rPr>
        <w:footnoteReference w:id="2931"/>
      </w:r>
      <w:r>
        <w:rPr>
          <w:rFonts w:ascii="IRNazanin" w:hAnsi="IRNazanin" w:eastAsia="IRNazanin"/>
          <w:color w:val="111111"/>
          <w:sz w:val="28"/>
          <w:sz w:val="28"/>
          <w:szCs w:val="28"/>
          <w:rtl w:val="true"/>
          <w:lang w:bidi="fa-IR"/>
        </w:rPr>
        <w:t>و نقل ابن قدامة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جوازه عن ابن عباس، و أبی حنیفة</w:t>
      </w:r>
      <w:r>
        <w:rPr>
          <w:rStyle w:val="FootnoteAnchor"/>
          <w:rtl w:val="true"/>
        </w:rPr>
        <w:footnoteReference w:id="29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هکذا ذکر فی أوجز المسالک جوازه عن بعض الفقهاء من الحنفیة، مثل إبراهیم النخعی و الثوری و حکم بن عُتَیبة و حمّاد بن أبی سلیمان و غیرهم</w:t>
      </w:r>
      <w:r>
        <w:rPr>
          <w:rStyle w:val="FootnoteAnchor"/>
          <w:rtl w:val="true"/>
        </w:rPr>
        <w:footnoteReference w:id="293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58" w:name="__RefHeading___Toc9424806_73709187"/>
      <w:bookmarkStart w:id="1359" w:name="_Toc517"/>
      <w:bookmarkEnd w:id="1358"/>
      <w:r>
        <w:rPr>
          <w:rtl w:val="true"/>
        </w:rPr>
        <w:t>أدلّة قول أبی حنیفة و أصحابه</w:t>
      </w:r>
      <w:bookmarkEnd w:id="1359"/>
    </w:p>
    <w:p>
      <w:pPr>
        <w:pStyle w:val="BookText"/>
        <w:rPr/>
      </w:pPr>
      <w:r>
        <w:rPr>
          <w:rFonts w:ascii="IRNazanin" w:hAnsi="IRNazanin" w:eastAsia="IRNazanin"/>
          <w:color w:val="111111"/>
          <w:sz w:val="28"/>
          <w:sz w:val="28"/>
          <w:szCs w:val="28"/>
          <w:rtl w:val="true"/>
          <w:lang w:bidi="fa-IR"/>
        </w:rPr>
        <w:t>استدلّوا لهذا القول بوجوهٍ کلّها لا تخلو من الإشکال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فَانْکِحُوا ما طابَ لَکُمْ مِنَ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أُحِلَّ لَکُمْ ما وَراءَ ذلِکُمْ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Style w:val="FootnoteAnchor"/>
          <w:rtl w:val="true"/>
        </w:rPr>
        <w:footnoteReference w:id="2934"/>
      </w:r>
      <w:r>
        <w:rPr>
          <w:rFonts w:eastAsia="Times New Roman" w:cs="Times New Roman" w:ascii="Times New Roman" w:hAnsi="Times New Roman"/>
          <w:color w:val="111111"/>
          <w:sz w:val="28"/>
          <w:szCs w:val="28"/>
          <w:rtl w:val="true"/>
          <w:lang w:val="en-US" w:bidi="en-US"/>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الآیتین تخصّص و تقیّد بروایة عثمان بن عفّان، عن رسول اللّه صلی الله علیه و آله و سلم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یَنکح المحرِم و لا یُنکح</w:t>
      </w:r>
      <w:r>
        <w:rPr>
          <w:rFonts w:eastAsia="Amiri" w:cs="Amiri" w:ascii="Amiri" w:hAnsi="Amiri"/>
          <w:color w:val="111111"/>
          <w:sz w:val="28"/>
          <w:szCs w:val="28"/>
          <w:rtl w:val="true"/>
          <w:lang w:bidi="ar-SA"/>
        </w:rPr>
        <w:t>»</w:t>
      </w:r>
      <w:r>
        <w:rPr>
          <w:rStyle w:val="FootnoteAnchor"/>
          <w:rtl w:val="true"/>
        </w:rPr>
        <w:footnoteReference w:id="29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بروایة أنس بن مالک، عنه صلی الله علیه و آله و سلم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یتزوّج المحرم و لا یُزوّج</w:t>
      </w:r>
      <w:r>
        <w:rPr>
          <w:rFonts w:eastAsia="Amiri" w:cs="Amiri" w:ascii="Amiri" w:hAnsi="Amiri"/>
          <w:color w:val="111111"/>
          <w:sz w:val="28"/>
          <w:szCs w:val="28"/>
          <w:rtl w:val="true"/>
          <w:lang w:bidi="ar-SA"/>
        </w:rPr>
        <w:t>»</w:t>
      </w:r>
      <w:r>
        <w:rPr>
          <w:rStyle w:val="FootnoteAnchor"/>
          <w:rtl w:val="true"/>
        </w:rPr>
        <w:footnoteReference w:id="29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غیرهما من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عقد النکاح قول یستباح به البضع، فوجب أن لا یمنع منه الإحرام کالرجعة، و لأنّه عقد یملک به البضع، فوجب أن لا یمنع من الإحرام، کشراء الإماء، و لأنّه لو منع الإحرام من ابتداء النکاح منع من استدامته کاللباس، فلمّا جاز استدامته جاز ابتداؤه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أجمعوا علی أنّه لا بأس علی المحرم أن یبتاع جاریة؛ لکن لا یطأها حتّی یحلّ أو یشتری طیباً لتطیّب به بعد ما یحلّ، أو یشتری قمیصاً لیلبسه بعد ما یحلّ، و ذلک الجماع و التطیّب و اللباس حرام علیه کلّه و هو محرم، فلم یکن حرمة ذلک علیه تمنعه عقد الملک علیه، فکذلک عقد النکاح</w:t>
      </w:r>
      <w:r>
        <w:rPr>
          <w:rStyle w:val="FootnoteAnchor"/>
          <w:rtl w:val="true"/>
        </w:rPr>
        <w:footnoteReference w:id="29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قیاس باطل؛ لأنّ عقد النکاح نهی عنه النبیّ صلی الله علیه و آله، و لا یرتبط هذا بشراء الإماء و الطیب و اللباس و الرجوع إلی المطلّقة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عکرمة،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آله و سلم نکح میمونة و هو محرم</w:t>
      </w:r>
      <w:r>
        <w:rPr>
          <w:rStyle w:val="FootnoteAnchor"/>
          <w:rtl w:val="true"/>
        </w:rPr>
        <w:footnoteReference w:id="29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الاستدلال بهذه الروایة ضعیف، بل مردود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کان من مختصّات النبیّ صلی الله علیه و آله و سلم کما هو قول أبی الطیب بن سلمة</w:t>
      </w:r>
      <w:r>
        <w:rPr>
          <w:rStyle w:val="FootnoteAnchor"/>
          <w:rtl w:val="true"/>
        </w:rPr>
        <w:footnoteReference w:id="2939"/>
      </w:r>
      <w:r>
        <w:rPr>
          <w:rFonts w:eastAsia="Times New Roman" w:cs="Times New Roman" w:ascii="Times New Roman" w:hAnsi="Times New Roman"/>
          <w:color w:val="111111"/>
          <w:sz w:val="28"/>
          <w:szCs w:val="28"/>
          <w:rtl w:val="true"/>
          <w:lang w:val="en-US" w:bidi="en-US"/>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خبر ابن عبّاس نقل عن طریق عکرمة و هو ضعیف، و قد روی عن</w:t>
      </w:r>
    </w:p>
    <w:p>
      <w:pPr>
        <w:pStyle w:val="BookText"/>
        <w:rPr/>
      </w:pPr>
      <w:r>
        <w:rPr>
          <w:rFonts w:ascii="IRNazanin" w:hAnsi="IRNazanin" w:eastAsia="IRNazanin"/>
          <w:color w:val="111111"/>
          <w:sz w:val="28"/>
          <w:sz w:val="28"/>
          <w:szCs w:val="28"/>
          <w:rtl w:val="true"/>
          <w:lang w:bidi="fa-IR"/>
        </w:rPr>
        <w:t>طرق کثیرة أنّ النبیّ صلی الله علیه و آله نکح میمونة فی حال إحلاله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أبو بکر بن أبی شیبة، عن یزید بن الأصم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حدّثتنی میمونة بنت الحارث أنّ رسول اللّه صلی الله علیه و آله و سلم تزوّجها و هو حلال،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خالتی و خالة ابن عبّاس</w:t>
      </w:r>
      <w:r>
        <w:rPr>
          <w:rStyle w:val="FootnoteAnchor"/>
          <w:rtl w:val="true"/>
        </w:rPr>
        <w:footnoteReference w:id="29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روی سلیمان بن یسار عن أبی رافع</w:t>
      </w:r>
      <w:r>
        <w:rPr>
          <w:rStyle w:val="FootnoteAnchor"/>
          <w:rtl w:val="true"/>
        </w:rPr>
        <w:footnoteReference w:id="2941"/>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رواه حبیب بن میمون بن مهران، عن یزید بن الأصمّ عن میمونة بنت الحارث</w:t>
      </w:r>
      <w:r>
        <w:rPr>
          <w:rStyle w:val="FootnoteAnchor"/>
          <w:rtl w:val="true"/>
        </w:rPr>
        <w:footnoteReference w:id="29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روایة جریر بن حازم أیضاً کذلک</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الطرق معارضة لروایة ابن عباس، و کانت أولی منها؛ لأنّ یزید بن الأصمّ ابن اخت میمونة، مضافاً إلی أنّ ابن عبّاس إذ ذاک طفل لا یضبط ما شاهد، و لا یعی ما یسمع؛ لأنّ رسول اللّه صلی الله علیه و آله مات و لابن عبّاس تسع سنین، و کان تزویج میمونة قبل موته بثلاث سنین</w:t>
      </w:r>
      <w:r>
        <w:rPr>
          <w:rStyle w:val="FootnoteAnchor"/>
          <w:rtl w:val="true"/>
        </w:rPr>
        <w:footnoteReference w:id="2943"/>
      </w:r>
      <w:r>
        <w:rPr>
          <w:rFonts w:eastAsia="Times New Roman" w:cs="Times New Roman" w:ascii="Times New Roman" w:hAnsi="Times New Roman"/>
          <w:color w:val="111111"/>
          <w:sz w:val="28"/>
          <w:szCs w:val="28"/>
          <w:rtl w:val="true"/>
          <w:lang w:val="en-US" w:bidi="en-US"/>
        </w:rPr>
        <w:t>...</w:t>
      </w:r>
      <w:bookmarkStart w:id="1360" w:name="pg11752_146679"/>
    </w:p>
    <w:p>
      <w:pPr>
        <w:pStyle w:val="Heading3"/>
        <w:numPr>
          <w:ilvl w:val="2"/>
          <w:numId w:val="1"/>
        </w:numPr>
        <w:rPr/>
      </w:pPr>
      <w:bookmarkStart w:id="1361" w:name="__RefHeading___Toc9424808_73709187"/>
      <w:bookmarkStart w:id="1362" w:name="_Toc518"/>
      <w:bookmarkEnd w:id="1360"/>
      <w:bookmarkEnd w:id="1361"/>
      <w:r>
        <w:rPr>
          <w:rtl w:val="true"/>
        </w:rPr>
        <w:t>الفصل الخامس فی ولایة الحاکم علی تزویج الأطفال</w:t>
      </w:r>
      <w:bookmarkEnd w:id="1362"/>
    </w:p>
    <w:p>
      <w:pPr>
        <w:pStyle w:val="Heading4"/>
        <w:numPr>
          <w:ilvl w:val="3"/>
          <w:numId w:val="1"/>
        </w:numPr>
        <w:rPr/>
      </w:pPr>
      <w:bookmarkStart w:id="1363" w:name="__RefHeading___Toc9424810_73709187"/>
      <w:bookmarkStart w:id="1364" w:name="_Toc519"/>
      <w:bookmarkEnd w:id="1363"/>
      <w:r>
        <w:rPr>
          <w:rtl w:val="true"/>
        </w:rPr>
        <w:t>تمهید</w:t>
      </w:r>
      <w:bookmarkEnd w:id="1364"/>
    </w:p>
    <w:p>
      <w:pPr>
        <w:pStyle w:val="BookText"/>
        <w:rPr/>
      </w:pPr>
      <w:r>
        <w:rPr>
          <w:rFonts w:ascii="IRNazanin" w:hAnsi="IRNazanin" w:eastAsia="IRNazanin"/>
          <w:color w:val="111111"/>
          <w:sz w:val="28"/>
          <w:sz w:val="28"/>
          <w:szCs w:val="28"/>
          <w:rtl w:val="true"/>
          <w:lang w:bidi="fa-IR"/>
        </w:rPr>
        <w:t xml:space="preserve">ثبوت الولایة للحاکم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المقصود منه الفقیه الجامع لشرائط الفتوی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عصر الغیبة فی الجملة من الضروریّات فی فقه الإمامیّة؛ و لهذا نری الفقهاء یحیلون کثیراً من الأمور،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إجراء الحدود و التعزیرات و الإفتاء و القضاء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فی هذا المقام و إن لم نکن فی مقام بیان أدلّة ولایته علی نحو عامّ و کلّیٍّ، و لکنّنا نشیر أوّلاً إلی بعض الروایات التی یمکن أن یستدلّ بها علی ولایته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أدلّة ولایته فی خصوص نکاح الصغار و أموال الأیتام</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نقدّم أوّلاً شطراً من الأخبار الواردة فی حقّ العلماء الأبرار المعیّنة لمناصبهم و مراتبهم، إذ نحتاج إلیها فی خلال مباحثنا الآتیة، و یتوقّف علیها بعض ما کنّا فی صدد إثباته ثمّ نستتبعه بما یستفاد منها بعد ذلک فی مواردها الخاصّة فی بحثنا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بما أنّ کلامنا الآن فی المقام الثانی؛ أی ولایة الحاکم علی نکاح الصغار و أموال الأیتام، اکتفینا فی المقام الأوّل بذکر بعض روایاته فقط و لم نذکر طریق</w:t>
      </w:r>
    </w:p>
    <w:p>
      <w:pPr>
        <w:pStyle w:val="BookText"/>
        <w:rPr/>
      </w:pPr>
      <w:r>
        <w:rPr>
          <w:rFonts w:ascii="IRNazanin" w:hAnsi="IRNazanin" w:eastAsia="IRNazanin"/>
          <w:color w:val="111111"/>
          <w:sz w:val="28"/>
          <w:sz w:val="28"/>
          <w:szCs w:val="28"/>
          <w:rtl w:val="true"/>
          <w:lang w:bidi="fa-IR"/>
        </w:rPr>
        <w:t>الاستدلال بها و الإیرادات التی علیها و لا الجواب عنها، و من أراد التحقیق فیها فلیراجع مظانّها من المطوّلات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الأخبار التی تدلّ علی ولایة الحاکم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صحیحة أبی البختری، عن أبی عبد اللّه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العلماء ورثة الأنبیاء</w:t>
      </w:r>
      <w:r>
        <w:rPr>
          <w:rFonts w:eastAsia="IRNazanin" w:cs="IRNazanin"/>
          <w:color w:val="111111"/>
          <w:sz w:val="28"/>
          <w:szCs w:val="28"/>
          <w:rtl w:val="true"/>
          <w:lang w:bidi="fa-IR"/>
        </w:rPr>
        <w:t>»</w:t>
      </w:r>
      <w:r>
        <w:rPr>
          <w:rStyle w:val="FootnoteAnchor"/>
          <w:rtl w:val="true"/>
        </w:rPr>
        <w:footnoteReference w:id="29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روایة إسماعیل بن جابر،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الفقهاء امناء الرسل ما لم یدخلوا فی الدنیا</w:t>
      </w:r>
      <w:r>
        <w:rPr>
          <w:rFonts w:eastAsia="IRNazanin" w:cs="IRNazanin"/>
          <w:color w:val="111111"/>
          <w:sz w:val="28"/>
          <w:szCs w:val="28"/>
          <w:rtl w:val="true"/>
          <w:lang w:bidi="fa-IR"/>
        </w:rPr>
        <w:t>»</w:t>
      </w:r>
      <w:r>
        <w:rPr>
          <w:rStyle w:val="FootnoteAnchor"/>
          <w:rtl w:val="true"/>
        </w:rPr>
        <w:footnoteReference w:id="29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مرسلة الفقیه، 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ارحم خلفائی،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 مَن خلفاؤک؟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یأتون بعدی و یروون حدیثی و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ذکره فی معانی الأخبار مسنداً</w:t>
      </w:r>
      <w:r>
        <w:rPr>
          <w:rStyle w:val="FootnoteAnchor"/>
          <w:rtl w:val="true"/>
        </w:rPr>
        <w:footnoteReference w:id="29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روایة السکونی،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الفقهاء أمناء الرسل ما لم یدخلوا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 ما دخولهم فی الدنیا؟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اتّباع السلطان، فإذا فعلوا ذلک فاحذروهم علی دینکم</w:t>
      </w:r>
      <w:r>
        <w:rPr>
          <w:rFonts w:eastAsia="IRNazanin" w:cs="IRNazanin"/>
          <w:color w:val="111111"/>
          <w:sz w:val="28"/>
          <w:szCs w:val="28"/>
          <w:rtl w:val="true"/>
          <w:lang w:bidi="fa-IR"/>
        </w:rPr>
        <w:t>»</w:t>
      </w:r>
      <w:r>
        <w:rPr>
          <w:rStyle w:val="FootnoteAnchor"/>
          <w:rtl w:val="true"/>
        </w:rPr>
        <w:footnoteReference w:id="2947"/>
      </w:r>
      <w:r>
        <w:rPr>
          <w:rFonts w:eastAsia="Times New Roman" w:cs="Times New Roman" w:ascii="Times New Roman" w:hAnsi="Times New Roman"/>
          <w:color w:val="111111"/>
          <w:sz w:val="28"/>
          <w:szCs w:val="28"/>
          <w:rtl w:val="true"/>
          <w:lang w:val="en-US" w:bidi="en-US"/>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روایة علیّ بن أبی حمزة عن أبی الحسن موسی بن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المؤمنین الفقهاء حصون الإسلام کحصن سور المدینة لها</w:t>
      </w:r>
      <w:r>
        <w:rPr>
          <w:rFonts w:eastAsia="IRNazanin" w:cs="IRNazanin"/>
          <w:color w:val="111111"/>
          <w:sz w:val="28"/>
          <w:szCs w:val="28"/>
          <w:rtl w:val="true"/>
          <w:lang w:bidi="fa-IR"/>
        </w:rPr>
        <w:t>»</w:t>
      </w:r>
      <w:r>
        <w:rPr>
          <w:rStyle w:val="FootnoteAnchor"/>
          <w:rtl w:val="true"/>
        </w:rPr>
        <w:footnoteReference w:id="294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المروی فی الفقه الرضوی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منزلة الفقیه فی هذا الوقت کمنزلة الأنبیاء فی بنی إسرائیل</w:t>
      </w:r>
      <w:r>
        <w:rPr>
          <w:rFonts w:eastAsia="IRNazanin" w:cs="IRNazanin"/>
          <w:color w:val="111111"/>
          <w:sz w:val="28"/>
          <w:szCs w:val="28"/>
          <w:rtl w:val="true"/>
          <w:lang w:bidi="fa-IR"/>
        </w:rPr>
        <w:t>»</w:t>
      </w:r>
      <w:r>
        <w:rPr>
          <w:rStyle w:val="FootnoteAnchor"/>
          <w:rtl w:val="true"/>
        </w:rPr>
        <w:footnoteReference w:id="29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المروی فی کنز الکراجکی، عن مولانا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الملوک حکّامٌ علی الناس، و العلماء حکّام علی الملوک</w:t>
      </w:r>
      <w:r>
        <w:rPr>
          <w:rFonts w:eastAsia="IRNazanin" w:cs="IRNazanin"/>
          <w:color w:val="111111"/>
          <w:sz w:val="28"/>
          <w:szCs w:val="28"/>
          <w:rtl w:val="true"/>
          <w:lang w:bidi="fa-IR"/>
        </w:rPr>
        <w:t>»</w:t>
      </w:r>
      <w:r>
        <w:rPr>
          <w:rStyle w:val="FootnoteAnchor"/>
          <w:rtl w:val="true"/>
        </w:rPr>
        <w:footnoteReference w:id="29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التوقیع الرفیع المرویّ فی کتاب کمال الدین و الغیبة و الاحتجاج، و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الحوادث الواقعة فارجعوا فیها إلی رواة حدیثنا، فإنّهم حجّتی علیکم و أنا حجّة اللّه علیهم</w:t>
      </w:r>
      <w:r>
        <w:rPr>
          <w:rFonts w:eastAsia="IRNazanin" w:cs="IRNazanin"/>
          <w:color w:val="111111"/>
          <w:sz w:val="28"/>
          <w:szCs w:val="28"/>
          <w:rtl w:val="true"/>
          <w:lang w:bidi="fa-IR"/>
        </w:rPr>
        <w:t>»</w:t>
      </w:r>
      <w:r>
        <w:rPr>
          <w:rStyle w:val="FootnoteAnchor"/>
          <w:rtl w:val="true"/>
        </w:rPr>
        <w:footnoteReference w:id="29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روایة أبی خدیجة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انظروا إلی رجلٍ منکم یعلم شیئاً من قضایانا فاجعلوه بینکم فإنّی قد جعلته قاضیاً فتحاکموا إلیه</w:t>
      </w:r>
      <w:r>
        <w:rPr>
          <w:rFonts w:eastAsia="IRNazanin" w:cs="IRNazanin"/>
          <w:color w:val="111111"/>
          <w:sz w:val="28"/>
          <w:szCs w:val="28"/>
          <w:rtl w:val="true"/>
          <w:lang w:bidi="fa-IR"/>
        </w:rPr>
        <w:t>»</w:t>
      </w:r>
      <w:r>
        <w:rPr>
          <w:rStyle w:val="FootnoteAnchor"/>
          <w:rtl w:val="true"/>
        </w:rPr>
        <w:footnoteReference w:id="29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روایة أبی خدیجة، عن أبی عبد اللّه علیه السلام قال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اجعلوا بینکم رجلاً قد عرف حلالنا و حرامنا، فإنّی قد جعلته علیکم قاضیاً</w:t>
      </w:r>
      <w:r>
        <w:rPr>
          <w:rFonts w:eastAsia="IRNazanin" w:cs="IRNazanin"/>
          <w:color w:val="111111"/>
          <w:sz w:val="28"/>
          <w:szCs w:val="28"/>
          <w:rtl w:val="true"/>
          <w:lang w:bidi="fa-IR"/>
        </w:rPr>
        <w:t>»</w:t>
      </w:r>
      <w:r>
        <w:rPr>
          <w:rStyle w:val="FootnoteAnchor"/>
          <w:rtl w:val="true"/>
        </w:rPr>
        <w:footnoteReference w:id="2953"/>
      </w:r>
      <w:r>
        <w:rPr>
          <w:rFonts w:eastAsia="Times New Roman" w:cs="Times New Roman" w:ascii="Times New Roman" w:hAnsi="Times New Roman"/>
          <w:color w:val="111111"/>
          <w:sz w:val="28"/>
          <w:szCs w:val="28"/>
          <w:rtl w:val="true"/>
          <w:lang w:val="en-US" w:bidi="en-US"/>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مقبولة عمر بن حنظلة، فقد جاء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ینظران مَن کان منکم ممّن قد روی حدیثنا و نظر فی حلالنا و حرامنا و عرف أحکامنا، فلیرضوا به حکماً، فإنّی قد جعلته علیکم حاکماً، فإذا حکم بحکمنا فلم یقبل منه فإنّما استخفّ بحکم اللّه و علینا ردّ، و الرادّ علینا الرادّ علی اللّه، و هو علی حدّ الشرک باللّه</w:t>
      </w:r>
      <w:r>
        <w:rPr>
          <w:rFonts w:eastAsia="IRNazanin" w:cs="IRNazanin"/>
          <w:color w:val="111111"/>
          <w:sz w:val="28"/>
          <w:szCs w:val="28"/>
          <w:rtl w:val="true"/>
          <w:lang w:bidi="fa-IR"/>
        </w:rPr>
        <w:t>»</w:t>
      </w:r>
      <w:r>
        <w:rPr>
          <w:rStyle w:val="FootnoteAnchor"/>
          <w:rtl w:val="true"/>
        </w:rPr>
        <w:footnoteReference w:id="2954"/>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روی عن النبیّ صلی الله علیه و آله فی کتب الفریقین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السلطان ولیّ من لا ولیّ له</w:t>
      </w:r>
      <w:r>
        <w:rPr>
          <w:rFonts w:eastAsia="IRNazanin" w:cs="IRNazanin"/>
          <w:color w:val="111111"/>
          <w:sz w:val="28"/>
          <w:szCs w:val="28"/>
          <w:rtl w:val="true"/>
          <w:lang w:bidi="fa-IR"/>
        </w:rPr>
        <w:t>»</w:t>
      </w:r>
      <w:r>
        <w:rPr>
          <w:rStyle w:val="FootnoteAnchor"/>
          <w:rtl w:val="true"/>
        </w:rPr>
        <w:footnoteReference w:id="29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روی حسن بن علیّ بن شعبة فی تحف العقول عن مولانا سیّد الشهداء الحسین بن علی علیهما السلام، و الروایة طویلة ذکرها فی الوافی فی کتاب الأمر بالمعروف و النهی عن المنکر، و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بأنّ مجاری الأمور و الأحکام علی أیدی العلماء باللّه الأمناء علی حلاله و حرامه</w:t>
      </w:r>
      <w:r>
        <w:rPr>
          <w:rFonts w:eastAsia="IRNazanin" w:cs="IRNazanin"/>
          <w:color w:val="111111"/>
          <w:sz w:val="28"/>
          <w:szCs w:val="28"/>
          <w:rtl w:val="true"/>
          <w:lang w:bidi="fa-IR"/>
        </w:rPr>
        <w:t>»</w:t>
      </w:r>
      <w:r>
        <w:rPr>
          <w:rStyle w:val="FootnoteAnchor"/>
          <w:rtl w:val="true"/>
        </w:rPr>
        <w:footnoteReference w:id="29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رواه فی العلل بإسناده عن فضل بن شاذان، عن أبی الحسن الرضا علیه السلام فی حدیث قال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جعل أولی الأمر و أمر بطاعتهم؟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لعللٍ کثیرةٍ،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الخلق لما وقفوا علی حدٍّ محدود، و أمروا أن لا یتعدّوا تلک الحدود لما فیه من فسادهم لم یکن یثبت ذلک و لا یقوم إلاّ بأن یجعل علیهم فیها أمیناً یأخذهم بالوقت عند ما أبیح لهم، و یمنعهم من التعدّی علی ما حظر علیهم؛ لأنّه لو لم یکن ذلک لکان أحدٌ لا یترک لذّته و منفعته لفاسد غیره، فجُعل علیهم قیّم یمنعهم من الفساد و یقیم فیهم الحدود و الأحکام</w:t>
      </w:r>
      <w:r>
        <w:rPr>
          <w:rFonts w:eastAsia="IRNazanin" w:cs="IRNazanin"/>
          <w:color w:val="111111"/>
          <w:sz w:val="28"/>
          <w:szCs w:val="28"/>
          <w:rtl w:val="true"/>
          <w:lang w:bidi="fa-IR"/>
        </w:rPr>
        <w:t>»</w:t>
      </w:r>
      <w:r>
        <w:rPr>
          <w:rStyle w:val="FootnoteAnchor"/>
          <w:rtl w:val="true"/>
        </w:rPr>
        <w:footnoteReference w:id="29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بعد هذا التمهید نشرع فی البحث عن المسائل التی عقدنا لها هذا الفصل، و فیه مباحث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ولایة الحاکم علی الصغار مع وجود الأب و الجدّ</w:t>
      </w:r>
      <w:r>
        <w:rPr>
          <w:rFonts w:eastAsia="IRNazanin" w:cs="IRNazanin"/>
          <w:color w:val="111111"/>
          <w:sz w:val="28"/>
          <w:szCs w:val="28"/>
          <w:rtl w:val="true"/>
          <w:lang w:bidi="fa-IR"/>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ولایة الحاکم علیهم مع فقد الأب و الجدّ، أو عدم ولایة الحاکم علی نکاح الأیتام</w:t>
      </w:r>
      <w:r>
        <w:rPr>
          <w:rFonts w:eastAsia="IRNazanin" w:cs="IRNazanin"/>
          <w:color w:val="111111"/>
          <w:sz w:val="28"/>
          <w:szCs w:val="28"/>
          <w:rtl w:val="true"/>
          <w:lang w:bidi="fa-IR"/>
        </w:rPr>
        <w:t>.</w:t>
      </w:r>
      <w:bookmarkStart w:id="1365" w:name="pg11752_146683"/>
    </w:p>
    <w:p>
      <w:pPr>
        <w:pStyle w:val="Heading4"/>
        <w:numPr>
          <w:ilvl w:val="3"/>
          <w:numId w:val="1"/>
        </w:numPr>
        <w:rPr/>
      </w:pPr>
      <w:bookmarkStart w:id="1366" w:name="__RefHeading___Toc9424812_73709187"/>
      <w:bookmarkStart w:id="1367" w:name="_Toc520"/>
      <w:bookmarkEnd w:id="1365"/>
      <w:bookmarkEnd w:id="1366"/>
      <w:r>
        <w:rPr>
          <w:rtl w:val="true"/>
        </w:rPr>
        <w:t>المبحث الأوّل</w:t>
      </w:r>
      <w:r>
        <w:rPr>
          <w:rtl w:val="true"/>
        </w:rPr>
        <w:t>:</w:t>
      </w:r>
      <w:bookmarkEnd w:id="1367"/>
    </w:p>
    <w:p>
      <w:pPr>
        <w:pStyle w:val="BookText"/>
        <w:rPr/>
      </w:pPr>
      <w:r>
        <w:rPr>
          <w:rFonts w:ascii="IRNazanin" w:hAnsi="IRNazanin" w:eastAsia="IRNazanin"/>
          <w:color w:val="111111"/>
          <w:sz w:val="28"/>
          <w:sz w:val="28"/>
          <w:szCs w:val="28"/>
          <w:rtl w:val="true"/>
          <w:lang w:bidi="fa-IR"/>
        </w:rPr>
        <w:t>عدم ولایة الحاکم علی الصغار مع وجود الأب و الجدّ</w:t>
      </w:r>
    </w:p>
    <w:p>
      <w:pPr>
        <w:pStyle w:val="BookText"/>
        <w:rPr/>
      </w:pPr>
      <w:r>
        <w:rPr>
          <w:rFonts w:ascii="IRNazanin" w:hAnsi="IRNazanin" w:eastAsia="IRNazanin"/>
          <w:color w:val="111111"/>
          <w:sz w:val="28"/>
          <w:sz w:val="28"/>
          <w:szCs w:val="28"/>
          <w:rtl w:val="true"/>
          <w:lang w:bidi="fa-IR"/>
        </w:rPr>
        <w:t xml:space="preserve">لم نجد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تتبّعنا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بولایة الحاکم علی زواج الصغار مع وجود الأب و الجدّ، بل صرّح بعضهم بعدم ولایته، و بعض آخر و إن لم یتعرّض لبیان هذه المسألة صریحاً و لکن یُستفاد من کلماتهم أنّهم قائلون بعدم ولایته مع وجودهما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أمّا الأبکار فلا یخلو أن تکون صغیرةً أو کبیرة، فإن کانت صغیرةً کان لأبیها و جدّها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أبیها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علا أن یزوّجها لا غیر</w:t>
      </w:r>
      <w:r>
        <w:rPr>
          <w:rFonts w:eastAsia="IRNazanin" w:cs="IRNazanin"/>
          <w:color w:val="111111"/>
          <w:sz w:val="28"/>
          <w:szCs w:val="28"/>
          <w:rtl w:val="true"/>
          <w:lang w:bidi="fa-IR"/>
        </w:rPr>
        <w:t>»</w:t>
      </w:r>
      <w:r>
        <w:rPr>
          <w:rStyle w:val="FootnoteAnchor"/>
          <w:rtl w:val="true"/>
        </w:rPr>
        <w:footnoteReference w:id="29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موضعٍ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لها أخٌ أو ابن أخٍ أو عمّ أو ابن عمّ أو مولی نعمة لم یکن له تزویجها صغیرة بحالٍ، و إن کانت کبیرةً کان له تزویجها بأمرها بکراً کانت أو ثیّباً، و الحاکم فی هذا کالأخ و العمّ سواء فی جمیع ما قُلناه إلاّ فی المجنونة الکبیرة فإنّ له تزویجها، و لیس للأخ و العمّ ذلک</w:t>
      </w:r>
      <w:r>
        <w:rPr>
          <w:rFonts w:eastAsia="IRNazanin" w:cs="IRNazanin"/>
          <w:color w:val="111111"/>
          <w:sz w:val="28"/>
          <w:szCs w:val="28"/>
          <w:rtl w:val="true"/>
          <w:lang w:bidi="fa-IR"/>
        </w:rPr>
        <w:t>»</w:t>
      </w:r>
      <w:r>
        <w:rPr>
          <w:rStyle w:val="FootnoteAnchor"/>
          <w:rtl w:val="true"/>
        </w:rPr>
        <w:footnoteReference w:id="29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فالظاهر منه أنّه لا یکون للحاکم ولایة التزویج مع وجود الأب و الجدّ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الناصریات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عندنا أنّه یجوز أن ینکح الصغار الآباءُ و الأجدادُ من قبل الآباء، فإن عقد علیهنّ غیر من ذکرناه کان العقد موقوفاً علی رضاهنّ بعد البلوغ</w:t>
      </w:r>
      <w:r>
        <w:rPr>
          <w:rFonts w:eastAsia="IRNazanin" w:cs="IRNazanin"/>
          <w:color w:val="111111"/>
          <w:sz w:val="28"/>
          <w:szCs w:val="28"/>
          <w:rtl w:val="true"/>
          <w:lang w:bidi="fa-IR"/>
        </w:rPr>
        <w:t>»</w:t>
      </w:r>
      <w:r>
        <w:rPr>
          <w:rStyle w:val="FootnoteAnchor"/>
          <w:rtl w:val="true"/>
        </w:rPr>
        <w:footnoteReference w:id="2960"/>
      </w:r>
      <w:r>
        <w:rPr>
          <w:rFonts w:eastAsia="Times New Roman" w:cs="Times New Roman" w:ascii="Times New Roman" w:hAnsi="Times New Roman"/>
          <w:color w:val="111111"/>
          <w:sz w:val="28"/>
          <w:szCs w:val="28"/>
          <w:rtl w:val="true"/>
          <w:lang w:val="en-US" w:bidi="en-US"/>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المقنعة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لأحدٍ أن یعقد علی صغیرة سوی أبیها أو جدّها لأبیها، فإن عقد علیها غیر مَن سمّیناهُ من أهلها کان العقد موقوفاً علی رضاها به</w:t>
      </w:r>
    </w:p>
    <w:p>
      <w:pPr>
        <w:pStyle w:val="BookText"/>
        <w:rPr/>
      </w:pPr>
      <w:r>
        <w:rPr>
          <w:rFonts w:ascii="IRNazanin" w:hAnsi="IRNazanin" w:eastAsia="IRNazanin"/>
          <w:color w:val="111111"/>
          <w:sz w:val="28"/>
          <w:sz w:val="28"/>
          <w:szCs w:val="28"/>
          <w:rtl w:val="true"/>
          <w:lang w:bidi="fa-IR"/>
        </w:rPr>
        <w:t>عند البلوغ</w:t>
      </w:r>
      <w:r>
        <w:rPr>
          <w:rFonts w:eastAsia="IRNazanin" w:cs="IRNazanin"/>
          <w:color w:val="111111"/>
          <w:sz w:val="28"/>
          <w:szCs w:val="28"/>
          <w:rtl w:val="true"/>
          <w:lang w:bidi="fa-IR"/>
        </w:rPr>
        <w:t>»</w:t>
      </w:r>
      <w:r>
        <w:rPr>
          <w:rStyle w:val="FootnoteAnchor"/>
          <w:rtl w:val="true"/>
        </w:rPr>
        <w:footnoteReference w:id="29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العلاّمة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ولایة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الصغیرین و لا علی الرشیدین، و تسقط ولایتهُ مع وجود الأب و الجدّ</w:t>
      </w:r>
      <w:r>
        <w:rPr>
          <w:rFonts w:eastAsia="IRNazanin" w:cs="IRNazanin"/>
          <w:color w:val="111111"/>
          <w:sz w:val="28"/>
          <w:szCs w:val="28"/>
          <w:rtl w:val="true"/>
          <w:lang w:bidi="fa-IR"/>
        </w:rPr>
        <w:t>»</w:t>
      </w:r>
      <w:r>
        <w:rPr>
          <w:rStyle w:val="FootnoteAnchor"/>
          <w:rtl w:val="true"/>
        </w:rPr>
        <w:footnoteReference w:id="29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هکذا ذهب إلیه الحلبی</w:t>
      </w:r>
      <w:r>
        <w:rPr>
          <w:rStyle w:val="FootnoteAnchor"/>
          <w:rtl w:val="true"/>
        </w:rPr>
        <w:footnoteReference w:id="2963"/>
      </w:r>
      <w:r>
        <w:rPr>
          <w:rFonts w:ascii="IRNazanin" w:hAnsi="IRNazanin" w:eastAsia="IRNazanin"/>
          <w:color w:val="111111"/>
          <w:sz w:val="28"/>
          <w:sz w:val="28"/>
          <w:szCs w:val="28"/>
          <w:rtl w:val="true"/>
          <w:lang w:bidi="fa-IR"/>
        </w:rPr>
        <w:t>و ابن إدریس</w:t>
      </w:r>
      <w:r>
        <w:rPr>
          <w:rStyle w:val="FootnoteAnchor"/>
          <w:rtl w:val="true"/>
        </w:rPr>
        <w:footnoteReference w:id="2964"/>
      </w:r>
      <w:r>
        <w:rPr>
          <w:rFonts w:ascii="Amiri" w:hAnsi="Amiri" w:eastAsia="Amiri" w:cs="Amiri"/>
          <w:color w:val="111111"/>
          <w:sz w:val="28"/>
          <w:sz w:val="28"/>
          <w:szCs w:val="28"/>
          <w:rtl w:val="true"/>
          <w:lang w:bidi="ar-SA"/>
        </w:rPr>
        <w:t>و المحقّق</w:t>
      </w:r>
      <w:r>
        <w:rPr>
          <w:rStyle w:val="FootnoteAnchor"/>
          <w:rtl w:val="true"/>
        </w:rPr>
        <w:footnoteReference w:id="2965"/>
      </w:r>
      <w:r>
        <w:rPr>
          <w:rFonts w:ascii="IRNazanin" w:hAnsi="IRNazanin" w:eastAsia="IRNazanin"/>
          <w:color w:val="111111"/>
          <w:sz w:val="28"/>
          <w:sz w:val="28"/>
          <w:szCs w:val="28"/>
          <w:rtl w:val="true"/>
          <w:lang w:bidi="fa-IR"/>
        </w:rPr>
        <w:t>و المحقّق و الشهید الثانی</w:t>
      </w:r>
      <w:r>
        <w:rPr>
          <w:rStyle w:val="FootnoteAnchor"/>
          <w:rtl w:val="true"/>
        </w:rPr>
        <w:footnoteReference w:id="2966"/>
      </w:r>
      <w:r>
        <w:rPr>
          <w:rFonts w:ascii="IRNazanin" w:hAnsi="IRNazanin" w:eastAsia="IRNazanin"/>
          <w:color w:val="111111"/>
          <w:sz w:val="28"/>
          <w:sz w:val="28"/>
          <w:szCs w:val="28"/>
          <w:rtl w:val="true"/>
          <w:lang w:bidi="fa-IR"/>
        </w:rPr>
        <w:t>و السید صاحب الریاض و نسبه إلی المشهور</w:t>
      </w:r>
      <w:r>
        <w:rPr>
          <w:rStyle w:val="FootnoteAnchor"/>
          <w:rtl w:val="true"/>
        </w:rPr>
        <w:footnoteReference w:id="2967"/>
      </w:r>
      <w:r>
        <w:rPr>
          <w:rFonts w:ascii="IRNazanin" w:hAnsi="IRNazanin" w:eastAsia="IRNazanin"/>
          <w:color w:val="111111"/>
          <w:sz w:val="28"/>
          <w:sz w:val="28"/>
          <w:szCs w:val="28"/>
          <w:rtl w:val="true"/>
          <w:lang w:bidi="fa-IR"/>
        </w:rPr>
        <w:t>و صاحب الجواهر</w:t>
      </w:r>
      <w:r>
        <w:rPr>
          <w:rStyle w:val="FootnoteAnchor"/>
          <w:rtl w:val="true"/>
        </w:rPr>
        <w:footnoteReference w:id="2968"/>
      </w:r>
    </w:p>
    <w:p>
      <w:pPr>
        <w:pStyle w:val="BookText"/>
        <w:rPr/>
      </w:pPr>
      <w:r>
        <w:rPr>
          <w:rFonts w:ascii="IRNazanin" w:hAnsi="IRNazanin" w:eastAsia="IRNazanin"/>
          <w:color w:val="111111"/>
          <w:sz w:val="28"/>
          <w:sz w:val="28"/>
          <w:szCs w:val="28"/>
          <w:rtl w:val="true"/>
          <w:lang w:bidi="fa-IR"/>
        </w:rPr>
        <w:t>و المحقّق النراقی</w:t>
      </w:r>
      <w:r>
        <w:rPr>
          <w:rStyle w:val="FootnoteAnchor"/>
          <w:rtl w:val="true"/>
        </w:rPr>
        <w:footnoteReference w:id="2969"/>
      </w:r>
      <w:r>
        <w:rPr>
          <w:rFonts w:ascii="IRNazanin" w:hAnsi="IRNazanin" w:eastAsia="IRNazanin"/>
          <w:color w:val="111111"/>
          <w:sz w:val="28"/>
          <w:sz w:val="28"/>
          <w:szCs w:val="28"/>
          <w:rtl w:val="true"/>
          <w:lang w:bidi="fa-IR"/>
        </w:rPr>
        <w:t>و العلاّمة الشیخ الأنصاری، و ادّعی الإجماع علیه و اتّفاق الفقهاء</w:t>
      </w:r>
      <w:r>
        <w:rPr>
          <w:rStyle w:val="FootnoteAnchor"/>
          <w:rtl w:val="true"/>
        </w:rPr>
        <w:footnoteReference w:id="2970"/>
      </w:r>
      <w:r>
        <w:rPr>
          <w:rFonts w:ascii="IRNazanin" w:hAnsi="IRNazanin" w:eastAsia="IRNazanin"/>
          <w:color w:val="111111"/>
          <w:sz w:val="28"/>
          <w:sz w:val="28"/>
          <w:szCs w:val="28"/>
          <w:rtl w:val="true"/>
          <w:lang w:bidi="fa-IR"/>
        </w:rPr>
        <w:t>، و السیّد الحکیم</w:t>
      </w:r>
      <w:r>
        <w:rPr>
          <w:rStyle w:val="FootnoteAnchor"/>
          <w:rtl w:val="true"/>
        </w:rPr>
        <w:footnoteReference w:id="2971"/>
      </w:r>
      <w:r>
        <w:rPr>
          <w:rFonts w:ascii="IRNazanin" w:hAnsi="IRNazanin" w:eastAsia="IRNazanin"/>
          <w:color w:val="111111"/>
          <w:sz w:val="28"/>
          <w:sz w:val="28"/>
          <w:szCs w:val="28"/>
          <w:rtl w:val="true"/>
          <w:lang w:bidi="fa-IR"/>
        </w:rPr>
        <w:t>و السید الخوئی</w:t>
      </w:r>
      <w:r>
        <w:rPr>
          <w:rStyle w:val="FootnoteAnchor"/>
          <w:rtl w:val="true"/>
        </w:rPr>
        <w:footnoteReference w:id="2972"/>
      </w:r>
      <w:r>
        <w:rPr>
          <w:rFonts w:ascii="IRNazanin" w:hAnsi="IRNazanin" w:eastAsia="IRNazanin"/>
          <w:color w:val="111111"/>
          <w:sz w:val="28"/>
          <w:sz w:val="28"/>
          <w:szCs w:val="28"/>
          <w:rtl w:val="true"/>
          <w:lang w:bidi="fa-IR"/>
        </w:rPr>
        <w:t>و غیرهم</w:t>
      </w:r>
      <w:r>
        <w:rPr>
          <w:rStyle w:val="FootnoteAnchor"/>
          <w:rtl w:val="true"/>
        </w:rPr>
        <w:footnoteReference w:id="29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أن یُستدلّ علی هذا بوجهین</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و تقریره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فی أنّ الأصل عدم ثبوت ولایة أحد علی أحد إلاّ من ولاّه اللّه سبحانه أو رسوله أو أحد أوصیائه المعصومین علیهم السلام علی أحد، و الفرض أنّه لا دلیل لولایة الحاکم فی هذا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یقرّر أیضاً بنحو العدم الأزلی،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تجعل الولایة للحاکم فی المقام قبل الشریعة و الآن نشکّ فی جعلها فالأصل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النبوی المعروف، حیث 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السلطان ولیّ من لا ولیّ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ذکره الفریقان</w:t>
      </w:r>
      <w:r>
        <w:rPr>
          <w:rStyle w:val="FootnoteAnchor"/>
          <w:rtl w:val="true"/>
        </w:rPr>
        <w:footnoteReference w:id="29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ظاهره أنّ السلطان قائم مقام الولیّ حیث لا ولیّ له، و قد أثبتنا فی مبحث زواج الصغار أنّ للأب و الجدّ ولایة علیهم، و علی هذا تصدق الولایة للسلطان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انجبار ضعفه بالشهرة و عمل الأصحاب، کما قال صاحب الجواهر فی خصوص هذه الروایة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وجهٍ استغنت عن الجابر فی خصوص الموارد، نحو غیرها من القواعد</w:t>
      </w:r>
      <w:r>
        <w:rPr>
          <w:rFonts w:eastAsia="IRNazanin" w:cs="IRNazanin"/>
          <w:color w:val="111111"/>
          <w:sz w:val="28"/>
          <w:szCs w:val="28"/>
          <w:rtl w:val="true"/>
          <w:lang w:bidi="fa-IR"/>
        </w:rPr>
        <w:t>»</w:t>
      </w:r>
      <w:r>
        <w:rPr>
          <w:rStyle w:val="FootnoteAnchor"/>
          <w:rtl w:val="true"/>
        </w:rPr>
        <w:footnoteReference w:id="29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آراء أهل السنّة فی المسألة</w:t>
      </w:r>
    </w:p>
    <w:p>
      <w:pPr>
        <w:pStyle w:val="BookText"/>
        <w:rPr/>
      </w:pPr>
      <w:r>
        <w:rPr>
          <w:rFonts w:ascii="IRNazanin" w:hAnsi="IRNazanin" w:eastAsia="IRNazanin"/>
          <w:color w:val="111111"/>
          <w:sz w:val="28"/>
          <w:sz w:val="28"/>
          <w:szCs w:val="28"/>
          <w:rtl w:val="true"/>
          <w:lang w:bidi="fa-IR"/>
        </w:rPr>
        <w:t>یستفاد من کلمات فقهاء المذاهب الأربعة أیضاً عدم ولایة الحاکم مع وجود الأب و الجدّ، فنذکر شطراً من کلماتهم اختصاراً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الشافعیّة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یزوّج الصغیرة التی لم تبلغ أحد غیر الآباء، و إن زوّجها فالتزویج مفسوخ، و الأجداد آباء إذا لم یکن أب یقومون مقام الآباء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للآباء تزویج الابن الصغیر و لا خیار له إذا بلغ، و لیس ذلک لسلطان و لا ولیّ، و إن زوّجه سلطان أو ولیّ غیر الآباء فالنکاح مفسوخٌ؛ لأنّا إنّما نجیز علیه أمر الأب، لأنّه یقوم مقامه فی النظر له ما لم یکن له فی نفسه أمرٌ</w:t>
      </w:r>
      <w:r>
        <w:rPr>
          <w:rFonts w:eastAsia="IRNazanin" w:cs="IRNazanin"/>
          <w:color w:val="111111"/>
          <w:sz w:val="28"/>
          <w:szCs w:val="28"/>
          <w:rtl w:val="true"/>
          <w:lang w:bidi="fa-IR"/>
        </w:rPr>
        <w:t>»</w:t>
      </w:r>
      <w:r>
        <w:rPr>
          <w:rStyle w:val="FootnoteAnchor"/>
          <w:rtl w:val="true"/>
        </w:rPr>
        <w:footnoteReference w:id="2976"/>
      </w:r>
      <w:r>
        <w:rPr>
          <w:rFonts w:eastAsia="Times New Roman" w:cs="Times New Roman" w:ascii="Times New Roman" w:hAnsi="Times New Roman"/>
          <w:color w:val="111111"/>
          <w:sz w:val="28"/>
          <w:szCs w:val="28"/>
          <w:rtl w:val="true"/>
          <w:lang w:val="en-US" w:bidi="en-US"/>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جاء فی مغنی المحتاج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علی حاشیة النسب کأخٍ و عمٍّ لا یزوّج صغیرةً بحالٍ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السلطان کالأخ</w:t>
      </w:r>
      <w:r>
        <w:rPr>
          <w:rFonts w:eastAsia="Amiri" w:cs="Amiri" w:ascii="Amiri" w:hAnsi="Amiri"/>
          <w:color w:val="111111"/>
          <w:sz w:val="28"/>
          <w:szCs w:val="28"/>
          <w:rtl w:val="true"/>
          <w:lang w:bidi="ar-SA"/>
        </w:rPr>
        <w:t>»</w:t>
      </w:r>
      <w:r>
        <w:rPr>
          <w:rStyle w:val="FootnoteAnchor"/>
          <w:rtl w:val="true"/>
        </w:rPr>
        <w:footnoteReference w:id="29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قال بعض آخر منهم</w:t>
      </w:r>
      <w:r>
        <w:rPr>
          <w:rStyle w:val="FootnoteAnchor"/>
          <w:rtl w:val="true"/>
        </w:rPr>
        <w:footnoteReference w:id="2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الحنابلة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قدامة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نعلم خلافاً بین أهل العلم فی أنّ للسلطان ولایة تزویج المرأة عند عدم أولیائها أو عضلهم، و به یقول مالک، و الشافعی و إسحاق و أبو عبید و أصحاب الرأی، و الأصل فیه قول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فالسلطان ولیّ من لا ولیّ له</w:t>
      </w:r>
      <w:r>
        <w:rPr>
          <w:rFonts w:eastAsia="IRNazanin" w:cs="IRNazanin"/>
          <w:color w:val="111111"/>
          <w:sz w:val="28"/>
          <w:szCs w:val="28"/>
          <w:rtl w:val="true"/>
          <w:lang w:bidi="fa-IR"/>
        </w:rPr>
        <w:t>»</w:t>
      </w:r>
      <w:r>
        <w:rPr>
          <w:rStyle w:val="FootnoteAnchor"/>
          <w:rtl w:val="true"/>
        </w:rPr>
        <w:footnoteReference w:id="2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الحنفیّة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السرخسی فی المبسوط فی بیان الاستدلال بروایة أبی حنیفة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وجه ظاهر الروایة أنّ ولایة القاضی متأخّرة عن ولایة العم و الأخ، فإذا ثبت الخیار فی تزویج الأخ و العمّ ففی تزویج القاضی أولی</w:t>
      </w:r>
      <w:r>
        <w:rPr>
          <w:rFonts w:eastAsia="IRNazanin" w:cs="IRNazanin"/>
          <w:color w:val="111111"/>
          <w:sz w:val="28"/>
          <w:szCs w:val="28"/>
          <w:rtl w:val="true"/>
          <w:lang w:bidi="fa-IR"/>
        </w:rPr>
        <w:t>»</w:t>
      </w:r>
      <w:r>
        <w:rPr>
          <w:rStyle w:val="FootnoteAnchor"/>
          <w:rtl w:val="true"/>
        </w:rPr>
        <w:footnoteReference w:id="29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الفقه الإسلامی و أدلّته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السلطان أو نائبه و هو القاضی؛ لأنه نائب عن جماعة المسلمین، للحدیث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السلطان ولی من لا ولی له</w:t>
      </w:r>
      <w:r>
        <w:rPr>
          <w:rFonts w:eastAsia="IRNazanin" w:cs="IRNazanin"/>
          <w:color w:val="111111"/>
          <w:sz w:val="28"/>
          <w:szCs w:val="28"/>
          <w:rtl w:val="true"/>
          <w:lang w:bidi="fa-IR"/>
        </w:rPr>
        <w:t>»</w:t>
      </w:r>
      <w:r>
        <w:rPr>
          <w:rStyle w:val="FootnoteAnchor"/>
          <w:rtl w:val="true"/>
        </w:rPr>
        <w:footnoteReference w:id="29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المالکیّة</w:t>
      </w:r>
      <w:r>
        <w:rPr>
          <w:rFonts w:eastAsia="Amiri" w:cs="Amiri" w:ascii="Amiri" w:hAnsi="Amiri"/>
          <w:color w:val="111111"/>
          <w:sz w:val="28"/>
          <w:szCs w:val="28"/>
          <w:rtl w:val="true"/>
          <w:lang w:bidi="ar-SA"/>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إنّهم قالوا أیضاً بالترتیب فی الولایة، و أنّ الأب و الجدّ و العمّ و الخال و العصبات مقدّم فی تزویج الصغار و الولایة علیهم علی الحاکم</w:t>
      </w:r>
      <w:r>
        <w:rPr>
          <w:rStyle w:val="FootnoteAnchor"/>
          <w:rtl w:val="true"/>
        </w:rPr>
        <w:footnoteReference w:id="2982"/>
      </w:r>
      <w:bookmarkStart w:id="1368" w:name="pg11752_146687"/>
    </w:p>
    <w:p>
      <w:pPr>
        <w:pStyle w:val="Heading4"/>
        <w:numPr>
          <w:ilvl w:val="3"/>
          <w:numId w:val="1"/>
        </w:numPr>
        <w:rPr/>
      </w:pPr>
      <w:bookmarkStart w:id="1369" w:name="__RefHeading___Toc9424814_73709187"/>
      <w:bookmarkStart w:id="1370" w:name="_Toc521"/>
      <w:bookmarkEnd w:id="1368"/>
      <w:bookmarkEnd w:id="1369"/>
      <w:r>
        <w:rPr>
          <w:rtl w:val="true"/>
        </w:rPr>
        <w:t>المبحث الثانی</w:t>
      </w:r>
      <w:r>
        <w:rPr>
          <w:rtl w:val="true"/>
        </w:rPr>
        <w:t xml:space="preserve">: </w:t>
      </w:r>
      <w:r>
        <w:rPr>
          <w:rtl w:val="true"/>
        </w:rPr>
        <w:t>عدم ولایة الحاکم علی نکاح الأیتام مطلقاً</w:t>
      </w:r>
      <w:bookmarkEnd w:id="1370"/>
    </w:p>
    <w:p>
      <w:pPr>
        <w:pStyle w:val="Heading5"/>
        <w:numPr>
          <w:ilvl w:val="4"/>
          <w:numId w:val="1"/>
        </w:numPr>
        <w:rPr/>
      </w:pPr>
      <w:bookmarkStart w:id="1371" w:name="__RefHeading___Toc9424816_73709187"/>
      <w:bookmarkStart w:id="1372" w:name="_Toc522"/>
      <w:bookmarkEnd w:id="1371"/>
      <w:r>
        <w:rPr>
          <w:rtl w:val="true"/>
        </w:rPr>
        <w:t>اشارة</w:t>
      </w:r>
      <w:bookmarkEnd w:id="1372"/>
    </w:p>
    <w:p>
      <w:pPr>
        <w:pStyle w:val="BookText"/>
        <w:rPr/>
      </w:pPr>
      <w:r>
        <w:rPr>
          <w:rFonts w:ascii="IRNazanin" w:hAnsi="IRNazanin" w:eastAsia="IRNazanin"/>
          <w:color w:val="111111"/>
          <w:sz w:val="28"/>
          <w:sz w:val="28"/>
          <w:szCs w:val="28"/>
          <w:rtl w:val="true"/>
          <w:lang w:bidi="fa-IR"/>
        </w:rPr>
        <w:t>هل للحاکم ولایة علی نکاح الأیتام، الصغار الخالین عن الأب و الجدّ أم لا؟ فیه أقوال</w:t>
      </w:r>
      <w:r>
        <w:rPr>
          <w:rFonts w:eastAsia="IRNazanin" w:cs="IRNazanin"/>
          <w:color w:val="111111"/>
          <w:sz w:val="28"/>
          <w:szCs w:val="28"/>
          <w:rtl w:val="true"/>
          <w:lang w:bidi="fa-IR"/>
        </w:rPr>
        <w:t>:</w:t>
      </w:r>
    </w:p>
    <w:p>
      <w:pPr>
        <w:pStyle w:val="Heading5"/>
        <w:numPr>
          <w:ilvl w:val="4"/>
          <w:numId w:val="1"/>
        </w:numPr>
        <w:rPr/>
      </w:pPr>
      <w:bookmarkStart w:id="1373" w:name="__RefHeading___Toc9424818_73709187"/>
      <w:bookmarkStart w:id="1374" w:name="_Toc523"/>
      <w:bookmarkEnd w:id="1373"/>
      <w:r>
        <w:rPr>
          <w:rtl w:val="true"/>
        </w:rPr>
        <w:t>القول الأوّل</w:t>
      </w:r>
      <w:r>
        <w:rPr>
          <w:rtl w:val="true"/>
        </w:rPr>
        <w:t xml:space="preserve">: - </w:t>
      </w:r>
      <w:r>
        <w:rPr>
          <w:rtl w:val="true"/>
        </w:rPr>
        <w:t xml:space="preserve">و هو قول المشهور </w:t>
      </w:r>
      <w:r>
        <w:rPr>
          <w:rtl w:val="true"/>
        </w:rPr>
        <w:t xml:space="preserve">- </w:t>
      </w:r>
      <w:r>
        <w:rPr>
          <w:rtl w:val="true"/>
        </w:rPr>
        <w:t>عدم ولایة الحاکم علی نکاح الأیتام</w:t>
      </w:r>
      <w:bookmarkEnd w:id="1374"/>
    </w:p>
    <w:p>
      <w:pPr>
        <w:pStyle w:val="Heading6"/>
        <w:numPr>
          <w:ilvl w:val="5"/>
          <w:numId w:val="1"/>
        </w:numPr>
        <w:rPr/>
      </w:pPr>
      <w:bookmarkStart w:id="1375" w:name="__RefHeading___Toc9424820_73709187"/>
      <w:bookmarkStart w:id="1376" w:name="_Toc524"/>
      <w:bookmarkEnd w:id="1375"/>
      <w:r>
        <w:rPr>
          <w:rtl w:val="true"/>
        </w:rPr>
        <w:t>اشارة</w:t>
      </w:r>
      <w:bookmarkEnd w:id="1376"/>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ولایته علی نکاح الأیتام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هو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ولایته مع الغبطة و المصلحة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المحقّق النراقی فی العوائد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المشهور عدم ثبوت ولایة النکاح علیهما للحاکم</w:t>
      </w:r>
      <w:r>
        <w:rPr>
          <w:rFonts w:eastAsia="IRNazanin" w:cs="IRNazanin"/>
          <w:color w:val="111111"/>
          <w:sz w:val="28"/>
          <w:szCs w:val="28"/>
          <w:rtl w:val="true"/>
          <w:lang w:bidi="fa-IR"/>
        </w:rPr>
        <w:t>»</w:t>
      </w:r>
      <w:r>
        <w:rPr>
          <w:rStyle w:val="FootnoteAnchor"/>
          <w:rtl w:val="true"/>
        </w:rPr>
        <w:footnoteReference w:id="29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الریاض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الحاکم أی الإمام العادل أو منصوبه خصوصاً أو عموماً و منه الفقیه الجامع لشرائط الفتوی، فلا یزوّج الصغیرین مطلقاً فی المشهور</w:t>
      </w:r>
      <w:r>
        <w:rPr>
          <w:rFonts w:eastAsia="IRNazanin" w:cs="IRNazanin"/>
          <w:color w:val="111111"/>
          <w:sz w:val="28"/>
          <w:szCs w:val="28"/>
          <w:rtl w:val="true"/>
          <w:lang w:bidi="fa-IR"/>
        </w:rPr>
        <w:t>»</w:t>
      </w:r>
      <w:r>
        <w:rPr>
          <w:rStyle w:val="FootnoteAnchor"/>
          <w:rtl w:val="true"/>
        </w:rPr>
        <w:footnoteReference w:id="29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نسب هذا القول فی الحدائق إلی الأصحاب مؤذناً بدعوی الإجماع علیه</w:t>
      </w:r>
      <w:r>
        <w:rPr>
          <w:rStyle w:val="FootnoteAnchor"/>
          <w:rtl w:val="true"/>
        </w:rPr>
        <w:footnoteReference w:id="2985"/>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ادّعی الآخرون الإجماع علیه، منهم صاحب عناوین الأصول</w:t>
      </w:r>
      <w:r>
        <w:rPr>
          <w:rStyle w:val="FootnoteAnchor"/>
          <w:rtl w:val="true"/>
        </w:rPr>
        <w:footnoteReference w:id="29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صاحب المدارک فی شرح النافع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القول هو المعروف من مذهب الأصحاب</w:t>
      </w:r>
      <w:r>
        <w:rPr>
          <w:rFonts w:eastAsia="IRNazanin" w:cs="IRNazanin"/>
          <w:color w:val="111111"/>
          <w:sz w:val="28"/>
          <w:szCs w:val="28"/>
          <w:rtl w:val="true"/>
          <w:lang w:bidi="fa-IR"/>
        </w:rPr>
        <w:t>»</w:t>
      </w:r>
      <w:r>
        <w:rPr>
          <w:rStyle w:val="FootnoteAnchor"/>
          <w:rtl w:val="true"/>
        </w:rPr>
        <w:footnoteReference w:id="29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 الشهید رحمه الله و المحقّق الثانی</w:t>
      </w:r>
      <w:r>
        <w:rPr>
          <w:rStyle w:val="FootnoteAnchor"/>
          <w:rtl w:val="true"/>
        </w:rPr>
        <w:footnoteReference w:id="2988"/>
      </w:r>
      <w:r>
        <w:rPr>
          <w:rFonts w:ascii="IRNazanin" w:hAnsi="IRNazanin" w:eastAsia="IRNazanin"/>
          <w:color w:val="111111"/>
          <w:sz w:val="28"/>
          <w:sz w:val="28"/>
          <w:szCs w:val="28"/>
          <w:rtl w:val="true"/>
          <w:lang w:bidi="fa-IR"/>
        </w:rPr>
        <w:t>و المحقّق الخوانساری</w:t>
      </w:r>
      <w:r>
        <w:rPr>
          <w:rStyle w:val="FootnoteAnchor"/>
          <w:rtl w:val="true"/>
        </w:rPr>
        <w:footnoteReference w:id="2989"/>
      </w:r>
      <w:bookmarkStart w:id="1377" w:name="pg11752_146688"/>
    </w:p>
    <w:p>
      <w:pPr>
        <w:pStyle w:val="BookText"/>
        <w:rPr/>
      </w:pPr>
      <w:bookmarkEnd w:id="1377"/>
      <w:r>
        <w:rPr>
          <w:rFonts w:ascii="IRNazanin" w:hAnsi="IRNazanin" w:eastAsia="IRNazanin"/>
          <w:color w:val="111111"/>
          <w:sz w:val="28"/>
          <w:sz w:val="28"/>
          <w:szCs w:val="28"/>
          <w:rtl w:val="true"/>
          <w:lang w:bidi="fa-IR"/>
        </w:rPr>
        <w:t>علی کلّ حالٍ یستفاد هذا القول من کلماتهم صریحاً أو اعتماداً علی القرائن و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قال الشیخ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للحاکم ولایةٌ فی النکاح علی من لم یبلغ</w:t>
      </w:r>
      <w:r>
        <w:rPr>
          <w:rFonts w:eastAsia="IRNazanin" w:cs="IRNazanin"/>
          <w:color w:val="111111"/>
          <w:sz w:val="28"/>
          <w:szCs w:val="28"/>
          <w:rtl w:val="true"/>
          <w:lang w:bidi="fa-IR"/>
        </w:rPr>
        <w:t>»</w:t>
      </w:r>
      <w:r>
        <w:rPr>
          <w:rStyle w:val="FootnoteAnchor"/>
          <w:rtl w:val="true"/>
        </w:rPr>
        <w:footnoteReference w:id="29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المحقّق فی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للحاکم ولایة فی النکاح علی من لم یبلغ، و لا علی بالغ رشید، و یثبت ولایته علی من بلغ غیر رشید</w:t>
      </w:r>
      <w:r>
        <w:rPr>
          <w:rFonts w:eastAsia="IRNazanin" w:cs="IRNazanin"/>
          <w:color w:val="111111"/>
          <w:sz w:val="28"/>
          <w:szCs w:val="28"/>
          <w:rtl w:val="true"/>
          <w:lang w:bidi="fa-IR"/>
        </w:rPr>
        <w:t>...»</w:t>
      </w:r>
      <w:r>
        <w:rPr>
          <w:rStyle w:val="FootnoteAnchor"/>
          <w:rtl w:val="true"/>
        </w:rPr>
        <w:footnoteReference w:id="29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فإطلاق کلامهما یشمل صورة فقدان الأب و الجدّ، و قال العلاّمة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الحکم فإنّ ولایة الحاکم تختصّ فی النکاح علی البالغ فاسد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ولایة له علی الصغیرین لانتفاء حاجتهما إلیه</w:t>
      </w:r>
      <w:r>
        <w:rPr>
          <w:rFonts w:eastAsia="IRNazanin" w:cs="IRNazanin"/>
          <w:color w:val="111111"/>
          <w:sz w:val="28"/>
          <w:szCs w:val="28"/>
          <w:rtl w:val="true"/>
          <w:lang w:bidi="fa-IR"/>
        </w:rPr>
        <w:t>»</w:t>
      </w:r>
      <w:r>
        <w:rPr>
          <w:rStyle w:val="FootnoteAnchor"/>
          <w:rtl w:val="true"/>
        </w:rPr>
        <w:footnoteReference w:id="29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الشیخ الأنصاری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 حکمه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الوصیّ فی انتفاء ولایته عن الصغیرین الذکر و الأنثی الفاقدین للأب و 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العمومات النافیة لولایة غیرهما</w:t>
      </w:r>
      <w:r>
        <w:rPr>
          <w:rFonts w:eastAsia="IRNazanin" w:cs="IRNazanin"/>
          <w:color w:val="111111"/>
          <w:sz w:val="28"/>
          <w:szCs w:val="28"/>
          <w:rtl w:val="true"/>
          <w:lang w:bidi="fa-IR"/>
        </w:rPr>
        <w:t>»</w:t>
      </w:r>
      <w:r>
        <w:rPr>
          <w:rStyle w:val="FootnoteAnchor"/>
          <w:rtl w:val="true"/>
        </w:rPr>
        <w:footnoteReference w:id="299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78" w:name="__RefHeading___Toc9424822_73709187"/>
      <w:bookmarkStart w:id="1379" w:name="_Toc525"/>
      <w:bookmarkEnd w:id="1378"/>
      <w:r>
        <w:rPr>
          <w:rtl w:val="true"/>
        </w:rPr>
        <w:t>أدلّة هذا القول</w:t>
      </w:r>
      <w:r>
        <w:rPr>
          <w:rtl w:val="true"/>
        </w:rPr>
        <w:t>:</w:t>
      </w:r>
      <w:bookmarkEnd w:id="1379"/>
    </w:p>
    <w:p>
      <w:pPr>
        <w:pStyle w:val="BookText"/>
        <w:rPr/>
      </w:pPr>
      <w:r>
        <w:rPr>
          <w:rFonts w:ascii="IRNazanin" w:hAnsi="IRNazanin" w:eastAsia="IRNazanin"/>
          <w:color w:val="111111"/>
          <w:sz w:val="28"/>
          <w:sz w:val="28"/>
          <w:szCs w:val="28"/>
          <w:rtl w:val="true"/>
          <w:lang w:bidi="fa-IR"/>
        </w:rPr>
        <w:t>تدلّ علی انتفاء ولایة الحاکم فی تزویج الأیتام الأدلّة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بالتقریب الذی ذکرناه فی الدلیل علی عدم ولایة الحاکم مع وجود الأب و الجدّ،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هو العمدة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w:t>
      </w:r>
      <w:r>
        <w:rPr>
          <w:rFonts w:eastAsia="IRNazanin" w:cs="IRNazanin"/>
          <w:color w:val="111111"/>
          <w:sz w:val="28"/>
          <w:szCs w:val="28"/>
          <w:rtl w:val="true"/>
          <w:lang w:bidi="fa-IR"/>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محمّد بن مسلم، عن أبی جعفر علیه السلام فی الصبیّ یتزوّج الصبیّة</w:t>
      </w:r>
    </w:p>
    <w:p>
      <w:pPr>
        <w:pStyle w:val="BookText"/>
        <w:rPr/>
      </w:pPr>
      <w:r>
        <w:rPr>
          <w:rFonts w:ascii="IRNazanin" w:hAnsi="IRNazanin" w:eastAsia="IRNazanin"/>
          <w:color w:val="111111"/>
          <w:sz w:val="28"/>
          <w:sz w:val="28"/>
          <w:szCs w:val="28"/>
          <w:rtl w:val="true"/>
          <w:lang w:bidi="fa-IR"/>
        </w:rPr>
        <w:t>یتوارثان؟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أبواهما اللذان زوّجاهما فنعم</w:t>
      </w:r>
      <w:r>
        <w:rPr>
          <w:rFonts w:eastAsia="IRNazanin" w:cs="IRNazanin"/>
          <w:color w:val="111111"/>
          <w:sz w:val="28"/>
          <w:szCs w:val="28"/>
          <w:rtl w:val="true"/>
          <w:lang w:bidi="fa-IR"/>
        </w:rPr>
        <w:t>»</w:t>
      </w:r>
      <w:r>
        <w:rPr>
          <w:rStyle w:val="FootnoteAnchor"/>
          <w:rtl w:val="true"/>
        </w:rPr>
        <w:footnoteReference w:id="2994"/>
      </w:r>
      <w:r>
        <w:rPr>
          <w:rFonts w:ascii="IRNazanin" w:hAnsi="IRNazanin" w:eastAsia="IRNazanin"/>
          <w:color w:val="111111"/>
          <w:sz w:val="28"/>
          <w:sz w:val="28"/>
          <w:szCs w:val="28"/>
          <w:rtl w:val="true"/>
          <w:lang w:bidi="fa-IR"/>
        </w:rPr>
        <w:t xml:space="preserve">حیث یستفاد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بمقتضی مفهوم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ولایة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أخری له عن الصبیّ یزوّج الصبیّة،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أبواهما اللذان زوّجاهما فنعم جائز</w:t>
      </w:r>
      <w:r>
        <w:rPr>
          <w:rFonts w:eastAsia="IRNazanin" w:cs="IRNazanin"/>
          <w:color w:val="111111"/>
          <w:sz w:val="28"/>
          <w:szCs w:val="28"/>
          <w:rtl w:val="true"/>
          <w:lang w:bidi="fa-IR"/>
        </w:rPr>
        <w:t>»</w:t>
      </w:r>
      <w:r>
        <w:rPr>
          <w:rStyle w:val="FootnoteAnchor"/>
          <w:rtl w:val="true"/>
        </w:rPr>
        <w:footnoteReference w:id="29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الدلالة واضحة، حیث انحصرت الولایة فی التزویج للأب و الجدّ، فیستفاد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بحکم المفهوم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الولایة لغیرهما و إن کان حاکماً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 یستفاد من إطلاق مفهومهما أنّه لیس</w:t>
      </w:r>
      <w:r>
        <w:rPr>
          <w:rStyle w:val="FootnoteAnchor"/>
          <w:rtl w:val="true"/>
        </w:rPr>
        <w:footnoteReference w:id="2996"/>
      </w:r>
      <w:r>
        <w:rPr>
          <w:rFonts w:ascii="IRNazanin" w:hAnsi="IRNazanin" w:eastAsia="IRNazanin"/>
          <w:color w:val="111111"/>
          <w:sz w:val="28"/>
          <w:sz w:val="28"/>
          <w:szCs w:val="28"/>
          <w:rtl w:val="true"/>
          <w:lang w:bidi="fa-IR"/>
        </w:rPr>
        <w:t>للحاکم ولایة علی تزویج الصغار، سواء</w:t>
      </w:r>
      <w:r>
        <w:rPr>
          <w:rStyle w:val="FootnoteAnchor"/>
          <w:rtl w:val="true"/>
        </w:rPr>
        <w:footnoteReference w:id="2997"/>
      </w:r>
      <w:r>
        <w:rPr>
          <w:rFonts w:ascii="IRNazanin" w:hAnsi="IRNazanin" w:eastAsia="IRNazanin"/>
          <w:color w:val="111111"/>
          <w:sz w:val="28"/>
          <w:sz w:val="28"/>
          <w:szCs w:val="28"/>
          <w:rtl w:val="true"/>
          <w:lang w:bidi="fa-IR"/>
        </w:rPr>
        <w:t>کان الأب و الجدّ موجودین أم لم یکونا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ذیل الأخیرة یدلّ علی إثبات الخیار، فإنّ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لهما الخیار إذا أدرکا فإن رضیا بعد ذلک فإنّ المهر علی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دلیلٌ علی عدم نفوذ نکاح الأب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غیر ضائرٌ؛ لأنّ خروج جزء من الخبر عن الحجیّة لا یضرّ فی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هاتان الروایتان لا تکونان فی مقام بیان نفی ولایة الحاکم، بل کانا فی مقام ردّ الذین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کان للأخ و العمّ و العصبات ولایةٌ؛ لأنّ هذا کان مشهوراً بینهم فی عصر صدور الروایة</w:t>
      </w:r>
      <w:r>
        <w:rPr>
          <w:rFonts w:eastAsia="IRNazanin" w:cs="IRNazanin"/>
          <w:color w:val="111111"/>
          <w:sz w:val="28"/>
          <w:szCs w:val="28"/>
          <w:rtl w:val="true"/>
          <w:lang w:bidi="fa-IR"/>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صرف الاحتمال، و المفهوم فی الروایتین ظاهر، بل صریح فی إثبات</w:t>
      </w:r>
      <w:bookmarkStart w:id="1380" w:name="pg11752_146690"/>
    </w:p>
    <w:p>
      <w:pPr>
        <w:pStyle w:val="BookText"/>
        <w:rPr/>
      </w:pPr>
      <w:bookmarkEnd w:id="1380"/>
      <w:r>
        <w:rPr>
          <w:rFonts w:ascii="IRNazanin" w:hAnsi="IRNazanin" w:eastAsia="IRNazanin"/>
          <w:color w:val="111111"/>
          <w:sz w:val="28"/>
          <w:sz w:val="28"/>
          <w:szCs w:val="28"/>
          <w:rtl w:val="true"/>
          <w:lang w:bidi="fa-IR"/>
        </w:rPr>
        <w:t>عدم الولایة للحاکم أیضاً، و مع هذا الظهور لا یعتنی بالاحتمال غیر المؤیّد بشیءٍ؛ و لذا من قال بعدم ولایة الحاکم</w:t>
      </w:r>
      <w:r>
        <w:rPr>
          <w:rStyle w:val="FootnoteAnchor"/>
          <w:rtl w:val="true"/>
        </w:rPr>
        <w:footnoteReference w:id="2998"/>
      </w:r>
      <w:r>
        <w:rPr>
          <w:rFonts w:ascii="IRNazanin" w:hAnsi="IRNazanin" w:eastAsia="IRNazanin"/>
          <w:color w:val="111111"/>
          <w:sz w:val="28"/>
          <w:sz w:val="28"/>
          <w:szCs w:val="28"/>
          <w:rtl w:val="true"/>
          <w:lang w:bidi="fa-IR"/>
        </w:rPr>
        <w:t>استند علی هذه الروایات، و لکن مع ذلک کلّه فی الاستدلال بهما شیء،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داود بن سرحان، عن أبی عبد اللّه علیه السلام، و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الیتیمة فی حجر الرجل لا یزوّجها إلاّ برضاها</w:t>
      </w:r>
      <w:r>
        <w:rPr>
          <w:rFonts w:eastAsia="IRNazanin" w:cs="IRNazanin"/>
          <w:color w:val="111111"/>
          <w:sz w:val="28"/>
          <w:szCs w:val="28"/>
          <w:rtl w:val="true"/>
          <w:lang w:bidi="fa-IR"/>
        </w:rPr>
        <w:t>»</w:t>
      </w:r>
      <w:r>
        <w:rPr>
          <w:rStyle w:val="FootnoteAnchor"/>
          <w:rtl w:val="true"/>
        </w:rPr>
        <w:footnoteReference w:id="29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بناءً علی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برضاها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زمان یعتبر رضاها أی بعد البلوغ، فیستفاد منها عدم نفوذ العقد و لو کان المزوّج حاکماً، و أمّا إذا حُملت الیتیمة علی البالغة کما فی قوله سبحانه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ابْتَلُوا الْیَتامی حَتّی إِذا بَلَغُوا النِّکاحَ فَإِنْ آنَسْتُمْ مِنْهُمْ رُشْداً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یمکن الاستدلال بها</w:t>
      </w:r>
      <w:r>
        <w:rPr>
          <w:rFonts w:eastAsia="Amiri" w:cs="Amiri" w:ascii="Amiri" w:hAnsi="Amiri"/>
          <w:color w:val="111111"/>
          <w:sz w:val="28"/>
          <w:szCs w:val="28"/>
          <w:rtl w:val="true"/>
          <w:lang w:bidi="ar-SA"/>
        </w:rPr>
        <w:t>.</w:t>
      </w:r>
    </w:p>
    <w:p>
      <w:pPr>
        <w:pStyle w:val="Heading5"/>
        <w:numPr>
          <w:ilvl w:val="4"/>
          <w:numId w:val="1"/>
        </w:numPr>
        <w:rPr/>
      </w:pPr>
      <w:bookmarkStart w:id="1381" w:name="__RefHeading___Toc9424824_73709187"/>
      <w:bookmarkStart w:id="1382" w:name="_Toc526"/>
      <w:bookmarkEnd w:id="1381"/>
      <w:r>
        <w:rPr>
          <w:rtl w:val="true"/>
        </w:rPr>
        <w:t>و أما القول الثانی</w:t>
      </w:r>
      <w:r>
        <w:rPr>
          <w:rtl w:val="true"/>
        </w:rPr>
        <w:t xml:space="preserve">: </w:t>
      </w:r>
      <w:r>
        <w:rPr>
          <w:rtl w:val="true"/>
        </w:rPr>
        <w:t>ولایته علی نکاح الأیتام</w:t>
      </w:r>
      <w:bookmarkEnd w:id="1382"/>
    </w:p>
    <w:p>
      <w:pPr>
        <w:pStyle w:val="Heading6"/>
        <w:numPr>
          <w:ilvl w:val="5"/>
          <w:numId w:val="1"/>
        </w:numPr>
        <w:rPr/>
      </w:pPr>
      <w:bookmarkStart w:id="1383" w:name="__RefHeading___Toc9424826_73709187"/>
      <w:bookmarkStart w:id="1384" w:name="_Toc527"/>
      <w:bookmarkEnd w:id="1383"/>
      <w:r>
        <w:rPr>
          <w:rtl w:val="true"/>
        </w:rPr>
        <w:t>اشارة</w:t>
      </w:r>
      <w:bookmarkEnd w:id="1384"/>
    </w:p>
    <w:p>
      <w:pPr>
        <w:pStyle w:val="BookText"/>
        <w:rPr/>
      </w:pPr>
      <w:r>
        <w:rPr>
          <w:rFonts w:ascii="IRNazanin" w:hAnsi="IRNazanin" w:eastAsia="IRNazanin"/>
          <w:color w:val="111111"/>
          <w:sz w:val="28"/>
          <w:sz w:val="28"/>
          <w:szCs w:val="28"/>
          <w:rtl w:val="true"/>
          <w:lang w:bidi="fa-IR"/>
        </w:rPr>
        <w:t xml:space="preserve">قال الشهید الثانی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قول المحقّق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ولایة للحاکم علی الصغیر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یخلو من نظر إن لم یکن إجماعیّاً</w:t>
      </w:r>
      <w:r>
        <w:rPr>
          <w:rFonts w:eastAsia="IRNazanin" w:cs="IRNazanin"/>
          <w:color w:val="111111"/>
          <w:sz w:val="28"/>
          <w:szCs w:val="28"/>
          <w:rtl w:val="true"/>
          <w:lang w:bidi="fa-IR"/>
        </w:rPr>
        <w:t>»</w:t>
      </w:r>
      <w:r>
        <w:rPr>
          <w:rStyle w:val="FootnoteAnchor"/>
          <w:rtl w:val="true"/>
        </w:rPr>
        <w:footnoteReference w:id="30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هکذا قال فی کشف اللثام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قول العلاّمة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ولایة للحاکم علی الصغیرین؛ للأصل و عدم الحاجة فیهما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 نظر ظاهر، فإن استند الفرق إلی الإجماع صحّ و إلا أشکل</w:t>
      </w:r>
      <w:r>
        <w:rPr>
          <w:rFonts w:eastAsia="IRNazanin" w:cs="IRNazanin"/>
          <w:color w:val="111111"/>
          <w:sz w:val="28"/>
          <w:szCs w:val="28"/>
          <w:rtl w:val="true"/>
          <w:lang w:bidi="fa-IR"/>
        </w:rPr>
        <w:t>»</w:t>
      </w:r>
      <w:r>
        <w:rPr>
          <w:rStyle w:val="FootnoteAnchor"/>
          <w:rtl w:val="true"/>
        </w:rPr>
        <w:footnoteReference w:id="30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هکذا قال فی الجواهر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شرح کلام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للحاکم ولایة</w:t>
      </w:r>
      <w:r>
        <w:rPr>
          <w:rFonts w:eastAsia="IRNazanin" w:cs="IRNazanin"/>
          <w:color w:val="111111"/>
          <w:sz w:val="28"/>
          <w:szCs w:val="28"/>
          <w:rtl w:val="true"/>
          <w:lang w:bidi="fa-IR"/>
        </w:rPr>
        <w:t>» -:</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فیه ما لا یخفی؛ ضرورة عدم انحصار مصلحة النکاح فی الوط‌ء، و لذا جاز</w:t>
      </w:r>
      <w:bookmarkStart w:id="1385" w:name="pg11752_146691"/>
    </w:p>
    <w:p>
      <w:pPr>
        <w:pStyle w:val="BookText"/>
        <w:rPr/>
      </w:pPr>
      <w:bookmarkEnd w:id="1385"/>
      <w:r>
        <w:rPr>
          <w:rFonts w:ascii="IRNazanin" w:hAnsi="IRNazanin" w:eastAsia="IRNazanin"/>
          <w:color w:val="111111"/>
          <w:sz w:val="28"/>
          <w:sz w:val="28"/>
          <w:szCs w:val="28"/>
          <w:rtl w:val="true"/>
          <w:lang w:bidi="fa-IR"/>
        </w:rPr>
        <w:t>إیقاعه للأب و الجدّ، و الأصل مقطوع بعموم ولایة الحاکم</w:t>
      </w:r>
      <w:r>
        <w:rPr>
          <w:rFonts w:eastAsia="IRNazanin" w:cs="IRNazanin"/>
          <w:color w:val="111111"/>
          <w:sz w:val="28"/>
          <w:szCs w:val="28"/>
          <w:rtl w:val="true"/>
          <w:lang w:bidi="fa-IR"/>
        </w:rPr>
        <w:t>»</w:t>
      </w:r>
      <w:r>
        <w:rPr>
          <w:rStyle w:val="FootnoteAnchor"/>
          <w:rtl w:val="true"/>
        </w:rPr>
        <w:footnoteReference w:id="30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فالمستفاد من هذه الکلمات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للحاکم ولایة فی تزویج صغار الأیتام</w:t>
      </w:r>
      <w:r>
        <w:rPr>
          <w:rStyle w:val="FootnoteAnchor"/>
          <w:rtl w:val="true"/>
        </w:rPr>
        <w:footnoteReference w:id="300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86" w:name="__RefHeading___Toc9424828_73709187"/>
      <w:bookmarkStart w:id="1387" w:name="_Toc528"/>
      <w:bookmarkEnd w:id="1386"/>
      <w:r>
        <w:rPr>
          <w:rtl w:val="true"/>
        </w:rPr>
        <w:t>أدلّة هذا القول</w:t>
      </w:r>
      <w:r>
        <w:rPr>
          <w:rtl w:val="true"/>
        </w:rPr>
        <w:t>:</w:t>
      </w:r>
      <w:bookmarkEnd w:id="138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النبویّ المشهور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السلطان ولیّ من لا ولیّ له</w:t>
      </w:r>
      <w:r>
        <w:rPr>
          <w:rFonts w:eastAsia="IRNazanin" w:cs="IRNazanin"/>
          <w:color w:val="111111"/>
          <w:sz w:val="28"/>
          <w:szCs w:val="28"/>
          <w:rtl w:val="true"/>
          <w:lang w:bidi="fa-IR"/>
        </w:rPr>
        <w:t>»</w:t>
      </w:r>
      <w:r>
        <w:rPr>
          <w:rStyle w:val="FootnoteAnchor"/>
          <w:rtl w:val="true"/>
        </w:rPr>
        <w:footnoteReference w:id="3004"/>
      </w:r>
      <w:r>
        <w:rPr>
          <w:rFonts w:ascii="IRNazanin" w:hAnsi="IRNazanin" w:eastAsia="IRNazanin"/>
          <w:color w:val="111111"/>
          <w:sz w:val="28"/>
          <w:sz w:val="28"/>
          <w:szCs w:val="28"/>
          <w:rtl w:val="true"/>
          <w:lang w:bidi="fa-IR"/>
        </w:rPr>
        <w:t>و تقریب الاستدلال بأن یقال بعموم النیابة و یشمل ولایة الحاکم علی تزویج صغار الأیتام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غضّ النظر عن ضعف سنده لکونه عامیّاً و لم یذکر فی الکتب الروائیّة الخاصّة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دلیل علی ولایة الحاکم فی الجملة</w:t>
      </w:r>
      <w:r>
        <w:rPr>
          <w:rStyle w:val="FootnoteAnchor"/>
          <w:rtl w:val="true"/>
        </w:rPr>
        <w:footnoteReference w:id="3005"/>
      </w:r>
      <w:r>
        <w:rPr>
          <w:rFonts w:ascii="IRNazanin" w:hAnsi="IRNazanin" w:eastAsia="IRNazanin"/>
          <w:color w:val="111111"/>
          <w:sz w:val="28"/>
          <w:sz w:val="28"/>
          <w:szCs w:val="28"/>
          <w:rtl w:val="true"/>
          <w:lang w:bidi="fa-IR"/>
        </w:rPr>
        <w:t>، أمّا نفوذها فی نکاح الأیتام فیحتاج إلی دلیل خاصّ، و الفرض أنّه لیس بموجود، هذا أوّلاً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هذه </w:t>
      </w:r>
      <w:r>
        <w:rPr>
          <w:rFonts w:eastAsia="Amiri" w:cs="Amiri" w:ascii="Amiri" w:hAnsi="Amiri"/>
          <w:color w:val="111111"/>
          <w:sz w:val="28"/>
          <w:szCs w:val="28"/>
          <w:lang w:bidi="ar-SA"/>
        </w:rPr>
        <w:t>1</w:t>
      </w:r>
      <w:r>
        <w:rPr>
          <w:rStyle w:val="FootnoteAnchor"/>
          <w:rtl w:val="true"/>
        </w:rPr>
        <w:footnoteReference w:id="3006"/>
      </w:r>
      <w:r>
        <w:rPr>
          <w:rFonts w:ascii="IRNazanin" w:hAnsi="IRNazanin" w:eastAsia="IRNazanin"/>
          <w:color w:val="111111"/>
          <w:sz w:val="28"/>
          <w:sz w:val="28"/>
          <w:szCs w:val="28"/>
          <w:rtl w:val="true"/>
          <w:lang w:bidi="fa-IR"/>
        </w:rPr>
        <w:t>الروایة عامّة قد خُصِّصت بالروایات التی تحصر ولایة التزویج بالأب و الجدّ، کما أوضحناها فی القول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السلطان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السلطان ولیّ من لا ولیّ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یُطلق علی المنصوب بالخصوص من قبل المعصوم کالمنصوب فی زمن النبیّ صلی الله علیه و آله و علی أمیر المؤمنین علیه السلام</w:t>
      </w:r>
      <w:r>
        <w:rPr>
          <w:rFonts w:eastAsia="IRNazanin" w:cs="IRNazanin"/>
          <w:color w:val="111111"/>
          <w:sz w:val="28"/>
          <w:szCs w:val="28"/>
          <w:rtl w:val="true"/>
          <w:lang w:bidi="fa-IR"/>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الفقهاء، فإثبات الولایة العامّة نحو ولایة المنصوبین لهم بالخصوص فمحلّ إشکال</w:t>
      </w:r>
      <w:r>
        <w:rPr>
          <w:rStyle w:val="FootnoteAnchor"/>
          <w:rtl w:val="true"/>
        </w:rPr>
        <w:footnoteReference w:id="3007"/>
      </w:r>
      <w:r>
        <w:rPr>
          <w:rStyle w:val="FootnoteAnchor"/>
          <w:rtl w:val="true"/>
        </w:rPr>
        <w:footnoteReference w:id="30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صرف احتمال هذا یکفی فی عدم تمامیة الاستدلال بها</w:t>
      </w:r>
    </w:p>
    <w:p>
      <w:pPr>
        <w:pStyle w:val="BookText"/>
        <w:rPr/>
      </w:pPr>
      <w:r>
        <w:rPr>
          <w:rFonts w:ascii="IRNazanin" w:hAnsi="IRNazanin" w:eastAsia="IRNazanin"/>
          <w:color w:val="111111"/>
          <w:sz w:val="28"/>
          <w:sz w:val="28"/>
          <w:szCs w:val="28"/>
          <w:rtl w:val="true"/>
          <w:lang w:bidi="fa-IR"/>
        </w:rPr>
        <w:t>لخصوص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التسلیم و غضّ النظر عمّا ذکرنا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 المتیقّن من هذا موضع الحاجة و قضاء المصلحة اللازمة کما سنبیّنه فی القول الثالث، و الفرض أنّ الصغیر لا یحتاج إلی التزویج، و لا تقتضی المصلحة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صحیحة عبد اللّه بن سنان،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بیده عقدة النکاح هو ولیّ أمرها</w:t>
      </w:r>
      <w:r>
        <w:rPr>
          <w:rFonts w:eastAsia="IRNazanin" w:cs="IRNazanin"/>
          <w:color w:val="111111"/>
          <w:sz w:val="28"/>
          <w:szCs w:val="28"/>
          <w:rtl w:val="true"/>
          <w:lang w:bidi="fa-IR"/>
        </w:rPr>
        <w:t>»</w:t>
      </w:r>
      <w:r>
        <w:rPr>
          <w:rStyle w:val="FootnoteAnchor"/>
          <w:rtl w:val="true"/>
        </w:rPr>
        <w:footnoteReference w:id="30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شکّ فی أنّ الحاکم ولی أمر الصغیرین، و هکذا سائر الأخبار</w:t>
      </w:r>
      <w:r>
        <w:rPr>
          <w:rStyle w:val="FootnoteAnchor"/>
          <w:rtl w:val="true"/>
        </w:rPr>
        <w:footnoteReference w:id="3010"/>
      </w:r>
      <w:r>
        <w:rPr>
          <w:rFonts w:ascii="IRNazanin" w:hAnsi="IRNazanin" w:eastAsia="IRNazanin"/>
          <w:color w:val="111111"/>
          <w:sz w:val="28"/>
          <w:sz w:val="28"/>
          <w:szCs w:val="28"/>
          <w:rtl w:val="true"/>
          <w:lang w:bidi="fa-IR"/>
        </w:rPr>
        <w:t>الواردة فی بیان من بیده عقدة النکاح، و عدّ ولی الأمر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روایة زرارة،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کانت المرأة مالکة أمرها تبیع و تشتری و تعتق و تشهد و تعطی من مالها ما شاءت، فإنّ أمرها جائز تزوّج إن شاءت بغیر إذن ولیّها، و إن لم تکن کذلک فلا یجوز تزویجها إلاّ بأمر ولیّها</w:t>
      </w:r>
      <w:r>
        <w:rPr>
          <w:rFonts w:eastAsia="IRNazanin" w:cs="IRNazanin"/>
          <w:color w:val="111111"/>
          <w:sz w:val="28"/>
          <w:szCs w:val="28"/>
          <w:rtl w:val="true"/>
          <w:lang w:bidi="fa-IR"/>
        </w:rPr>
        <w:t>»</w:t>
      </w:r>
      <w:r>
        <w:rPr>
          <w:rStyle w:val="FootnoteAnchor"/>
          <w:rtl w:val="true"/>
        </w:rPr>
        <w:footnoteReference w:id="30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أیضاً صریحةٌ فی أنّ التزویج بأمر الولیّ و تحت ولایته إذا لم تکن المرأة مالکة أمرها جائز، و الصغیرة لا تکون کذلک و الحاکم یکون ولیّاً لأمرها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صحیحة الفضلاء،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التی قد ملکت نفسها غیر السفیهة و لا المولّی علیها إن تزویجها بغیر ولیّ جائز</w:t>
      </w:r>
      <w:r>
        <w:rPr>
          <w:rFonts w:eastAsia="IRNazanin" w:cs="IRNazanin"/>
          <w:color w:val="111111"/>
          <w:sz w:val="28"/>
          <w:szCs w:val="28"/>
          <w:rtl w:val="true"/>
          <w:lang w:bidi="fa-IR"/>
        </w:rPr>
        <w:t>»</w:t>
      </w:r>
      <w:r>
        <w:rPr>
          <w:rStyle w:val="FootnoteAnchor"/>
          <w:rtl w:val="true"/>
        </w:rPr>
        <w:footnoteReference w:id="3012"/>
      </w:r>
      <w:r>
        <w:rPr>
          <w:rFonts w:eastAsia="Times New Roman" w:cs="Times New Roman" w:ascii="Times New Roman" w:hAnsi="Times New Roman"/>
          <w:color w:val="111111"/>
          <w:sz w:val="28"/>
          <w:szCs w:val="28"/>
          <w:rtl w:val="true"/>
          <w:lang w:val="en-US" w:bidi="en-US"/>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فالمستفاد منها أنّ المرأة إذا لم تملک نفسها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تکون صغیرة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تزویجها مع الولیّ، و الفرض أنّ الحاکم 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صحیحة ابن یقطین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أ تُزَوّج الجاریة و هی بنت ثلاث سنین أو یُزوّج الغلام و هو ابن ثلاث سنین؟ و ما أدنی حدّ ذلک الذی یزوّجان فیه؟ فإذا بلغت الجاریة فلم ترض فما حالها؟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بذلک إذا رضی أبوها أو ولیّها</w:t>
      </w:r>
      <w:r>
        <w:rPr>
          <w:rFonts w:eastAsia="IRNazanin" w:cs="IRNazanin"/>
          <w:color w:val="111111"/>
          <w:sz w:val="28"/>
          <w:szCs w:val="28"/>
          <w:rtl w:val="true"/>
          <w:lang w:bidi="fa-IR"/>
        </w:rPr>
        <w:t>»</w:t>
      </w:r>
      <w:r>
        <w:rPr>
          <w:rStyle w:val="FootnoteAnchor"/>
          <w:rtl w:val="true"/>
        </w:rPr>
        <w:footnoteReference w:id="30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دلالتها ظاهرة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الصحیحة الأولی بأنّها متعارضة مع المفهومین السابقین بالعموم و الخصوص من وجه؛ حیث إنّ المفهومین واردان فی غیر الأب، ولیّاً کان أو لا، و الصحیحة واردة فی الولیّ أباً کان أو غیره، فیرجع إلی الأصل لو لا ترجیح المفهومین بالشهرة، بل مخالفة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المفهومان أخصّ مطلقاً من الصحیحة؛ لاختصاصهما بالصغیرین، و عموم الصحیحة، فیجب تقدیم الخاصّ‌</w:t>
      </w:r>
      <w:r>
        <w:rPr>
          <w:rStyle w:val="FootnoteAnchor"/>
          <w:rtl w:val="true"/>
        </w:rPr>
        <w:footnoteReference w:id="3014"/>
      </w:r>
      <w:r>
        <w:rPr>
          <w:rFonts w:ascii="Amiri" w:hAnsi="Amiri" w:eastAsia="Amiri" w:cs="Amiri"/>
          <w:color w:val="111111"/>
          <w:sz w:val="28"/>
          <w:sz w:val="28"/>
          <w:szCs w:val="28"/>
          <w:rtl w:val="true"/>
          <w:lang w:bidi="ar-SA"/>
        </w:rPr>
        <w:t>، هذا أوّلاً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المقصود من الولیّ الذی بیده عقد النکاح، هو الولیّ الذی بیده العفو عن الصداق لا مطلقاً حتّی یشمل الحاکم أیضاً، کما یستفاد من الآیة الشریفة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یَعْفُونَ أَوْ یَعْفُوَا الَّذِی بِیَدِهِ عُقْدَةُ النِّکاحِ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صرّحت به الأخبار المستفیضة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کصحیحة رفاعة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الذی بیده عقدة النکاح؟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 الذی یأخذ بعضاً و یترک بعضاً و لیس له أن یدع کلّه</w:t>
      </w:r>
      <w:r>
        <w:rPr>
          <w:rFonts w:eastAsia="IRNazanin" w:cs="IRNazanin"/>
          <w:color w:val="111111"/>
          <w:sz w:val="28"/>
          <w:szCs w:val="28"/>
          <w:rtl w:val="true"/>
          <w:lang w:bidi="fa-IR"/>
        </w:rPr>
        <w:t>»</w:t>
      </w:r>
      <w:r>
        <w:rPr>
          <w:rStyle w:val="FootnoteAnchor"/>
          <w:rtl w:val="true"/>
        </w:rPr>
        <w:footnoteReference w:id="3015"/>
      </w:r>
      <w:r>
        <w:rPr>
          <w:rFonts w:eastAsia="Times New Roman" w:cs="Times New Roman" w:ascii="Times New Roman" w:hAnsi="Times New Roman"/>
          <w:color w:val="111111"/>
          <w:sz w:val="28"/>
          <w:szCs w:val="28"/>
          <w:rtl w:val="true"/>
          <w:lang w:val="en-US" w:bidi="en-US"/>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روایة أبی بصیر،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الذی بیده عقدة النکاح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w:t>
      </w:r>
    </w:p>
    <w:p>
      <w:pPr>
        <w:pStyle w:val="BookText"/>
        <w:rPr/>
      </w:pPr>
      <w:r>
        <w:rPr>
          <w:rFonts w:ascii="IRNazanin" w:hAnsi="IRNazanin" w:eastAsia="IRNazanin"/>
          <w:color w:val="111111"/>
          <w:sz w:val="28"/>
          <w:sz w:val="28"/>
          <w:szCs w:val="28"/>
          <w:rtl w:val="true"/>
          <w:lang w:bidi="fa-IR"/>
        </w:rPr>
        <w:t>الأب و الأخ و الرجل یوصی إلیه و الذی یجوز أمره فی مال المرأة فیبتاع لها و یشتری، فأیّ هؤلاء عفا فقد جاز</w:t>
      </w:r>
      <w:r>
        <w:rPr>
          <w:rFonts w:eastAsia="IRNazanin" w:cs="IRNazanin"/>
          <w:color w:val="111111"/>
          <w:sz w:val="28"/>
          <w:szCs w:val="28"/>
          <w:rtl w:val="true"/>
          <w:lang w:bidi="fa-IR"/>
        </w:rPr>
        <w:t>»</w:t>
      </w:r>
      <w:r>
        <w:rPr>
          <w:rStyle w:val="FootnoteAnchor"/>
          <w:rtl w:val="true"/>
        </w:rPr>
        <w:footnoteReference w:id="3016"/>
      </w:r>
      <w:r>
        <w:rPr>
          <w:rFonts w:ascii="IRNazanin" w:hAnsi="IRNazanin" w:eastAsia="IRNazanin"/>
          <w:color w:val="111111"/>
          <w:sz w:val="28"/>
          <w:sz w:val="28"/>
          <w:szCs w:val="28"/>
          <w:rtl w:val="true"/>
          <w:lang w:bidi="fa-IR"/>
        </w:rPr>
        <w:t>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الإجماع، کما قال فی کشف اللثام</w:t>
      </w:r>
      <w:r>
        <w:rPr>
          <w:rStyle w:val="FootnoteAnchor"/>
          <w:rtl w:val="true"/>
        </w:rPr>
        <w:footnoteReference w:id="3017"/>
      </w:r>
      <w:r>
        <w:rPr>
          <w:rFonts w:ascii="IRNazanin" w:hAnsi="IRNazanin" w:eastAsia="IRNazanin"/>
          <w:color w:val="111111"/>
          <w:sz w:val="28"/>
          <w:sz w:val="28"/>
          <w:szCs w:val="28"/>
          <w:rtl w:val="true"/>
          <w:lang w:bidi="fa-IR"/>
        </w:rPr>
        <w:t>و نقله أیضاً عن الخلاف</w:t>
      </w:r>
      <w:r>
        <w:rPr>
          <w:rStyle w:val="FootnoteAnchor"/>
          <w:rtl w:val="true"/>
        </w:rPr>
        <w:footnoteReference w:id="3018"/>
      </w:r>
    </w:p>
    <w:p>
      <w:pPr>
        <w:pStyle w:val="BookText"/>
        <w:rPr/>
      </w:pPr>
      <w:r>
        <w:rPr>
          <w:rFonts w:ascii="IRNazanin" w:hAnsi="IRNazanin" w:eastAsia="IRNazanin"/>
          <w:color w:val="111111"/>
          <w:sz w:val="28"/>
          <w:sz w:val="28"/>
          <w:szCs w:val="28"/>
          <w:rtl w:val="true"/>
          <w:lang w:bidi="fa-IR"/>
        </w:rPr>
        <w:t>و المبسوط‌</w:t>
      </w:r>
      <w:r>
        <w:rPr>
          <w:rStyle w:val="FootnoteAnchor"/>
          <w:rtl w:val="true"/>
        </w:rPr>
        <w:footnoteReference w:id="30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ادّعاه فی الکفایة</w:t>
      </w:r>
      <w:r>
        <w:rPr>
          <w:rStyle w:val="FootnoteAnchor"/>
          <w:rtl w:val="true"/>
        </w:rPr>
        <w:footnoteReference w:id="30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بیده العفو هو الأب و الجدّ أو مع الوصیّ و الوکیل للرشیدة، کما قال فی التبیان</w:t>
      </w:r>
      <w:r>
        <w:rPr>
          <w:rStyle w:val="FootnoteAnchor"/>
          <w:rtl w:val="true"/>
        </w:rPr>
        <w:footnoteReference w:id="3021"/>
      </w:r>
      <w:r>
        <w:rPr>
          <w:rFonts w:ascii="IRNazanin" w:hAnsi="IRNazanin" w:eastAsia="IRNazanin"/>
          <w:color w:val="111111"/>
          <w:sz w:val="28"/>
          <w:sz w:val="28"/>
          <w:szCs w:val="28"/>
          <w:rtl w:val="true"/>
          <w:lang w:bidi="fa-IR"/>
        </w:rPr>
        <w:t>و مجمع البیان</w:t>
      </w:r>
      <w:r>
        <w:rPr>
          <w:rStyle w:val="FootnoteAnchor"/>
          <w:rtl w:val="true"/>
        </w:rPr>
        <w:footnoteReference w:id="3022"/>
      </w:r>
      <w:r>
        <w:rPr>
          <w:rFonts w:ascii="IRNazanin" w:hAnsi="IRNazanin" w:eastAsia="IRNazanin"/>
          <w:color w:val="111111"/>
          <w:sz w:val="28"/>
          <w:sz w:val="28"/>
          <w:szCs w:val="28"/>
          <w:rtl w:val="true"/>
          <w:lang w:bidi="fa-IR"/>
        </w:rPr>
        <w:t>و روض الجنان</w:t>
      </w:r>
      <w:r>
        <w:rPr>
          <w:rStyle w:val="FootnoteAnchor"/>
          <w:rtl w:val="true"/>
        </w:rPr>
        <w:footnoteReference w:id="3023"/>
      </w:r>
      <w:r>
        <w:rPr>
          <w:rFonts w:ascii="IRNazanin" w:hAnsi="IRNazanin" w:eastAsia="IRNazanin"/>
          <w:color w:val="111111"/>
          <w:sz w:val="28"/>
          <w:sz w:val="28"/>
          <w:szCs w:val="28"/>
          <w:rtl w:val="true"/>
          <w:lang w:bidi="fa-IR"/>
        </w:rPr>
        <w:t>للشیخ أبی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فقه القرآن للراوندی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المذهب</w:t>
      </w:r>
      <w:r>
        <w:rPr>
          <w:rStyle w:val="FootnoteAnchor"/>
          <w:rtl w:val="true"/>
        </w:rPr>
        <w:footnoteReference w:id="3024"/>
      </w:r>
      <w:r>
        <w:rPr>
          <w:rFonts w:ascii="IRNazanin" w:hAnsi="IRNazanin" w:eastAsia="IRNazanin"/>
          <w:color w:val="111111"/>
          <w:sz w:val="28"/>
          <w:sz w:val="28"/>
          <w:szCs w:val="28"/>
          <w:rtl w:val="true"/>
          <w:lang w:bidi="fa-IR"/>
        </w:rPr>
        <w:t>، و هذا هو الظاهر من النهایة و نکتها</w:t>
      </w:r>
      <w:r>
        <w:rPr>
          <w:rStyle w:val="FootnoteAnchor"/>
          <w:rtl w:val="true"/>
        </w:rPr>
        <w:footnoteReference w:id="30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نسبه فی کنز العرفان إلی الأصحاب</w:t>
      </w:r>
      <w:r>
        <w:rPr>
          <w:rStyle w:val="FootnoteAnchor"/>
          <w:rtl w:val="true"/>
        </w:rPr>
        <w:footnoteReference w:id="3026"/>
      </w:r>
      <w:r>
        <w:rPr>
          <w:rFonts w:ascii="IRNazanin" w:hAnsi="IRNazanin" w:eastAsia="IRNazanin"/>
          <w:color w:val="111111"/>
          <w:sz w:val="28"/>
          <w:sz w:val="28"/>
          <w:szCs w:val="28"/>
          <w:rtl w:val="true"/>
          <w:lang w:bidi="fa-IR"/>
        </w:rPr>
        <w:t>و قال به فی التحریر</w:t>
      </w:r>
      <w:r>
        <w:rPr>
          <w:rStyle w:val="FootnoteAnchor"/>
          <w:rtl w:val="true"/>
        </w:rPr>
        <w:footnoteReference w:id="3027"/>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القواعد</w:t>
      </w:r>
      <w:r>
        <w:rPr>
          <w:rStyle w:val="FootnoteAnchor"/>
          <w:rtl w:val="true"/>
        </w:rPr>
        <w:footnoteReference w:id="3028"/>
      </w:r>
      <w:r>
        <w:rPr>
          <w:rFonts w:ascii="IRNazanin" w:hAnsi="IRNazanin" w:eastAsia="IRNazanin"/>
          <w:color w:val="111111"/>
          <w:sz w:val="28"/>
          <w:sz w:val="28"/>
          <w:szCs w:val="28"/>
          <w:rtl w:val="true"/>
          <w:lang w:bidi="fa-IR"/>
        </w:rPr>
        <w:t>و شرحه</w:t>
      </w:r>
      <w:r>
        <w:rPr>
          <w:rStyle w:val="FootnoteAnchor"/>
          <w:rtl w:val="true"/>
        </w:rPr>
        <w:footnoteReference w:id="3029"/>
      </w:r>
      <w:r>
        <w:rPr>
          <w:rFonts w:ascii="Amiri" w:hAnsi="Amiri" w:eastAsia="Amiri" w:cs="Amiri"/>
          <w:color w:val="111111"/>
          <w:sz w:val="28"/>
          <w:sz w:val="28"/>
          <w:szCs w:val="28"/>
          <w:rtl w:val="true"/>
          <w:lang w:bidi="ar-SA"/>
        </w:rPr>
        <w:t>و الروضة</w:t>
      </w:r>
      <w:r>
        <w:rPr>
          <w:rStyle w:val="FootnoteAnchor"/>
          <w:rtl w:val="true"/>
        </w:rPr>
        <w:footnoteReference w:id="3030"/>
      </w:r>
      <w:r>
        <w:rPr>
          <w:rFonts w:ascii="IRNazanin" w:hAnsi="IRNazanin" w:eastAsia="IRNazanin"/>
          <w:color w:val="111111"/>
          <w:sz w:val="28"/>
          <w:sz w:val="28"/>
          <w:szCs w:val="28"/>
          <w:rtl w:val="true"/>
          <w:lang w:bidi="fa-IR"/>
        </w:rPr>
        <w:t>و الشرائع</w:t>
      </w:r>
      <w:r>
        <w:rPr>
          <w:rStyle w:val="FootnoteAnchor"/>
          <w:rtl w:val="true"/>
        </w:rPr>
        <w:footnoteReference w:id="3031"/>
      </w:r>
      <w:r>
        <w:rPr>
          <w:rFonts w:ascii="IRNazanin" w:hAnsi="IRNazanin" w:eastAsia="IRNazanin"/>
          <w:color w:val="111111"/>
          <w:sz w:val="28"/>
          <w:sz w:val="28"/>
          <w:szCs w:val="28"/>
          <w:rtl w:val="true"/>
          <w:lang w:bidi="fa-IR"/>
        </w:rPr>
        <w:t>و المسالک</w:t>
      </w:r>
      <w:r>
        <w:rPr>
          <w:rStyle w:val="FootnoteAnchor"/>
          <w:rtl w:val="true"/>
        </w:rPr>
        <w:footnoteReference w:id="3032"/>
      </w:r>
      <w:r>
        <w:rPr>
          <w:rFonts w:ascii="IRNazanin" w:hAnsi="IRNazanin" w:eastAsia="IRNazanin"/>
          <w:color w:val="111111"/>
          <w:sz w:val="28"/>
          <w:sz w:val="28"/>
          <w:szCs w:val="28"/>
          <w:rtl w:val="true"/>
          <w:lang w:bidi="fa-IR"/>
        </w:rPr>
        <w:t>و غیرها</w:t>
      </w:r>
      <w:r>
        <w:rPr>
          <w:rStyle w:val="FootnoteAnchor"/>
          <w:rtl w:val="true"/>
        </w:rPr>
        <w:footnoteReference w:id="3033"/>
      </w:r>
      <w:r>
        <w:rPr>
          <w:rFonts w:ascii="IRNazanin" w:hAnsi="IRNazanin" w:eastAsia="IRNazanin"/>
          <w:color w:val="111111"/>
          <w:sz w:val="28"/>
          <w:sz w:val="28"/>
          <w:szCs w:val="28"/>
          <w:rtl w:val="true"/>
          <w:lang w:bidi="fa-IR"/>
        </w:rPr>
        <w:t>،</w:t>
      </w:r>
      <w:bookmarkStart w:id="1388" w:name="pg11752_146695"/>
    </w:p>
    <w:p>
      <w:pPr>
        <w:pStyle w:val="BookText"/>
        <w:rPr/>
      </w:pPr>
      <w:bookmarkEnd w:id="1388"/>
      <w:r>
        <w:rPr>
          <w:rFonts w:ascii="IRNazanin" w:hAnsi="IRNazanin" w:eastAsia="IRNazanin"/>
          <w:color w:val="111111"/>
          <w:sz w:val="28"/>
          <w:sz w:val="28"/>
          <w:szCs w:val="28"/>
          <w:rtl w:val="true"/>
          <w:lang w:bidi="fa-IR"/>
        </w:rPr>
        <w:t>و تدلّ علیه الأخبار المستفیضة أیضاً</w:t>
      </w:r>
      <w:r>
        <w:rPr>
          <w:rStyle w:val="FootnoteAnchor"/>
          <w:rtl w:val="true"/>
        </w:rPr>
        <w:footnoteReference w:id="30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بمثله یردّ الاستدلال بسائر الأخبار الواردة فی بیان من بیده عقدة النکاح، مضافاً إلی ورودها جمیعاً فی المرأة فتنصرف عن مسألتنا هذه، أی ولایة الحاکم علی نکاح الأیتام، و کلّ الذی قلنا فی الجواب عن الصحیحة الأولی یصلح للجواب عن روایة زرارة و صحیحة الفضلاء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الجواب عن الأخیرة فإنّها شاذّة علی نحوٍ یوجب الخروج عن الحجّیة؛ و لذا أعرضوا عنها، مضافاً إلی معارضتها لموثّقة أبی عبیدة الحذّاء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غلامٍ و جاریة زوّجهما ولیّان لهما و هما غیر مُدرکین،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النکاح جائز و أیّهما أدرک کان له الخیار، و إن ماتا قبل أن یدرکا فلا میراث بینهما</w:t>
      </w:r>
      <w:r>
        <w:rPr>
          <w:rFonts w:eastAsia="IRNazanin" w:cs="IRNazanin"/>
          <w:color w:val="111111"/>
          <w:sz w:val="28"/>
          <w:szCs w:val="28"/>
          <w:rtl w:val="true"/>
          <w:lang w:bidi="fa-IR"/>
        </w:rPr>
        <w:t>»</w:t>
      </w:r>
      <w:r>
        <w:rPr>
          <w:rStyle w:val="FootnoteAnchor"/>
          <w:rtl w:val="true"/>
        </w:rPr>
        <w:footnoteReference w:id="30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دلّت هذه الروایة علی عدم نفوذ نکاح غیر الأب من أولیاء الصغیر، فتعارض الصحیحة المتقدّمة</w:t>
      </w:r>
      <w:r>
        <w:rPr>
          <w:rStyle w:val="FootnoteAnchor"/>
          <w:rtl w:val="true"/>
        </w:rPr>
        <w:footnoteReference w:id="3036"/>
      </w:r>
      <w:r>
        <w:rPr>
          <w:rFonts w:ascii="IRNazanin" w:hAnsi="IRNazanin" w:eastAsia="IRNazanin"/>
          <w:color w:val="111111"/>
          <w:sz w:val="28"/>
          <w:sz w:val="28"/>
          <w:szCs w:val="28"/>
          <w:rtl w:val="true"/>
          <w:lang w:bidi="fa-IR"/>
        </w:rPr>
        <w:t>و کذا تعارض روایة داود بن سرحان المتقدّمة</w:t>
      </w:r>
      <w:r>
        <w:rPr>
          <w:rStyle w:val="FootnoteAnchor"/>
          <w:rtl w:val="true"/>
        </w:rPr>
        <w:footnoteReference w:id="3037"/>
      </w:r>
    </w:p>
    <w:p>
      <w:pPr>
        <w:pStyle w:val="BookText"/>
        <w:rPr/>
      </w:pPr>
      <w:r>
        <w:rPr>
          <w:rFonts w:ascii="IRNazanin" w:hAnsi="IRNazanin" w:eastAsia="IRNazanin"/>
          <w:color w:val="111111"/>
          <w:sz w:val="28"/>
          <w:sz w:val="28"/>
          <w:szCs w:val="28"/>
          <w:rtl w:val="true"/>
          <w:lang w:bidi="fa-IR"/>
        </w:rPr>
        <w:t>فنرجع إلی الأصل المتقدّم الذی قرّرناه فی الاستدلال للقول الأوّل</w:t>
      </w:r>
      <w:r>
        <w:rPr>
          <w:rFonts w:eastAsia="IRNazanin" w:cs="IRNazanin"/>
          <w:color w:val="111111"/>
          <w:sz w:val="28"/>
          <w:szCs w:val="28"/>
          <w:rtl w:val="true"/>
          <w:lang w:bidi="fa-IR"/>
        </w:rPr>
        <w:t>.</w:t>
      </w:r>
    </w:p>
    <w:p>
      <w:pPr>
        <w:pStyle w:val="Heading5"/>
        <w:numPr>
          <w:ilvl w:val="4"/>
          <w:numId w:val="1"/>
        </w:numPr>
        <w:rPr/>
      </w:pPr>
      <w:bookmarkStart w:id="1389" w:name="__RefHeading___Toc9424830_73709187"/>
      <w:bookmarkStart w:id="1390" w:name="_Toc529"/>
      <w:bookmarkEnd w:id="1389"/>
      <w:r>
        <w:rPr>
          <w:rtl w:val="true"/>
        </w:rPr>
        <w:t>القول الثالث ولایة الحاکم مشروطة بالمصلحة و الحاجة</w:t>
      </w:r>
      <w:bookmarkEnd w:id="1390"/>
    </w:p>
    <w:p>
      <w:pPr>
        <w:pStyle w:val="Heading6"/>
        <w:numPr>
          <w:ilvl w:val="5"/>
          <w:numId w:val="1"/>
        </w:numPr>
        <w:rPr/>
      </w:pPr>
      <w:bookmarkStart w:id="1391" w:name="__RefHeading___Toc9424832_73709187"/>
      <w:bookmarkStart w:id="1392" w:name="_Toc530"/>
      <w:bookmarkEnd w:id="1391"/>
      <w:r>
        <w:rPr>
          <w:rtl w:val="true"/>
        </w:rPr>
        <w:t>اشارة</w:t>
      </w:r>
      <w:bookmarkEnd w:id="1392"/>
    </w:p>
    <w:p>
      <w:pPr>
        <w:pStyle w:val="BookText"/>
        <w:rPr/>
      </w:pPr>
      <w:r>
        <w:rPr>
          <w:rFonts w:ascii="IRNazanin" w:hAnsi="IRNazanin" w:eastAsia="IRNazanin"/>
          <w:color w:val="111111"/>
          <w:sz w:val="28"/>
          <w:sz w:val="28"/>
          <w:szCs w:val="28"/>
          <w:rtl w:val="true"/>
          <w:lang w:bidi="fa-IR"/>
        </w:rPr>
        <w:t xml:space="preserve">القول الثالث فی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للحاکم ولایة علی نکاح الأیتام بشرط الحاجة و المصلحة</w:t>
      </w:r>
      <w:r>
        <w:rPr>
          <w:rFonts w:eastAsia="IRNazanin" w:cs="IRNazanin"/>
          <w:color w:val="111111"/>
          <w:sz w:val="28"/>
          <w:szCs w:val="28"/>
          <w:rtl w:val="true"/>
          <w:lang w:bidi="fa-IR"/>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السید رحمه الله فی العروة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للحاکم الشرعی تزویج مَن لا ولیّ له من الأب و الجدّ و الوصیّ بشرط الحاجة إلیه، أو قضاء المصلحة اللازمة و المراعاة</w:t>
      </w:r>
      <w:r>
        <w:rPr>
          <w:rFonts w:eastAsia="IRNazanin" w:cs="IRNazanin"/>
          <w:color w:val="111111"/>
          <w:sz w:val="28"/>
          <w:szCs w:val="28"/>
          <w:rtl w:val="true"/>
          <w:lang w:bidi="fa-IR"/>
        </w:rPr>
        <w:t>»</w:t>
      </w:r>
      <w:r>
        <w:rPr>
          <w:rStyle w:val="FootnoteAnchor"/>
          <w:rtl w:val="true"/>
        </w:rPr>
        <w:footnoteReference w:id="3038"/>
      </w:r>
    </w:p>
    <w:p>
      <w:pPr>
        <w:pStyle w:val="BookText"/>
        <w:rPr/>
      </w:pPr>
      <w:r>
        <w:rPr>
          <w:rFonts w:ascii="IRNazanin" w:hAnsi="IRNazanin" w:eastAsia="IRNazanin"/>
          <w:color w:val="111111"/>
          <w:sz w:val="28"/>
          <w:sz w:val="28"/>
          <w:szCs w:val="28"/>
          <w:rtl w:val="true"/>
          <w:lang w:bidi="fa-IR"/>
        </w:rPr>
        <w:t>و یستفاد هذا أیضاً من کلام الشهید فی المسالک، حیث قال بعد ذکر دلیل ولایة الحاکم فی النکاح و المال علی من بلغ غیر رشید أو تجدّد فساد عقله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هذا من جملة المصالح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أضاف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المصلحة فی الکبیر أوضح، لکنّها لیست منتفیةٌ فی حقّ الصغیر جملةً خصوصاً الأنثی</w:t>
      </w:r>
      <w:r>
        <w:rPr>
          <w:rFonts w:eastAsia="IRNazanin" w:cs="IRNazanin"/>
          <w:color w:val="111111"/>
          <w:sz w:val="28"/>
          <w:szCs w:val="28"/>
          <w:rtl w:val="true"/>
          <w:lang w:bidi="fa-IR"/>
        </w:rPr>
        <w:t>»</w:t>
      </w:r>
      <w:r>
        <w:rPr>
          <w:rStyle w:val="FootnoteAnchor"/>
          <w:rtl w:val="true"/>
        </w:rPr>
        <w:footnoteReference w:id="3039"/>
      </w:r>
      <w:r>
        <w:rPr>
          <w:rFonts w:ascii="IRNazanin" w:hAnsi="IRNazanin" w:eastAsia="IRNazanin"/>
          <w:color w:val="111111"/>
          <w:sz w:val="28"/>
          <w:sz w:val="28"/>
          <w:szCs w:val="28"/>
          <w:rtl w:val="true"/>
          <w:lang w:bidi="fa-IR"/>
        </w:rPr>
        <w:t>و اختاره الشیخ الأعظم الأنصاری رحمه الله</w:t>
      </w:r>
      <w:r>
        <w:rPr>
          <w:rStyle w:val="FootnoteAnchor"/>
          <w:rtl w:val="true"/>
        </w:rPr>
        <w:footnoteReference w:id="3040"/>
      </w:r>
      <w:r>
        <w:rPr>
          <w:rFonts w:ascii="IRNazanin" w:hAnsi="IRNazanin" w:eastAsia="IRNazanin"/>
          <w:color w:val="111111"/>
          <w:sz w:val="28"/>
          <w:sz w:val="28"/>
          <w:szCs w:val="28"/>
          <w:rtl w:val="true"/>
          <w:lang w:bidi="fa-IR"/>
        </w:rPr>
        <w:t>و صاحب عناوین الأصول،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تصرّف الولیّ مشروط بالمصلحة بالإجماع و ظواهر الأدلّة، و لأنّ المتیقّن من أدلّة الولایات إنّما هو ذلک، إذ الغرض الإصلاح فی النفس و المال، و المولّی علیه لنقصه عاجزٌ عن ذلک</w:t>
      </w:r>
      <w:r>
        <w:rPr>
          <w:rFonts w:eastAsia="IRNazanin" w:cs="IRNazanin"/>
          <w:color w:val="111111"/>
          <w:sz w:val="28"/>
          <w:szCs w:val="28"/>
          <w:rtl w:val="true"/>
          <w:lang w:bidi="fa-IR"/>
        </w:rPr>
        <w:t>»</w:t>
      </w:r>
      <w:r>
        <w:rPr>
          <w:rStyle w:val="FootnoteAnchor"/>
          <w:rtl w:val="true"/>
        </w:rPr>
        <w:footnoteReference w:id="30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به أیضاً السیّد صاحب الریاض و ادّعی علیه الإجماع</w:t>
      </w:r>
      <w:r>
        <w:rPr>
          <w:rStyle w:val="FootnoteAnchor"/>
          <w:rtl w:val="true"/>
        </w:rPr>
        <w:footnoteReference w:id="3042"/>
      </w:r>
      <w:r>
        <w:rPr>
          <w:rFonts w:ascii="IRNazanin" w:hAnsi="IRNazanin" w:eastAsia="IRNazanin"/>
          <w:color w:val="111111"/>
          <w:sz w:val="28"/>
          <w:sz w:val="28"/>
          <w:szCs w:val="28"/>
          <w:rtl w:val="true"/>
          <w:lang w:bidi="fa-IR"/>
        </w:rPr>
        <w:t>و المحقّق الکاشانی</w:t>
      </w:r>
      <w:r>
        <w:rPr>
          <w:rStyle w:val="FootnoteAnchor"/>
          <w:rtl w:val="true"/>
        </w:rPr>
        <w:footnoteReference w:id="3043"/>
      </w:r>
      <w:r>
        <w:rPr>
          <w:rFonts w:ascii="IRNazanin" w:hAnsi="IRNazanin" w:eastAsia="IRNazanin"/>
          <w:color w:val="111111"/>
          <w:sz w:val="28"/>
          <w:sz w:val="28"/>
          <w:szCs w:val="28"/>
          <w:rtl w:val="true"/>
          <w:lang w:bidi="fa-IR"/>
        </w:rPr>
        <w:t>و الفاضل الهندی</w:t>
      </w:r>
      <w:r>
        <w:rPr>
          <w:rStyle w:val="FootnoteAnchor"/>
          <w:rtl w:val="true"/>
        </w:rPr>
        <w:footnoteReference w:id="3044"/>
      </w:r>
      <w:r>
        <w:rPr>
          <w:rFonts w:ascii="IRNazanin" w:hAnsi="IRNazanin" w:eastAsia="IRNazanin"/>
          <w:color w:val="111111"/>
          <w:sz w:val="28"/>
          <w:sz w:val="28"/>
          <w:szCs w:val="28"/>
          <w:rtl w:val="true"/>
          <w:lang w:bidi="fa-IR"/>
        </w:rPr>
        <w:t>و السید الخوئی فی المستند</w:t>
      </w:r>
      <w:r>
        <w:rPr>
          <w:rStyle w:val="FootnoteAnchor"/>
          <w:rtl w:val="true"/>
        </w:rPr>
        <w:footnoteReference w:id="3045"/>
      </w:r>
      <w:r>
        <w:rPr>
          <w:rFonts w:ascii="IRNazanin" w:hAnsi="IRNazanin" w:eastAsia="IRNazanin"/>
          <w:color w:val="111111"/>
          <w:sz w:val="28"/>
          <w:sz w:val="28"/>
          <w:szCs w:val="28"/>
          <w:rtl w:val="true"/>
          <w:lang w:bidi="fa-IR"/>
        </w:rPr>
        <w:t>و الإمام الخمینی</w:t>
      </w:r>
      <w:r>
        <w:rPr>
          <w:rStyle w:val="FootnoteAnchor"/>
          <w:rtl w:val="true"/>
        </w:rPr>
        <w:footnoteReference w:id="3046"/>
      </w:r>
    </w:p>
    <w:p>
      <w:pPr>
        <w:pStyle w:val="BookText"/>
        <w:rPr/>
      </w:pPr>
      <w:r>
        <w:rPr>
          <w:rFonts w:ascii="IRNazanin" w:hAnsi="IRNazanin" w:eastAsia="IRNazanin"/>
          <w:color w:val="111111"/>
          <w:sz w:val="28"/>
          <w:sz w:val="28"/>
          <w:szCs w:val="28"/>
          <w:rtl w:val="true"/>
          <w:lang w:bidi="fa-IR"/>
        </w:rPr>
        <w:t>و أکثر الفقهاء المعاصرین، کما یستفاد من العروة</w:t>
      </w:r>
      <w:r>
        <w:rPr>
          <w:rStyle w:val="FootnoteAnchor"/>
          <w:rtl w:val="true"/>
        </w:rPr>
        <w:footnoteReference w:id="3047"/>
      </w:r>
      <w:r>
        <w:rPr>
          <w:rFonts w:ascii="IRNazanin" w:hAnsi="IRNazanin" w:eastAsia="IRNazanin"/>
          <w:color w:val="111111"/>
          <w:sz w:val="28"/>
          <w:sz w:val="28"/>
          <w:szCs w:val="28"/>
          <w:rtl w:val="true"/>
          <w:lang w:bidi="fa-IR"/>
        </w:rPr>
        <w:t>و التعلیقات علیها و غیرها</w:t>
      </w:r>
      <w:r>
        <w:rPr>
          <w:rStyle w:val="FootnoteAnchor"/>
          <w:rtl w:val="true"/>
        </w:rPr>
        <w:footnoteReference w:id="3048"/>
      </w:r>
      <w:r>
        <w:rPr>
          <w:rFonts w:ascii="IRNazanin" w:hAnsi="IRNazanin" w:eastAsia="IRNazanin"/>
          <w:color w:val="111111"/>
          <w:sz w:val="28"/>
          <w:sz w:val="28"/>
          <w:szCs w:val="28"/>
          <w:rtl w:val="true"/>
          <w:lang w:bidi="fa-IR"/>
        </w:rPr>
        <w:t>، و هو الظاهر من کلام السید الحکیم فی المستمسک</w:t>
      </w:r>
      <w:r>
        <w:rPr>
          <w:rStyle w:val="FootnoteAnchor"/>
          <w:rtl w:val="true"/>
        </w:rPr>
        <w:footnoteReference w:id="3049"/>
      </w:r>
      <w:r>
        <w:rPr>
          <w:rFonts w:eastAsia="Times New Roman" w:cs="Times New Roman" w:ascii="Times New Roman" w:hAnsi="Times New Roman"/>
          <w:color w:val="111111"/>
          <w:sz w:val="28"/>
          <w:szCs w:val="28"/>
          <w:rtl w:val="true"/>
          <w:lang w:val="en-US" w:bidi="en-US"/>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اعلم أنّ هذه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بیّناها، أعنی ولایة الحاکم علی صغار الأیتام</w:t>
      </w:r>
      <w:bookmarkStart w:id="1393" w:name="pg11752_146697"/>
    </w:p>
    <w:p>
      <w:pPr>
        <w:pStyle w:val="BookText"/>
        <w:rPr/>
      </w:pPr>
      <w:bookmarkEnd w:id="1393"/>
      <w:r>
        <w:rPr>
          <w:rFonts w:ascii="IRNazanin" w:hAnsi="IRNazanin" w:eastAsia="IRNazanin"/>
          <w:color w:val="111111"/>
          <w:sz w:val="28"/>
          <w:sz w:val="28"/>
          <w:szCs w:val="28"/>
          <w:rtl w:val="true"/>
          <w:lang w:bidi="fa-IR"/>
        </w:rPr>
        <w:t xml:space="preserve">مع الحاجة و اقتضاء المصلحة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طرحت فی کلمات المتأخّرین و المعاصرین فقط کما أشرنا إلی آرائهم إجمالاً، و أمّا المتقدّمون فلم یعنونوها و لم نجد لهم قولاً فیها حتّی نذکره، و هذا ظاهر لمن تتبّع کلماتهم، فراجع</w:t>
      </w:r>
      <w:r>
        <w:rPr>
          <w:rFonts w:eastAsia="IRNazanin" w:cs="IRNazanin"/>
          <w:color w:val="111111"/>
          <w:sz w:val="28"/>
          <w:szCs w:val="28"/>
          <w:rtl w:val="true"/>
          <w:lang w:bidi="fa-IR"/>
        </w:rPr>
        <w:t>.</w:t>
      </w:r>
    </w:p>
    <w:p>
      <w:pPr>
        <w:pStyle w:val="Heading6"/>
        <w:numPr>
          <w:ilvl w:val="5"/>
          <w:numId w:val="1"/>
        </w:numPr>
        <w:rPr/>
      </w:pPr>
      <w:bookmarkStart w:id="1394" w:name="__RefHeading___Toc9424834_73709187"/>
      <w:bookmarkStart w:id="1395" w:name="_Toc531"/>
      <w:bookmarkEnd w:id="1394"/>
      <w:r>
        <w:rPr>
          <w:rtl w:val="true"/>
        </w:rPr>
        <w:t>أدلّة ولایة الحاکم مع اقتضاء المصلحة</w:t>
      </w:r>
      <w:bookmarkEnd w:id="1395"/>
    </w:p>
    <w:p>
      <w:pPr>
        <w:pStyle w:val="BookText"/>
        <w:rPr/>
      </w:pPr>
      <w:r>
        <w:rPr>
          <w:rFonts w:ascii="IRNazanin" w:hAnsi="IRNazanin" w:eastAsia="IRNazanin"/>
          <w:color w:val="111111"/>
          <w:sz w:val="28"/>
          <w:sz w:val="28"/>
          <w:szCs w:val="28"/>
          <w:rtl w:val="true"/>
          <w:lang w:bidi="fa-IR"/>
        </w:rPr>
        <w:t>یمکن أن یُستدلّ لولایة الحاکم علی تزویج الصغار الأیتام مع الحاجة و المصلحة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النبویّ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السلطان ولیّ من لا ولیّ له</w:t>
      </w:r>
      <w:r>
        <w:rPr>
          <w:rFonts w:eastAsia="IRNazanin" w:cs="IRNazanin"/>
          <w:color w:val="111111"/>
          <w:sz w:val="28"/>
          <w:szCs w:val="28"/>
          <w:rtl w:val="true"/>
          <w:lang w:bidi="fa-IR"/>
        </w:rPr>
        <w:t>»</w:t>
      </w:r>
      <w:r>
        <w:rPr>
          <w:rStyle w:val="FootnoteAnchor"/>
          <w:rtl w:val="true"/>
        </w:rPr>
        <w:footnoteReference w:id="3050"/>
      </w:r>
      <w:r>
        <w:rPr>
          <w:rFonts w:ascii="IRNazanin" w:hAnsi="IRNazanin" w:eastAsia="IRNazanin"/>
          <w:color w:val="111111"/>
          <w:sz w:val="28"/>
          <w:sz w:val="28"/>
          <w:szCs w:val="28"/>
          <w:rtl w:val="true"/>
          <w:lang w:bidi="fa-IR"/>
        </w:rPr>
        <w:t xml:space="preserve">الذی ذکره الفریقان، و الفرض أنّه لا یکون للأیتام ولیٌّ غیر الحاکم، و ینجبر ضعف سنده بعمل الأصحاب؛ و لذا قال صاحب الجواهر بعد التمسّک بهذا النبویّ أنّ روایته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 استغنت عن الجابر فی خصوص الموارد، نحو غیرها من القواعد</w:t>
      </w:r>
      <w:r>
        <w:rPr>
          <w:rFonts w:eastAsia="IRNazanin" w:cs="IRNazanin"/>
          <w:color w:val="111111"/>
          <w:sz w:val="28"/>
          <w:szCs w:val="28"/>
          <w:rtl w:val="true"/>
          <w:lang w:bidi="fa-IR"/>
        </w:rPr>
        <w:t>»</w:t>
      </w:r>
      <w:r>
        <w:rPr>
          <w:rStyle w:val="FootnoteAnchor"/>
          <w:rtl w:val="true"/>
        </w:rPr>
        <w:footnoteReference w:id="3051"/>
      </w:r>
      <w:r>
        <w:rPr>
          <w:rFonts w:ascii="IRNazanin" w:hAnsi="IRNazanin" w:eastAsia="IRNazanin"/>
          <w:color w:val="111111"/>
          <w:sz w:val="28"/>
          <w:sz w:val="28"/>
          <w:szCs w:val="28"/>
          <w:rtl w:val="true"/>
          <w:lang w:bidi="fa-IR"/>
        </w:rPr>
        <w:t>و بمثل هذا قال المحقّق النراقی أیضاً</w:t>
      </w:r>
      <w:r>
        <w:rPr>
          <w:rStyle w:val="FootnoteAnchor"/>
          <w:rtl w:val="true"/>
        </w:rPr>
        <w:footnoteReference w:id="30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الإیراد الذی قلناه سابقاً فی الردّ علی الاستدلال بالنبوی لولایة الحاکم علی تزویج صغار الأیتام مطلقاً لا یأتی هنا؛ لأنّ الفرض فیما نحن فیه أنّ الصغار یحتاجون إلی التزویج، و المصلحة تقتضی ذلک، و کان لا بدّ من تصدّی شخص معیّن له، و لم یکن ولیّ غیر الحاکم</w:t>
      </w:r>
      <w:r>
        <w:rPr>
          <w:rFonts w:eastAsia="IRNazanin" w:cs="IRNazanin"/>
          <w:color w:val="111111"/>
          <w:sz w:val="28"/>
          <w:szCs w:val="28"/>
          <w:rtl w:val="true"/>
          <w:lang w:bidi="fa-IR"/>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الإیراد بأنّ المقصود من السلطان فی النبوی الشریف هو الإمام المعصوم علیه السلام فلا مجال للتعدّی عنه إلی الحاکم</w:t>
      </w:r>
      <w:r>
        <w:rPr>
          <w:rStyle w:val="FootnoteAnchor"/>
          <w:rtl w:val="true"/>
        </w:rPr>
        <w:footnoteReference w:id="3053"/>
      </w:r>
      <w:r>
        <w:rPr>
          <w:rFonts w:ascii="IRNazanin" w:hAnsi="IRNazanin" w:eastAsia="IRNazanin"/>
          <w:color w:val="111111"/>
          <w:sz w:val="28"/>
          <w:sz w:val="28"/>
          <w:szCs w:val="28"/>
          <w:rtl w:val="true"/>
          <w:lang w:bidi="fa-IR"/>
        </w:rPr>
        <w:t>غیر وارد علی الاستدلال به؛ لأنّ الظاهر منه الأعمّ و إن کان الإمام العادل المعصوم علیه السلام فی زمان الحضور و کان مصداقه الأکمل،</w:t>
      </w:r>
    </w:p>
    <w:p>
      <w:pPr>
        <w:pStyle w:val="BookText"/>
        <w:rPr/>
      </w:pPr>
      <w:r>
        <w:rPr>
          <w:rFonts w:ascii="IRNazanin" w:hAnsi="IRNazanin" w:eastAsia="IRNazanin"/>
          <w:color w:val="111111"/>
          <w:sz w:val="28"/>
          <w:sz w:val="28"/>
          <w:szCs w:val="28"/>
          <w:rtl w:val="true"/>
          <w:lang w:bidi="fa-IR"/>
        </w:rPr>
        <w:t>و لکن فی زمان الغیبة یشمل منصوبه خصوصاً أو عموماً، و منه الفقیه الجامع لشرائط الفتوی، بحکم الروایات التی أشرنا إلی بعضها فی صدر هذا المبحث؛ و لذا قال فی الریاض بعد الاستدلال بهذا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یلحق به نوّابه، لعموم أدلّة النیابة مضافاً إلی مسیس الحاجة إلی ولایته</w:t>
      </w:r>
      <w:r>
        <w:rPr>
          <w:rFonts w:eastAsia="IRNazanin" w:cs="IRNazanin"/>
          <w:color w:val="111111"/>
          <w:sz w:val="28"/>
          <w:szCs w:val="28"/>
          <w:rtl w:val="true"/>
          <w:lang w:bidi="fa-IR"/>
        </w:rPr>
        <w:t>»</w:t>
      </w:r>
      <w:r>
        <w:rPr>
          <w:rStyle w:val="FootnoteAnchor"/>
          <w:rtl w:val="true"/>
        </w:rPr>
        <w:footnoteReference w:id="30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بمثله قال المحقّق الثانی أیضاً</w:t>
      </w:r>
      <w:r>
        <w:rPr>
          <w:rStyle w:val="FootnoteAnchor"/>
          <w:rtl w:val="true"/>
        </w:rPr>
        <w:footnoteReference w:id="30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الشیخ الأعظم الأنصاری فی تفسیر الحاکم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ولایة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أوّلاً و بالأصالة منصب الإمامة، و ثانیاً و بالنیابة منصب نائبه الخاصّ أو العام و هو الفقیه الجامع للشرائط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وجه الولایة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الإجماع، و النبویّ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السلطان ولیّ من لا ولیّ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عموم ما دلّ علی وجوب الرجوع إلیه فی الحوادث الواقعة</w:t>
      </w:r>
      <w:r>
        <w:rPr>
          <w:rFonts w:eastAsia="IRNazanin" w:cs="IRNazanin"/>
          <w:color w:val="111111"/>
          <w:sz w:val="28"/>
          <w:szCs w:val="28"/>
          <w:rtl w:val="true"/>
          <w:lang w:bidi="fa-IR"/>
        </w:rPr>
        <w:t>...»</w:t>
      </w:r>
      <w:r>
        <w:rPr>
          <w:rStyle w:val="FootnoteAnchor"/>
          <w:rtl w:val="true"/>
        </w:rPr>
        <w:footnoteReference w:id="30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التوقیع الرفیع المتقدّم فی صدر هذا المبحث، المرویّ فی کتاب کمال الدین بإسناده المتّصل، و الشیخ فی کتاب الغیبة و غیرهما، و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الحوادث الواقعة فارجعوا فیها إلی رواة أحادیثنا، فإنّهم حجّتی علیکم و أنا حجّة اللّه علیهم</w:t>
      </w:r>
      <w:r>
        <w:rPr>
          <w:rFonts w:eastAsia="IRNazanin" w:cs="IRNazanin"/>
          <w:color w:val="111111"/>
          <w:sz w:val="28"/>
          <w:szCs w:val="28"/>
          <w:rtl w:val="true"/>
          <w:lang w:bidi="fa-IR"/>
        </w:rPr>
        <w:t>»</w:t>
      </w:r>
      <w:r>
        <w:rPr>
          <w:rStyle w:val="FootnoteAnchor"/>
          <w:rtl w:val="true"/>
        </w:rPr>
        <w:footnoteReference w:id="30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وجوب الرجوع إلی الحاکم فی الحوادث الواقعة یشمل المورد؛ لأنّ نکاح الصغیر أو الصغیرة الذی اقتضت المصلحة ذلک واقعة، فیجب الرجوع فیها إلی الحاکم و له الولایة فیها؛ لأنّ الفرض أنّه لا ولیّ غیره لهما، 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مقبولة عمر بن حنظلة، و فیها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یصنعان؟</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ینظران إلی مَن کان منکم ممّن قد روی حدیثنا و نظر فی حلالنا و حرامنا</w:t>
      </w:r>
    </w:p>
    <w:p>
      <w:pPr>
        <w:pStyle w:val="BookText"/>
        <w:rPr/>
      </w:pPr>
      <w:r>
        <w:rPr>
          <w:rFonts w:ascii="IRNazanin" w:hAnsi="IRNazanin" w:eastAsia="IRNazanin"/>
          <w:color w:val="111111"/>
          <w:sz w:val="28"/>
          <w:sz w:val="28"/>
          <w:szCs w:val="28"/>
          <w:rtl w:val="true"/>
          <w:lang w:bidi="fa-IR"/>
        </w:rPr>
        <w:t>و عرف أحکامنا فلیرضوا به حَکَماً، فإنّی قد جعلته علیکم حاکماً، فإذا حکم بحکمنا فلم یقبل منه فإنّما استخفّ بحکم اللّه، و علینا ردَّ، و الرادّ علینا الرادّ علی اللّه، و هو علی حدّ الشرک باللّه</w:t>
      </w:r>
      <w:r>
        <w:rPr>
          <w:rFonts w:eastAsia="IRNazanin" w:cs="IRNazanin"/>
          <w:color w:val="111111"/>
          <w:sz w:val="28"/>
          <w:szCs w:val="28"/>
          <w:rtl w:val="true"/>
          <w:lang w:bidi="fa-IR"/>
        </w:rPr>
        <w:t>»</w:t>
      </w:r>
      <w:r>
        <w:rPr>
          <w:rStyle w:val="FootnoteAnchor"/>
          <w:rtl w:val="true"/>
        </w:rPr>
        <w:footnoteReference w:id="30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تقریب الاستدلال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یجوز للصغیرین ردّ حکمه بعد رشدهما، بل لا بدّ من ترتیب الآثار علیه، و لازم عدم ردّ الحکم ثبوت الولایة له، فتدلّ المقبولة علی ولایة الحاکم فی تزویج الصغار بالتلازم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ما دلّ علی أنّ الفقهاء خلفاء الرسول أو أمناؤه، مثل ما رواه فی الفقیه مرسلاً و المعانی مسنداً عن رسول اللّه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ارحم خلفائی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و مَنْ خلفاؤک؟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یأتون بعدی و یروون حدیثی و سنّتی</w:t>
      </w:r>
      <w:r>
        <w:rPr>
          <w:rFonts w:eastAsia="IRNazanin" w:cs="IRNazanin"/>
          <w:color w:val="111111"/>
          <w:sz w:val="28"/>
          <w:szCs w:val="28"/>
          <w:rtl w:val="true"/>
          <w:lang w:bidi="fa-IR"/>
        </w:rPr>
        <w:t>»</w:t>
      </w:r>
      <w:r>
        <w:rPr>
          <w:rStyle w:val="FootnoteAnchor"/>
          <w:rtl w:val="true"/>
        </w:rPr>
        <w:footnoteReference w:id="30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رواه السکونی، عن أبی عبد اللّه علیه السلام، عنه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الفقهاء امناء الرسل ما لم یدخلوا فی الدنیا</w:t>
      </w:r>
      <w:r>
        <w:rPr>
          <w:rFonts w:eastAsia="IRNazanin" w:cs="IRNazanin"/>
          <w:color w:val="111111"/>
          <w:sz w:val="28"/>
          <w:szCs w:val="28"/>
          <w:rtl w:val="true"/>
          <w:lang w:bidi="fa-IR"/>
        </w:rPr>
        <w:t>»</w:t>
      </w:r>
      <w:r>
        <w:rPr>
          <w:rStyle w:val="FootnoteAnchor"/>
          <w:rtl w:val="true"/>
        </w:rPr>
        <w:footnoteReference w:id="30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فالخلافة عن رسول اللّه تقتضی أن یکون للحاکم ما کان لرسول اللّه، و ممّا کان له صلی الله علیه و آله الولایة فی مورد البحث، و کذا کون الفقیه أمیناً للرسول یقتضی تفویض ما کان له إلیه، إلاّ أنّ الروایتین ضعیفتان سنداً</w:t>
      </w:r>
      <w:r>
        <w:rPr>
          <w:rFonts w:eastAsia="IRNazanin" w:cs="IRNazanin"/>
          <w:color w:val="111111"/>
          <w:sz w:val="28"/>
          <w:szCs w:val="28"/>
          <w:rtl w:val="true"/>
          <w:lang w:bidi="fa-IR"/>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روایة أبی خدیجة، عن أبی عبد اللّه علیه السلام، فإنّ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اجعلوا بینکم رجلاً قد عرف حلالنا و حرامنا، فإنّی جعلته علیکم قاضیاً، و إیّاکم أن یخاصم بعضکم بعضاً إلی السلطان الجائر</w:t>
      </w:r>
      <w:r>
        <w:rPr>
          <w:rFonts w:eastAsia="IRNazanin" w:cs="IRNazanin"/>
          <w:color w:val="111111"/>
          <w:sz w:val="28"/>
          <w:szCs w:val="28"/>
          <w:rtl w:val="true"/>
          <w:lang w:bidi="fa-IR"/>
        </w:rPr>
        <w:t>»</w:t>
      </w:r>
      <w:r>
        <w:rPr>
          <w:rStyle w:val="FootnoteAnchor"/>
          <w:rtl w:val="true"/>
        </w:rPr>
        <w:footnoteReference w:id="3061"/>
      </w:r>
    </w:p>
    <w:p>
      <w:pPr>
        <w:pStyle w:val="BookText"/>
        <w:rPr/>
      </w:pPr>
      <w:r>
        <w:rPr>
          <w:rFonts w:ascii="IRNazanin" w:hAnsi="IRNazanin" w:eastAsia="IRNazanin"/>
          <w:color w:val="111111"/>
          <w:sz w:val="28"/>
          <w:sz w:val="28"/>
          <w:szCs w:val="28"/>
          <w:rtl w:val="true"/>
          <w:lang w:bidi="fa-IR"/>
        </w:rPr>
        <w:t>و تقریب الاستدلال بها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القضاوة بمنزلة تدخّل القاضی فی الأمور التی لا بدّ من وقوعها خارجاً، و تزویج الیتیم فی فرض وجود مصلحةٍ ملزمة من الأمور التی یلزم تحقّقها، و لا بدّ من تصدّی شخصٍ معیّن له و لا یکون غیر الحاکم؛ لأنّ الفرض فی مورد لا یکون للیتیم ولیّ أو وصیّ غیره، فالقدر المتیقّن من جعل القضاوة تدخّله فی هذه الأمور، و هو یلزم ولایته، إلاّ أن یورد علیه، کما قال بعض المحقّقین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بأنّها وردت فی الترافع و القضاء، و أنّ قضاءه نافذٌ و حکمه لا یجوز نقضه، فالتعدّی عنه إلی مثل الولایة علی الیتیم یحتاج إلی دلیل</w:t>
      </w:r>
      <w:r>
        <w:rPr>
          <w:rFonts w:eastAsia="IRNazanin" w:cs="IRNazanin"/>
          <w:color w:val="111111"/>
          <w:sz w:val="28"/>
          <w:szCs w:val="28"/>
          <w:rtl w:val="true"/>
          <w:lang w:bidi="fa-IR"/>
        </w:rPr>
        <w:t>»</w:t>
      </w:r>
      <w:r>
        <w:rPr>
          <w:rStyle w:val="FootnoteAnchor"/>
          <w:rtl w:val="true"/>
        </w:rPr>
        <w:footnoteReference w:id="3062"/>
      </w:r>
    </w:p>
    <w:p>
      <w:pPr>
        <w:pStyle w:val="BookText"/>
        <w:rPr/>
      </w:pPr>
      <w:r>
        <w:rPr>
          <w:rFonts w:ascii="IRNazanin" w:hAnsi="IRNazanin" w:eastAsia="IRNazanin"/>
          <w:color w:val="111111"/>
          <w:sz w:val="28"/>
          <w:sz w:val="28"/>
          <w:szCs w:val="28"/>
          <w:rtl w:val="true"/>
          <w:lang w:bidi="fa-IR"/>
        </w:rPr>
        <w:t>و هذا غیر واردٍ علیه؛ لأنّ التزویج مع الحاجة من مناصب القضاة و وظائفهم</w:t>
      </w:r>
      <w:r>
        <w:rPr>
          <w:rStyle w:val="FootnoteAnchor"/>
          <w:rtl w:val="true"/>
        </w:rPr>
        <w:footnoteReference w:id="30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ما دلّ علی أنّ العلماء أولیاء من لا ولیّ له، و علی أنّ مجاری الأمور و الأحکام علی أیدی العلماء الأمناء علی الحلال و الحرام، کما ورد فی خبر تحف العقول المتقدّم، الذی قال فیه مولانا سیّد الشهداء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مجاری الأمور و الأحکام علی أیدی العلماء باللّه، الأمناء علی حلاله و حرامه</w:t>
      </w:r>
      <w:r>
        <w:rPr>
          <w:rFonts w:eastAsia="IRNazanin" w:cs="IRNazanin"/>
          <w:color w:val="111111"/>
          <w:sz w:val="28"/>
          <w:szCs w:val="28"/>
          <w:rtl w:val="true"/>
          <w:lang w:bidi="fa-IR"/>
        </w:rPr>
        <w:t>»</w:t>
      </w:r>
      <w:r>
        <w:rPr>
          <w:rStyle w:val="FootnoteAnchor"/>
          <w:rtl w:val="true"/>
        </w:rPr>
        <w:footnoteReference w:id="3064"/>
      </w:r>
      <w:r>
        <w:rPr>
          <w:rFonts w:eastAsia="Times New Roman" w:cs="Times New Roman" w:ascii="Times New Roman" w:hAnsi="Times New Roman"/>
          <w:color w:val="111111"/>
          <w:sz w:val="28"/>
          <w:szCs w:val="28"/>
          <w:rtl w:val="true"/>
          <w:lang w:val="en-US" w:bidi="en-US"/>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جبره بالفتوی و بالإجماع المنقول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یکفی دلیلاً علی کون الحاکم ولیّاً فی مقام لیس هناک من الشرع ولیّ بالخصوص، و یدلّ علی کون جریان کلّ أمر من أمور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نکاحهم و عقودهم و إیقاعاتهم و مرافعاتهم و سائر أمورهم من الأخذ و الدفع و غیر ذلک، و کلّ حکم من أحکامهم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أیدی العلماء، خرج ما خرج بالدلیل، و بقی الباقی تحت القاعدة المدلول علیها بالنصّ الموافق لعمل الأصحاب</w:t>
      </w:r>
      <w:r>
        <w:rPr>
          <w:rStyle w:val="FootnoteAnchor"/>
          <w:rtl w:val="true"/>
        </w:rPr>
        <w:footnoteReference w:id="3065"/>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هو العمدة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إثباتها من باب ولایة الحسبة</w:t>
      </w:r>
      <w:r>
        <w:rPr>
          <w:rStyle w:val="FootnoteAnchor"/>
          <w:rtl w:val="true"/>
        </w:rPr>
        <w:footnoteReference w:id="3066"/>
      </w:r>
      <w:r>
        <w:rPr>
          <w:rFonts w:ascii="IRNazanin" w:hAnsi="IRNazanin" w:eastAsia="IRNazanin"/>
          <w:color w:val="111111"/>
          <w:sz w:val="28"/>
          <w:sz w:val="28"/>
          <w:szCs w:val="28"/>
          <w:rtl w:val="true"/>
          <w:lang w:bidi="fa-IR"/>
        </w:rPr>
        <w:t xml:space="preserve">و القدر المتیقّن من الأدلّة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مرجعها إلی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الشارع المقدّس یرید التصرّف فی بعض الأمور فی الجملة، و تزویج الیتیم مع الحاجة و اقتضاء المصلحة منها، هذا من ناحیةٍ</w:t>
      </w:r>
      <w:r>
        <w:rPr>
          <w:rFonts w:eastAsia="IRNazanin" w:cs="IRNazanin"/>
          <w:color w:val="111111"/>
          <w:sz w:val="28"/>
          <w:szCs w:val="28"/>
          <w:rtl w:val="true"/>
          <w:lang w:bidi="fa-IR"/>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ناحیة أخری لا یکون للیتیم ولیّ فی الفرض، فالقدر المتیقّن أن یکون المتصرّف فی هذا الأمر هو الحاکم أو مَن یأذن له مع الإمکان و إلاّ فمن غیره، قال السیّد الخوئی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تزویج الیتیم أو المجنون فی فرض وجود مصلحةٍ ملزمة لهما، لما</w:t>
      </w:r>
    </w:p>
    <w:p>
      <w:pPr>
        <w:pStyle w:val="BookText"/>
        <w:rPr/>
      </w:pPr>
      <w:r>
        <w:rPr>
          <w:rFonts w:ascii="IRNazanin" w:hAnsi="IRNazanin" w:eastAsia="IRNazanin"/>
          <w:color w:val="111111"/>
          <w:sz w:val="28"/>
          <w:sz w:val="28"/>
          <w:szCs w:val="28"/>
          <w:rtl w:val="true"/>
          <w:lang w:bidi="fa-IR"/>
        </w:rPr>
        <w:t xml:space="preserve">کان ممّا لا بدّ من وقوعه خارجاً، و کان لا بدّ من تصدّی شخصٍ معیّن له، ثبتت الولایة للحاکم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فرض عدم وجود الوصیّ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 هو القدر المتیقّن ممّن له التصدّی للتزویج</w:t>
      </w:r>
      <w:r>
        <w:rPr>
          <w:rStyle w:val="FootnoteAnchor"/>
          <w:rtl w:val="true"/>
        </w:rPr>
        <w:footnoteReference w:id="3067"/>
      </w:r>
      <w:r>
        <w:rPr>
          <w:rFonts w:eastAsia="Times New Roman" w:cs="Times New Roman" w:ascii="Times New Roman" w:hAnsi="Times New Roman"/>
          <w:color w:val="111111"/>
          <w:sz w:val="28"/>
          <w:szCs w:val="28"/>
          <w:rtl w:val="true"/>
          <w:lang w:val="en-US" w:bidi="en-US"/>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السیّد الحکیم فی المستمسک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لأجل أنّه لم یتّضح الإجماع علی العدم، یتعیّن البناء علی الثبوت مع الضرورة و الحاجة الشدیدة، من باب ولایة الحسبة، التی مرجعها إلی العلم بأنّ الشارع المقدّس یرید التصرّف فی الجملة، و القدر المتیقّن منه أن یکون من الحاکم أو بإذنه مع الإمکان و إلاّ فمن غیره، و الظاهر أنّها من مناصب القضاة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تعلیل الأصحاب المنع فی الصبیّ بعدم الحاجة یقتضی البناء منهم علی الولایة مع الحاجة، و لیس الفرق بین الصبیّ و المجنون إلاّ عدم الحاجة فی الأوّل غالباً، و الحاجة فی الثانی غالباً</w:t>
      </w:r>
      <w:r>
        <w:rPr>
          <w:rFonts w:eastAsia="IRNazanin" w:cs="IRNazanin"/>
          <w:color w:val="111111"/>
          <w:sz w:val="28"/>
          <w:szCs w:val="28"/>
          <w:rtl w:val="true"/>
          <w:lang w:bidi="fa-IR"/>
        </w:rPr>
        <w:t>»</w:t>
      </w:r>
      <w:r>
        <w:rPr>
          <w:rStyle w:val="FootnoteAnchor"/>
          <w:rtl w:val="true"/>
        </w:rPr>
        <w:footnoteReference w:id="3068"/>
      </w:r>
      <w:r>
        <w:rPr>
          <w:rFonts w:ascii="Amiri" w:hAnsi="Amiri" w:eastAsia="Amiri" w:cs="Amiri"/>
          <w:color w:val="111111"/>
          <w:sz w:val="28"/>
          <w:sz w:val="28"/>
          <w:szCs w:val="28"/>
          <w:rtl w:val="true"/>
          <w:lang w:bidi="ar-SA"/>
        </w:rPr>
        <w:t>و قال به أیضاً فی المهذّب</w:t>
      </w:r>
      <w:r>
        <w:rPr>
          <w:rStyle w:val="FootnoteAnchor"/>
          <w:rtl w:val="true"/>
        </w:rPr>
        <w:footnoteReference w:id="3069"/>
      </w:r>
      <w:bookmarkStart w:id="1396" w:name="pg11752_146703"/>
    </w:p>
    <w:p>
      <w:pPr>
        <w:pStyle w:val="Heading4"/>
        <w:numPr>
          <w:ilvl w:val="3"/>
          <w:numId w:val="1"/>
        </w:numPr>
        <w:rPr/>
      </w:pPr>
      <w:bookmarkStart w:id="1397" w:name="__RefHeading___Toc9424836_73709187"/>
      <w:bookmarkStart w:id="1398" w:name="_Toc532"/>
      <w:bookmarkEnd w:id="1396"/>
      <w:bookmarkEnd w:id="1397"/>
      <w:r>
        <w:rPr>
          <w:rtl w:val="true"/>
        </w:rPr>
        <w:t>المبحث الثالث</w:t>
      </w:r>
      <w:r>
        <w:rPr>
          <w:rtl w:val="true"/>
        </w:rPr>
        <w:t xml:space="preserve">: </w:t>
      </w:r>
      <w:r>
        <w:rPr>
          <w:rtl w:val="true"/>
        </w:rPr>
        <w:t>فی حکم الخیار للأیتام بعد البلوغ</w:t>
      </w:r>
      <w:bookmarkEnd w:id="1398"/>
    </w:p>
    <w:p>
      <w:pPr>
        <w:pStyle w:val="Heading5"/>
        <w:numPr>
          <w:ilvl w:val="4"/>
          <w:numId w:val="1"/>
        </w:numPr>
        <w:rPr/>
      </w:pPr>
      <w:bookmarkStart w:id="1399" w:name="__RefHeading___Toc9424838_73709187"/>
      <w:bookmarkStart w:id="1400" w:name="_Toc533"/>
      <w:bookmarkEnd w:id="1399"/>
      <w:r>
        <w:rPr>
          <w:rtl w:val="true"/>
        </w:rPr>
        <w:t>اشارة</w:t>
      </w:r>
      <w:bookmarkEnd w:id="1400"/>
    </w:p>
    <w:p>
      <w:pPr>
        <w:pStyle w:val="BookText"/>
        <w:rPr/>
      </w:pPr>
      <w:r>
        <w:rPr>
          <w:rFonts w:ascii="IRNazanin" w:hAnsi="IRNazanin" w:eastAsia="IRNazanin"/>
          <w:color w:val="111111"/>
          <w:sz w:val="28"/>
          <w:sz w:val="28"/>
          <w:szCs w:val="28"/>
          <w:rtl w:val="true"/>
          <w:lang w:bidi="fa-IR"/>
        </w:rPr>
        <w:t>قد ثبت ممّا ذکرنا أنّ للحاکم ولایة علی تزویج الأیتام، سواء کانوا ذکوراً أو إناثاً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یطرح سؤال و هو أنّه هل یکون لهم خیار بعد البلوغ و الرشد أم لا؟</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تعنون هذه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استقرائنا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کتب الفقهاء و لعلّه لظهور حکمها، و لم ترد أیضاً نصوص بخصوصها، و لکن یمکن استفادة حکمها و بیانه من تزویج الأب و 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المشهور بین الفقهاء أنّه إذا زوّج الأب أو الجدّ الصغیرة أو الصغیر لا خیار لهما بعد البلوغ، کما ذکرنا آراءهم</w:t>
      </w:r>
      <w:r>
        <w:rPr>
          <w:rStyle w:val="FootnoteAnchor"/>
          <w:rtl w:val="true"/>
        </w:rPr>
        <w:footnoteReference w:id="30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أدلّة هذا الحکم</w:t>
      </w:r>
    </w:p>
    <w:p>
      <w:pPr>
        <w:pStyle w:val="BookText"/>
        <w:rPr/>
      </w:pPr>
      <w:r>
        <w:rPr>
          <w:rFonts w:ascii="IRNazanin" w:hAnsi="IRNazanin" w:eastAsia="IRNazanin"/>
          <w:color w:val="111111"/>
          <w:sz w:val="28"/>
          <w:sz w:val="28"/>
          <w:szCs w:val="28"/>
          <w:rtl w:val="true"/>
          <w:lang w:bidi="fa-IR"/>
        </w:rPr>
        <w:t>و یدلّ علی عدم الخیار للصغیرین إذا زوّجهما الأب و الجدّ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العقد الصادر من الولیّ الإجباری یستمرّ حکمه علی المُولّی علیه بعد زوال الولایة عنه؛ لأنّه صدر بولایة شرعیة و وقع صحیحاً لقوله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قول النبیّ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r>
        <w:rPr>
          <w:rStyle w:val="FootnoteAnchor"/>
          <w:rtl w:val="true"/>
        </w:rPr>
        <w:footnoteReference w:id="30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الدلیل یأتی فی مسألتنا هذه أیضاً؛ لأنّ الفرض أنّ الحاکم ولیّ شرعاً، و صدر العقد منه صحیحاً فلا یجوز فسخه</w:t>
      </w:r>
      <w:r>
        <w:rPr>
          <w:rFonts w:eastAsia="IRNazanin" w:cs="IRNazanin"/>
          <w:color w:val="111111"/>
          <w:sz w:val="28"/>
          <w:szCs w:val="28"/>
          <w:rtl w:val="true"/>
          <w:lang w:bidi="fa-IR"/>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بقاء الصحّة بعد الفسخ بناءً علی جریان الاستصحاب فی الأحکام الکلیّة الإلهیّة، بحکم هذا أیضاً لا یکون لهم 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ابن بزیع، التی رواها المشایخ الثلاثة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الصبیة یزوّجها أبوها ثمّ یموت و هی صغیرة فتکبر قبل أن یدخل بها زوجها، یجوز علیها التزویج أو الأمر إلیها؟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علیها تزویج أبیها</w:t>
      </w:r>
      <w:r>
        <w:rPr>
          <w:rFonts w:eastAsia="IRNazanin" w:cs="IRNazanin"/>
          <w:color w:val="111111"/>
          <w:sz w:val="28"/>
          <w:szCs w:val="28"/>
          <w:rtl w:val="true"/>
          <w:lang w:bidi="fa-IR"/>
        </w:rPr>
        <w:t>»</w:t>
      </w:r>
      <w:r>
        <w:rPr>
          <w:rStyle w:val="FootnoteAnchor"/>
          <w:rtl w:val="true"/>
        </w:rPr>
        <w:footnoteReference w:id="30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صحیحة ابن یقطین</w:t>
      </w:r>
      <w:r>
        <w:rPr>
          <w:rStyle w:val="FootnoteAnchor"/>
          <w:rtl w:val="true"/>
        </w:rPr>
        <w:footnoteReference w:id="3073"/>
      </w:r>
      <w:r>
        <w:rPr>
          <w:rFonts w:ascii="Amiri" w:hAnsi="Amiri" w:eastAsia="Amiri" w:cs="Amiri"/>
          <w:color w:val="111111"/>
          <w:sz w:val="28"/>
          <w:sz w:val="28"/>
          <w:szCs w:val="28"/>
          <w:rtl w:val="true"/>
          <w:lang w:bidi="ar-SA"/>
        </w:rPr>
        <w:t>و الحذّاء</w:t>
      </w:r>
      <w:r>
        <w:rPr>
          <w:rStyle w:val="FootnoteAnchor"/>
          <w:rtl w:val="true"/>
        </w:rPr>
        <w:footnoteReference w:id="3074"/>
      </w:r>
      <w:r>
        <w:rPr>
          <w:rFonts w:ascii="IRNazanin" w:hAnsi="IRNazanin" w:eastAsia="IRNazanin"/>
          <w:color w:val="111111"/>
          <w:sz w:val="28"/>
          <w:sz w:val="28"/>
          <w:szCs w:val="28"/>
          <w:rtl w:val="true"/>
          <w:lang w:bidi="fa-IR"/>
        </w:rPr>
        <w:t>و غیرها</w:t>
      </w:r>
      <w:r>
        <w:rPr>
          <w:rStyle w:val="FootnoteAnchor"/>
          <w:rtl w:val="true"/>
        </w:rPr>
        <w:footnoteReference w:id="30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تجویز نکاح الأب و الجدّ و عدم الخیار للصغیر أو الصغیرة بعد البلوغ و الرشد الذی هو مفاد هذه النصوص لیس شیئاً، إلاّ أنّه صدر بولایةٍ شرعیة و رعایة للمصلحة، فإذا اقتضت المصلحة تزویج الیتیم، و ثبتت للحاکم ولایة شرعیة کما أثبتناه و أعمل ولایته و زوّج الصغیر أو الصغیرة، یمکن استفادة عدم الخیار لهما من هذه النصوص بتنقیح المناط، و بالعلم بعدم الفرق بین تزویج الأب و الجدّ و الحاکم فی الاستمرار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ببیان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المتفاهم العرفی من هذه النصوص أنّ العقد إن صدر ممّن له الأهلیة و الولایة ماضٍ، و لا یجوز نقضه و لا خیار فیه، و عقد الأب و الجدّ من هذه الجهة لا خصوصیّة فیه</w:t>
      </w:r>
      <w:r>
        <w:rPr>
          <w:rFonts w:eastAsia="IRNazanin" w:cs="IRNazanin"/>
          <w:color w:val="111111"/>
          <w:sz w:val="28"/>
          <w:szCs w:val="28"/>
          <w:rtl w:val="true"/>
          <w:lang w:bidi="fa-IR"/>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النصوص التی استندنا إلیها فی إثبات ولایة الحاکم فی مسألتنا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استمرار عقده و لا یجوز نقضه،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السلطان ولیّ من لا ولیّ له</w:t>
      </w:r>
      <w:r>
        <w:rPr>
          <w:rFonts w:eastAsia="IRNazanin" w:cs="IRNazanin"/>
          <w:color w:val="111111"/>
          <w:sz w:val="28"/>
          <w:szCs w:val="28"/>
          <w:rtl w:val="true"/>
          <w:lang w:bidi="fa-IR"/>
        </w:rPr>
        <w:t>»</w:t>
      </w:r>
      <w:r>
        <w:rPr>
          <w:rStyle w:val="FootnoteAnchor"/>
          <w:rtl w:val="true"/>
        </w:rPr>
        <w:footnoteReference w:id="3076"/>
      </w:r>
      <w:r>
        <w:rPr>
          <w:rFonts w:ascii="IRNazanin" w:hAnsi="IRNazanin" w:eastAsia="IRNazanin"/>
          <w:color w:val="111111"/>
          <w:sz w:val="28"/>
          <w:sz w:val="28"/>
          <w:szCs w:val="28"/>
          <w:rtl w:val="true"/>
          <w:lang w:bidi="fa-IR"/>
        </w:rPr>
        <w:t xml:space="preserve">و غیرها، فإذا ثبتت للحاکم ولایة شرعیّة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أثبتناه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 عقده</w:t>
      </w:r>
      <w:bookmarkStart w:id="1401" w:name="pg11752_146705"/>
    </w:p>
    <w:p>
      <w:pPr>
        <w:pStyle w:val="BookText"/>
        <w:rPr/>
      </w:pPr>
      <w:bookmarkEnd w:id="1401"/>
      <w:r>
        <w:rPr>
          <w:rFonts w:ascii="IRNazanin" w:hAnsi="IRNazanin" w:eastAsia="IRNazanin"/>
          <w:color w:val="111111"/>
          <w:sz w:val="28"/>
          <w:sz w:val="28"/>
          <w:szCs w:val="28"/>
          <w:rtl w:val="true"/>
          <w:lang w:bidi="fa-IR"/>
        </w:rPr>
        <w:t>قبل بلوغ الأیتام و رشدهم، فلا دلیل لجواز نقضه بعد بلوغهم، بل بعض ما ذکرنا صریح فی عدم جواز الفسخ و عدم الخیار و کان موردها ذلک، و هی مقبولة عمر بن حنظلة فإنّ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فإنّی قد جعلته علیکم حاکماً، فإذا حکم بحکمنا فلم یقبله منه، فإنّما استخفّ بحکم اللّه و علینا ردّ، و الرادّ علینا الرادّ علی اللّه</w:t>
      </w:r>
      <w:r>
        <w:rPr>
          <w:rFonts w:eastAsia="IRNazanin" w:cs="IRNazanin"/>
          <w:color w:val="111111"/>
          <w:sz w:val="28"/>
          <w:szCs w:val="28"/>
          <w:rtl w:val="true"/>
          <w:lang w:bidi="fa-IR"/>
        </w:rPr>
        <w:t>...»</w:t>
      </w:r>
      <w:r>
        <w:rPr>
          <w:rStyle w:val="FootnoteAnchor"/>
          <w:rtl w:val="true"/>
        </w:rPr>
        <w:footnoteReference w:id="30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قلنا فی وجه الاستدلال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یجوز للصغیرین ردّ حکم الحاکم بعد رشدهما، بل لا بدّ من ترتّب الآثار علیه، و الفرض أنّ عقد الیتیم فی المورد وقع بحکمه بالمعنی العامّ، أی رأی الحاکم المصلحة فیه و أنّه لازم، و أقدم علیه بنفسه أو أذن لغیره</w:t>
      </w:r>
      <w:r>
        <w:rPr>
          <w:rStyle w:val="FootnoteAnchor"/>
          <w:rtl w:val="true"/>
        </w:rPr>
        <w:footnoteReference w:id="30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یرجع الاستدلال بالنبویّ و غیره من النصوص للوجه الأوّل و لکن الاستناد علی المقبولة تامّ</w:t>
      </w:r>
      <w:r>
        <w:rPr>
          <w:rFonts w:eastAsia="IRNazanin" w:cs="IRNazanin"/>
          <w:color w:val="111111"/>
          <w:sz w:val="28"/>
          <w:szCs w:val="28"/>
          <w:rtl w:val="true"/>
          <w:lang w:bidi="fa-IR"/>
        </w:rPr>
        <w:t>.</w:t>
      </w:r>
    </w:p>
    <w:p>
      <w:pPr>
        <w:pStyle w:val="Heading5"/>
        <w:numPr>
          <w:ilvl w:val="4"/>
          <w:numId w:val="1"/>
        </w:numPr>
        <w:rPr/>
      </w:pPr>
      <w:bookmarkStart w:id="1402" w:name="__RefHeading___Toc9424840_73709187"/>
      <w:bookmarkStart w:id="1403" w:name="_Toc534"/>
      <w:bookmarkEnd w:id="1402"/>
      <w:r>
        <w:rPr>
          <w:rtl w:val="true"/>
        </w:rPr>
        <w:t>رأی أهل السنّة فی ولایة الحاکم علی نکاح الأیتام</w:t>
      </w:r>
      <w:bookmarkEnd w:id="1403"/>
    </w:p>
    <w:p>
      <w:pPr>
        <w:pStyle w:val="BookText"/>
        <w:rPr/>
      </w:pPr>
      <w:r>
        <w:rPr>
          <w:rFonts w:ascii="IRNazanin" w:hAnsi="IRNazanin" w:eastAsia="IRNazanin"/>
          <w:color w:val="111111"/>
          <w:sz w:val="28"/>
          <w:sz w:val="28"/>
          <w:szCs w:val="28"/>
          <w:rtl w:val="true"/>
          <w:lang w:bidi="fa-IR"/>
        </w:rPr>
        <w:t>فقهاء أهل السنّة اختلفوا فی أنّ للحاکم ولایة علی تزویج الأیتام أم لا؟ و أنّه هل لهم بعد البلوغ و الرشد خیار أم لا؟</w:t>
      </w:r>
    </w:p>
    <w:p>
      <w:pPr>
        <w:pStyle w:val="BookText"/>
        <w:rPr/>
      </w:pPr>
      <w:r>
        <w:rPr>
          <w:rFonts w:ascii="IRNazanin" w:hAnsi="IRNazanin" w:eastAsia="IRNazanin"/>
          <w:color w:val="111111"/>
          <w:sz w:val="28"/>
          <w:sz w:val="28"/>
          <w:szCs w:val="28"/>
          <w:rtl w:val="true"/>
          <w:lang w:bidi="fa-IR"/>
        </w:rPr>
        <w:t>هنا أقوال نشیر إلیها اختصاراً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الحنفیّة</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الکاسانی فی البدائع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الإمام فهو نائب عن جماعة المسلمین، و هم یرثون مَن لا ولیّ له من جهة الملک و القرابة و الولاء، أ لا تری أنّ میراثه لبیت المال و بیت المال مالهم، فکانت الولایة فی الحقیقة لهم، و إنّما الإمام نائب عنهم، فیتزوّجون و یرثون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أمّا قول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النکاح إلی العصبات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منه</w:t>
      </w:r>
    </w:p>
    <w:p>
      <w:pPr>
        <w:pStyle w:val="BookText"/>
        <w:rPr/>
      </w:pPr>
      <w:r>
        <w:rPr>
          <w:rFonts w:ascii="Amiri" w:hAnsi="Amiri" w:eastAsia="Amiri" w:cs="Amiri"/>
          <w:color w:val="111111"/>
          <w:sz w:val="28"/>
          <w:sz w:val="28"/>
          <w:szCs w:val="28"/>
          <w:rtl w:val="true"/>
          <w:lang w:bidi="ar-SA"/>
        </w:rPr>
        <w:t>حال وجود العصبة</w:t>
      </w:r>
      <w:r>
        <w:rPr>
          <w:rFonts w:eastAsia="Amiri" w:cs="Amiri" w:ascii="Amiri" w:hAnsi="Amiri"/>
          <w:color w:val="111111"/>
          <w:sz w:val="28"/>
          <w:szCs w:val="28"/>
          <w:rtl w:val="true"/>
          <w:lang w:bidi="ar-SA"/>
        </w:rPr>
        <w:t>»</w:t>
      </w:r>
      <w:r>
        <w:rPr>
          <w:rStyle w:val="FootnoteAnchor"/>
          <w:rtl w:val="true"/>
        </w:rPr>
        <w:footnoteReference w:id="30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فالمستفاد منه أنّ الذی یوجب الولایة للحاکم نیابته عن جماعة المسلمین، و هی تتحقّق فی الصغیرین الخالیین عن الأب و الجدّ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الأولیاء، و إذا کان کذلک لا خیار لهما إذا أدرکا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مقابله قول آخر منهم یحکم بثبوت الخیار لهما إذا أدرکا، قال فی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القاضی إذا کان هو الذی زوّج الیتیمة ففی ظاهر الروایة یثبت لها الخیار؛ لأنّه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لهما الخیار فی نکاح غیر الأب و الجدّ إذا أدرکا، و روی خالد بن صبیح المروزی، عن أبی حنیفة أنّه لا یثبت الخیار، وجه تلک الروایة أنّ للقاضی ولایة تامّة تثبت فی المال و النفس جمیعاً، فتکون ولایته فی القوّة کولایة الأب، و وجه ظاهر الروایة أنّ ولایة القاضی متأخّرة عن ولایة العمّ و الأخ، فإذا ثبت الخیار فی تزویج الأخ و العمّ ففی تزویج القاضی أولی</w:t>
      </w:r>
      <w:r>
        <w:rPr>
          <w:rFonts w:eastAsia="IRNazanin" w:cs="IRNazanin"/>
          <w:color w:val="111111"/>
          <w:sz w:val="28"/>
          <w:szCs w:val="28"/>
          <w:rtl w:val="true"/>
          <w:lang w:bidi="fa-IR"/>
        </w:rPr>
        <w:t>»</w:t>
      </w:r>
      <w:r>
        <w:rPr>
          <w:rStyle w:val="FootnoteAnchor"/>
          <w:rtl w:val="true"/>
        </w:rPr>
        <w:footnoteReference w:id="30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المالکیّة</w:t>
      </w:r>
    </w:p>
    <w:p>
      <w:pPr>
        <w:pStyle w:val="BookText"/>
        <w:rPr/>
      </w:pPr>
      <w:r>
        <w:rPr>
          <w:rFonts w:ascii="IRNazanin" w:hAnsi="IRNazanin" w:eastAsia="IRNazanin"/>
          <w:color w:val="111111"/>
          <w:sz w:val="28"/>
          <w:sz w:val="28"/>
          <w:szCs w:val="28"/>
          <w:rtl w:val="true"/>
          <w:lang w:bidi="fa-IR"/>
        </w:rPr>
        <w:t>لهم فی تلک المسألة ثلاثة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الولایة، قال فی الجواهر الثمینة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لیس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یزوّج الصغیرة، و لا یزوّجها غیر الأب من سائر الأولیاء، فإذا کانت یتیمةً فلا تزوّج أصلاً حتی تبلغ</w:t>
      </w:r>
      <w:r>
        <w:rPr>
          <w:rFonts w:eastAsia="IRNazanin" w:cs="IRNazanin"/>
          <w:color w:val="111111"/>
          <w:sz w:val="28"/>
          <w:szCs w:val="28"/>
          <w:rtl w:val="true"/>
          <w:lang w:bidi="fa-IR"/>
        </w:rPr>
        <w:t>»</w:t>
      </w:r>
      <w:r>
        <w:rPr>
          <w:rStyle w:val="FootnoteAnchor"/>
          <w:rtl w:val="true"/>
        </w:rPr>
        <w:footnoteReference w:id="30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لسائر الأولیاء تزویجها، و لها الخیار إذا بلغت</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دعتها ضرورة، و مسّتها حاجة، و کان مثلها یوطأ، و لها فی النکاح مصلحة جاز تزویجها</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فی تبیین المسالک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بیان ولیّ المجبر و جواز نکاحه الصغیر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غیر</w:t>
      </w:r>
    </w:p>
    <w:p>
      <w:pPr>
        <w:pStyle w:val="BookText"/>
        <w:rPr/>
      </w:pPr>
      <w:r>
        <w:rPr>
          <w:rFonts w:ascii="IRNazanin" w:hAnsi="IRNazanin" w:eastAsia="IRNazanin"/>
          <w:color w:val="111111"/>
          <w:sz w:val="28"/>
          <w:sz w:val="28"/>
          <w:szCs w:val="28"/>
          <w:rtl w:val="true"/>
          <w:lang w:bidi="fa-IR"/>
        </w:rPr>
        <w:t>المجبر حکمه أن لا یزوِّج إلاّ بالغاً برضاها إلاّ یتیمة خیف علیها الفساد، بأن یخاف علیها الفساد فی الدین أو الضیاع لفقرٍ و نحوه، و أن تکون قد بلغت عشر سنین</w:t>
      </w:r>
      <w:r>
        <w:rPr>
          <w:rFonts w:eastAsia="IRNazanin" w:cs="IRNazanin"/>
          <w:color w:val="111111"/>
          <w:sz w:val="28"/>
          <w:szCs w:val="28"/>
          <w:rtl w:val="true"/>
          <w:lang w:bidi="fa-IR"/>
        </w:rPr>
        <w:t>»</w:t>
      </w:r>
      <w:r>
        <w:rPr>
          <w:rStyle w:val="FootnoteAnchor"/>
          <w:rtl w:val="true"/>
        </w:rPr>
        <w:footnoteReference w:id="30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ذکروا بأنّ الولیّ المجبر السیّد و الأب و الوصیّ، و لکن نسب الجزیری إلی المالکیّة أنهم یعتقدون أنّ الولیّ المجبر هو الأب فقط‌</w:t>
      </w:r>
      <w:r>
        <w:rPr>
          <w:rStyle w:val="FootnoteAnchor"/>
          <w:rtl w:val="true"/>
        </w:rPr>
        <w:footnoteReference w:id="3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الشافعیّة</w:t>
      </w:r>
    </w:p>
    <w:p>
      <w:pPr>
        <w:pStyle w:val="BookText"/>
        <w:rPr/>
      </w:pPr>
      <w:r>
        <w:rPr>
          <w:rFonts w:ascii="IRNazanin" w:hAnsi="IRNazanin" w:eastAsia="IRNazanin"/>
          <w:color w:val="111111"/>
          <w:sz w:val="28"/>
          <w:sz w:val="28"/>
          <w:szCs w:val="28"/>
          <w:rtl w:val="true"/>
          <w:lang w:bidi="fa-IR"/>
        </w:rPr>
        <w:t>قال محمّد بن إدریس الشافعی فی الأم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للآباء تزویج الابن الصغیر، و لا خیار له إذا بلغ، و لیس ذلک لسلطانٍ و لا ولیّ، و إن زوّجه سلطان أو ولیّ غیر الآباء فالنکاح مفسوخٌ؛ لأنّا إنّما نجیز علیه أمر الأب؛ لأنّه یقوم مقامه فی النظر له ما لم یکن له فی نفسه أمرٌ، و لا یکون له خیار إذا بلغ، فأمّا غیر الأب فلیس له ذلک</w:t>
      </w:r>
      <w:r>
        <w:rPr>
          <w:rFonts w:eastAsia="IRNazanin" w:cs="IRNazanin"/>
          <w:color w:val="111111"/>
          <w:sz w:val="28"/>
          <w:szCs w:val="28"/>
          <w:rtl w:val="true"/>
          <w:lang w:bidi="fa-IR"/>
        </w:rPr>
        <w:t>»</w:t>
      </w:r>
      <w:r>
        <w:rPr>
          <w:rStyle w:val="FootnoteAnchor"/>
          <w:rtl w:val="true"/>
        </w:rPr>
        <w:footnoteReference w:id="30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فی مغنی المحتاج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علی حاشیة النسب کأخٍ و عمٍّ لا یزوّج صغیرة بحال، بکراً کانت أو ثیّباً، عاقلة أو مجنونة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السلطان کالأخ</w:t>
      </w:r>
      <w:r>
        <w:rPr>
          <w:rFonts w:eastAsia="IRNazanin" w:cs="IRNazanin"/>
          <w:color w:val="111111"/>
          <w:sz w:val="28"/>
          <w:szCs w:val="28"/>
          <w:rtl w:val="true"/>
          <w:lang w:bidi="fa-IR"/>
        </w:rPr>
        <w:t>»</w:t>
      </w:r>
      <w:r>
        <w:rPr>
          <w:rStyle w:val="FootnoteAnchor"/>
          <w:rtl w:val="true"/>
        </w:rPr>
        <w:footnoteReference w:id="30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الحنابلة</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قائلون بأنّ الحاکم إذا زوّج الصغیرة مع عدم رعایة الغبطة و المصلحة مثل أن یزوّجها بمن به عیب فالعقد باطل و إلاّ صحیحٌ، قال ابن قدامة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لولیّ الصغیر و الصغیرة و سیّد الأمة تزویجهم لمن به أحد هذه العیوب؛ لأنّه ناظر لهم بما فیه الحظّ، و لا حظّ لهم فی هذا العقد، فإن زوَّجهم مع العلم بالعیب لم یصحّ النکاح؛ لأنّه عقد لهم عقداً لا یجوز عقده فلم یصحّ، کما لو باع عقاره لغیر غبطةٍ و لا حاجةٍ، و إن لم یعلم بالعیب 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علیه الفسخ إذا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أن لا یصحّ النکاح؛ لأنّه زوّجهم ممّن لا یملک تزویجهم إیّاه فلم یصحّ</w:t>
      </w:r>
      <w:r>
        <w:rPr>
          <w:rFonts w:eastAsia="IRNazanin" w:cs="IRNazanin"/>
          <w:color w:val="111111"/>
          <w:sz w:val="28"/>
          <w:szCs w:val="28"/>
          <w:rtl w:val="true"/>
          <w:lang w:bidi="fa-IR"/>
        </w:rPr>
        <w:t>»</w:t>
      </w:r>
      <w:r>
        <w:rPr>
          <w:rStyle w:val="FootnoteAnchor"/>
          <w:rtl w:val="true"/>
        </w:rPr>
        <w:footnoteReference w:id="3086"/>
      </w:r>
      <w:r>
        <w:rPr>
          <w:rFonts w:eastAsia="Times New Roman" w:cs="Times New Roman" w:ascii="Times New Roman" w:hAnsi="Times New Roman"/>
          <w:color w:val="111111"/>
          <w:sz w:val="28"/>
          <w:szCs w:val="28"/>
          <w:rtl w:val="true"/>
          <w:lang w:val="en-US" w:bidi="en-US"/>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الولیّ یشمل الحاکم أیضاً، و الدلیل دعواه بعدم الخلاف فی أنّ للسلطان ولایة تزویج المرأة عند عدم أولیائها</w:t>
      </w:r>
      <w:r>
        <w:rPr>
          <w:rStyle w:val="FootnoteAnchor"/>
          <w:rtl w:val="true"/>
        </w:rPr>
        <w:footnoteReference w:id="30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الفرض أنّه لیس للیتیم ولیّ غیر الحاکم</w:t>
      </w:r>
      <w:r>
        <w:rPr>
          <w:rFonts w:eastAsia="IRNazanin" w:cs="IRNazanin"/>
          <w:color w:val="111111"/>
          <w:sz w:val="28"/>
          <w:szCs w:val="28"/>
          <w:rtl w:val="true"/>
          <w:lang w:bidi="fa-IR"/>
        </w:rPr>
        <w:t>.</w:t>
      </w:r>
      <w:bookmarkStart w:id="1404" w:name="pg11752_146709"/>
    </w:p>
    <w:p>
      <w:pPr>
        <w:pStyle w:val="Heading2"/>
        <w:numPr>
          <w:ilvl w:val="1"/>
          <w:numId w:val="1"/>
        </w:numPr>
        <w:rPr/>
      </w:pPr>
      <w:bookmarkStart w:id="1405" w:name="__RefHeading___Toc9424842_73709187"/>
      <w:bookmarkStart w:id="1406" w:name="_Toc535"/>
      <w:bookmarkEnd w:id="1404"/>
      <w:bookmarkEnd w:id="1405"/>
      <w:r>
        <w:rPr>
          <w:rtl w:val="true"/>
        </w:rPr>
        <w:t>فهرس أحکام الأطفال</w:t>
      </w:r>
      <w:bookmarkEnd w:id="1406"/>
    </w:p>
    <w:p>
      <w:pPr>
        <w:pStyle w:val="Heading3"/>
        <w:numPr>
          <w:ilvl w:val="2"/>
          <w:numId w:val="1"/>
        </w:numPr>
        <w:rPr/>
      </w:pPr>
      <w:bookmarkStart w:id="1407" w:name="__RefHeading___Toc9424844_73709187"/>
      <w:bookmarkStart w:id="1408" w:name="_Toc536"/>
      <w:bookmarkEnd w:id="1407"/>
      <w:r>
        <w:rPr>
          <w:rtl w:val="true"/>
        </w:rPr>
        <w:t>اشارة</w:t>
      </w:r>
      <w:bookmarkEnd w:id="1408"/>
    </w:p>
    <w:p>
      <w:pPr>
        <w:pStyle w:val="BookText"/>
        <w:rPr/>
      </w:pPr>
      <w:r>
        <w:rPr>
          <w:rFonts w:ascii="IRNazanin" w:hAnsi="IRNazanin" w:eastAsia="IRNazanin"/>
          <w:color w:val="111111"/>
          <w:sz w:val="28"/>
          <w:sz w:val="28"/>
          <w:szCs w:val="28"/>
          <w:rtl w:val="true"/>
          <w:lang w:bidi="fa-IR"/>
        </w:rPr>
        <w:t>مدخل فی التعریف بعلم الفقه و بیان شأن الفقهاء</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الدور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التشریع</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الدور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التدوین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الدور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التطوّر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الدور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الجمود و التقلید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الدور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النهوض</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الدور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الرشد و النموّ</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الدور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التکامل</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الکتب</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الرسائل</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الأهداف فی تألیف هذا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 البحث و ضوابطه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شکر و ثناء</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Heading3"/>
        <w:numPr>
          <w:ilvl w:val="2"/>
          <w:numId w:val="1"/>
        </w:numPr>
        <w:rPr/>
      </w:pPr>
      <w:bookmarkStart w:id="1409" w:name="__RefHeading___Toc9424846_73709187"/>
      <w:bookmarkStart w:id="1410" w:name="_Toc537"/>
      <w:bookmarkEnd w:id="1409"/>
      <w:r>
        <w:rPr>
          <w:rtl w:val="true"/>
        </w:rPr>
        <w:t>الباب الأوّل فی بیان وظائف الأبوین قبل التزویج و فی أیّام الحمل و بعد ولادته</w:t>
      </w:r>
      <w:bookmarkEnd w:id="1410"/>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حکم استحباب الزواج أو وجوبه</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استحباب الزواج فی حدّ نفسه</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الطائفة الاُولی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من أنَّ النکاح سنّة، مثل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أمر فیها بالتزویج، مثل</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دَلّت علی کراهة العزوبة، و أفضلیة عبادة المتزوّج</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الطائفة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المقصود بالذکر خاصّة فی هذا المقام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مذهب أهل السنّة فی 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حکم الزواج ثانیاً و بالعرض</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صفات الزوجین</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الصفات التی یستحبّ النکاح لأجلها</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المرأة کریمة الأصل ذات دِینٍ</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باکرةً</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المرأة عفیفةً، ولوداً، و دوداً</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تکون جمیلةً ذات شعرٍ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صالحة مطیعة</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متوسطةً بین البیاض و السواد</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طیّبة الریح</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حدیدة النظر</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خفیفة المؤنة و المهر</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قریبة</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ما یستحبّ للمرأة و أهلها فی اختیارها الزوج</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الصفات التی یکره التزویج من أجلها</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مسائل الخلوة</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المسائل المستحبّة عند الخلوة</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اللّه تعالی و الاستعاذة به من الشیطان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کلّ من الزوج و الزوجة حین الجماع علی طهارة</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الجماع فی لیالی مخصوصة</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خرقة الرجل غیر خرقة المرأة</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الجماع فی أوقاتٍ و عند وقوع أمور</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الجماع فی أوقات معیّنة</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الجماع عند فعل شیء أو وقوعه</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الجماع فی أیّام الحیض</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مسائل تغذیة الحامل فی أیّام حملها</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أمّا 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وردت النصوص علی أفضلیّة أکل الحامل</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اضطرار الحامل إلی أکل المحرّم</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أحکام الحمل</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منهج البحث</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تحدید النسل</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عدم جواز منع الحمل و التعقیم الدائم</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أدلّة هذا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جواز التعقیم فی بعض الحالات خاصّة</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جواز المنع عن الحمل مؤقّتاً</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أولویّة تحدید النسل فی بعض الأزمنة</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عدم اعتبار رضا الزوجین فی المنع عن الحمل</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أدلّة هذا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تحدید النسل عند فقهاء أهل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إجهاض الحَمل</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الإجهاض لغةً و اصطلاحاً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حکم الإجهاض فقهیّاً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حرمة الإجهاض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حکم الإجهاض عند فقهاء أهل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تزاحم الحقّین</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رأی أهل السنّة فی تزاحم حقّین</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حیاة الحمل حین موت امّه</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آراء فقهاء أهل السنّة فی 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موت الحمل و حیاة الاُمّ</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رأی فقهاء أهل السنّة فی هذه 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حقوق الحمل</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الوصیّة للحمل</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شرائط صحة الوصیّة للحمل</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آراء فقهاء أهل السنّة فی 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الحمل</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شرائط إرث الحمل</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رأی الجمهور من أهل السنّة فی 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الحدّ عن الحامل بسبب حملها</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إقامة الحدّ علی الحامل</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إیراد و دفعه</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رأی المذاهب الأربعة فی تأخیر الحدّ عن الحامل</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إجراء القصاص علی الحامل</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توافق المذاهب الأربعة فی 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سنن الولادة</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غسل المولود</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وقت غسل المولود</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اعتبار النیّة و الترتیب فی غسل المولود</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الأذان و الإقامة</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استحباب الأذان عند أهل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تحنیک المولود</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التحنیک عند أهل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اسم المولود و الکنی و الألقاب له</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اختیار الأسماء الحسنة للمولود</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أفضلیّة أسماء الأنبیاء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أفضل الأسماء عند أهل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الأسماء القبیحة</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استحباب تغییر الأسماء القبیحة</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التّسمیة</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الکنی و الألقاب الحسنة</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التکنّی باسم الأب أو الابن</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الکنی المنهیّ عنها</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حلق رأس المولود و التصدّق بوزنه</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نظر أهل السنّة فی 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العقیقة</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العقیقة</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أدلّة القول الثانی و الجواب عنها</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وقت العقیقة</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عقاق البالغ عن نفسه</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 العقیقة</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العقیقة</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عند العقیقة</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طبخ لحمها</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الفرع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کسر عظامها</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أکل الوالدین من العقیقة</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الفصل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الختان و ثقب الاُذن و الولیمة</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الختان فی الیوم السابع</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جواز تأخیر الختان إلی البلوغ</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وجوب الختان بعد البلوغ</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الدعاء عند الختان</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الختان عند أهل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الخفض و الختان فی 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الخفض عند أهل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ثقب أُذن المولود</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ثقب الاُذن عند فقهاء أهل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الولیمة عند الولادة</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الولیمة عند أهل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فرع فی استحباب التهنئة</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الفصل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الرضاع</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الإرضاع</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الإرضاع عند أهل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الأمّ فی الإرضاع</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استحباب الرضاع فی حولین کاملین</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حکم إرضاع الولد أکثر من حولین</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إرضاع الولد أکثر من حولین عند فقهاء أهل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استحقاق الأمّ أجرة الرضاع</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استحباب اختیار العاقلة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للرضاع</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الرضاع و نشر الحرمة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معنی الحدیث النبویّ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الأحکام المترتّبة علی الرضاع</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المبحث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شروط نشر الحرمة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شروط المرضعة</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نظر أهل السنّة فی الشرط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الإرضاع بعد انفصال الولد</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عدم اشتراط بقاء المرأة فی حبال الرجل</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شروط المرتضع</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اعتبار سنّ المرتضع فی الحولین عند فقهاء أهل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عدم اعتبار الحولین فی ولد المرضعة</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یعتبر فی الرضاع</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عدم انتشار الحرمة بین المرتضعین مع تعدّد الفحل و إن اتّحد المرضعة</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رأی أهل السنّة فی الامتصاص من الثدی</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التقدیر بالزمان</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التقدیر بالعدد</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 القائلین بالعشر</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bookmarkStart w:id="1411" w:name="pg11752_146716"/>
    </w:p>
    <w:p>
      <w:pPr>
        <w:pStyle w:val="BookText"/>
        <w:rPr/>
      </w:pPr>
      <w:bookmarkEnd w:id="1411"/>
      <w:r>
        <w:rPr>
          <w:rFonts w:ascii="IRNazanin" w:hAnsi="IRNazanin" w:eastAsia="IRNazanin"/>
          <w:color w:val="111111"/>
          <w:sz w:val="28"/>
          <w:sz w:val="28"/>
          <w:szCs w:val="28"/>
          <w:rtl w:val="true"/>
          <w:lang w:bidi="fa-IR"/>
        </w:rPr>
        <w:t>التحقیق فی 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استدلال القائلین بالخمس عشرة</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التقدیر بالأثر</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آراء أهل السنّة فی تحدید الرضاع</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المعتبر فی الرضعات</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Heading3"/>
        <w:numPr>
          <w:ilvl w:val="2"/>
          <w:numId w:val="1"/>
        </w:numPr>
        <w:rPr/>
      </w:pPr>
      <w:bookmarkStart w:id="1412" w:name="__RefHeading___Toc9424848_73709187"/>
      <w:bookmarkStart w:id="1413" w:name="_Toc538"/>
      <w:bookmarkEnd w:id="1412"/>
      <w:r>
        <w:rPr>
          <w:rtl w:val="true"/>
        </w:rPr>
        <w:t>الباب الثانی فی الحضانة</w:t>
      </w:r>
      <w:bookmarkEnd w:id="1413"/>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الحضانة لغةً و اصطلاحاً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مفهوم الحضانة عند فقهاء أهل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الحضانة و أدلّتها</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هل وجوب الحضانة عینی أم کفائی؟</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هل الحضانة حکم أو حقّ؟</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رأی فقهاء أهل السنّة فی وجوب الحضانة</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المستحقّون للحضانة و مراتبهم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الأمّ فی الحضانة مدّة الرضاع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IRNazanin" w:hAnsi="IRNazanin" w:eastAsia="IRNazanin"/>
          <w:color w:val="111111"/>
          <w:sz w:val="28"/>
          <w:sz w:val="28"/>
          <w:szCs w:val="28"/>
          <w:rtl w:val="true"/>
          <w:lang w:bidi="fa-IR"/>
        </w:rPr>
        <w:t>أمّا مختار المشهور</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السیرة</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مستند القول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آراء المذاهب الأربعة فی تقدّم الأمّ، للحضانة</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مدّة استحقاق الأمّ فی الحضانة</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رفع التعارض بین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Amiri" w:hAnsi="Amiri" w:eastAsia="Amiri" w:cs="Amiri"/>
          <w:color w:val="111111"/>
          <w:sz w:val="28"/>
          <w:sz w:val="28"/>
          <w:szCs w:val="28"/>
          <w:rtl w:val="true"/>
          <w:lang w:bidi="ar-SA"/>
        </w:rPr>
        <w:t>مدّة استحقاق الأمّ، الحضانة عند فقهاء المذاهب الأربعة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أحد الأبوین علی سائر الأرحام</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الجدّ من جهة الأب علی سائر الأرحام</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القول الرابع</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القول الخامس</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القول السادس</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مذهب أهل السنّة فی المستحقّین للحضانة</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الحنفیّة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الشافعیة</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الحنابلة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المالکیّة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شروط المستحقّین للحضانة</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الشرط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رأی أهل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الشرط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الحرّیة</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Amiri" w:hAnsi="Amiri" w:eastAsia="Amiri" w:cs="Amiri"/>
          <w:color w:val="111111"/>
          <w:sz w:val="28"/>
          <w:sz w:val="28"/>
          <w:szCs w:val="28"/>
          <w:rtl w:val="true"/>
          <w:lang w:bidi="ar-SA"/>
        </w:rPr>
        <w:t>الشرط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الشرط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IRNazanin" w:hAnsi="IRNazanin" w:eastAsia="IRNazanin"/>
          <w:color w:val="111111"/>
          <w:sz w:val="28"/>
          <w:sz w:val="28"/>
          <w:szCs w:val="28"/>
          <w:rtl w:val="true"/>
          <w:lang w:bidi="fa-IR"/>
        </w:rPr>
        <w:t>رأی بعض فقهاء أهل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الشرط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عاقلة</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bookmarkStart w:id="1414" w:name="pg11752_146718"/>
    </w:p>
    <w:p>
      <w:pPr>
        <w:pStyle w:val="BookText"/>
        <w:rPr/>
      </w:pPr>
      <w:bookmarkEnd w:id="1414"/>
      <w:r>
        <w:rPr>
          <w:rFonts w:ascii="IRNazanin" w:hAnsi="IRNazanin" w:eastAsia="IRNazanin"/>
          <w:color w:val="111111"/>
          <w:sz w:val="28"/>
          <w:sz w:val="28"/>
          <w:szCs w:val="28"/>
          <w:rtl w:val="true"/>
          <w:lang w:bidi="fa-IR"/>
        </w:rPr>
        <w:t>الشرط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تکون الحاضنة متزوّجة من أجنبی</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Amiri" w:hAnsi="Amiri" w:eastAsia="Amiri" w:cs="Amiri"/>
          <w:color w:val="111111"/>
          <w:sz w:val="28"/>
          <w:sz w:val="28"/>
          <w:szCs w:val="28"/>
          <w:rtl w:val="true"/>
          <w:lang w:bidi="ar-SA"/>
        </w:rPr>
        <w:t>آراء المذاهب الأربعة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IRNazanin" w:hAnsi="IRNazanin" w:eastAsia="IRNazanin"/>
          <w:color w:val="111111"/>
          <w:sz w:val="28"/>
          <w:sz w:val="28"/>
          <w:szCs w:val="28"/>
          <w:rtl w:val="true"/>
          <w:lang w:bidi="fa-IR"/>
        </w:rPr>
        <w:t>الشرط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مُقیمة</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رأی أهل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الشرط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أمینة</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رأی أهل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أَمَد الحضانة</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أدلّة هذا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آراء مذاهب أهل السنّة فی مدّة الحضانة</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المبحث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الأجرة علی الحضانة</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آراء مذاهب أهل السنّة فی 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Amiri" w:hAnsi="Amiri" w:eastAsia="Amiri" w:cs="Amiri"/>
          <w:color w:val="111111"/>
          <w:sz w:val="28"/>
          <w:sz w:val="28"/>
          <w:szCs w:val="28"/>
          <w:rtl w:val="true"/>
          <w:lang w:bidi="ar-SA"/>
        </w:rPr>
        <w:t>بقاء حقّ الحضانة مع إسقاط حق الرضاع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IRNazanin" w:hAnsi="IRNazanin" w:eastAsia="IRNazanin"/>
          <w:color w:val="111111"/>
          <w:sz w:val="28"/>
          <w:sz w:val="28"/>
          <w:szCs w:val="28"/>
          <w:rtl w:val="true"/>
          <w:lang w:bidi="fa-IR"/>
        </w:rPr>
        <w:t>أدلّة القولین</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Heading3"/>
        <w:numPr>
          <w:ilvl w:val="2"/>
          <w:numId w:val="1"/>
        </w:numPr>
        <w:rPr/>
      </w:pPr>
      <w:bookmarkStart w:id="1415" w:name="__RefHeading___Toc9424850_73709187"/>
      <w:bookmarkStart w:id="1416" w:name="_Toc539"/>
      <w:bookmarkEnd w:id="1415"/>
      <w:r>
        <w:rPr>
          <w:rtl w:val="true"/>
        </w:rPr>
        <w:t>الباب الثالث فی نفقة الأطفال</w:t>
      </w:r>
      <w:bookmarkEnd w:id="1416"/>
    </w:p>
    <w:p>
      <w:pPr>
        <w:pStyle w:val="BookText"/>
        <w:rPr/>
      </w:pPr>
      <w:r>
        <w:rPr>
          <w:rFonts w:ascii="Amiri" w:hAnsi="Amiri" w:eastAsia="Amiri" w:cs="Amiri"/>
          <w:color w:val="111111"/>
          <w:sz w:val="28"/>
          <w:sz w:val="28"/>
          <w:szCs w:val="28"/>
          <w:rtl w:val="true"/>
          <w:lang w:bidi="ar-SA"/>
        </w:rPr>
        <w:t>تمهیدٌ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IRNazanin" w:hAnsi="IRNazanin" w:eastAsia="IRNazanin"/>
          <w:color w:val="111111"/>
          <w:sz w:val="28"/>
          <w:sz w:val="28"/>
          <w:szCs w:val="28"/>
          <w:rtl w:val="true"/>
          <w:lang w:bidi="fa-IR"/>
        </w:rPr>
        <w:t>الفصل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نفقة الأولاد</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حکم النفقة و أدلّتها</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النفقة فی اللغة</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Amiri" w:hAnsi="Amiri" w:eastAsia="Amiri" w:cs="Amiri"/>
          <w:color w:val="111111"/>
          <w:sz w:val="28"/>
          <w:sz w:val="28"/>
          <w:szCs w:val="28"/>
          <w:rtl w:val="true"/>
          <w:lang w:bidi="ar-SA"/>
        </w:rPr>
        <w:t>النفقة اصطلاحاً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IRNazanin" w:hAnsi="IRNazanin" w:eastAsia="IRNazanin"/>
          <w:color w:val="111111"/>
          <w:sz w:val="28"/>
          <w:sz w:val="28"/>
          <w:szCs w:val="28"/>
          <w:rtl w:val="true"/>
          <w:lang w:bidi="fa-IR"/>
        </w:rPr>
        <w:t>حکم النفقة</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فقهاء أهل السنّة فی 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أدلّة وجوب نفقة الصبیان</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من هم الأولاد المشمولون بالإنفاق؟</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اختلاف آراء المذاهب الأربعة فی 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استحباب النفقة علی أولاد الأقارب</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Amiri" w:hAnsi="Amiri" w:eastAsia="Amiri" w:cs="Amiri"/>
          <w:color w:val="111111"/>
          <w:sz w:val="28"/>
          <w:sz w:val="28"/>
          <w:szCs w:val="28"/>
          <w:rtl w:val="true"/>
          <w:lang w:bidi="ar-SA"/>
        </w:rPr>
        <w:t>استقلال الأب بنفقة أولاده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IRNazanin" w:hAnsi="IRNazanin" w:eastAsia="IRNazanin"/>
          <w:color w:val="111111"/>
          <w:sz w:val="28"/>
          <w:sz w:val="28"/>
          <w:szCs w:val="28"/>
          <w:rtl w:val="true"/>
          <w:lang w:bidi="fa-IR"/>
        </w:rPr>
        <w:t>دلیل وجوب نفقة الأولاد علی الأجداد</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وجوب نفقة الولد علی الأمّ</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نظر بعض أهل السنّة فی 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شروط النفقة</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شروط المنفَق علیهم</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الشرط الثالث علی قولٍ</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هل عدم الکفر أیضاً شرط؟</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یجب علی الرجل التکسب لنفقة نفسه</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هل یجب التکسّب لنفقة الأولاد و الأقارب؟</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قول بعض أهل السنّة فی 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لا تجب النفقة للصغیر إذا اکتسب فعلاً</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هل یجبر الصغیر علی الاکتساب إذا استطاع؟</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متی ینتهی وجوب النفقة علی الأولاد؟</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Amiri" w:hAnsi="Amiri" w:eastAsia="Amiri" w:cs="Amiri"/>
          <w:color w:val="111111"/>
          <w:sz w:val="28"/>
          <w:sz w:val="28"/>
          <w:szCs w:val="28"/>
          <w:rtl w:val="true"/>
          <w:lang w:bidi="ar-SA"/>
        </w:rPr>
        <w:t>مقدار نفقة الأقارب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IRNazanin" w:hAnsi="IRNazanin" w:eastAsia="IRNazanin"/>
          <w:color w:val="111111"/>
          <w:sz w:val="28"/>
          <w:sz w:val="28"/>
          <w:szCs w:val="28"/>
          <w:rtl w:val="true"/>
          <w:lang w:bidi="fa-IR"/>
        </w:rPr>
        <w:t>نظر أهل السنّة فی 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نفقة التعلیم و المعالجة</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الترتیب فی الإنفاق</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یتفرّع علی التساوی أمور</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نظر أهل السنّة فی 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الامتناع عن النفقة</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وجه نظر الفقهاء فی هذه الأحکام</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نظر أهل السنّة فی 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ما الفرق بین نفقة الأولاد و نفقة الزوجة؟</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نفقة الأیتام و أطفال الفقراء و المساکین</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Amiri" w:hAnsi="Amiri" w:eastAsia="Amiri" w:cs="Amiri"/>
          <w:color w:val="111111"/>
          <w:sz w:val="28"/>
          <w:sz w:val="28"/>
          <w:szCs w:val="28"/>
          <w:rtl w:val="true"/>
          <w:lang w:bidi="ar-SA"/>
        </w:rPr>
        <w:t>تمهیدٌ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نفقة الأیتام من الزکاة</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زکاة الفطرة قوت للفقراء</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مصرف الزکاة فی فقه أهل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نفقة الأیتام من الکفّارات</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مصرف الکفّارات فی فقه أهل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مسائل ترتبط بالمقام</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الخمس نفقةً لأیتام ذرّیّة الرسول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ما الذی نستفیده من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عدم اختصاص الخمس بأیتام السادة فی فقه أهل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تأمین نفقة أیتام السادة من الزکاة</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لا تحرم نفقة أیتام السادة من الصدقات المندوبة</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اختلاف الشیعة و أهل السنّة فی أصناف الخمس</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نفقة الأیتام من الأنفال</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إنّ الإمام علیه السلام ینفق علی الأیتام من الأنفال</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تأمین نفقة الأیتام من الفیء أیضاً</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مذاهب أهل السنة فی الأنفال و الفیء</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ascii="Amiri" w:hAnsi="Amiri" w:eastAsia="Amiri" w:cs="Amiri"/>
          <w:color w:val="111111"/>
          <w:sz w:val="28"/>
          <w:sz w:val="28"/>
          <w:szCs w:val="28"/>
          <w:rtl w:val="true"/>
          <w:lang w:bidi="ar-SA"/>
        </w:rPr>
        <w:t>إیضاحٌ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نفقة الأیتام من الجزیة</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آراء المذاهب الأربعة فی مصرف الجزیة</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المبحث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نفقة الأیتام من الخراج</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نظر أهل السنّة فی 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المبحث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نفقة الأیتام من الصدقات</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أمّا 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الصدقات علی نحو العام</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تغذیة الصبیان بمال الغیر و عین النجس</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إطعام الصغار من مال الغیر و ممّا تعلّق به الخمس و الزکاة</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إطعامهم من مال الغیر</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رأی أهل السنّة فی 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تنبیهان</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نفقة الأطفال من عین تعلّق بها الخمس</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إنفاق الأطفال من مالٍ تعلّقت به الزکاة</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رأی أهل السنّة فی 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سقی الأطفال بالمسکرات و تغذیتهم بعین النجس</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حرمة سقی المسکر للطفل</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أدلّة تحریم سقی المسکر للأطفال</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آراء أهل السنّة فی 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حکم الإطعام أو سقی الماء المتنجس للأطفال</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رأی أهل السنّة فی 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التسبیب إلی تناول الأطفال عین النجس</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bookmarkStart w:id="1417" w:name="pg11752_146722"/>
    </w:p>
    <w:p>
      <w:pPr>
        <w:pStyle w:val="BookText"/>
        <w:rPr/>
      </w:pPr>
      <w:bookmarkEnd w:id="1417"/>
      <w:r>
        <w:rPr>
          <w:rFonts w:ascii="IRNazanin" w:hAnsi="IRNazanin" w:eastAsia="IRNazanin"/>
          <w:color w:val="111111"/>
          <w:sz w:val="28"/>
          <w:sz w:val="28"/>
          <w:szCs w:val="28"/>
          <w:rtl w:val="true"/>
          <w:lang w:bidi="fa-IR"/>
        </w:rPr>
        <w:t>المطلب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التسبیب إلی الإطعام بالطعام الضارّ للطفل</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المطلب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استتباع الولیّ ولده للضیافة</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رأی أهل السنّة فی 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p>
    <w:p>
      <w:pPr>
        <w:pStyle w:val="Heading3"/>
        <w:numPr>
          <w:ilvl w:val="2"/>
          <w:numId w:val="1"/>
        </w:numPr>
        <w:rPr/>
      </w:pPr>
      <w:bookmarkStart w:id="1418" w:name="__RefHeading___Toc9424852_73709187"/>
      <w:bookmarkStart w:id="1419" w:name="_Toc540"/>
      <w:bookmarkEnd w:id="1418"/>
      <w:r>
        <w:rPr>
          <w:rtl w:val="true"/>
        </w:rPr>
        <w:t>الباب الرابع فی الولایة علی الأطفال</w:t>
      </w:r>
      <w:bookmarkEnd w:id="1419"/>
    </w:p>
    <w:p>
      <w:pPr>
        <w:pStyle w:val="BookText"/>
        <w:rPr/>
      </w:pPr>
      <w:r>
        <w:rPr>
          <w:rFonts w:ascii="IRNazanin" w:hAnsi="IRNazanin" w:eastAsia="IRNazanin"/>
          <w:color w:val="111111"/>
          <w:sz w:val="28"/>
          <w:sz w:val="28"/>
          <w:szCs w:val="28"/>
          <w:rtl w:val="true"/>
          <w:lang w:bidi="fa-IR"/>
        </w:rPr>
        <w:t>منهج البحث</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ولایة الأب و الجد</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حکم الولایة</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الولایة لغةً</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الولایة اصطلاحاً</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أقسام الولایة</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الولایة باعتبار سببها</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الولایة باعتبار المولّی علیه</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الولایة باعتبار التصرّف</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الولایة باعتبار کمالها</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ولایة الأب و الجدّ علی الصغار فی التزویج</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أدلّة ولایة الأب و الجدّ فی التزویج</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آراء أهل السنّة فی 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ولایة لأحدٍ فی تزویج الصغار</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فی ولایة الأمّ علی تزویج الصغار</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تکون للجدّ من قبل الأمّ ولایة</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لا ولایة للأخ و العمّ و الخال و</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أقوال أهل السنة فی ولایة غیر الأب و الجد</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اشتراط ولایة الجدّ ببقاء الأب</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اشتراط ولایة الجدّ ببقاء الأب</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ولایة الجدّ ببقاء الأب</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ولایة الجدّ مشروطة بموت الأب</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تزویج الولیّ بوجود المصلحة أو عدم المفسدة</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p>
    <w:p>
      <w:pPr>
        <w:pStyle w:val="BookText"/>
        <w:rPr/>
      </w:pPr>
      <w:r>
        <w:rPr>
          <w:rFonts w:ascii="Amiri" w:hAnsi="Amiri" w:eastAsia="Amiri" w:cs="Amiri"/>
          <w:color w:val="111111"/>
          <w:sz w:val="28"/>
          <w:sz w:val="28"/>
          <w:szCs w:val="28"/>
          <w:rtl w:val="true"/>
          <w:lang w:bidi="ar-SA"/>
        </w:rPr>
        <w:t>أدلّة هذا القول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العمدة </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آراء أهل السنة فی اشتراط المصلحة أو کفایة عدم المفسدة</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تزاحم ولایة الأب و الجدّ</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p>
    <w:p>
      <w:pPr>
        <w:pStyle w:val="BookText"/>
        <w:rPr/>
      </w:pPr>
      <w:r>
        <w:rPr>
          <w:rFonts w:ascii="IRNazanin" w:hAnsi="IRNazanin" w:eastAsia="IRNazanin"/>
          <w:color w:val="111111"/>
          <w:sz w:val="28"/>
          <w:sz w:val="28"/>
          <w:szCs w:val="28"/>
          <w:rtl w:val="true"/>
          <w:lang w:bidi="fa-IR"/>
        </w:rPr>
        <w:t>فرعان</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أدلّة هذا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تسقط ولایة الأب عند التشاحّ أم لا؟</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آراء أهل السنّة فی تزاحم الأولیاء</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p>
    <w:p>
      <w:pPr>
        <w:pStyle w:val="BookText"/>
        <w:rPr/>
      </w:pPr>
      <w:r>
        <w:rPr>
          <w:rFonts w:ascii="Amiri" w:hAnsi="Amiri" w:eastAsia="Amiri" w:cs="Amiri"/>
          <w:color w:val="111111"/>
          <w:sz w:val="28"/>
          <w:sz w:val="28"/>
          <w:szCs w:val="28"/>
          <w:rtl w:val="true"/>
          <w:lang w:bidi="ar-SA"/>
        </w:rPr>
        <w:t>إذا زوّجها الولیّان، فعقدُ أیّهما صحیح؟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584</w:t>
      </w:r>
    </w:p>
    <w:p>
      <w:p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حکم الخیار للصغیرین بعد بلوغهما</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p>
    <w:p>
      <w:pPr>
        <w:pStyle w:val="BookText"/>
        <w:rPr/>
      </w:pPr>
      <w:r>
        <w:rPr>
          <w:rFonts w:ascii="IRNazanin" w:hAnsi="IRNazanin" w:eastAsia="IRNazanin"/>
          <w:color w:val="111111"/>
          <w:sz w:val="28"/>
          <w:sz w:val="28"/>
          <w:szCs w:val="28"/>
          <w:rtl w:val="true"/>
          <w:lang w:bidi="fa-IR"/>
        </w:rPr>
        <w:t>أدلّة هذا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p>
    <w:p>
      <w:pPr>
        <w:pStyle w:val="BookText"/>
        <w:rPr/>
      </w:pPr>
      <w:r>
        <w:rPr>
          <w:rFonts w:ascii="IRNazanin" w:hAnsi="IRNazanin" w:eastAsia="IRNazanin"/>
          <w:color w:val="111111"/>
          <w:sz w:val="28"/>
          <w:sz w:val="28"/>
          <w:szCs w:val="28"/>
          <w:rtl w:val="true"/>
          <w:lang w:bidi="fa-IR"/>
        </w:rPr>
        <w:t>رأی أهل السنّة فی خیار الصبیّ و الصبیّة بعد البلوغ</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p>
    <w:p>
      <w:pPr>
        <w:pStyle w:val="BookText"/>
        <w:rPr/>
      </w:pPr>
      <w:r>
        <w:rPr>
          <w:rFonts w:ascii="IRNazanin" w:hAnsi="IRNazanin" w:eastAsia="IRNazanin"/>
          <w:color w:val="111111"/>
          <w:sz w:val="28"/>
          <w:sz w:val="28"/>
          <w:szCs w:val="28"/>
          <w:rtl w:val="true"/>
          <w:lang w:bidi="fa-IR"/>
        </w:rPr>
        <w:t>المبحث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تزویج الولیّ الصغیرَ أو الصغیرةَ بمهر، دون مهر المثل أو أزید</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الفرع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p>
    <w:p>
      <w:pPr>
        <w:pStyle w:val="BookText"/>
        <w:rPr/>
      </w:pPr>
      <w:r>
        <w:rPr>
          <w:rFonts w:ascii="Amiri" w:hAnsi="Amiri" w:eastAsia="Amiri" w:cs="Amiri"/>
          <w:color w:val="111111"/>
          <w:sz w:val="28"/>
          <w:sz w:val="28"/>
          <w:szCs w:val="28"/>
          <w:rtl w:val="true"/>
          <w:lang w:bidi="ar-SA"/>
        </w:rPr>
        <w:t>أدلّة هذا القول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601</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آراء الجمهور من أهل السنّة فی تزویج الولیّ الصغار بدون مهر المثل</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p>
    <w:p>
      <w:pPr>
        <w:pStyle w:val="BookText"/>
        <w:rPr/>
      </w:pPr>
      <w:r>
        <w:rPr>
          <w:rFonts w:ascii="IRNazanin" w:hAnsi="IRNazanin" w:eastAsia="IRNazanin"/>
          <w:color w:val="111111"/>
          <w:sz w:val="28"/>
          <w:sz w:val="28"/>
          <w:szCs w:val="28"/>
          <w:rtl w:val="true"/>
          <w:lang w:bidi="fa-IR"/>
        </w:rPr>
        <w:t>المبحث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تزویج الصغیرة بمن به عیب</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p>
    <w:p>
      <w:pPr>
        <w:pStyle w:val="BookText"/>
        <w:rPr/>
      </w:pPr>
      <w:r>
        <w:rPr>
          <w:rFonts w:ascii="IRNazanin" w:hAnsi="IRNazanin" w:eastAsia="IRNazanin"/>
          <w:color w:val="111111"/>
          <w:sz w:val="28"/>
          <w:sz w:val="28"/>
          <w:szCs w:val="28"/>
          <w:rtl w:val="true"/>
          <w:lang w:bidi="fa-IR"/>
        </w:rPr>
        <w:t>آراء الجمهور من أهل السنّة فی التزویج بمَن به عیب</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ولایة المولی و السیّد</w:t>
      </w:r>
      <w:r>
        <w:rPr>
          <w:rFonts w:eastAsia="IRNazanin" w:cs="IRNazanin"/>
          <w:color w:val="111111"/>
          <w:sz w:val="28"/>
          <w:szCs w:val="28"/>
          <w:rtl w:val="true"/>
          <w:lang w:bidi="fa-IR"/>
        </w:rPr>
        <w:t xml:space="preserve">..... </w:t>
      </w:r>
      <w:r>
        <w:rPr>
          <w:rFonts w:eastAsia="IRNazanin" w:cs="IRNazanin"/>
          <w:color w:val="111111"/>
          <w:sz w:val="28"/>
          <w:szCs w:val="28"/>
          <w:lang w:bidi="fa-IR"/>
        </w:rPr>
        <w:t>619</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ولایة الوصیّ</w:t>
      </w:r>
      <w:r>
        <w:rPr>
          <w:rFonts w:eastAsia="IRNazanin" w:cs="IRNazanin"/>
          <w:color w:val="111111"/>
          <w:sz w:val="28"/>
          <w:szCs w:val="28"/>
          <w:rtl w:val="true"/>
          <w:lang w:bidi="fa-IR"/>
        </w:rPr>
        <w:t xml:space="preserve">..... </w:t>
      </w:r>
      <w:r>
        <w:rPr>
          <w:rFonts w:eastAsia="IRNazanin" w:cs="IRNazanin"/>
          <w:color w:val="111111"/>
          <w:sz w:val="28"/>
          <w:szCs w:val="28"/>
          <w:lang w:bidi="fa-IR"/>
        </w:rPr>
        <w:t>623</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الولایة للوصیّ مطلقاً</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p>
    <w:p>
      <w:pPr>
        <w:pStyle w:val="BookText"/>
        <w:rPr/>
      </w:pPr>
      <w:r>
        <w:rPr>
          <w:rFonts w:ascii="Amiri" w:hAnsi="Amiri" w:eastAsia="Amiri" w:cs="Amiri"/>
          <w:color w:val="111111"/>
          <w:sz w:val="28"/>
          <w:sz w:val="28"/>
          <w:szCs w:val="28"/>
          <w:rtl w:val="true"/>
          <w:lang w:bidi="ar-SA"/>
        </w:rPr>
        <w:t>أدلّة هذا القول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624</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628</w:t>
      </w:r>
    </w:p>
    <w:p>
      <w:pPr>
        <w:pStyle w:val="BookText"/>
        <w:rPr/>
      </w:pPr>
      <w:r>
        <w:rPr>
          <w:rFonts w:ascii="IRNazanin" w:hAnsi="IRNazanin" w:eastAsia="IRNazanin"/>
          <w:color w:val="111111"/>
          <w:sz w:val="28"/>
          <w:sz w:val="28"/>
          <w:szCs w:val="28"/>
          <w:rtl w:val="true"/>
          <w:lang w:bidi="fa-IR"/>
        </w:rPr>
        <w:t>عدم ثبوت الولایة للوصیّ علی تزویج الصغیرین</w:t>
      </w:r>
      <w:r>
        <w:rPr>
          <w:rFonts w:eastAsia="IRNazanin" w:cs="IRNazanin"/>
          <w:color w:val="111111"/>
          <w:sz w:val="28"/>
          <w:szCs w:val="28"/>
          <w:rtl w:val="true"/>
          <w:lang w:bidi="fa-IR"/>
        </w:rPr>
        <w:t xml:space="preserve">..... </w:t>
      </w:r>
      <w:r>
        <w:rPr>
          <w:rFonts w:eastAsia="IRNazanin" w:cs="IRNazanin"/>
          <w:color w:val="111111"/>
          <w:sz w:val="28"/>
          <w:szCs w:val="28"/>
          <w:lang w:bidi="fa-IR"/>
        </w:rPr>
        <w:t>628</w:t>
      </w:r>
    </w:p>
    <w:p>
      <w:pPr>
        <w:pStyle w:val="BookText"/>
        <w:rPr/>
      </w:pPr>
      <w:r>
        <w:rPr>
          <w:rFonts w:ascii="IRNazanin" w:hAnsi="IRNazanin" w:eastAsia="IRNazanin"/>
          <w:color w:val="111111"/>
          <w:sz w:val="28"/>
          <w:sz w:val="28"/>
          <w:szCs w:val="28"/>
          <w:rtl w:val="true"/>
          <w:lang w:bidi="fa-IR"/>
        </w:rPr>
        <w:t>أدلّة عدم ولایة الوصیّ علی تزویج الصغیرین</w:t>
      </w:r>
      <w:r>
        <w:rPr>
          <w:rFonts w:eastAsia="IRNazanin" w:cs="IRNazanin"/>
          <w:color w:val="111111"/>
          <w:sz w:val="28"/>
          <w:szCs w:val="28"/>
          <w:rtl w:val="true"/>
          <w:lang w:bidi="fa-IR"/>
        </w:rPr>
        <w:t xml:space="preserve">:..... </w:t>
      </w:r>
      <w:r>
        <w:rPr>
          <w:rFonts w:eastAsia="IRNazanin" w:cs="IRNazanin"/>
          <w:color w:val="111111"/>
          <w:sz w:val="28"/>
          <w:szCs w:val="28"/>
          <w:lang w:bidi="fa-IR"/>
        </w:rPr>
        <w:t>629</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الولایة للوصیّ إن نصّ الموصی بذلک</w:t>
      </w:r>
      <w:r>
        <w:rPr>
          <w:rFonts w:eastAsia="IRNazanin" w:cs="IRNazanin"/>
          <w:color w:val="111111"/>
          <w:sz w:val="28"/>
          <w:szCs w:val="28"/>
          <w:rtl w:val="true"/>
          <w:lang w:bidi="fa-IR"/>
        </w:rPr>
        <w:t xml:space="preserve">..... </w:t>
      </w:r>
      <w:r>
        <w:rPr>
          <w:rFonts w:eastAsia="IRNazanin" w:cs="IRNazanin"/>
          <w:color w:val="111111"/>
          <w:sz w:val="28"/>
          <w:szCs w:val="28"/>
          <w:lang w:bidi="fa-IR"/>
        </w:rPr>
        <w:t>633</w:t>
      </w:r>
    </w:p>
    <w:p>
      <w:pPr>
        <w:pStyle w:val="BookText"/>
        <w:rPr/>
      </w:pPr>
      <w:r>
        <w:rPr>
          <w:rFonts w:ascii="Amiri" w:hAnsi="Amiri" w:eastAsia="Amiri" w:cs="Amiri"/>
          <w:color w:val="111111"/>
          <w:sz w:val="28"/>
          <w:sz w:val="28"/>
          <w:szCs w:val="28"/>
          <w:rtl w:val="true"/>
          <w:lang w:bidi="ar-SA"/>
        </w:rPr>
        <w:t>أدلّة ولایة الوصیّ بشرط النصّ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634</w:t>
      </w:r>
    </w:p>
    <w:p>
      <w:pPr>
        <w:pStyle w:val="BookText"/>
        <w:rPr/>
      </w:pPr>
      <w:r>
        <w:rPr>
          <w:rFonts w:ascii="IRNazanin" w:hAnsi="IRNazanin" w:eastAsia="IRNazanin"/>
          <w:color w:val="111111"/>
          <w:sz w:val="28"/>
          <w:sz w:val="28"/>
          <w:szCs w:val="28"/>
          <w:rtl w:val="true"/>
          <w:lang w:bidi="fa-IR"/>
        </w:rPr>
        <w:t>آراء الجمهور من أهل السنّة فی ولایة الوصیّ علی تزویج الصغار</w:t>
      </w:r>
      <w:r>
        <w:rPr>
          <w:rFonts w:eastAsia="IRNazanin" w:cs="IRNazanin"/>
          <w:color w:val="111111"/>
          <w:sz w:val="28"/>
          <w:szCs w:val="28"/>
          <w:rtl w:val="true"/>
          <w:lang w:bidi="fa-IR"/>
        </w:rPr>
        <w:t xml:space="preserve">..... </w:t>
      </w:r>
      <w:r>
        <w:rPr>
          <w:rFonts w:eastAsia="IRNazanin" w:cs="IRNazanin"/>
          <w:color w:val="111111"/>
          <w:sz w:val="28"/>
          <w:szCs w:val="28"/>
          <w:lang w:bidi="fa-IR"/>
        </w:rPr>
        <w:t>639</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شرائط الأولیاء</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p>
    <w:p>
      <w:pPr>
        <w:pStyle w:val="BookText"/>
        <w:rPr/>
      </w:pPr>
      <w:r>
        <w:rPr>
          <w:rFonts w:ascii="Amiri" w:hAnsi="Amiri" w:eastAsia="Amiri" w:cs="Amiri"/>
          <w:color w:val="111111"/>
          <w:sz w:val="28"/>
          <w:sz w:val="28"/>
          <w:szCs w:val="28"/>
          <w:rtl w:val="true"/>
          <w:lang w:bidi="ar-SA"/>
        </w:rPr>
        <w:t>أدلّة هذا الشرط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645</w:t>
      </w:r>
    </w:p>
    <w:p>
      <w:pPr>
        <w:pStyle w:val="BookText"/>
        <w:rPr/>
      </w:pPr>
      <w:r>
        <w:rPr>
          <w:rFonts w:ascii="IRNazanin" w:hAnsi="IRNazanin" w:eastAsia="IRNazanin"/>
          <w:color w:val="111111"/>
          <w:sz w:val="28"/>
          <w:sz w:val="28"/>
          <w:szCs w:val="28"/>
          <w:rtl w:val="true"/>
          <w:lang w:bidi="fa-IR"/>
        </w:rPr>
        <w:t>إیراد الشیخ الأنصاری علی الاستدلال بالآیة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p>
    <w:p>
      <w:pPr>
        <w:pStyle w:val="BookText"/>
        <w:rPr/>
      </w:pPr>
      <w:r>
        <w:rPr>
          <w:rFonts w:ascii="IRNazanin" w:hAnsi="IRNazanin" w:eastAsia="IRNazanin"/>
          <w:color w:val="111111"/>
          <w:sz w:val="28"/>
          <w:sz w:val="28"/>
          <w:szCs w:val="28"/>
          <w:rtl w:val="true"/>
          <w:lang w:bidi="fa-IR"/>
        </w:rPr>
        <w:t>جواب الإمام الخمینی عن إیراد الشیخ الأنصاری</w:t>
      </w:r>
      <w:r>
        <w:rPr>
          <w:rFonts w:eastAsia="IRNazanin" w:cs="IRNazanin"/>
          <w:color w:val="111111"/>
          <w:sz w:val="28"/>
          <w:szCs w:val="28"/>
          <w:rtl w:val="true"/>
          <w:lang w:bidi="fa-IR"/>
        </w:rPr>
        <w:t xml:space="preserve">..... </w:t>
      </w:r>
      <w:r>
        <w:rPr>
          <w:rFonts w:eastAsia="IRNazanin" w:cs="IRNazanin"/>
          <w:color w:val="111111"/>
          <w:sz w:val="28"/>
          <w:szCs w:val="28"/>
          <w:lang w:bidi="fa-IR"/>
        </w:rPr>
        <w:t>647</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651</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 xml:space="preserve">..... </w:t>
      </w:r>
      <w:r>
        <w:rPr>
          <w:rFonts w:eastAsia="IRNazanin" w:cs="IRNazanin"/>
          <w:color w:val="111111"/>
          <w:sz w:val="28"/>
          <w:szCs w:val="28"/>
          <w:lang w:bidi="fa-IR"/>
        </w:rPr>
        <w:t>653</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الرشد و الکمال</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p>
    <w:p>
      <w:pPr>
        <w:pStyle w:val="BookText"/>
        <w:rPr/>
      </w:pPr>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p>
    <w:p>
      <w:pPr>
        <w:pStyle w:val="BookText"/>
        <w:rPr/>
      </w:pPr>
      <w:r>
        <w:rPr>
          <w:rFonts w:ascii="IRNazanin" w:hAnsi="IRNazanin" w:eastAsia="IRNazanin"/>
          <w:color w:val="111111"/>
          <w:sz w:val="28"/>
          <w:sz w:val="28"/>
          <w:szCs w:val="28"/>
          <w:rtl w:val="true"/>
          <w:lang w:bidi="fa-IR"/>
        </w:rPr>
        <w:t>اعتبار العقل و البلوغ فی ولایة الأولیاء عند أهل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الحریّة</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أدلّة هذا الشرط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657</w:t>
      </w:r>
    </w:p>
    <w:p>
      <w:pPr>
        <w:pStyle w:val="BookText"/>
        <w:rPr/>
      </w:pPr>
      <w:r>
        <w:rPr>
          <w:rFonts w:ascii="IRNazanin" w:hAnsi="IRNazanin" w:eastAsia="IRNazanin"/>
          <w:color w:val="111111"/>
          <w:sz w:val="28"/>
          <w:sz w:val="28"/>
          <w:szCs w:val="28"/>
          <w:rtl w:val="true"/>
          <w:lang w:bidi="fa-IR"/>
        </w:rPr>
        <w:t>هنا فرع ارتبط بالمقام</w:t>
      </w:r>
      <w:r>
        <w:rPr>
          <w:rFonts w:eastAsia="IRNazanin" w:cs="IRNazanin"/>
          <w:color w:val="111111"/>
          <w:sz w:val="28"/>
          <w:szCs w:val="28"/>
          <w:rtl w:val="true"/>
          <w:lang w:bidi="fa-IR"/>
        </w:rPr>
        <w:t xml:space="preserve">..... </w:t>
      </w:r>
      <w:r>
        <w:rPr>
          <w:rFonts w:eastAsia="IRNazanin" w:cs="IRNazanin"/>
          <w:color w:val="111111"/>
          <w:sz w:val="28"/>
          <w:szCs w:val="28"/>
          <w:lang w:bidi="fa-IR"/>
        </w:rPr>
        <w:t>658</w:t>
      </w:r>
    </w:p>
    <w:p>
      <w:pPr>
        <w:pStyle w:val="BookText"/>
        <w:rPr/>
      </w:pPr>
      <w:r>
        <w:rPr>
          <w:rFonts w:ascii="Amiri" w:hAnsi="Amiri" w:eastAsia="Amiri" w:cs="Amiri"/>
          <w:color w:val="111111"/>
          <w:sz w:val="28"/>
          <w:sz w:val="28"/>
          <w:szCs w:val="28"/>
          <w:rtl w:val="true"/>
          <w:lang w:bidi="ar-SA"/>
        </w:rPr>
        <w:t>أدلّة هذه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659</w:t>
      </w:r>
    </w:p>
    <w:p>
      <w:pPr>
        <w:pStyle w:val="BookText"/>
        <w:rPr/>
      </w:pPr>
      <w:r>
        <w:rPr>
          <w:rFonts w:ascii="IRNazanin" w:hAnsi="IRNazanin" w:eastAsia="IRNazanin"/>
          <w:color w:val="111111"/>
          <w:sz w:val="28"/>
          <w:sz w:val="28"/>
          <w:szCs w:val="28"/>
          <w:rtl w:val="true"/>
          <w:lang w:bidi="fa-IR"/>
        </w:rPr>
        <w:t>آراء فقهاء أهل السنّة فی 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p>
    <w:p>
      <w:pPr>
        <w:pStyle w:val="BookText"/>
        <w:rPr/>
      </w:pPr>
      <w:r>
        <w:rPr>
          <w:rFonts w:ascii="IRNazanin" w:hAnsi="IRNazanin" w:eastAsia="IRNazanin"/>
          <w:color w:val="111111"/>
          <w:sz w:val="28"/>
          <w:sz w:val="28"/>
          <w:szCs w:val="28"/>
          <w:rtl w:val="true"/>
          <w:lang w:bidi="fa-IR"/>
        </w:rPr>
        <w:t>أدلّة قول أبی حنیفة و أصحابه</w:t>
      </w:r>
      <w:r>
        <w:rPr>
          <w:rFonts w:eastAsia="IRNazanin" w:cs="IRNazanin"/>
          <w:color w:val="111111"/>
          <w:sz w:val="28"/>
          <w:szCs w:val="28"/>
          <w:rtl w:val="true"/>
          <w:lang w:bidi="fa-IR"/>
        </w:rPr>
        <w:t xml:space="preserve">..... </w:t>
      </w:r>
      <w:r>
        <w:rPr>
          <w:rFonts w:eastAsia="IRNazanin" w:cs="IRNazanin"/>
          <w:color w:val="111111"/>
          <w:sz w:val="28"/>
          <w:szCs w:val="28"/>
          <w:lang w:bidi="fa-IR"/>
        </w:rPr>
        <w:t>662</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ولایة الحاکم علی تزویج الأطفال</w:t>
      </w:r>
      <w:r>
        <w:rPr>
          <w:rFonts w:eastAsia="IRNazanin" w:cs="IRNazanin"/>
          <w:color w:val="111111"/>
          <w:sz w:val="28"/>
          <w:szCs w:val="28"/>
          <w:rtl w:val="true"/>
          <w:lang w:bidi="fa-IR"/>
        </w:rPr>
        <w:t xml:space="preserve">..... </w:t>
      </w:r>
      <w:r>
        <w:rPr>
          <w:rFonts w:eastAsia="IRNazanin" w:cs="IRNazanin"/>
          <w:color w:val="111111"/>
          <w:sz w:val="28"/>
          <w:szCs w:val="28"/>
          <w:lang w:bidi="fa-IR"/>
        </w:rPr>
        <w:t>665</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 xml:space="preserve">..... </w:t>
      </w:r>
      <w:r>
        <w:rPr>
          <w:rFonts w:eastAsia="IRNazanin" w:cs="IRNazanin"/>
          <w:color w:val="111111"/>
          <w:sz w:val="28"/>
          <w:szCs w:val="28"/>
          <w:lang w:bidi="fa-IR"/>
        </w:rPr>
        <w:t>665</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669</w:t>
      </w:r>
    </w:p>
    <w:p>
      <w:pPr>
        <w:pStyle w:val="BookText"/>
        <w:rPr/>
      </w:pPr>
      <w:r>
        <w:rPr>
          <w:rFonts w:ascii="IRNazanin" w:hAnsi="IRNazanin" w:eastAsia="IRNazanin"/>
          <w:color w:val="111111"/>
          <w:sz w:val="28"/>
          <w:sz w:val="28"/>
          <w:szCs w:val="28"/>
          <w:rtl w:val="true"/>
          <w:lang w:bidi="fa-IR"/>
        </w:rPr>
        <w:t>عدم ولایة الحاکم علی الصغار مع وجود الأب و الجدّ</w:t>
      </w:r>
      <w:r>
        <w:rPr>
          <w:rFonts w:eastAsia="IRNazanin" w:cs="IRNazanin"/>
          <w:color w:val="111111"/>
          <w:sz w:val="28"/>
          <w:szCs w:val="28"/>
          <w:rtl w:val="true"/>
          <w:lang w:bidi="fa-IR"/>
        </w:rPr>
        <w:t xml:space="preserve">..... </w:t>
      </w:r>
      <w:r>
        <w:rPr>
          <w:rFonts w:eastAsia="IRNazanin" w:cs="IRNazanin"/>
          <w:color w:val="111111"/>
          <w:sz w:val="28"/>
          <w:szCs w:val="28"/>
          <w:lang w:bidi="fa-IR"/>
        </w:rPr>
        <w:t>669</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ولایة الحاکم علی نکاح الأیتام مطلقاً</w:t>
      </w:r>
      <w:r>
        <w:rPr>
          <w:rFonts w:eastAsia="IRNazanin" w:cs="IRNazanin"/>
          <w:color w:val="111111"/>
          <w:sz w:val="28"/>
          <w:szCs w:val="28"/>
          <w:rtl w:val="true"/>
          <w:lang w:bidi="fa-IR"/>
        </w:rPr>
        <w:t xml:space="preserve">..... </w:t>
      </w:r>
      <w:r>
        <w:rPr>
          <w:rFonts w:eastAsia="IRNazanin" w:cs="IRNazanin"/>
          <w:color w:val="111111"/>
          <w:sz w:val="28"/>
          <w:szCs w:val="28"/>
          <w:lang w:bidi="fa-IR"/>
        </w:rPr>
        <w:t>673</w:t>
      </w:r>
    </w:p>
    <w:p>
      <w:pPr>
        <w:pStyle w:val="BookText"/>
        <w:rPr/>
      </w:pPr>
      <w:r>
        <w:rPr>
          <w:rFonts w:ascii="Amiri" w:hAnsi="Amiri" w:eastAsia="Amiri" w:cs="Amiri"/>
          <w:color w:val="111111"/>
          <w:sz w:val="28"/>
          <w:sz w:val="28"/>
          <w:szCs w:val="28"/>
          <w:rtl w:val="true"/>
          <w:lang w:bidi="ar-SA"/>
        </w:rPr>
        <w:t>أدلّة هذا القول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674</w:t>
      </w:r>
    </w:p>
    <w:p>
      <w:pPr>
        <w:pStyle w:val="BookText"/>
        <w:rPr/>
      </w:pPr>
      <w:r>
        <w:rPr>
          <w:rFonts w:ascii="IRNazanin" w:hAnsi="IRNazanin" w:eastAsia="IRNazanin"/>
          <w:color w:val="111111"/>
          <w:sz w:val="28"/>
          <w:sz w:val="28"/>
          <w:szCs w:val="28"/>
          <w:rtl w:val="true"/>
          <w:lang w:bidi="fa-IR"/>
        </w:rPr>
        <w:t>ولایة الحاکم مشروطة بالمصلحة و الحاجة</w:t>
      </w:r>
      <w:r>
        <w:rPr>
          <w:rFonts w:eastAsia="IRNazanin" w:cs="IRNazanin"/>
          <w:color w:val="111111"/>
          <w:sz w:val="28"/>
          <w:szCs w:val="28"/>
          <w:rtl w:val="true"/>
          <w:lang w:bidi="fa-IR"/>
        </w:rPr>
        <w:t xml:space="preserve">..... </w:t>
      </w:r>
      <w:r>
        <w:rPr>
          <w:rFonts w:eastAsia="IRNazanin" w:cs="IRNazanin"/>
          <w:color w:val="111111"/>
          <w:sz w:val="28"/>
          <w:szCs w:val="28"/>
          <w:lang w:bidi="fa-IR"/>
        </w:rPr>
        <w:t>681</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حکم الخیار للأیتام بعد البلوغ</w:t>
      </w:r>
      <w:r>
        <w:rPr>
          <w:rFonts w:eastAsia="IRNazanin" w:cs="IRNazanin"/>
          <w:color w:val="111111"/>
          <w:sz w:val="28"/>
          <w:szCs w:val="28"/>
          <w:rtl w:val="true"/>
          <w:lang w:bidi="fa-IR"/>
        </w:rPr>
        <w:t xml:space="preserve">..... </w:t>
      </w:r>
      <w:r>
        <w:rPr>
          <w:rFonts w:eastAsia="IRNazanin" w:cs="IRNazanin"/>
          <w:color w:val="111111"/>
          <w:sz w:val="28"/>
          <w:szCs w:val="28"/>
          <w:lang w:bidi="fa-IR"/>
        </w:rPr>
        <w:t>689</w:t>
      </w:r>
    </w:p>
    <w:p>
      <w:pPr>
        <w:pStyle w:val="BookText"/>
        <w:rPr/>
      </w:pPr>
      <w:r>
        <w:rPr>
          <w:rFonts w:ascii="IRNazanin" w:hAnsi="IRNazanin" w:eastAsia="IRNazanin"/>
          <w:color w:val="111111"/>
          <w:sz w:val="28"/>
          <w:sz w:val="28"/>
          <w:szCs w:val="28"/>
          <w:rtl w:val="true"/>
          <w:lang w:bidi="fa-IR"/>
        </w:rPr>
        <w:t>رأی أهل السنّة فی ولایة الحاکم علی نکاح الأیتام</w:t>
      </w:r>
      <w:r>
        <w:rPr>
          <w:rFonts w:eastAsia="IRNazanin" w:cs="IRNazanin"/>
          <w:color w:val="111111"/>
          <w:sz w:val="28"/>
          <w:szCs w:val="28"/>
          <w:rtl w:val="true"/>
          <w:lang w:bidi="fa-IR"/>
        </w:rPr>
        <w:t xml:space="preserve">..... </w:t>
      </w:r>
      <w:r>
        <w:rPr>
          <w:rFonts w:eastAsia="IRNazanin" w:cs="IRNazanin"/>
          <w:color w:val="111111"/>
          <w:sz w:val="28"/>
          <w:szCs w:val="28"/>
          <w:lang w:bidi="fa-IR"/>
        </w:rPr>
        <w:t>691</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 أحکام الأطفال</w:t>
      </w:r>
      <w:r>
        <w:rPr>
          <w:rFonts w:eastAsia="IRNazanin" w:cs="IRNazanin"/>
          <w:color w:val="111111"/>
          <w:sz w:val="28"/>
          <w:szCs w:val="28"/>
          <w:rtl w:val="true"/>
          <w:lang w:bidi="fa-IR"/>
        </w:rPr>
        <w:t xml:space="preserve">..... </w:t>
      </w:r>
      <w:r>
        <w:rPr>
          <w:rFonts w:eastAsia="IRNazanin" w:cs="IRNazanin"/>
          <w:color w:val="111111"/>
          <w:sz w:val="28"/>
          <w:szCs w:val="28"/>
          <w:lang w:bidi="fa-IR"/>
        </w:rPr>
        <w:t>695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1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1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النکاح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من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الحجة،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104:30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المفید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ورد بهذا المضمون من طرق أهل السنّة أیضاً صحیح البخاری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العلم،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1044/593:2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أبی حمزة عن أبی الحسن موسی بن جعفر علیه السلام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المؤمنین الفقهاء حصون الإسلام کحصن سور المدینة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فقد العلماء،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البصائر </w:t>
      </w:r>
      <w:r>
        <w:rPr>
          <w:rFonts w:eastAsia="IRNazanin" w:cs="IRNazanin"/>
          <w:b w:val="false"/>
          <w:bCs w:val="false"/>
          <w:i w:val="false"/>
          <w:iCs w:val="false"/>
          <w:color w:val="333333"/>
          <w:sz w:val="20"/>
          <w:szCs w:val="20"/>
        </w:rPr>
        <w:t>397:57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w:t>
      </w:r>
      <w:r>
        <w:rPr>
          <w:rFonts w:eastAsia="IRNazanin" w:cs="IRNazanin"/>
          <w:b w:val="false"/>
          <w:bCs w:val="false"/>
          <w:i w:val="false"/>
          <w:iCs w:val="false"/>
          <w:color w:val="333333"/>
          <w:sz w:val="20"/>
          <w:szCs w:val="20"/>
        </w:rPr>
        <w:t>168:15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طفل</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560:2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1106:2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 طفل</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التبیان </w:t>
      </w:r>
      <w:r>
        <w:rPr>
          <w:rFonts w:eastAsia="IRNazanin" w:cs="IRNazanin"/>
          <w:b w:val="false"/>
          <w:bCs w:val="false"/>
          <w:i w:val="false"/>
          <w:iCs w:val="false"/>
          <w:color w:val="333333"/>
          <w:sz w:val="20"/>
          <w:szCs w:val="20"/>
        </w:rPr>
        <w:t>259:7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للقرطبی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160:4</w:t>
      </w:r>
      <w:r>
        <w:rPr>
          <w:rFonts w:ascii="IRNazanin" w:hAnsi="IRNazanin" w:eastAsia="IRNazanin"/>
          <w:b w:val="false"/>
          <w:b w:val="false"/>
          <w:bCs w:val="false"/>
          <w:i w:val="false"/>
          <w:i w:val="false"/>
          <w:iCs w:val="false"/>
          <w:color w:val="333333"/>
          <w:sz w:val="20"/>
          <w:sz w:val="20"/>
          <w:szCs w:val="20"/>
          <w:rtl w:val="true"/>
        </w:rPr>
        <w:t xml:space="preserve">؛ شرائع الاسلام </w:t>
      </w:r>
      <w:r>
        <w:rPr>
          <w:rFonts w:eastAsia="IRNazanin" w:cs="IRNazanin"/>
          <w:b w:val="false"/>
          <w:bCs w:val="false"/>
          <w:i w:val="false"/>
          <w:iCs w:val="false"/>
          <w:color w:val="333333"/>
          <w:sz w:val="20"/>
          <w:szCs w:val="20"/>
        </w:rPr>
        <w:t>266:2</w:t>
      </w:r>
      <w:r>
        <w:rPr>
          <w:rFonts w:ascii="IRNazanin" w:hAnsi="IRNazanin" w:eastAsia="IRNazanin"/>
          <w:b w:val="false"/>
          <w:b w:val="false"/>
          <w:bCs w:val="false"/>
          <w:i w:val="false"/>
          <w:i w:val="false"/>
          <w:iCs w:val="false"/>
          <w:color w:val="333333"/>
          <w:sz w:val="20"/>
          <w:sz w:val="20"/>
          <w:szCs w:val="20"/>
          <w:rtl w:val="true"/>
        </w:rPr>
        <w:t xml:space="preserve">؛ إیضاح الفوائد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مسالک الافهام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زبدة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فقه القرآن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8:23</w:t>
      </w:r>
      <w:r>
        <w:rPr>
          <w:rFonts w:ascii="IRNazanin" w:hAnsi="IRNazanin" w:eastAsia="IRNazanin"/>
          <w:b w:val="false"/>
          <w:b w:val="false"/>
          <w:bCs w:val="false"/>
          <w:i w:val="false"/>
          <w:i w:val="false"/>
          <w:iCs w:val="false"/>
          <w:color w:val="333333"/>
          <w:sz w:val="20"/>
          <w:sz w:val="20"/>
          <w:szCs w:val="20"/>
          <w:rtl w:val="true"/>
        </w:rPr>
        <w:t xml:space="preserve">؛ مستند الشیعة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220:103</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300:3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74:14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النکاح</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کراهیة تزویج العاقر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کراهیّة تزویج العاقر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ردّ المحتار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کشاف القناع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المغنی </w:t>
      </w:r>
      <w:r>
        <w:rPr>
          <w:rFonts w:eastAsia="IRNazanin" w:cs="IRNazanin"/>
          <w:b w:val="false"/>
          <w:bCs w:val="false"/>
          <w:i w:val="false"/>
          <w:iCs w:val="false"/>
          <w:color w:val="333333"/>
          <w:sz w:val="20"/>
          <w:szCs w:val="20"/>
        </w:rPr>
        <w:t>334:7</w:t>
      </w:r>
      <w:r>
        <w:rPr>
          <w:rFonts w:ascii="IRNazanin" w:hAnsi="IRNazanin" w:eastAsia="IRNazanin"/>
          <w:b w:val="false"/>
          <w:b w:val="false"/>
          <w:bCs w:val="false"/>
          <w:i w:val="false"/>
          <w:i w:val="false"/>
          <w:iCs w:val="false"/>
          <w:color w:val="333333"/>
          <w:sz w:val="20"/>
          <w:sz w:val="20"/>
          <w:szCs w:val="20"/>
          <w:rtl w:val="true"/>
        </w:rPr>
        <w:t xml:space="preserve">؛ مغنی المحتاج </w:t>
      </w:r>
      <w:r>
        <w:rPr>
          <w:rFonts w:eastAsia="IRNazanin" w:cs="IRNazanin"/>
          <w:b w:val="false"/>
          <w:bCs w:val="false"/>
          <w:i w:val="false"/>
          <w:iCs w:val="false"/>
          <w:color w:val="333333"/>
          <w:sz w:val="20"/>
          <w:szCs w:val="20"/>
        </w:rPr>
        <w:t>126:3</w:t>
      </w:r>
      <w:r>
        <w:rPr>
          <w:rFonts w:ascii="IRNazanin" w:hAnsi="IRNazanin" w:eastAsia="IRNazanin"/>
          <w:b w:val="false"/>
          <w:b w:val="false"/>
          <w:bCs w:val="false"/>
          <w:i w:val="false"/>
          <w:i w:val="false"/>
          <w:iCs w:val="false"/>
          <w:color w:val="333333"/>
          <w:sz w:val="20"/>
          <w:sz w:val="20"/>
          <w:szCs w:val="20"/>
          <w:rtl w:val="true"/>
        </w:rPr>
        <w:t xml:space="preserve">؛ الفقه الإسلامی و أدلّته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إیضاح الفوائد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کنز العرفان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10:23</w:t>
      </w:r>
      <w:r>
        <w:rPr>
          <w:rFonts w:ascii="IRNazanin" w:hAnsi="IRNazanin" w:eastAsia="IRNazanin"/>
          <w:b w:val="false"/>
          <w:b w:val="false"/>
          <w:bCs w:val="false"/>
          <w:i w:val="false"/>
          <w:i w:val="false"/>
          <w:iCs w:val="false"/>
          <w:color w:val="333333"/>
          <w:sz w:val="20"/>
          <w:sz w:val="20"/>
          <w:szCs w:val="20"/>
          <w:rtl w:val="true"/>
        </w:rPr>
        <w:t xml:space="preserve">؛ مستند الشیعة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ردّ المحتار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المغنی و الشرح الکبیر </w:t>
      </w:r>
      <w:r>
        <w:rPr>
          <w:rFonts w:eastAsia="IRNazanin" w:cs="IRNazanin"/>
          <w:b w:val="false"/>
          <w:bCs w:val="false"/>
          <w:i w:val="false"/>
          <w:iCs w:val="false"/>
          <w:color w:val="333333"/>
          <w:sz w:val="20"/>
          <w:szCs w:val="20"/>
        </w:rPr>
        <w:t>334:7</w:t>
      </w:r>
      <w:r>
        <w:rPr>
          <w:rFonts w:ascii="IRNazanin" w:hAnsi="IRNazanin" w:eastAsia="IRNazanin"/>
          <w:b w:val="false"/>
          <w:b w:val="false"/>
          <w:bCs w:val="false"/>
          <w:i w:val="false"/>
          <w:i w:val="false"/>
          <w:iCs w:val="false"/>
          <w:color w:val="333333"/>
          <w:sz w:val="20"/>
          <w:sz w:val="20"/>
          <w:szCs w:val="20"/>
          <w:rtl w:val="true"/>
        </w:rPr>
        <w:t xml:space="preserve">؛ کشّاف القناع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بدایة المجتهد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المحلّی بالآثار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أحکام القرآن للجصاص </w:t>
      </w:r>
      <w:r>
        <w:rPr>
          <w:rFonts w:eastAsia="IRNazanin" w:cs="IRNazanin"/>
          <w:b w:val="false"/>
          <w:bCs w:val="false"/>
          <w:i w:val="false"/>
          <w:iCs w:val="false"/>
          <w:color w:val="333333"/>
          <w:sz w:val="20"/>
          <w:szCs w:val="20"/>
        </w:rPr>
        <w:t>178:5</w:t>
      </w:r>
      <w:r>
        <w:rPr>
          <w:rFonts w:ascii="IRNazanin" w:hAnsi="IRNazanin" w:eastAsia="IRNazanin"/>
          <w:b w:val="false"/>
          <w:b w:val="false"/>
          <w:bCs w:val="false"/>
          <w:i w:val="false"/>
          <w:i w:val="false"/>
          <w:iCs w:val="false"/>
          <w:color w:val="333333"/>
          <w:sz w:val="20"/>
          <w:sz w:val="20"/>
          <w:szCs w:val="20"/>
          <w:rtl w:val="true"/>
        </w:rPr>
        <w:t xml:space="preserve">؛ المهذّب فی فقه الشافعی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الفقه الإسلامی و أدلّته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826:2</w:t>
      </w:r>
      <w:r>
        <w:rPr>
          <w:rFonts w:ascii="IRNazanin" w:hAnsi="IRNazanin" w:eastAsia="IRNazanin"/>
          <w:b w:val="false"/>
          <w:b w:val="false"/>
          <w:bCs w:val="false"/>
          <w:i w:val="false"/>
          <w:i w:val="false"/>
          <w:iCs w:val="false"/>
          <w:color w:val="333333"/>
          <w:sz w:val="20"/>
          <w:sz w:val="20"/>
          <w:szCs w:val="20"/>
          <w:rtl w:val="true"/>
        </w:rPr>
        <w:t xml:space="preserve">، کتاب النکاح، ح </w:t>
      </w:r>
      <w:r>
        <w:rPr>
          <w:rFonts w:eastAsia="IRNazanin" w:cs="IRNazanin"/>
          <w:b w:val="false"/>
          <w:bCs w:val="false"/>
          <w:i w:val="false"/>
          <w:iCs w:val="false"/>
          <w:color w:val="333333"/>
          <w:sz w:val="20"/>
          <w:szCs w:val="20"/>
        </w:rPr>
        <w:t>1400</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378:1</w:t>
      </w:r>
      <w:r>
        <w:rPr>
          <w:rFonts w:ascii="IRNazanin" w:hAnsi="IRNazanin" w:eastAsia="IRNazanin"/>
          <w:b w:val="false"/>
          <w:b w:val="false"/>
          <w:bCs w:val="false"/>
          <w:i w:val="false"/>
          <w:i w:val="false"/>
          <w:iCs w:val="false"/>
          <w:color w:val="333333"/>
          <w:sz w:val="20"/>
          <w:sz w:val="20"/>
          <w:szCs w:val="20"/>
          <w:rtl w:val="true"/>
        </w:rPr>
        <w:t xml:space="preserve">، سنن النسائی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کتاب النکاح؛ سنن ابن ماجة </w:t>
      </w:r>
      <w:r>
        <w:rPr>
          <w:rFonts w:eastAsia="IRNazanin" w:cs="IRNazanin"/>
          <w:b w:val="false"/>
          <w:bCs w:val="false"/>
          <w:i w:val="false"/>
          <w:iCs w:val="false"/>
          <w:color w:val="333333"/>
          <w:sz w:val="20"/>
          <w:szCs w:val="20"/>
        </w:rPr>
        <w:t>299:3</w:t>
      </w:r>
      <w:r>
        <w:rPr>
          <w:rFonts w:ascii="IRNazanin" w:hAnsi="IRNazanin" w:eastAsia="IRNazanin"/>
          <w:b w:val="false"/>
          <w:b w:val="false"/>
          <w:bCs w:val="false"/>
          <w:i w:val="false"/>
          <w:i w:val="false"/>
          <w:iCs w:val="false"/>
          <w:color w:val="333333"/>
          <w:sz w:val="20"/>
          <w:sz w:val="20"/>
          <w:szCs w:val="20"/>
          <w:rtl w:val="true"/>
        </w:rPr>
        <w:t xml:space="preserve">، کتاب النکاح، ح </w:t>
      </w:r>
      <w:r>
        <w:rPr>
          <w:rFonts w:eastAsia="IRNazanin" w:cs="IRNazanin"/>
          <w:b w:val="false"/>
          <w:bCs w:val="false"/>
          <w:i w:val="false"/>
          <w:iCs w:val="false"/>
          <w:color w:val="333333"/>
          <w:sz w:val="20"/>
          <w:szCs w:val="20"/>
        </w:rPr>
        <w:t>1845</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272:16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4440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482:2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482:2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القرآن للجصّاص </w:t>
      </w:r>
      <w:r>
        <w:rPr>
          <w:rFonts w:eastAsia="IRNazanin" w:cs="IRNazanin"/>
          <w:b w:val="false"/>
          <w:bCs w:val="false"/>
          <w:i w:val="false"/>
          <w:iCs w:val="false"/>
          <w:color w:val="333333"/>
          <w:sz w:val="20"/>
          <w:szCs w:val="20"/>
        </w:rPr>
        <w:t>178:5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483:2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قوانین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الطبعة الحجریة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للنائینی </w:t>
      </w:r>
      <w:r>
        <w:rPr>
          <w:rFonts w:eastAsia="IRNazanin" w:cs="IRNazanin"/>
          <w:b w:val="false"/>
          <w:bCs w:val="false"/>
          <w:i w:val="false"/>
          <w:iCs w:val="false"/>
          <w:color w:val="333333"/>
          <w:sz w:val="20"/>
          <w:szCs w:val="20"/>
        </w:rPr>
        <w:t>306:1</w:t>
      </w:r>
      <w:r>
        <w:rPr>
          <w:rFonts w:ascii="IRNazanin" w:hAnsi="IRNazanin" w:eastAsia="IRNazanin"/>
          <w:b w:val="false"/>
          <w:b w:val="false"/>
          <w:bCs w:val="false"/>
          <w:i w:val="false"/>
          <w:i w:val="false"/>
          <w:iCs w:val="false"/>
          <w:color w:val="333333"/>
          <w:sz w:val="20"/>
          <w:sz w:val="20"/>
          <w:szCs w:val="20"/>
          <w:rtl w:val="true"/>
        </w:rPr>
        <w:t xml:space="preserve">؛ هدایة المسترشدین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 الکامل فی أصول الفقه </w:t>
      </w:r>
      <w:r>
        <w:rPr>
          <w:rFonts w:eastAsia="IRNazanin" w:cs="IRNazanin"/>
          <w:b w:val="false"/>
          <w:bCs w:val="false"/>
          <w:i w:val="false"/>
          <w:iCs w:val="false"/>
          <w:color w:val="333333"/>
          <w:sz w:val="20"/>
          <w:szCs w:val="20"/>
        </w:rPr>
        <w:t>588:4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826:2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النکاح ح </w:t>
      </w:r>
      <w:r>
        <w:rPr>
          <w:rFonts w:eastAsia="IRNazanin" w:cs="IRNazanin"/>
          <w:b w:val="false"/>
          <w:bCs w:val="false"/>
          <w:i w:val="false"/>
          <w:iCs w:val="false"/>
          <w:color w:val="333333"/>
          <w:sz w:val="20"/>
          <w:szCs w:val="20"/>
        </w:rPr>
        <w:t>1400</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378:1</w:t>
      </w:r>
      <w:r>
        <w:rPr>
          <w:rFonts w:ascii="IRNazanin" w:hAnsi="IRNazanin" w:eastAsia="IRNazanin"/>
          <w:b w:val="false"/>
          <w:b w:val="false"/>
          <w:bCs w:val="false"/>
          <w:i w:val="false"/>
          <w:i w:val="false"/>
          <w:iCs w:val="false"/>
          <w:color w:val="333333"/>
          <w:sz w:val="20"/>
          <w:sz w:val="20"/>
          <w:szCs w:val="20"/>
          <w:rtl w:val="true"/>
        </w:rPr>
        <w:t xml:space="preserve">؛ سنن النسائی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العرفان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17:23</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33:29</w:t>
      </w:r>
      <w:r>
        <w:rPr>
          <w:rFonts w:ascii="IRNazanin" w:hAnsi="IRNazanin" w:eastAsia="IRNazanin"/>
          <w:b w:val="false"/>
          <w:b w:val="false"/>
          <w:bCs w:val="false"/>
          <w:i w:val="false"/>
          <w:i w:val="false"/>
          <w:iCs w:val="false"/>
          <w:color w:val="333333"/>
          <w:sz w:val="20"/>
          <w:sz w:val="20"/>
          <w:szCs w:val="20"/>
          <w:rtl w:val="true"/>
        </w:rPr>
        <w:t xml:space="preserve">؛ بدائع الصنائع </w:t>
      </w:r>
      <w:r>
        <w:rPr>
          <w:rFonts w:eastAsia="IRNazanin" w:cs="IRNazanin"/>
          <w:b w:val="false"/>
          <w:bCs w:val="false"/>
          <w:i w:val="false"/>
          <w:iCs w:val="false"/>
          <w:color w:val="333333"/>
          <w:sz w:val="20"/>
          <w:szCs w:val="20"/>
        </w:rPr>
        <w:t>482:2</w:t>
      </w:r>
      <w:r>
        <w:rPr>
          <w:rFonts w:ascii="IRNazanin" w:hAnsi="IRNazanin" w:eastAsia="IRNazanin"/>
          <w:b w:val="false"/>
          <w:b w:val="false"/>
          <w:bCs w:val="false"/>
          <w:i w:val="false"/>
          <w:i w:val="false"/>
          <w:iCs w:val="false"/>
          <w:color w:val="333333"/>
          <w:sz w:val="20"/>
          <w:sz w:val="20"/>
          <w:szCs w:val="20"/>
          <w:rtl w:val="true"/>
        </w:rPr>
        <w:t xml:space="preserve">؛ المغنی </w:t>
      </w:r>
      <w:r>
        <w:rPr>
          <w:rFonts w:eastAsia="IRNazanin" w:cs="IRNazanin"/>
          <w:b w:val="false"/>
          <w:bCs w:val="false"/>
          <w:i w:val="false"/>
          <w:iCs w:val="false"/>
          <w:color w:val="333333"/>
          <w:sz w:val="20"/>
          <w:szCs w:val="20"/>
        </w:rPr>
        <w:t>334:7</w:t>
      </w:r>
      <w:r>
        <w:rPr>
          <w:rFonts w:ascii="IRNazanin" w:hAnsi="IRNazanin" w:eastAsia="IRNazanin"/>
          <w:b w:val="false"/>
          <w:b w:val="false"/>
          <w:bCs w:val="false"/>
          <w:i w:val="false"/>
          <w:i w:val="false"/>
          <w:iCs w:val="false"/>
          <w:color w:val="333333"/>
          <w:sz w:val="20"/>
          <w:sz w:val="20"/>
          <w:szCs w:val="20"/>
          <w:rtl w:val="true"/>
        </w:rPr>
        <w:t xml:space="preserve">؛ المفصّل فی أحکام المرأة و البیت المسلم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الفقه الإسلامی و أدلّته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الموسوعة الفقهیّة الکویتیة </w:t>
      </w:r>
      <w:r>
        <w:rPr>
          <w:rFonts w:eastAsia="IRNazanin" w:cs="IRNazanin"/>
          <w:b w:val="false"/>
          <w:bCs w:val="false"/>
          <w:i w:val="false"/>
          <w:iCs w:val="false"/>
          <w:color w:val="333333"/>
          <w:sz w:val="20"/>
          <w:szCs w:val="20"/>
        </w:rPr>
        <w:t>252:11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17:23</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33:29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الإسلامی و أدلّته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الموسوعة الفقهیة الکویتیة </w:t>
      </w:r>
      <w:r>
        <w:rPr>
          <w:rFonts w:eastAsia="IRNazanin" w:cs="IRNazanin"/>
          <w:b w:val="false"/>
          <w:bCs w:val="false"/>
          <w:i w:val="false"/>
          <w:iCs w:val="false"/>
          <w:color w:val="333333"/>
          <w:sz w:val="20"/>
          <w:szCs w:val="20"/>
        </w:rPr>
        <w:t>252:11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مغنی المحتاج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126:3</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العرفان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إیضاح الفوائد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33:29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الإسلامی و أدلّته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w:t>
      </w:r>
      <w:r>
        <w:rPr>
          <w:rFonts w:eastAsia="IRNazanin" w:cs="IRNazanin"/>
          <w:b w:val="false"/>
          <w:bCs w:val="false"/>
          <w:i w:val="false"/>
          <w:iCs w:val="false"/>
          <w:color w:val="333333"/>
          <w:sz w:val="20"/>
          <w:szCs w:val="20"/>
        </w:rPr>
        <w:t>126:3</w:t>
      </w:r>
      <w:r>
        <w:rPr>
          <w:rFonts w:ascii="IRNazanin" w:hAnsi="IRNazanin" w:eastAsia="IRNazanin"/>
          <w:b w:val="false"/>
          <w:b w:val="false"/>
          <w:bCs w:val="false"/>
          <w:i w:val="false"/>
          <w:i w:val="false"/>
          <w:iCs w:val="false"/>
          <w:color w:val="333333"/>
          <w:sz w:val="20"/>
          <w:sz w:val="20"/>
          <w:szCs w:val="20"/>
          <w:rtl w:val="true"/>
        </w:rPr>
        <w:t xml:space="preserve">؛ الموسوعة الفقهیّة الکویتیة </w:t>
      </w:r>
      <w:r>
        <w:rPr>
          <w:rFonts w:eastAsia="IRNazanin" w:cs="IRNazanin"/>
          <w:b w:val="false"/>
          <w:bCs w:val="false"/>
          <w:i w:val="false"/>
          <w:iCs w:val="false"/>
          <w:color w:val="333333"/>
          <w:sz w:val="20"/>
          <w:szCs w:val="20"/>
        </w:rPr>
        <w:t>252:11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33:29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الإسلامی و أدلّته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332:5</w:t>
      </w:r>
      <w:r>
        <w:rPr>
          <w:rFonts w:ascii="IRNazanin" w:hAnsi="IRNazanin" w:eastAsia="IRNazanin"/>
          <w:b w:val="false"/>
          <w:b w:val="false"/>
          <w:bCs w:val="false"/>
          <w:i w:val="false"/>
          <w:i w:val="false"/>
          <w:iCs w:val="false"/>
          <w:color w:val="333333"/>
          <w:sz w:val="20"/>
          <w:sz w:val="20"/>
          <w:szCs w:val="20"/>
          <w:rtl w:val="true"/>
        </w:rPr>
        <w:t xml:space="preserve">، باب اختیار الزوجة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295:16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44557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44:12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1067:2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266:2</w:t>
      </w:r>
      <w:r>
        <w:rPr>
          <w:rFonts w:ascii="IRNazanin" w:hAnsi="IRNazanin" w:eastAsia="IRNazanin"/>
          <w:b w:val="false"/>
          <w:b w:val="false"/>
          <w:bCs w:val="false"/>
          <w:i w:val="false"/>
          <w:i w:val="false"/>
          <w:iCs w:val="false"/>
          <w:color w:val="333333"/>
          <w:sz w:val="20"/>
          <w:sz w:val="20"/>
          <w:szCs w:val="20"/>
          <w:rtl w:val="true"/>
        </w:rPr>
        <w:t xml:space="preserve">؛ قواعد الأحکام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إیضاح الفوائد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نهایة المرام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25:23</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36:29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تفصیل الشریعة، 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w:t>
      </w:r>
      <w:r>
        <w:rPr>
          <w:rFonts w:eastAsia="IRNazanin" w:cs="IRNazanin"/>
          <w:b w:val="false"/>
          <w:bCs w:val="false"/>
          <w:i w:val="false"/>
          <w:iCs w:val="false"/>
          <w:color w:val="333333"/>
          <w:sz w:val="20"/>
          <w:szCs w:val="20"/>
        </w:rPr>
        <w:t>126:3</w:t>
      </w:r>
      <w:r>
        <w:rPr>
          <w:rFonts w:ascii="IRNazanin" w:hAnsi="IRNazanin" w:eastAsia="IRNazanin"/>
          <w:b w:val="false"/>
          <w:b w:val="false"/>
          <w:bCs w:val="false"/>
          <w:i w:val="false"/>
          <w:i w:val="false"/>
          <w:iCs w:val="false"/>
          <w:color w:val="333333"/>
          <w:sz w:val="20"/>
          <w:sz w:val="20"/>
          <w:szCs w:val="20"/>
          <w:rtl w:val="true"/>
        </w:rPr>
        <w:t xml:space="preserve">؛ المهذّب فی الفقه الشافعی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العزیز </w:t>
      </w:r>
      <w:r>
        <w:rPr>
          <w:rFonts w:eastAsia="IRNazanin" w:cs="IRNazanin"/>
          <w:b w:val="false"/>
          <w:bCs w:val="false"/>
          <w:i w:val="false"/>
          <w:iCs w:val="false"/>
          <w:color w:val="333333"/>
          <w:sz w:val="20"/>
          <w:szCs w:val="20"/>
        </w:rPr>
        <w:t>468:7</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287:17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اختیار الزوجة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300:16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44587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293:16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4454</w:t>
      </w:r>
      <w:r>
        <w:rPr>
          <w:rFonts w:ascii="IRNazanin" w:hAnsi="IRNazanin" w:eastAsia="IRNazanin"/>
          <w:b w:val="false"/>
          <w:b w:val="false"/>
          <w:bCs w:val="false"/>
          <w:i w:val="false"/>
          <w:i w:val="false"/>
          <w:iCs w:val="false"/>
          <w:color w:val="333333"/>
          <w:sz w:val="20"/>
          <w:sz w:val="20"/>
          <w:szCs w:val="20"/>
          <w:rtl w:val="true"/>
        </w:rPr>
        <w:t xml:space="preserve">؛ مغنی المحتاج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المهذّب فی فقه الشافعی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267:2</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إیضاح الفوائد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37:29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w:t>
      </w:r>
      <w:r>
        <w:rPr>
          <w:rFonts w:eastAsia="IRNazanin" w:cs="IRNazanin"/>
          <w:b w:val="false"/>
          <w:bCs w:val="false"/>
          <w:i w:val="false"/>
          <w:iCs w:val="false"/>
          <w:color w:val="333333"/>
          <w:sz w:val="20"/>
          <w:szCs w:val="20"/>
        </w:rPr>
        <w:t>127:3</w:t>
      </w:r>
      <w:r>
        <w:rPr>
          <w:rFonts w:ascii="IRNazanin" w:hAnsi="IRNazanin" w:eastAsia="IRNazanin"/>
          <w:b w:val="false"/>
          <w:b w:val="false"/>
          <w:bCs w:val="false"/>
          <w:i w:val="false"/>
          <w:i w:val="false"/>
          <w:iCs w:val="false"/>
          <w:color w:val="333333"/>
          <w:sz w:val="20"/>
          <w:sz w:val="20"/>
          <w:szCs w:val="20"/>
          <w:rtl w:val="true"/>
        </w:rPr>
        <w:t xml:space="preserve">، الکواکب الدُّریّة فی فقه المالکیّة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نشف الماء أی شرب، و هذه کنایة عن میلها للمواقعة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1158</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295:16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44604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598:1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1861</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294:16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44549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267:2</w:t>
      </w:r>
      <w:r>
        <w:rPr>
          <w:rFonts w:ascii="IRNazanin" w:hAnsi="IRNazanin" w:eastAsia="IRNazanin"/>
          <w:b w:val="false"/>
          <w:b w:val="false"/>
          <w:bCs w:val="false"/>
          <w:i w:val="false"/>
          <w:i w:val="false"/>
          <w:iCs w:val="false"/>
          <w:color w:val="333333"/>
          <w:sz w:val="20"/>
          <w:sz w:val="20"/>
          <w:szCs w:val="20"/>
          <w:rtl w:val="true"/>
        </w:rPr>
        <w:t xml:space="preserve">؛ قواعد الاحکام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إیضاح الفوائد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22:23</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37:29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w:t>
      </w:r>
      <w:r>
        <w:rPr>
          <w:rFonts w:eastAsia="IRNazanin" w:cs="IRNazanin"/>
          <w:b w:val="false"/>
          <w:bCs w:val="false"/>
          <w:i w:val="false"/>
          <w:iCs w:val="false"/>
          <w:color w:val="333333"/>
          <w:sz w:val="20"/>
          <w:szCs w:val="20"/>
        </w:rPr>
        <w:t>127:3</w:t>
      </w:r>
      <w:r>
        <w:rPr>
          <w:rFonts w:ascii="IRNazanin" w:hAnsi="IRNazanin" w:eastAsia="IRNazanin"/>
          <w:b w:val="false"/>
          <w:b w:val="false"/>
          <w:bCs w:val="false"/>
          <w:i w:val="false"/>
          <w:i w:val="false"/>
          <w:iCs w:val="false"/>
          <w:color w:val="333333"/>
          <w:sz w:val="20"/>
          <w:sz w:val="20"/>
          <w:szCs w:val="20"/>
          <w:rtl w:val="true"/>
        </w:rPr>
        <w:t xml:space="preserve">؛ العزیز </w:t>
      </w:r>
      <w:r>
        <w:rPr>
          <w:rFonts w:eastAsia="IRNazanin" w:cs="IRNazanin"/>
          <w:b w:val="false"/>
          <w:bCs w:val="false"/>
          <w:i w:val="false"/>
          <w:iCs w:val="false"/>
          <w:color w:val="333333"/>
          <w:sz w:val="20"/>
          <w:szCs w:val="20"/>
        </w:rPr>
        <w:t>467:7</w:t>
      </w:r>
      <w:r>
        <w:rPr>
          <w:rFonts w:ascii="IRNazanin" w:hAnsi="IRNazanin" w:eastAsia="IRNazanin"/>
          <w:b w:val="false"/>
          <w:b w:val="false"/>
          <w:bCs w:val="false"/>
          <w:i w:val="false"/>
          <w:i w:val="false"/>
          <w:iCs w:val="false"/>
          <w:color w:val="333333"/>
          <w:sz w:val="20"/>
          <w:sz w:val="20"/>
          <w:szCs w:val="20"/>
          <w:rtl w:val="true"/>
        </w:rPr>
        <w:t xml:space="preserve">؛ روضة الطالبین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مغنی المحتاج </w:t>
      </w:r>
      <w:r>
        <w:rPr>
          <w:rFonts w:eastAsia="IRNazanin" w:cs="IRNazanin"/>
          <w:b w:val="false"/>
          <w:bCs w:val="false"/>
          <w:i w:val="false"/>
          <w:iCs w:val="false"/>
          <w:color w:val="333333"/>
          <w:sz w:val="20"/>
          <w:szCs w:val="20"/>
        </w:rPr>
        <w:t>468:7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1167</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176:14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302:16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44598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292:16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44540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38:29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نادر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293:16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44541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من تزوج ذات دین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38:29</w:t>
      </w:r>
      <w:r>
        <w:rPr>
          <w:rFonts w:ascii="IRNazanin" w:hAnsi="IRNazanin" w:eastAsia="IRNazanin"/>
          <w:b w:val="false"/>
          <w:b w:val="false"/>
          <w:bCs w:val="false"/>
          <w:i w:val="false"/>
          <w:i w:val="false"/>
          <w:iCs w:val="false"/>
          <w:color w:val="333333"/>
          <w:sz w:val="20"/>
          <w:sz w:val="20"/>
          <w:szCs w:val="20"/>
          <w:rtl w:val="true"/>
        </w:rPr>
        <w:t xml:space="preserve">؛ العروة الوثقی </w:t>
      </w:r>
      <w:r>
        <w:rPr>
          <w:rFonts w:eastAsia="IRNazanin" w:cs="IRNazanin"/>
          <w:b w:val="false"/>
          <w:bCs w:val="false"/>
          <w:i w:val="false"/>
          <w:iCs w:val="false"/>
          <w:color w:val="333333"/>
          <w:sz w:val="20"/>
          <w:szCs w:val="20"/>
        </w:rPr>
        <w:t>799:2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272:16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44410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النکاح؛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النکاح</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38:29</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54:12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لابن الأثیر </w:t>
      </w:r>
      <w:r>
        <w:rPr>
          <w:rFonts w:eastAsia="IRNazanin" w:cs="IRNazanin"/>
          <w:b w:val="false"/>
          <w:bCs w:val="false"/>
          <w:i w:val="false"/>
          <w:iCs w:val="false"/>
          <w:color w:val="333333"/>
          <w:sz w:val="20"/>
          <w:szCs w:val="20"/>
        </w:rPr>
        <w:t>399:2</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878:2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22:23</w:t>
      </w:r>
      <w:r>
        <w:rPr>
          <w:rFonts w:ascii="IRNazanin" w:hAnsi="IRNazanin" w:eastAsia="IRNazanin"/>
          <w:b w:val="false"/>
          <w:b w:val="false"/>
          <w:bCs w:val="false"/>
          <w:i w:val="false"/>
          <w:i w:val="false"/>
          <w:iCs w:val="false"/>
          <w:color w:val="333333"/>
          <w:sz w:val="20"/>
          <w:sz w:val="20"/>
          <w:szCs w:val="20"/>
          <w:rtl w:val="true"/>
        </w:rPr>
        <w:t xml:space="preserve">؛ العروة الوثقی </w:t>
      </w:r>
      <w:r>
        <w:rPr>
          <w:rFonts w:eastAsia="IRNazanin" w:cs="IRNazanin"/>
          <w:b w:val="false"/>
          <w:bCs w:val="false"/>
          <w:i w:val="false"/>
          <w:iCs w:val="false"/>
          <w:color w:val="333333"/>
          <w:sz w:val="20"/>
          <w:szCs w:val="20"/>
        </w:rPr>
        <w:t>799:2</w:t>
      </w:r>
      <w:r>
        <w:rPr>
          <w:rFonts w:ascii="IRNazanin" w:hAnsi="IRNazanin" w:eastAsia="IRNazanin"/>
          <w:b w:val="false"/>
          <w:b w:val="false"/>
          <w:bCs w:val="false"/>
          <w:i w:val="false"/>
          <w:i w:val="false"/>
          <w:iCs w:val="false"/>
          <w:color w:val="333333"/>
          <w:sz w:val="20"/>
          <w:sz w:val="20"/>
          <w:szCs w:val="20"/>
          <w:rtl w:val="true"/>
        </w:rPr>
        <w:t xml:space="preserve">؛ هدایة الأُمّة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335:5</w:t>
      </w:r>
      <w:r>
        <w:rPr>
          <w:rFonts w:ascii="IRNazanin" w:hAnsi="IRNazanin" w:eastAsia="IRNazanin"/>
          <w:b w:val="false"/>
          <w:b w:val="false"/>
          <w:bCs w:val="false"/>
          <w:i w:val="false"/>
          <w:i w:val="false"/>
          <w:iCs w:val="false"/>
          <w:color w:val="333333"/>
          <w:sz w:val="20"/>
          <w:sz w:val="20"/>
          <w:szCs w:val="20"/>
          <w:rtl w:val="true"/>
        </w:rPr>
        <w:t xml:space="preserve">، باب ما یستدلّ به من المرأة علی المحمدة،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یستحب و یحمد من أخلاق النساء ح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یستدل به من المرأة علی المحمدة،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برکة المرأة و شؤمها ح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180:14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302:16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44596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کلمة زرق</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78:14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2732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الأکفّاء ح </w:t>
      </w:r>
      <w:r>
        <w:rPr>
          <w:rFonts w:eastAsia="IRNazanin" w:cs="IRNazanin"/>
          <w:b w:val="false"/>
          <w:bCs w:val="false"/>
          <w:i w:val="false"/>
          <w:iCs w:val="false"/>
          <w:color w:val="333333"/>
          <w:sz w:val="20"/>
          <w:szCs w:val="20"/>
        </w:rPr>
        <w:t>4385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49:14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و آدابه،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372:103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569:2</w:t>
      </w:r>
      <w:r>
        <w:rPr>
          <w:rFonts w:ascii="IRNazanin" w:hAnsi="IRNazanin" w:eastAsia="IRNazanin"/>
          <w:b w:val="false"/>
          <w:b w:val="false"/>
          <w:bCs w:val="false"/>
          <w:i w:val="false"/>
          <w:i w:val="false"/>
          <w:iCs w:val="false"/>
          <w:color w:val="333333"/>
          <w:sz w:val="20"/>
          <w:sz w:val="20"/>
          <w:szCs w:val="20"/>
          <w:rtl w:val="true"/>
        </w:rPr>
        <w:t>، الطبعة الحجریة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العزیز شرح الوجیز </w:t>
      </w:r>
      <w:r>
        <w:rPr>
          <w:rFonts w:eastAsia="IRNazanin" w:cs="IRNazanin"/>
          <w:b w:val="false"/>
          <w:bCs w:val="false"/>
          <w:i w:val="false"/>
          <w:iCs w:val="false"/>
          <w:color w:val="333333"/>
          <w:sz w:val="20"/>
          <w:szCs w:val="20"/>
        </w:rPr>
        <w:t>467:7</w:t>
      </w:r>
      <w:r>
        <w:rPr>
          <w:rFonts w:ascii="IRNazanin" w:hAnsi="IRNazanin" w:eastAsia="IRNazanin"/>
          <w:b w:val="false"/>
          <w:b w:val="false"/>
          <w:bCs w:val="false"/>
          <w:i w:val="false"/>
          <w:i w:val="false"/>
          <w:iCs w:val="false"/>
          <w:color w:val="333333"/>
          <w:sz w:val="20"/>
          <w:sz w:val="20"/>
          <w:szCs w:val="20"/>
          <w:rtl w:val="true"/>
        </w:rPr>
        <w:t xml:space="preserve">، روضة الطالبین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البیان </w:t>
      </w:r>
      <w:r>
        <w:rPr>
          <w:rFonts w:eastAsia="IRNazanin" w:cs="IRNazanin"/>
          <w:b w:val="false"/>
          <w:bCs w:val="false"/>
          <w:i w:val="false"/>
          <w:iCs w:val="false"/>
          <w:color w:val="333333"/>
          <w:sz w:val="20"/>
          <w:szCs w:val="20"/>
        </w:rPr>
        <w:t>117:9</w:t>
      </w:r>
      <w:r>
        <w:rPr>
          <w:rFonts w:ascii="IRNazanin" w:hAnsi="IRNazanin" w:eastAsia="IRNazanin"/>
          <w:b w:val="false"/>
          <w:b w:val="false"/>
          <w:bCs w:val="false"/>
          <w:i w:val="false"/>
          <w:i w:val="false"/>
          <w:iCs w:val="false"/>
          <w:color w:val="333333"/>
          <w:sz w:val="20"/>
          <w:sz w:val="20"/>
          <w:szCs w:val="20"/>
          <w:rtl w:val="true"/>
        </w:rPr>
        <w:t xml:space="preserve">، المغنی </w:t>
      </w:r>
      <w:r>
        <w:rPr>
          <w:rFonts w:eastAsia="IRNazanin" w:cs="IRNazanin"/>
          <w:b w:val="false"/>
          <w:bCs w:val="false"/>
          <w:i w:val="false"/>
          <w:iCs w:val="false"/>
          <w:color w:val="333333"/>
          <w:sz w:val="20"/>
          <w:szCs w:val="20"/>
        </w:rPr>
        <w:t>469:7</w:t>
      </w:r>
      <w:r>
        <w:rPr>
          <w:rFonts w:ascii="IRNazanin" w:hAnsi="IRNazanin" w:eastAsia="IRNazanin"/>
          <w:b w:val="false"/>
          <w:b w:val="false"/>
          <w:bCs w:val="false"/>
          <w:i w:val="false"/>
          <w:i w:val="false"/>
          <w:iCs w:val="false"/>
          <w:color w:val="333333"/>
          <w:sz w:val="20"/>
          <w:sz w:val="20"/>
          <w:szCs w:val="20"/>
          <w:rtl w:val="true"/>
        </w:rPr>
        <w:t xml:space="preserve">، مغنی المحتاج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ابن الأثیر فی النهایة فی غریب الحدیث و الأثر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الحبیر </w:t>
      </w:r>
      <w:r>
        <w:rPr>
          <w:rFonts w:eastAsia="IRNazanin" w:cs="IRNazanin"/>
          <w:b w:val="false"/>
          <w:bCs w:val="false"/>
          <w:i w:val="false"/>
          <w:iCs w:val="false"/>
          <w:color w:val="333333"/>
          <w:sz w:val="20"/>
          <w:szCs w:val="20"/>
        </w:rPr>
        <w:t>309:3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لابن الأثیر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إلاّ أن یقال بمنافاته مع ما نُقل عن رسول اللّه صلی الله علیه و آله و سلم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بنونا لبناتنا و بناتنا لبنینا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یمکن هنا جمع آخر، و هو أنّ استحباب النکاح مع الأقارب لیس إلاّ من جهة انضمام صلة الرحم، و لکن النهی عن النکاح معهم من جهة الأولاد و الآثار فلیس بینهما تعارض م ج ف</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مقابیس اللغة </w:t>
      </w:r>
      <w:r>
        <w:rPr>
          <w:rFonts w:eastAsia="IRNazanin" w:cs="IRNazanin"/>
          <w:b w:val="false"/>
          <w:bCs w:val="false"/>
          <w:i w:val="false"/>
          <w:iCs w:val="false"/>
          <w:color w:val="333333"/>
          <w:sz w:val="20"/>
          <w:szCs w:val="20"/>
        </w:rPr>
        <w:t>189:5</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1567:3</w:t>
      </w:r>
      <w:r>
        <w:rPr>
          <w:rFonts w:ascii="IRNazanin" w:hAnsi="IRNazanin" w:eastAsia="IRNazanin"/>
          <w:b w:val="false"/>
          <w:b w:val="false"/>
          <w:bCs w:val="false"/>
          <w:i w:val="false"/>
          <w:i w:val="false"/>
          <w:iCs w:val="false"/>
          <w:color w:val="333333"/>
          <w:sz w:val="20"/>
          <w:sz w:val="20"/>
          <w:szCs w:val="20"/>
          <w:rtl w:val="true"/>
        </w:rPr>
        <w:t>؛ 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413:5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للشیخ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التنقیح الرائع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109:24</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34:29</w:t>
      </w:r>
      <w:r>
        <w:rPr>
          <w:rFonts w:ascii="IRNazanin" w:hAnsi="IRNazanin" w:eastAsia="IRNazanin"/>
          <w:b w:val="false"/>
          <w:b w:val="false"/>
          <w:bCs w:val="false"/>
          <w:i w:val="false"/>
          <w:i w:val="false"/>
          <w:iCs w:val="false"/>
          <w:color w:val="333333"/>
          <w:sz w:val="20"/>
          <w:sz w:val="20"/>
          <w:szCs w:val="20"/>
          <w:rtl w:val="true"/>
        </w:rPr>
        <w:t xml:space="preserve">؛ العروة الوثقی </w:t>
      </w:r>
      <w:r>
        <w:rPr>
          <w:rFonts w:eastAsia="IRNazanin" w:cs="IRNazanin"/>
          <w:b w:val="false"/>
          <w:bCs w:val="false"/>
          <w:i w:val="false"/>
          <w:iCs w:val="false"/>
          <w:color w:val="333333"/>
          <w:sz w:val="20"/>
          <w:szCs w:val="20"/>
        </w:rPr>
        <w:t>799:2</w:t>
      </w:r>
      <w:r>
        <w:rPr>
          <w:rFonts w:ascii="IRNazanin" w:hAnsi="IRNazanin" w:eastAsia="IRNazanin"/>
          <w:b w:val="false"/>
          <w:b w:val="false"/>
          <w:bCs w:val="false"/>
          <w:i w:val="false"/>
          <w:i w:val="false"/>
          <w:iCs w:val="false"/>
          <w:color w:val="333333"/>
          <w:sz w:val="20"/>
          <w:sz w:val="20"/>
          <w:szCs w:val="20"/>
          <w:rtl w:val="true"/>
        </w:rPr>
        <w:t>؛ وسیلة النجاة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مستمسک العروة الوثقی </w:t>
      </w:r>
      <w:r>
        <w:rPr>
          <w:rFonts w:eastAsia="IRNazanin" w:cs="IRNazanin"/>
          <w:b w:val="false"/>
          <w:bCs w:val="false"/>
          <w:i w:val="false"/>
          <w:iCs w:val="false"/>
          <w:color w:val="333333"/>
          <w:sz w:val="20"/>
          <w:szCs w:val="20"/>
        </w:rPr>
        <w:t>8:14</w:t>
      </w:r>
      <w:r>
        <w:rPr>
          <w:rFonts w:ascii="IRNazanin" w:hAnsi="IRNazanin" w:eastAsia="IRNazanin"/>
          <w:b w:val="false"/>
          <w:b w:val="false"/>
          <w:bCs w:val="false"/>
          <w:i w:val="false"/>
          <w:i w:val="false"/>
          <w:iCs w:val="false"/>
          <w:color w:val="333333"/>
          <w:sz w:val="20"/>
          <w:sz w:val="20"/>
          <w:szCs w:val="20"/>
          <w:rtl w:val="true"/>
        </w:rPr>
        <w:t xml:space="preserve">؛ مستند العروة الوثقی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النکاح؛ مهذّب الأحکام </w:t>
      </w:r>
      <w:r>
        <w:rPr>
          <w:rFonts w:eastAsia="IRNazanin" w:cs="IRNazanin"/>
          <w:b w:val="false"/>
          <w:bCs w:val="false"/>
          <w:i w:val="false"/>
          <w:iCs w:val="false"/>
          <w:color w:val="333333"/>
          <w:sz w:val="20"/>
          <w:szCs w:val="20"/>
        </w:rPr>
        <w:t>17:24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کتاب النکاح</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اولی النُّهی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المغنی و الشرح الکبیر </w:t>
      </w:r>
      <w:r>
        <w:rPr>
          <w:rFonts w:eastAsia="IRNazanin" w:cs="IRNazanin"/>
          <w:b w:val="false"/>
          <w:bCs w:val="false"/>
          <w:i w:val="false"/>
          <w:iCs w:val="false"/>
          <w:color w:val="333333"/>
          <w:sz w:val="20"/>
          <w:szCs w:val="20"/>
        </w:rPr>
        <w:t>471:7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حاشیة الخرشی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البحر الرائق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338:14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337:14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یخفی أنّه لا یستفاد من الروایة کراهیّة التزویج بل یستفاد مرجوحیّة ولدها، و کذا الروایة الآتیة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 ف</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477:7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338:14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17:24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341:7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486:12</w:t>
      </w:r>
      <w:r>
        <w:rPr>
          <w:rFonts w:ascii="IRNazanin" w:hAnsi="IRNazanin" w:eastAsia="IRNazanin"/>
          <w:b w:val="false"/>
          <w:b w:val="false"/>
          <w:bCs w:val="false"/>
          <w:i w:val="false"/>
          <w:i w:val="false"/>
          <w:iCs w:val="false"/>
          <w:color w:val="333333"/>
          <w:sz w:val="20"/>
          <w:sz w:val="20"/>
          <w:szCs w:val="20"/>
          <w:rtl w:val="true"/>
        </w:rPr>
        <w:t xml:space="preserve">؛ العروة الوثقی </w:t>
      </w:r>
      <w:r>
        <w:rPr>
          <w:rFonts w:eastAsia="IRNazanin" w:cs="IRNazanin"/>
          <w:b w:val="false"/>
          <w:bCs w:val="false"/>
          <w:i w:val="false"/>
          <w:iCs w:val="false"/>
          <w:color w:val="333333"/>
          <w:sz w:val="20"/>
          <w:szCs w:val="20"/>
        </w:rPr>
        <w:t>799:2</w:t>
      </w:r>
      <w:r>
        <w:rPr>
          <w:rFonts w:ascii="IRNazanin" w:hAnsi="IRNazanin" w:eastAsia="IRNazanin"/>
          <w:b w:val="false"/>
          <w:b w:val="false"/>
          <w:bCs w:val="false"/>
          <w:i w:val="false"/>
          <w:i w:val="false"/>
          <w:iCs w:val="false"/>
          <w:color w:val="333333"/>
          <w:sz w:val="20"/>
          <w:sz w:val="20"/>
          <w:szCs w:val="20"/>
          <w:rtl w:val="true"/>
        </w:rPr>
        <w:t>؛ وسیلة النجاة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مستمسک العروة الوثقی </w:t>
      </w:r>
      <w:r>
        <w:rPr>
          <w:rFonts w:eastAsia="IRNazanin" w:cs="IRNazanin"/>
          <w:b w:val="false"/>
          <w:bCs w:val="false"/>
          <w:i w:val="false"/>
          <w:iCs w:val="false"/>
          <w:color w:val="333333"/>
          <w:sz w:val="20"/>
          <w:szCs w:val="20"/>
        </w:rPr>
        <w:t>8:14</w:t>
      </w:r>
      <w:r>
        <w:rPr>
          <w:rFonts w:ascii="IRNazanin" w:hAnsi="IRNazanin" w:eastAsia="IRNazanin"/>
          <w:b w:val="false"/>
          <w:b w:val="false"/>
          <w:bCs w:val="false"/>
          <w:i w:val="false"/>
          <w:i w:val="false"/>
          <w:iCs w:val="false"/>
          <w:color w:val="333333"/>
          <w:sz w:val="20"/>
          <w:sz w:val="20"/>
          <w:szCs w:val="20"/>
          <w:rtl w:val="true"/>
        </w:rPr>
        <w:t xml:space="preserve">؛ مستند العروة الوثقی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النکاح؛ مهذّب الأحکام </w:t>
      </w:r>
      <w:r>
        <w:rPr>
          <w:rFonts w:eastAsia="IRNazanin" w:cs="IRNazanin"/>
          <w:b w:val="false"/>
          <w:bCs w:val="false"/>
          <w:i w:val="false"/>
          <w:iCs w:val="false"/>
          <w:color w:val="333333"/>
          <w:sz w:val="20"/>
          <w:szCs w:val="20"/>
        </w:rPr>
        <w:t>18:24</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213:2</w:t>
      </w:r>
      <w:r>
        <w:rPr>
          <w:rFonts w:ascii="IRNazanin" w:hAnsi="IRNazanin" w:eastAsia="IRNazanin"/>
          <w:b w:val="false"/>
          <w:b w:val="false"/>
          <w:bCs w:val="false"/>
          <w:i w:val="false"/>
          <w:i w:val="false"/>
          <w:iCs w:val="false"/>
          <w:color w:val="333333"/>
          <w:sz w:val="20"/>
          <w:sz w:val="20"/>
          <w:szCs w:val="20"/>
          <w:rtl w:val="true"/>
        </w:rPr>
        <w:t>، تفصیل الشریعة 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المغنی </w:t>
      </w:r>
      <w:r>
        <w:rPr>
          <w:rFonts w:eastAsia="IRNazanin" w:cs="IRNazanin"/>
          <w:b w:val="false"/>
          <w:bCs w:val="false"/>
          <w:i w:val="false"/>
          <w:iCs w:val="false"/>
          <w:color w:val="333333"/>
          <w:sz w:val="20"/>
          <w:szCs w:val="20"/>
        </w:rPr>
        <w:t>516:7</w:t>
      </w:r>
      <w:r>
        <w:rPr>
          <w:rFonts w:ascii="IRNazanin" w:hAnsi="IRNazanin" w:eastAsia="IRNazanin"/>
          <w:b w:val="false"/>
          <w:b w:val="false"/>
          <w:bCs w:val="false"/>
          <w:i w:val="false"/>
          <w:i w:val="false"/>
          <w:iCs w:val="false"/>
          <w:color w:val="333333"/>
          <w:sz w:val="20"/>
          <w:sz w:val="20"/>
          <w:szCs w:val="20"/>
          <w:rtl w:val="true"/>
        </w:rPr>
        <w:t xml:space="preserve">؛ الکواکب الدرّیة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کصحیح علیّ بن رئاب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علیه السلام عن المرأة الفاجرة یتزوّجها الرجل المسلم؟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 و ما یمنعه و لکن إذا فعل فلیحصن بابه مخافة الولد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334:14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 ذلک من الروایات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الشیعة </w:t>
      </w:r>
      <w:r>
        <w:rPr>
          <w:rFonts w:eastAsia="IRNazanin" w:cs="IRNazanin"/>
          <w:b w:val="false"/>
          <w:bCs w:val="false"/>
          <w:i w:val="false"/>
          <w:iCs w:val="false"/>
          <w:color w:val="333333"/>
          <w:sz w:val="20"/>
          <w:szCs w:val="20"/>
        </w:rPr>
        <w:t>333:14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406:7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1625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335:14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110:24</w:t>
      </w:r>
      <w:r>
        <w:rPr>
          <w:rFonts w:ascii="IRNazanin" w:hAnsi="IRNazanin" w:eastAsia="IRNazanin"/>
          <w:b w:val="false"/>
          <w:b w:val="false"/>
          <w:bCs w:val="false"/>
          <w:i w:val="false"/>
          <w:i w:val="false"/>
          <w:iCs w:val="false"/>
          <w:color w:val="333333"/>
          <w:sz w:val="20"/>
          <w:sz w:val="20"/>
          <w:szCs w:val="20"/>
          <w:rtl w:val="true"/>
        </w:rPr>
        <w:t xml:space="preserve">؛ العروة الوثقی </w:t>
      </w:r>
      <w:r>
        <w:rPr>
          <w:rFonts w:eastAsia="IRNazanin" w:cs="IRNazanin"/>
          <w:b w:val="false"/>
          <w:bCs w:val="false"/>
          <w:i w:val="false"/>
          <w:iCs w:val="false"/>
          <w:color w:val="333333"/>
          <w:sz w:val="20"/>
          <w:szCs w:val="20"/>
        </w:rPr>
        <w:t>799:2</w:t>
      </w:r>
      <w:r>
        <w:rPr>
          <w:rFonts w:ascii="IRNazanin" w:hAnsi="IRNazanin" w:eastAsia="IRNazanin"/>
          <w:b w:val="false"/>
          <w:b w:val="false"/>
          <w:bCs w:val="false"/>
          <w:i w:val="false"/>
          <w:i w:val="false"/>
          <w:iCs w:val="false"/>
          <w:color w:val="333333"/>
          <w:sz w:val="20"/>
          <w:sz w:val="20"/>
          <w:szCs w:val="20"/>
          <w:rtl w:val="true"/>
        </w:rPr>
        <w:t xml:space="preserve">؛ مستمسک العروة الوثقی </w:t>
      </w:r>
      <w:r>
        <w:rPr>
          <w:rFonts w:eastAsia="IRNazanin" w:cs="IRNazanin"/>
          <w:b w:val="false"/>
          <w:bCs w:val="false"/>
          <w:i w:val="false"/>
          <w:iCs w:val="false"/>
          <w:color w:val="333333"/>
          <w:sz w:val="20"/>
          <w:szCs w:val="20"/>
        </w:rPr>
        <w:t>8:14</w:t>
      </w:r>
      <w:r>
        <w:rPr>
          <w:rFonts w:ascii="IRNazanin" w:hAnsi="IRNazanin" w:eastAsia="IRNazanin"/>
          <w:b w:val="false"/>
          <w:b w:val="false"/>
          <w:bCs w:val="false"/>
          <w:i w:val="false"/>
          <w:i w:val="false"/>
          <w:iCs w:val="false"/>
          <w:color w:val="333333"/>
          <w:sz w:val="20"/>
          <w:sz w:val="20"/>
          <w:szCs w:val="20"/>
          <w:rtl w:val="true"/>
        </w:rPr>
        <w:t xml:space="preserve">؛ مستند العروة الوثقی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النکاح؛ مهذّب الأحکام </w:t>
      </w:r>
      <w:r>
        <w:rPr>
          <w:rFonts w:eastAsia="IRNazanin" w:cs="IRNazanin"/>
          <w:b w:val="false"/>
          <w:bCs w:val="false"/>
          <w:i w:val="false"/>
          <w:iCs w:val="false"/>
          <w:color w:val="333333"/>
          <w:sz w:val="20"/>
          <w:szCs w:val="20"/>
        </w:rPr>
        <w:t>18:24</w:t>
      </w:r>
      <w:r>
        <w:rPr>
          <w:rFonts w:ascii="IRNazanin" w:hAnsi="IRNazanin" w:eastAsia="IRNazanin"/>
          <w:b w:val="false"/>
          <w:b w:val="false"/>
          <w:bCs w:val="false"/>
          <w:i w:val="false"/>
          <w:i w:val="false"/>
          <w:iCs w:val="false"/>
          <w:color w:val="333333"/>
          <w:sz w:val="20"/>
          <w:sz w:val="20"/>
          <w:szCs w:val="20"/>
          <w:rtl w:val="true"/>
        </w:rPr>
        <w:t xml:space="preserve">؛ المغنی </w:t>
      </w:r>
      <w:r>
        <w:rPr>
          <w:rFonts w:eastAsia="IRNazanin" w:cs="IRNazanin"/>
          <w:b w:val="false"/>
          <w:bCs w:val="false"/>
          <w:i w:val="false"/>
          <w:iCs w:val="false"/>
          <w:color w:val="333333"/>
          <w:sz w:val="20"/>
          <w:szCs w:val="20"/>
        </w:rPr>
        <w:t>469:7</w:t>
      </w:r>
      <w:r>
        <w:rPr>
          <w:rFonts w:ascii="IRNazanin" w:hAnsi="IRNazanin" w:eastAsia="IRNazanin"/>
          <w:b w:val="false"/>
          <w:b w:val="false"/>
          <w:bCs w:val="false"/>
          <w:i w:val="false"/>
          <w:i w:val="false"/>
          <w:iCs w:val="false"/>
          <w:color w:val="333333"/>
          <w:sz w:val="20"/>
          <w:sz w:val="20"/>
          <w:szCs w:val="20"/>
          <w:rtl w:val="true"/>
        </w:rPr>
        <w:t xml:space="preserve">؛ البیان </w:t>
      </w:r>
      <w:r>
        <w:rPr>
          <w:rFonts w:eastAsia="IRNazanin" w:cs="IRNazanin"/>
          <w:b w:val="false"/>
          <w:bCs w:val="false"/>
          <w:i w:val="false"/>
          <w:iCs w:val="false"/>
          <w:color w:val="333333"/>
          <w:sz w:val="20"/>
          <w:szCs w:val="20"/>
        </w:rPr>
        <w:t>115:9</w:t>
      </w:r>
      <w:r>
        <w:rPr>
          <w:rFonts w:ascii="IRNazanin" w:hAnsi="IRNazanin" w:eastAsia="IRNazanin"/>
          <w:b w:val="false"/>
          <w:b w:val="false"/>
          <w:bCs w:val="false"/>
          <w:i w:val="false"/>
          <w:i w:val="false"/>
          <w:iCs w:val="false"/>
          <w:color w:val="333333"/>
          <w:sz w:val="20"/>
          <w:sz w:val="20"/>
          <w:szCs w:val="20"/>
          <w:rtl w:val="true"/>
        </w:rPr>
        <w:t xml:space="preserve">؛ المهذّب فی فقه الشافعی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406:7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57:14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18:24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799:2</w:t>
      </w:r>
      <w:r>
        <w:rPr>
          <w:rFonts w:ascii="IRNazanin" w:hAnsi="IRNazanin" w:eastAsia="IRNazanin"/>
          <w:b w:val="false"/>
          <w:b w:val="false"/>
          <w:bCs w:val="false"/>
          <w:i w:val="false"/>
          <w:i w:val="false"/>
          <w:iCs w:val="false"/>
          <w:color w:val="333333"/>
          <w:sz w:val="20"/>
          <w:sz w:val="20"/>
          <w:szCs w:val="20"/>
          <w:rtl w:val="true"/>
        </w:rPr>
        <w:t xml:space="preserve">؛ مستمسک العروة الوثقی </w:t>
      </w:r>
      <w:r>
        <w:rPr>
          <w:rFonts w:eastAsia="IRNazanin" w:cs="IRNazanin"/>
          <w:b w:val="false"/>
          <w:bCs w:val="false"/>
          <w:i w:val="false"/>
          <w:iCs w:val="false"/>
          <w:color w:val="333333"/>
          <w:sz w:val="20"/>
          <w:szCs w:val="20"/>
        </w:rPr>
        <w:t>8:14</w:t>
      </w:r>
      <w:r>
        <w:rPr>
          <w:rFonts w:ascii="IRNazanin" w:hAnsi="IRNazanin" w:eastAsia="IRNazanin"/>
          <w:b w:val="false"/>
          <w:b w:val="false"/>
          <w:bCs w:val="false"/>
          <w:i w:val="false"/>
          <w:i w:val="false"/>
          <w:iCs w:val="false"/>
          <w:color w:val="333333"/>
          <w:sz w:val="20"/>
          <w:sz w:val="20"/>
          <w:szCs w:val="20"/>
          <w:rtl w:val="true"/>
        </w:rPr>
        <w:t xml:space="preserve">؛ مستند العروة الوثقی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النکاح؛ مهذّب الأحکام </w:t>
      </w:r>
      <w:r>
        <w:rPr>
          <w:rFonts w:eastAsia="IRNazanin" w:cs="IRNazanin"/>
          <w:b w:val="false"/>
          <w:bCs w:val="false"/>
          <w:i w:val="false"/>
          <w:iCs w:val="false"/>
          <w:color w:val="333333"/>
          <w:sz w:val="20"/>
          <w:szCs w:val="20"/>
        </w:rPr>
        <w:t>18:24</w:t>
      </w:r>
      <w:r>
        <w:rPr>
          <w:rFonts w:ascii="IRNazanin" w:hAnsi="IRNazanin" w:eastAsia="IRNazanin"/>
          <w:b w:val="false"/>
          <w:b w:val="false"/>
          <w:bCs w:val="false"/>
          <w:i w:val="false"/>
          <w:i w:val="false"/>
          <w:iCs w:val="false"/>
          <w:color w:val="333333"/>
          <w:sz w:val="20"/>
          <w:sz w:val="20"/>
          <w:szCs w:val="20"/>
          <w:rtl w:val="true"/>
        </w:rPr>
        <w:t xml:space="preserve">؛ مطالب اولی النهی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غبّ اللحم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المباحة،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الطبعة الحجریة </w:t>
      </w:r>
      <w:r>
        <w:rPr>
          <w:rFonts w:eastAsia="IRNazanin" w:cs="IRNazanin"/>
          <w:b w:val="false"/>
          <w:bCs w:val="false"/>
          <w:i w:val="false"/>
          <w:iCs w:val="false"/>
          <w:color w:val="333333"/>
          <w:sz w:val="20"/>
          <w:szCs w:val="20"/>
        </w:rPr>
        <w:t>569:2</w:t>
      </w:r>
      <w:r>
        <w:rPr>
          <w:rFonts w:ascii="IRNazanin" w:hAnsi="IRNazanin" w:eastAsia="IRNazanin"/>
          <w:b w:val="false"/>
          <w:b w:val="false"/>
          <w:bCs w:val="false"/>
          <w:i w:val="false"/>
          <w:i w:val="false"/>
          <w:iCs w:val="false"/>
          <w:color w:val="333333"/>
          <w:sz w:val="20"/>
          <w:sz w:val="20"/>
          <w:szCs w:val="20"/>
          <w:rtl w:val="true"/>
        </w:rPr>
        <w:t xml:space="preserve">؛ القواعد و الفوائد </w:t>
      </w:r>
      <w:r>
        <w:rPr>
          <w:rFonts w:eastAsia="IRNazanin" w:cs="IRNazanin"/>
          <w:b w:val="false"/>
          <w:bCs w:val="false"/>
          <w:i w:val="false"/>
          <w:iCs w:val="false"/>
          <w:color w:val="333333"/>
          <w:sz w:val="20"/>
          <w:szCs w:val="20"/>
        </w:rPr>
        <w:t>381:1</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العروة الوثقی </w:t>
      </w:r>
      <w:r>
        <w:rPr>
          <w:rFonts w:eastAsia="IRNazanin" w:cs="IRNazanin"/>
          <w:b w:val="false"/>
          <w:bCs w:val="false"/>
          <w:i w:val="false"/>
          <w:iCs w:val="false"/>
          <w:color w:val="333333"/>
          <w:sz w:val="20"/>
          <w:szCs w:val="20"/>
        </w:rPr>
        <w:t>799:2</w:t>
      </w:r>
      <w:r>
        <w:rPr>
          <w:rFonts w:ascii="IRNazanin" w:hAnsi="IRNazanin" w:eastAsia="IRNazanin"/>
          <w:b w:val="false"/>
          <w:b w:val="false"/>
          <w:bCs w:val="false"/>
          <w:i w:val="false"/>
          <w:i w:val="false"/>
          <w:iCs w:val="false"/>
          <w:color w:val="333333"/>
          <w:sz w:val="20"/>
          <w:sz w:val="20"/>
          <w:szCs w:val="20"/>
          <w:rtl w:val="true"/>
        </w:rPr>
        <w:t xml:space="preserve">؛ مستمسک العروة الوثقی </w:t>
      </w:r>
      <w:r>
        <w:rPr>
          <w:rFonts w:eastAsia="IRNazanin" w:cs="IRNazanin"/>
          <w:b w:val="false"/>
          <w:bCs w:val="false"/>
          <w:i w:val="false"/>
          <w:iCs w:val="false"/>
          <w:color w:val="333333"/>
          <w:sz w:val="20"/>
          <w:szCs w:val="20"/>
        </w:rPr>
        <w:t>8:14</w:t>
      </w:r>
      <w:r>
        <w:rPr>
          <w:rFonts w:ascii="IRNazanin" w:hAnsi="IRNazanin" w:eastAsia="IRNazanin"/>
          <w:b w:val="false"/>
          <w:b w:val="false"/>
          <w:bCs w:val="false"/>
          <w:i w:val="false"/>
          <w:i w:val="false"/>
          <w:iCs w:val="false"/>
          <w:color w:val="333333"/>
          <w:sz w:val="20"/>
          <w:sz w:val="20"/>
          <w:szCs w:val="20"/>
          <w:rtl w:val="true"/>
        </w:rPr>
        <w:t xml:space="preserve">؛ مستند العروة الوثقی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النکاح؛ مهذّب الأحکام </w:t>
      </w:r>
      <w:r>
        <w:rPr>
          <w:rFonts w:eastAsia="IRNazanin" w:cs="IRNazanin"/>
          <w:b w:val="false"/>
          <w:bCs w:val="false"/>
          <w:i w:val="false"/>
          <w:iCs w:val="false"/>
          <w:color w:val="333333"/>
          <w:sz w:val="20"/>
          <w:szCs w:val="20"/>
        </w:rPr>
        <w:t>16:24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468:7</w:t>
      </w:r>
      <w:r>
        <w:rPr>
          <w:rFonts w:ascii="IRNazanin" w:hAnsi="IRNazanin" w:eastAsia="IRNazanin"/>
          <w:b w:val="false"/>
          <w:b w:val="false"/>
          <w:bCs w:val="false"/>
          <w:i w:val="false"/>
          <w:i w:val="false"/>
          <w:iCs w:val="false"/>
          <w:color w:val="333333"/>
          <w:sz w:val="20"/>
          <w:sz w:val="20"/>
          <w:szCs w:val="20"/>
          <w:rtl w:val="true"/>
        </w:rPr>
        <w:t xml:space="preserve">؛ روضة الطالبین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فساد فی العقل فهو حُمق من باب تعب، و حمق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المیم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أحمق، و الاُنثی حمقاء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الحماقة اسم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الجمع حمقی و حُمِق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 الحمق</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110:24</w:t>
      </w:r>
      <w:r>
        <w:rPr>
          <w:rFonts w:ascii="IRNazanin" w:hAnsi="IRNazanin" w:eastAsia="IRNazanin"/>
          <w:b w:val="false"/>
          <w:b w:val="false"/>
          <w:bCs w:val="false"/>
          <w:i w:val="false"/>
          <w:i w:val="false"/>
          <w:iCs w:val="false"/>
          <w:color w:val="333333"/>
          <w:sz w:val="20"/>
          <w:sz w:val="20"/>
          <w:szCs w:val="20"/>
          <w:rtl w:val="true"/>
        </w:rPr>
        <w:t xml:space="preserve">؛ العروة الوثقی </w:t>
      </w:r>
      <w:r>
        <w:rPr>
          <w:rFonts w:eastAsia="IRNazanin" w:cs="IRNazanin"/>
          <w:b w:val="false"/>
          <w:bCs w:val="false"/>
          <w:i w:val="false"/>
          <w:iCs w:val="false"/>
          <w:color w:val="333333"/>
          <w:sz w:val="20"/>
          <w:szCs w:val="20"/>
        </w:rPr>
        <w:t>799:2</w:t>
      </w:r>
      <w:r>
        <w:rPr>
          <w:rFonts w:ascii="IRNazanin" w:hAnsi="IRNazanin" w:eastAsia="IRNazanin"/>
          <w:b w:val="false"/>
          <w:b w:val="false"/>
          <w:bCs w:val="false"/>
          <w:i w:val="false"/>
          <w:i w:val="false"/>
          <w:iCs w:val="false"/>
          <w:color w:val="333333"/>
          <w:sz w:val="20"/>
          <w:sz w:val="20"/>
          <w:szCs w:val="20"/>
          <w:rtl w:val="true"/>
        </w:rPr>
        <w:t xml:space="preserve">؛ مستمسک العروة الوثقی </w:t>
      </w:r>
      <w:r>
        <w:rPr>
          <w:rFonts w:eastAsia="IRNazanin" w:cs="IRNazanin"/>
          <w:b w:val="false"/>
          <w:bCs w:val="false"/>
          <w:i w:val="false"/>
          <w:iCs w:val="false"/>
          <w:color w:val="333333"/>
          <w:sz w:val="20"/>
          <w:szCs w:val="20"/>
        </w:rPr>
        <w:t>8:14</w:t>
      </w:r>
      <w:r>
        <w:rPr>
          <w:rFonts w:ascii="IRNazanin" w:hAnsi="IRNazanin" w:eastAsia="IRNazanin"/>
          <w:b w:val="false"/>
          <w:b w:val="false"/>
          <w:bCs w:val="false"/>
          <w:i w:val="false"/>
          <w:i w:val="false"/>
          <w:iCs w:val="false"/>
          <w:color w:val="333333"/>
          <w:sz w:val="20"/>
          <w:sz w:val="20"/>
          <w:szCs w:val="20"/>
          <w:rtl w:val="true"/>
        </w:rPr>
        <w:t xml:space="preserve">؛ مستند العروة الوثقی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النکاح؛ مهذّب الأحکام </w:t>
      </w:r>
      <w:r>
        <w:rPr>
          <w:rFonts w:eastAsia="IRNazanin" w:cs="IRNazanin"/>
          <w:b w:val="false"/>
          <w:bCs w:val="false"/>
          <w:i w:val="false"/>
          <w:iCs w:val="false"/>
          <w:color w:val="333333"/>
          <w:sz w:val="20"/>
          <w:szCs w:val="20"/>
        </w:rPr>
        <w:t>16:24</w:t>
      </w:r>
      <w:r>
        <w:rPr>
          <w:rFonts w:ascii="IRNazanin" w:hAnsi="IRNazanin" w:eastAsia="IRNazanin"/>
          <w:b w:val="false"/>
          <w:b w:val="false"/>
          <w:bCs w:val="false"/>
          <w:i w:val="false"/>
          <w:i w:val="false"/>
          <w:iCs w:val="false"/>
          <w:color w:val="333333"/>
          <w:sz w:val="20"/>
          <w:sz w:val="20"/>
          <w:szCs w:val="20"/>
          <w:rtl w:val="true"/>
        </w:rPr>
        <w:t xml:space="preserve">؛ المغنی </w:t>
      </w:r>
      <w:r>
        <w:rPr>
          <w:rFonts w:eastAsia="IRNazanin" w:cs="IRNazanin"/>
          <w:b w:val="false"/>
          <w:bCs w:val="false"/>
          <w:i w:val="false"/>
          <w:iCs w:val="false"/>
          <w:color w:val="333333"/>
          <w:sz w:val="20"/>
          <w:szCs w:val="20"/>
        </w:rPr>
        <w:t>469:7</w:t>
      </w:r>
      <w:r>
        <w:rPr>
          <w:rFonts w:ascii="IRNazanin" w:hAnsi="IRNazanin" w:eastAsia="IRNazanin"/>
          <w:b w:val="false"/>
          <w:b w:val="false"/>
          <w:bCs w:val="false"/>
          <w:i w:val="false"/>
          <w:i w:val="false"/>
          <w:iCs w:val="false"/>
          <w:color w:val="333333"/>
          <w:sz w:val="20"/>
          <w:sz w:val="20"/>
          <w:szCs w:val="20"/>
          <w:rtl w:val="true"/>
        </w:rPr>
        <w:t xml:space="preserve">؛ مطالب اولی النهی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کراهیة تزویج الحمقاء و المجنونة،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406:7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1622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56:14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و آدابه،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354:5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366:3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1743</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406:7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1623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57:14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801:2</w:t>
      </w:r>
      <w:r>
        <w:rPr>
          <w:rFonts w:ascii="IRNazanin" w:hAnsi="IRNazanin" w:eastAsia="IRNazanin"/>
          <w:b w:val="false"/>
          <w:b w:val="false"/>
          <w:bCs w:val="false"/>
          <w:i w:val="false"/>
          <w:i w:val="false"/>
          <w:iCs w:val="false"/>
          <w:color w:val="333333"/>
          <w:sz w:val="20"/>
          <w:sz w:val="20"/>
          <w:szCs w:val="20"/>
          <w:rtl w:val="true"/>
        </w:rPr>
        <w:t xml:space="preserve">؛ مستمسک العروة الوثقی </w:t>
      </w:r>
      <w:r>
        <w:rPr>
          <w:rFonts w:eastAsia="IRNazanin" w:cs="IRNazanin"/>
          <w:b w:val="false"/>
          <w:bCs w:val="false"/>
          <w:i w:val="false"/>
          <w:iCs w:val="false"/>
          <w:color w:val="333333"/>
          <w:sz w:val="20"/>
          <w:szCs w:val="20"/>
        </w:rPr>
        <w:t>11:14</w:t>
      </w:r>
      <w:r>
        <w:rPr>
          <w:rFonts w:ascii="IRNazanin" w:hAnsi="IRNazanin" w:eastAsia="IRNazanin"/>
          <w:b w:val="false"/>
          <w:b w:val="false"/>
          <w:bCs w:val="false"/>
          <w:i w:val="false"/>
          <w:i w:val="false"/>
          <w:iCs w:val="false"/>
          <w:color w:val="333333"/>
          <w:sz w:val="20"/>
          <w:sz w:val="20"/>
          <w:szCs w:val="20"/>
          <w:rtl w:val="true"/>
        </w:rPr>
        <w:t xml:space="preserve">؛ مستند العروة الوثقی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النکاح؛ مهذّب الأحکام </w:t>
      </w:r>
      <w:r>
        <w:rPr>
          <w:rFonts w:eastAsia="IRNazanin" w:cs="IRNazanin"/>
          <w:b w:val="false"/>
          <w:bCs w:val="false"/>
          <w:i w:val="false"/>
          <w:iCs w:val="false"/>
          <w:color w:val="333333"/>
          <w:sz w:val="20"/>
          <w:szCs w:val="20"/>
        </w:rPr>
        <w:t>27:24</w:t>
      </w:r>
      <w:r>
        <w:rPr>
          <w:rFonts w:ascii="IRNazanin" w:hAnsi="IRNazanin" w:eastAsia="IRNazanin"/>
          <w:b w:val="false"/>
          <w:b w:val="false"/>
          <w:bCs w:val="false"/>
          <w:i w:val="false"/>
          <w:i w:val="false"/>
          <w:iCs w:val="false"/>
          <w:color w:val="333333"/>
          <w:sz w:val="20"/>
          <w:sz w:val="20"/>
          <w:szCs w:val="20"/>
          <w:rtl w:val="true"/>
        </w:rPr>
        <w:t xml:space="preserve">؛ المغنی </w:t>
      </w:r>
      <w:r>
        <w:rPr>
          <w:rFonts w:eastAsia="IRNazanin" w:cs="IRNazanin"/>
          <w:b w:val="false"/>
          <w:bCs w:val="false"/>
          <w:i w:val="false"/>
          <w:iCs w:val="false"/>
          <w:color w:val="333333"/>
          <w:sz w:val="20"/>
          <w:szCs w:val="20"/>
        </w:rPr>
        <w:t>379:9</w:t>
      </w:r>
      <w:r>
        <w:rPr>
          <w:rFonts w:ascii="IRNazanin" w:hAnsi="IRNazanin" w:eastAsia="IRNazanin"/>
          <w:b w:val="false"/>
          <w:b w:val="false"/>
          <w:bCs w:val="false"/>
          <w:i w:val="false"/>
          <w:i w:val="false"/>
          <w:iCs w:val="false"/>
          <w:color w:val="333333"/>
          <w:sz w:val="20"/>
          <w:sz w:val="20"/>
          <w:szCs w:val="20"/>
          <w:rtl w:val="true"/>
        </w:rPr>
        <w:t xml:space="preserve">؛ روضة الطالبین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72:14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301:2</w:t>
      </w:r>
      <w:r>
        <w:rPr>
          <w:rFonts w:ascii="IRNazanin" w:hAnsi="IRNazanin" w:eastAsia="IRNazanin"/>
          <w:b w:val="false"/>
          <w:b w:val="false"/>
          <w:bCs w:val="false"/>
          <w:i w:val="false"/>
          <w:i w:val="false"/>
          <w:iCs w:val="false"/>
          <w:color w:val="333333"/>
          <w:sz w:val="20"/>
          <w:sz w:val="20"/>
          <w:szCs w:val="20"/>
          <w:rtl w:val="true"/>
        </w:rPr>
        <w:t xml:space="preserve">؛ قواعد الأحکام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الحجریة؛ جامع المقاصد </w:t>
      </w:r>
      <w:r>
        <w:rPr>
          <w:rFonts w:eastAsia="IRNazanin" w:cs="IRNazanin"/>
          <w:b w:val="false"/>
          <w:bCs w:val="false"/>
          <w:i w:val="false"/>
          <w:iCs w:val="false"/>
          <w:color w:val="333333"/>
          <w:sz w:val="20"/>
          <w:szCs w:val="20"/>
        </w:rPr>
        <w:t>484:12</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423:7</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104:24</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135:30</w:t>
      </w:r>
      <w:r>
        <w:rPr>
          <w:rFonts w:ascii="IRNazanin" w:hAnsi="IRNazanin" w:eastAsia="IRNazanin"/>
          <w:b w:val="false"/>
          <w:b w:val="false"/>
          <w:bCs w:val="false"/>
          <w:i w:val="false"/>
          <w:i w:val="false"/>
          <w:iCs w:val="false"/>
          <w:color w:val="333333"/>
          <w:sz w:val="20"/>
          <w:sz w:val="20"/>
          <w:szCs w:val="20"/>
          <w:rtl w:val="true"/>
        </w:rPr>
        <w:t xml:space="preserve">؛ العروة الوثقی </w:t>
      </w:r>
      <w:r>
        <w:rPr>
          <w:rFonts w:eastAsia="IRNazanin" w:cs="IRNazanin"/>
          <w:b w:val="false"/>
          <w:bCs w:val="false"/>
          <w:i w:val="false"/>
          <w:iCs w:val="false"/>
          <w:color w:val="333333"/>
          <w:sz w:val="20"/>
          <w:szCs w:val="20"/>
        </w:rPr>
        <w:t>799:2</w:t>
      </w:r>
      <w:r>
        <w:rPr>
          <w:rFonts w:ascii="IRNazanin" w:hAnsi="IRNazanin" w:eastAsia="IRNazanin"/>
          <w:b w:val="false"/>
          <w:b w:val="false"/>
          <w:bCs w:val="false"/>
          <w:i w:val="false"/>
          <w:i w:val="false"/>
          <w:iCs w:val="false"/>
          <w:color w:val="333333"/>
          <w:sz w:val="20"/>
          <w:sz w:val="20"/>
          <w:szCs w:val="20"/>
          <w:rtl w:val="true"/>
        </w:rPr>
        <w:t>؛ وسیلة النجاة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مهذّب الأحکام </w:t>
      </w:r>
      <w:r>
        <w:rPr>
          <w:rFonts w:eastAsia="IRNazanin" w:cs="IRNazanin"/>
          <w:b w:val="false"/>
          <w:bCs w:val="false"/>
          <w:i w:val="false"/>
          <w:iCs w:val="false"/>
          <w:color w:val="333333"/>
          <w:sz w:val="20"/>
          <w:szCs w:val="20"/>
        </w:rPr>
        <w:t>17:24</w:t>
      </w:r>
      <w:r>
        <w:rPr>
          <w:rFonts w:ascii="IRNazanin" w:hAnsi="IRNazanin" w:eastAsia="IRNazanin"/>
          <w:b w:val="false"/>
          <w:b w:val="false"/>
          <w:bCs w:val="false"/>
          <w:i w:val="false"/>
          <w:i w:val="false"/>
          <w:iCs w:val="false"/>
          <w:color w:val="333333"/>
          <w:sz w:val="20"/>
          <w:sz w:val="20"/>
          <w:szCs w:val="20"/>
          <w:rtl w:val="true"/>
        </w:rPr>
        <w:t xml:space="preserve">؛ مستند العروة الوثقی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النکاح</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387:14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447:5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386:14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447:5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386:14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423:7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455:7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1821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387:14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 و نحوها،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387:14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ضرّة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امرأة زوجها، 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 الضرّة</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301:2</w:t>
      </w:r>
      <w:r>
        <w:rPr>
          <w:rFonts w:ascii="IRNazanin" w:hAnsi="IRNazanin" w:eastAsia="IRNazanin"/>
          <w:b w:val="false"/>
          <w:b w:val="false"/>
          <w:bCs w:val="false"/>
          <w:i w:val="false"/>
          <w:i w:val="false"/>
          <w:iCs w:val="false"/>
          <w:color w:val="333333"/>
          <w:sz w:val="20"/>
          <w:sz w:val="20"/>
          <w:szCs w:val="20"/>
          <w:rtl w:val="true"/>
        </w:rPr>
        <w:t xml:space="preserve">؛ قواعد الأحکام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الحجریة؛ جامع المقاصد </w:t>
      </w:r>
      <w:r>
        <w:rPr>
          <w:rFonts w:eastAsia="IRNazanin" w:cs="IRNazanin"/>
          <w:b w:val="false"/>
          <w:bCs w:val="false"/>
          <w:i w:val="false"/>
          <w:iCs w:val="false"/>
          <w:color w:val="333333"/>
          <w:sz w:val="20"/>
          <w:szCs w:val="20"/>
        </w:rPr>
        <w:t>484:12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425:7</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108:24</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138:30</w:t>
      </w:r>
      <w:r>
        <w:rPr>
          <w:rFonts w:ascii="IRNazanin" w:hAnsi="IRNazanin" w:eastAsia="IRNazanin"/>
          <w:b w:val="false"/>
          <w:b w:val="false"/>
          <w:bCs w:val="false"/>
          <w:i w:val="false"/>
          <w:i w:val="false"/>
          <w:iCs w:val="false"/>
          <w:color w:val="333333"/>
          <w:sz w:val="20"/>
          <w:sz w:val="20"/>
          <w:szCs w:val="20"/>
          <w:rtl w:val="true"/>
        </w:rPr>
        <w:t xml:space="preserve">؛ العروة الوثقی </w:t>
      </w:r>
      <w:r>
        <w:rPr>
          <w:rFonts w:eastAsia="IRNazanin" w:cs="IRNazanin"/>
          <w:b w:val="false"/>
          <w:bCs w:val="false"/>
          <w:i w:val="false"/>
          <w:iCs w:val="false"/>
          <w:color w:val="333333"/>
          <w:sz w:val="20"/>
          <w:szCs w:val="20"/>
        </w:rPr>
        <w:t>799:2</w:t>
      </w:r>
      <w:r>
        <w:rPr>
          <w:rFonts w:ascii="IRNazanin" w:hAnsi="IRNazanin" w:eastAsia="IRNazanin"/>
          <w:b w:val="false"/>
          <w:b w:val="false"/>
          <w:bCs w:val="false"/>
          <w:i w:val="false"/>
          <w:i w:val="false"/>
          <w:iCs w:val="false"/>
          <w:color w:val="333333"/>
          <w:sz w:val="20"/>
          <w:sz w:val="20"/>
          <w:szCs w:val="20"/>
          <w:rtl w:val="true"/>
        </w:rPr>
        <w:t xml:space="preserve">؛ مستند العروة الوثقی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النکاح؛ مهذّب الأحکام </w:t>
      </w:r>
      <w:r>
        <w:rPr>
          <w:rFonts w:eastAsia="IRNazanin" w:cs="IRNazanin"/>
          <w:b w:val="false"/>
          <w:bCs w:val="false"/>
          <w:i w:val="false"/>
          <w:iCs w:val="false"/>
          <w:color w:val="333333"/>
          <w:sz w:val="20"/>
          <w:szCs w:val="20"/>
        </w:rPr>
        <w:t>17:24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472:7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389:14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108:24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799:2</w:t>
      </w:r>
      <w:r>
        <w:rPr>
          <w:rFonts w:ascii="IRNazanin" w:hAnsi="IRNazanin" w:eastAsia="IRNazanin"/>
          <w:b w:val="false"/>
          <w:b w:val="false"/>
          <w:bCs w:val="false"/>
          <w:i w:val="false"/>
          <w:i w:val="false"/>
          <w:iCs w:val="false"/>
          <w:color w:val="333333"/>
          <w:sz w:val="20"/>
          <w:sz w:val="20"/>
          <w:szCs w:val="20"/>
          <w:rtl w:val="true"/>
        </w:rPr>
        <w:t xml:space="preserve">؛ مستند العروة الوثقی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النکاح؛ مهذّب الأحکام </w:t>
      </w:r>
      <w:r>
        <w:rPr>
          <w:rFonts w:eastAsia="IRNazanin" w:cs="IRNazanin"/>
          <w:b w:val="false"/>
          <w:bCs w:val="false"/>
          <w:i w:val="false"/>
          <w:iCs w:val="false"/>
          <w:color w:val="333333"/>
          <w:sz w:val="20"/>
          <w:szCs w:val="20"/>
        </w:rPr>
        <w:t>17:24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بالنسب،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472:7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1893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280:14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بالنسب،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280:14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بالنسب،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الطبعة الحجریة</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301:2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484:12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423:7</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553:6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136:30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453:7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365:14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451:7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1808</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363:14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مفاتیح الشرائع </w:t>
      </w:r>
      <w:r>
        <w:rPr>
          <w:rFonts w:eastAsia="IRNazanin" w:cs="IRNazanin"/>
          <w:b w:val="false"/>
          <w:bCs w:val="false"/>
          <w:i w:val="false"/>
          <w:iCs w:val="false"/>
          <w:color w:val="333333"/>
          <w:sz w:val="20"/>
          <w:szCs w:val="20"/>
        </w:rPr>
        <w:t>257:2</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147:23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1867</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390:2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 xml:space="preserve">؛ موسوعة أطراف الحدیث النبوی </w:t>
      </w:r>
      <w:r>
        <w:rPr>
          <w:rFonts w:eastAsia="IRNazanin" w:cs="IRNazanin"/>
          <w:b w:val="false"/>
          <w:bCs w:val="false"/>
          <w:i w:val="false"/>
          <w:iCs w:val="false"/>
          <w:color w:val="333333"/>
          <w:sz w:val="20"/>
          <w:szCs w:val="20"/>
        </w:rPr>
        <w:t>367:7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300:2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العروة الوثقی </w:t>
      </w:r>
      <w:r>
        <w:rPr>
          <w:rFonts w:eastAsia="IRNazanin" w:cs="IRNazanin"/>
          <w:b w:val="false"/>
          <w:bCs w:val="false"/>
          <w:i w:val="false"/>
          <w:iCs w:val="false"/>
          <w:color w:val="333333"/>
          <w:sz w:val="20"/>
          <w:szCs w:val="20"/>
        </w:rPr>
        <w:t>799:2</w:t>
      </w:r>
      <w:r>
        <w:rPr>
          <w:rFonts w:ascii="IRNazanin" w:hAnsi="IRNazanin" w:eastAsia="IRNazanin"/>
          <w:b w:val="false"/>
          <w:b w:val="false"/>
          <w:bCs w:val="false"/>
          <w:i w:val="false"/>
          <w:i w:val="false"/>
          <w:iCs w:val="false"/>
          <w:color w:val="333333"/>
          <w:sz w:val="20"/>
          <w:sz w:val="20"/>
          <w:szCs w:val="20"/>
          <w:rtl w:val="true"/>
        </w:rPr>
        <w:t xml:space="preserve">؛ مستمسک العروة الوثقی </w:t>
      </w:r>
      <w:r>
        <w:rPr>
          <w:rFonts w:eastAsia="IRNazanin" w:cs="IRNazanin"/>
          <w:b w:val="false"/>
          <w:bCs w:val="false"/>
          <w:i w:val="false"/>
          <w:iCs w:val="false"/>
          <w:color w:val="333333"/>
          <w:sz w:val="20"/>
          <w:szCs w:val="20"/>
        </w:rPr>
        <w:t>8:14</w:t>
      </w:r>
      <w:r>
        <w:rPr>
          <w:rFonts w:ascii="IRNazanin" w:hAnsi="IRNazanin" w:eastAsia="IRNazanin"/>
          <w:b w:val="false"/>
          <w:b w:val="false"/>
          <w:bCs w:val="false"/>
          <w:i w:val="false"/>
          <w:i w:val="false"/>
          <w:iCs w:val="false"/>
          <w:color w:val="333333"/>
          <w:sz w:val="20"/>
          <w:sz w:val="20"/>
          <w:szCs w:val="20"/>
          <w:rtl w:val="true"/>
        </w:rPr>
        <w:t xml:space="preserve">؛ مستند العروة الوثقی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النکاح؛ مهذّب الأحکام </w:t>
      </w:r>
      <w:r>
        <w:rPr>
          <w:rFonts w:eastAsia="IRNazanin" w:cs="IRNazanin"/>
          <w:b w:val="false"/>
          <w:bCs w:val="false"/>
          <w:i w:val="false"/>
          <w:iCs w:val="false"/>
          <w:color w:val="333333"/>
          <w:sz w:val="20"/>
          <w:szCs w:val="20"/>
        </w:rPr>
        <w:t>16:24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87:5</w:t>
      </w:r>
      <w:r>
        <w:rPr>
          <w:rFonts w:ascii="IRNazanin" w:hAnsi="IRNazanin" w:eastAsia="IRNazanin"/>
          <w:b w:val="false"/>
          <w:b w:val="false"/>
          <w:bCs w:val="false"/>
          <w:i w:val="false"/>
          <w:i w:val="false"/>
          <w:iCs w:val="false"/>
          <w:color w:val="333333"/>
          <w:sz w:val="20"/>
          <w:sz w:val="20"/>
          <w:szCs w:val="20"/>
          <w:rtl w:val="true"/>
        </w:rPr>
        <w:t xml:space="preserve">؛ مستند الشیعة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52:10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الحجریة؛ العروة الوثقی </w:t>
      </w:r>
      <w:r>
        <w:rPr>
          <w:rFonts w:eastAsia="IRNazanin" w:cs="IRNazanin"/>
          <w:b w:val="false"/>
          <w:bCs w:val="false"/>
          <w:i w:val="false"/>
          <w:iCs w:val="false"/>
          <w:color w:val="333333"/>
          <w:sz w:val="20"/>
          <w:szCs w:val="20"/>
        </w:rPr>
        <w:t>799:2</w:t>
      </w:r>
      <w:r>
        <w:rPr>
          <w:rFonts w:ascii="IRNazanin" w:hAnsi="IRNazanin" w:eastAsia="IRNazanin"/>
          <w:b w:val="false"/>
          <w:b w:val="false"/>
          <w:bCs w:val="false"/>
          <w:i w:val="false"/>
          <w:i w:val="false"/>
          <w:iCs w:val="false"/>
          <w:color w:val="333333"/>
          <w:sz w:val="20"/>
          <w:sz w:val="20"/>
          <w:szCs w:val="20"/>
          <w:rtl w:val="true"/>
        </w:rPr>
        <w:t xml:space="preserve">؛ مستمسک العروة الوثقی </w:t>
      </w:r>
      <w:r>
        <w:rPr>
          <w:rFonts w:eastAsia="IRNazanin" w:cs="IRNazanin"/>
          <w:b w:val="false"/>
          <w:bCs w:val="false"/>
          <w:i w:val="false"/>
          <w:iCs w:val="false"/>
          <w:color w:val="333333"/>
          <w:sz w:val="20"/>
          <w:szCs w:val="20"/>
        </w:rPr>
        <w:t>8:14</w:t>
      </w:r>
      <w:r>
        <w:rPr>
          <w:rFonts w:ascii="IRNazanin" w:hAnsi="IRNazanin" w:eastAsia="IRNazanin"/>
          <w:b w:val="false"/>
          <w:b w:val="false"/>
          <w:bCs w:val="false"/>
          <w:i w:val="false"/>
          <w:i w:val="false"/>
          <w:iCs w:val="false"/>
          <w:color w:val="333333"/>
          <w:sz w:val="20"/>
          <w:sz w:val="20"/>
          <w:szCs w:val="20"/>
          <w:rtl w:val="true"/>
        </w:rPr>
        <w:t xml:space="preserve">؛ مستند العروة الوثقی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النکاح؛ مهذّب الأحکام </w:t>
      </w:r>
      <w:r>
        <w:rPr>
          <w:rFonts w:eastAsia="IRNazanin" w:cs="IRNazanin"/>
          <w:b w:val="false"/>
          <w:bCs w:val="false"/>
          <w:i w:val="false"/>
          <w:iCs w:val="false"/>
          <w:color w:val="333333"/>
          <w:sz w:val="20"/>
          <w:szCs w:val="20"/>
        </w:rPr>
        <w:t>16:24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زمان کون القمر تحت شعاع الشمس، مستند الشیعة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569:2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الحجریة؛ مسالک الأفهام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مستند الشیعة </w:t>
      </w:r>
      <w:r>
        <w:rPr>
          <w:rFonts w:eastAsia="IRNazanin" w:cs="IRNazanin"/>
          <w:b w:val="false"/>
          <w:bCs w:val="false"/>
          <w:i w:val="false"/>
          <w:iCs w:val="false"/>
          <w:color w:val="333333"/>
          <w:sz w:val="20"/>
          <w:szCs w:val="20"/>
        </w:rPr>
        <w:t>18:16</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52:10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110:24</w:t>
      </w:r>
      <w:r>
        <w:rPr>
          <w:rFonts w:ascii="IRNazanin" w:hAnsi="IRNazanin" w:eastAsia="IRNazanin"/>
          <w:b w:val="false"/>
          <w:b w:val="false"/>
          <w:bCs w:val="false"/>
          <w:i w:val="false"/>
          <w:i w:val="false"/>
          <w:iCs w:val="false"/>
          <w:color w:val="333333"/>
          <w:sz w:val="20"/>
          <w:sz w:val="20"/>
          <w:szCs w:val="20"/>
          <w:rtl w:val="true"/>
        </w:rPr>
        <w:t xml:space="preserve">؛ العروة الوثقی </w:t>
      </w:r>
      <w:r>
        <w:rPr>
          <w:rFonts w:eastAsia="IRNazanin" w:cs="IRNazanin"/>
          <w:b w:val="false"/>
          <w:bCs w:val="false"/>
          <w:i w:val="false"/>
          <w:iCs w:val="false"/>
          <w:color w:val="333333"/>
          <w:sz w:val="20"/>
          <w:szCs w:val="20"/>
        </w:rPr>
        <w:t>799:2</w:t>
      </w:r>
      <w:r>
        <w:rPr>
          <w:rFonts w:ascii="IRNazanin" w:hAnsi="IRNazanin" w:eastAsia="IRNazanin"/>
          <w:b w:val="false"/>
          <w:b w:val="false"/>
          <w:bCs w:val="false"/>
          <w:i w:val="false"/>
          <w:i w:val="false"/>
          <w:iCs w:val="false"/>
          <w:color w:val="333333"/>
          <w:sz w:val="20"/>
          <w:sz w:val="20"/>
          <w:szCs w:val="20"/>
          <w:rtl w:val="true"/>
        </w:rPr>
        <w:t xml:space="preserve">؛ مستمسک العروة الوثقی </w:t>
      </w:r>
      <w:r>
        <w:rPr>
          <w:rFonts w:eastAsia="IRNazanin" w:cs="IRNazanin"/>
          <w:b w:val="false"/>
          <w:bCs w:val="false"/>
          <w:i w:val="false"/>
          <w:iCs w:val="false"/>
          <w:color w:val="333333"/>
          <w:sz w:val="20"/>
          <w:szCs w:val="20"/>
        </w:rPr>
        <w:t>8:14</w:t>
      </w:r>
      <w:r>
        <w:rPr>
          <w:rFonts w:ascii="IRNazanin" w:hAnsi="IRNazanin" w:eastAsia="IRNazanin"/>
          <w:b w:val="false"/>
          <w:b w:val="false"/>
          <w:bCs w:val="false"/>
          <w:i w:val="false"/>
          <w:i w:val="false"/>
          <w:iCs w:val="false"/>
          <w:color w:val="333333"/>
          <w:sz w:val="20"/>
          <w:sz w:val="20"/>
          <w:szCs w:val="20"/>
          <w:rtl w:val="true"/>
        </w:rPr>
        <w:t xml:space="preserve">؛ مستند العروة الوثقی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النکاح؛ مهذّب الأحکام </w:t>
      </w:r>
      <w:r>
        <w:rPr>
          <w:rFonts w:eastAsia="IRNazanin" w:cs="IRNazanin"/>
          <w:b w:val="false"/>
          <w:bCs w:val="false"/>
          <w:i w:val="false"/>
          <w:iCs w:val="false"/>
          <w:color w:val="333333"/>
          <w:sz w:val="20"/>
          <w:szCs w:val="20"/>
        </w:rPr>
        <w:t>19:24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563:5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259:3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1228</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54:14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300:2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412:7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140:12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الشرائع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545:6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799:2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الوثقی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النکاح، و عبّر بعض الفقهاء من أهل السنّة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یستحبّ دینه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بالدین الطاعات و الأعمال الصالحات و العفّة عن المحرّمات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347:5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93:7</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545:6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563:5</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259:3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114:30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جامع المدارک </w:t>
      </w:r>
      <w:r>
        <w:rPr>
          <w:rFonts w:eastAsia="IRNazanin" w:cs="IRNazanin"/>
          <w:b w:val="false"/>
          <w:bCs w:val="false"/>
          <w:i w:val="false"/>
          <w:iCs w:val="false"/>
          <w:color w:val="333333"/>
          <w:sz w:val="20"/>
          <w:szCs w:val="20"/>
        </w:rPr>
        <w:t>276:4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300:2</w:t>
      </w:r>
      <w:r>
        <w:rPr>
          <w:rFonts w:ascii="IRNazanin" w:hAnsi="IRNazanin" w:eastAsia="IRNazanin"/>
          <w:b w:val="false"/>
          <w:b w:val="false"/>
          <w:bCs w:val="false"/>
          <w:i w:val="false"/>
          <w:i w:val="false"/>
          <w:iCs w:val="false"/>
          <w:color w:val="333333"/>
          <w:sz w:val="20"/>
          <w:sz w:val="20"/>
          <w:szCs w:val="20"/>
          <w:rtl w:val="true"/>
        </w:rPr>
        <w:t xml:space="preserve">؛ قواعد الأحکام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412:7</w:t>
      </w:r>
      <w:r>
        <w:rPr>
          <w:rFonts w:ascii="IRNazanin" w:hAnsi="IRNazanin" w:eastAsia="IRNazanin"/>
          <w:b w:val="false"/>
          <w:b w:val="false"/>
          <w:bCs w:val="false"/>
          <w:i w:val="false"/>
          <w:i w:val="false"/>
          <w:iCs w:val="false"/>
          <w:color w:val="333333"/>
          <w:sz w:val="20"/>
          <w:sz w:val="20"/>
          <w:szCs w:val="20"/>
          <w:rtl w:val="true"/>
        </w:rPr>
        <w:t xml:space="preserve">؛ مفاتیح الشرائع </w:t>
      </w:r>
      <w:r>
        <w:rPr>
          <w:rFonts w:eastAsia="IRNazanin" w:cs="IRNazanin"/>
          <w:b w:val="false"/>
          <w:bCs w:val="false"/>
          <w:i w:val="false"/>
          <w:iCs w:val="false"/>
          <w:color w:val="333333"/>
          <w:sz w:val="20"/>
          <w:szCs w:val="20"/>
        </w:rPr>
        <w:t>256:2</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115:30</w:t>
      </w:r>
      <w:r>
        <w:rPr>
          <w:rFonts w:ascii="IRNazanin" w:hAnsi="IRNazanin" w:eastAsia="IRNazanin"/>
          <w:b w:val="false"/>
          <w:b w:val="false"/>
          <w:bCs w:val="false"/>
          <w:i w:val="false"/>
          <w:i w:val="false"/>
          <w:iCs w:val="false"/>
          <w:color w:val="333333"/>
          <w:sz w:val="20"/>
          <w:sz w:val="20"/>
          <w:szCs w:val="20"/>
          <w:rtl w:val="true"/>
        </w:rPr>
        <w:t xml:space="preserve">؛ جامع المدارک </w:t>
      </w:r>
      <w:r>
        <w:rPr>
          <w:rFonts w:eastAsia="IRNazanin" w:cs="IRNazanin"/>
          <w:b w:val="false"/>
          <w:bCs w:val="false"/>
          <w:i w:val="false"/>
          <w:iCs w:val="false"/>
          <w:color w:val="333333"/>
          <w:sz w:val="20"/>
          <w:szCs w:val="20"/>
        </w:rPr>
        <w:t>277:4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398:7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1589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347:5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398:7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1590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53:14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398:7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1591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53:14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115:30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335:14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 و نحوها،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335:14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 و نحوها،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الزانی و الزانیة،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256:3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1217</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406:7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1625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335:14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یحرم بالمصاهرة</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300:2</w:t>
      </w:r>
      <w:r>
        <w:rPr>
          <w:rFonts w:ascii="IRNazanin" w:hAnsi="IRNazanin" w:eastAsia="IRNazanin"/>
          <w:b w:val="false"/>
          <w:b w:val="false"/>
          <w:bCs w:val="false"/>
          <w:i w:val="false"/>
          <w:i w:val="false"/>
          <w:iCs w:val="false"/>
          <w:color w:val="333333"/>
          <w:sz w:val="20"/>
          <w:sz w:val="20"/>
          <w:szCs w:val="20"/>
          <w:rtl w:val="true"/>
        </w:rPr>
        <w:t>؛ 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403:7</w:t>
      </w:r>
      <w:r>
        <w:rPr>
          <w:rFonts w:ascii="IRNazanin" w:hAnsi="IRNazanin" w:eastAsia="IRNazanin"/>
          <w:b w:val="false"/>
          <w:b w:val="false"/>
          <w:bCs w:val="false"/>
          <w:i w:val="false"/>
          <w:i w:val="false"/>
          <w:iCs w:val="false"/>
          <w:color w:val="333333"/>
          <w:sz w:val="20"/>
          <w:sz w:val="20"/>
          <w:szCs w:val="20"/>
          <w:rtl w:val="true"/>
        </w:rPr>
        <w:t xml:space="preserve">؛ مفاتیح الشرائع </w:t>
      </w:r>
      <w:r>
        <w:rPr>
          <w:rFonts w:eastAsia="IRNazanin" w:cs="IRNazanin"/>
          <w:b w:val="false"/>
          <w:bCs w:val="false"/>
          <w:i w:val="false"/>
          <w:iCs w:val="false"/>
          <w:color w:val="333333"/>
          <w:sz w:val="20"/>
          <w:szCs w:val="20"/>
        </w:rPr>
        <w:t>256:2</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83:7</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206:30</w:t>
      </w:r>
      <w:r>
        <w:rPr>
          <w:rFonts w:ascii="IRNazanin" w:hAnsi="IRNazanin" w:eastAsia="IRNazanin"/>
          <w:b w:val="false"/>
          <w:b w:val="false"/>
          <w:bCs w:val="false"/>
          <w:i w:val="false"/>
          <w:i w:val="false"/>
          <w:iCs w:val="false"/>
          <w:color w:val="333333"/>
          <w:sz w:val="20"/>
          <w:sz w:val="20"/>
          <w:szCs w:val="20"/>
          <w:rtl w:val="true"/>
        </w:rPr>
        <w:t>؛ تفصیل الشریعة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کتاب النکاح</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128:12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536:6</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206:30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178:4</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271:4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557:2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131:12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533:6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557:2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397:7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349:5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1226</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304:7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350:5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424:14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بالکفر،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349:5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95:30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الاقتباس من مسالک الأفهام </w:t>
      </w:r>
      <w:r>
        <w:rPr>
          <w:rFonts w:eastAsia="IRNazanin" w:cs="IRNazanin"/>
          <w:b w:val="false"/>
          <w:bCs w:val="false"/>
          <w:i w:val="false"/>
          <w:iCs w:val="false"/>
          <w:color w:val="333333"/>
          <w:sz w:val="20"/>
          <w:szCs w:val="20"/>
        </w:rPr>
        <w:t>402:7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83:7</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95:30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403:7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الشرائع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115:30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400:7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536:6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302:3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1448</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433:14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بالکفر و نحوه،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303:7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1265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427:14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بالکفر و نحوه،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1263/303:7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256:2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الخنثی الذی له فرج الرجل و فرج المرأة، و الجمع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خناث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کتاب و خناثی مثل حبلی و حبالی و اسم الفاعل، و مخنّث بالکسر و اسم المفعول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111:24</w:t>
      </w:r>
      <w:r>
        <w:rPr>
          <w:rFonts w:ascii="IRNazanin" w:hAnsi="IRNazanin" w:eastAsia="IRNazanin"/>
          <w:b w:val="false"/>
          <w:b w:val="false"/>
          <w:bCs w:val="false"/>
          <w:i w:val="false"/>
          <w:i w:val="false"/>
          <w:iCs w:val="false"/>
          <w:color w:val="333333"/>
          <w:sz w:val="20"/>
          <w:sz w:val="20"/>
          <w:szCs w:val="20"/>
          <w:rtl w:val="true"/>
        </w:rPr>
        <w:t xml:space="preserve">؛ العروة الوثقی </w:t>
      </w:r>
      <w:r>
        <w:rPr>
          <w:rFonts w:eastAsia="IRNazanin" w:cs="IRNazanin"/>
          <w:b w:val="false"/>
          <w:bCs w:val="false"/>
          <w:i w:val="false"/>
          <w:iCs w:val="false"/>
          <w:color w:val="333333"/>
          <w:sz w:val="20"/>
          <w:szCs w:val="20"/>
        </w:rPr>
        <w:t>799:2</w:t>
      </w:r>
      <w:r>
        <w:rPr>
          <w:rFonts w:ascii="IRNazanin" w:hAnsi="IRNazanin" w:eastAsia="IRNazanin"/>
          <w:b w:val="false"/>
          <w:b w:val="false"/>
          <w:bCs w:val="false"/>
          <w:i w:val="false"/>
          <w:i w:val="false"/>
          <w:iCs w:val="false"/>
          <w:color w:val="333333"/>
          <w:sz w:val="20"/>
          <w:sz w:val="20"/>
          <w:szCs w:val="20"/>
          <w:rtl w:val="true"/>
        </w:rPr>
        <w:t xml:space="preserve">؛ مهذّب الأحکام </w:t>
      </w:r>
      <w:r>
        <w:rPr>
          <w:rFonts w:eastAsia="IRNazanin" w:cs="IRNazanin"/>
          <w:b w:val="false"/>
          <w:bCs w:val="false"/>
          <w:i w:val="false"/>
          <w:iCs w:val="false"/>
          <w:color w:val="333333"/>
          <w:sz w:val="20"/>
          <w:szCs w:val="20"/>
        </w:rPr>
        <w:t>19:24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286:10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54:14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قوله تعالی فی 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تَنکِحُوا مَا نَکَحَ آبَاؤُکُمْ مِنْ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حُرِّمَتْ عَلَیْکُمْ أُمَّهَاتُکُمْ وَ بَنَاتُکُمْ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آخر الآیة</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مصطلح فقهی یعنی مقاربة الرجل المرأة و مجامعتها</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367:2</w:t>
      </w:r>
      <w:r>
        <w:rPr>
          <w:rFonts w:ascii="IRNazanin" w:hAnsi="IRNazanin" w:eastAsia="IRNazanin"/>
          <w:b w:val="false"/>
          <w:b w:val="false"/>
          <w:bCs w:val="false"/>
          <w:i w:val="false"/>
          <w:i w:val="false"/>
          <w:iCs w:val="false"/>
          <w:color w:val="333333"/>
          <w:sz w:val="20"/>
          <w:sz w:val="20"/>
          <w:szCs w:val="20"/>
          <w:rtl w:val="true"/>
        </w:rPr>
        <w:t xml:space="preserve">؛ قواعد الأحکام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129:23</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45:29</w:t>
      </w:r>
      <w:r>
        <w:rPr>
          <w:rFonts w:ascii="IRNazanin" w:hAnsi="IRNazanin" w:eastAsia="IRNazanin"/>
          <w:b w:val="false"/>
          <w:b w:val="false"/>
          <w:bCs w:val="false"/>
          <w:i w:val="false"/>
          <w:i w:val="false"/>
          <w:iCs w:val="false"/>
          <w:color w:val="333333"/>
          <w:sz w:val="20"/>
          <w:sz w:val="20"/>
          <w:szCs w:val="20"/>
          <w:rtl w:val="true"/>
        </w:rPr>
        <w:t xml:space="preserve">؛ العروة الوثقی </w:t>
      </w:r>
      <w:r>
        <w:rPr>
          <w:rFonts w:eastAsia="IRNazanin" w:cs="IRNazanin"/>
          <w:b w:val="false"/>
          <w:bCs w:val="false"/>
          <w:i w:val="false"/>
          <w:iCs w:val="false"/>
          <w:color w:val="333333"/>
          <w:sz w:val="20"/>
          <w:szCs w:val="20"/>
        </w:rPr>
        <w:t>800:2</w:t>
      </w:r>
      <w:r>
        <w:rPr>
          <w:rFonts w:ascii="IRNazanin" w:hAnsi="IRNazanin" w:eastAsia="IRNazanin"/>
          <w:b w:val="false"/>
          <w:b w:val="false"/>
          <w:bCs w:val="false"/>
          <w:i w:val="false"/>
          <w:i w:val="false"/>
          <w:iCs w:val="false"/>
          <w:color w:val="333333"/>
          <w:sz w:val="20"/>
          <w:sz w:val="20"/>
          <w:szCs w:val="20"/>
          <w:rtl w:val="true"/>
        </w:rPr>
        <w:t xml:space="preserve">؛ 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503:5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503:5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856:2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500:5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267:2</w:t>
      </w:r>
      <w:r>
        <w:rPr>
          <w:rFonts w:ascii="IRNazanin" w:hAnsi="IRNazanin" w:eastAsia="IRNazanin"/>
          <w:b w:val="false"/>
          <w:b w:val="false"/>
          <w:bCs w:val="false"/>
          <w:i w:val="false"/>
          <w:i w:val="false"/>
          <w:iCs w:val="false"/>
          <w:color w:val="333333"/>
          <w:sz w:val="20"/>
          <w:sz w:val="20"/>
          <w:szCs w:val="20"/>
          <w:rtl w:val="true"/>
        </w:rPr>
        <w:t xml:space="preserve">؛ قواعد الأحکام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نهایة المرام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43:29</w:t>
      </w:r>
      <w:r>
        <w:rPr>
          <w:rFonts w:ascii="IRNazanin" w:hAnsi="IRNazanin" w:eastAsia="IRNazanin"/>
          <w:b w:val="false"/>
          <w:b w:val="false"/>
          <w:bCs w:val="false"/>
          <w:i w:val="false"/>
          <w:i w:val="false"/>
          <w:iCs w:val="false"/>
          <w:color w:val="333333"/>
          <w:sz w:val="20"/>
          <w:sz w:val="20"/>
          <w:szCs w:val="20"/>
          <w:rtl w:val="true"/>
        </w:rPr>
        <w:t xml:space="preserve">؛ مستمسک العروة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قطعة من ح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801:2</w:t>
      </w:r>
      <w:r>
        <w:rPr>
          <w:rFonts w:ascii="IRNazanin" w:hAnsi="IRNazanin" w:eastAsia="IRNazanin"/>
          <w:b w:val="false"/>
          <w:b w:val="false"/>
          <w:bCs w:val="false"/>
          <w:i w:val="false"/>
          <w:i w:val="false"/>
          <w:iCs w:val="false"/>
          <w:color w:val="333333"/>
          <w:sz w:val="20"/>
          <w:sz w:val="20"/>
          <w:szCs w:val="20"/>
          <w:rtl w:val="true"/>
        </w:rPr>
        <w:t xml:space="preserve">؛ مستمسک العروة الوثقی </w:t>
      </w:r>
      <w:r>
        <w:rPr>
          <w:rFonts w:eastAsia="IRNazanin" w:cs="IRNazanin"/>
          <w:b w:val="false"/>
          <w:bCs w:val="false"/>
          <w:i w:val="false"/>
          <w:iCs w:val="false"/>
          <w:color w:val="333333"/>
          <w:sz w:val="20"/>
          <w:szCs w:val="20"/>
        </w:rPr>
        <w:t>11:14</w:t>
      </w:r>
      <w:r>
        <w:rPr>
          <w:rFonts w:ascii="IRNazanin" w:hAnsi="IRNazanin" w:eastAsia="IRNazanin"/>
          <w:b w:val="false"/>
          <w:b w:val="false"/>
          <w:bCs w:val="false"/>
          <w:i w:val="false"/>
          <w:i w:val="false"/>
          <w:iCs w:val="false"/>
          <w:color w:val="333333"/>
          <w:sz w:val="20"/>
          <w:sz w:val="20"/>
          <w:szCs w:val="20"/>
          <w:rtl w:val="true"/>
        </w:rPr>
        <w:t xml:space="preserve">؛ 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باب النوادر قطعة من ح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801:2</w:t>
      </w:r>
      <w:r>
        <w:rPr>
          <w:rFonts w:ascii="IRNazanin" w:hAnsi="IRNazanin" w:eastAsia="IRNazanin"/>
          <w:b w:val="false"/>
          <w:b w:val="false"/>
          <w:bCs w:val="false"/>
          <w:i w:val="false"/>
          <w:i w:val="false"/>
          <w:iCs w:val="false"/>
          <w:color w:val="333333"/>
          <w:sz w:val="20"/>
          <w:sz w:val="20"/>
          <w:szCs w:val="20"/>
          <w:rtl w:val="true"/>
        </w:rPr>
        <w:t xml:space="preserve">؛ مستمسک العروة </w:t>
      </w:r>
      <w:r>
        <w:rPr>
          <w:rFonts w:eastAsia="IRNazanin" w:cs="IRNazanin"/>
          <w:b w:val="false"/>
          <w:bCs w:val="false"/>
          <w:i w:val="false"/>
          <w:iCs w:val="false"/>
          <w:color w:val="333333"/>
          <w:sz w:val="20"/>
          <w:szCs w:val="20"/>
        </w:rPr>
        <w:t>12:14</w:t>
      </w:r>
      <w:r>
        <w:rPr>
          <w:rFonts w:ascii="IRNazanin" w:hAnsi="IRNazanin" w:eastAsia="IRNazanin"/>
          <w:b w:val="false"/>
          <w:b w:val="false"/>
          <w:bCs w:val="false"/>
          <w:i w:val="false"/>
          <w:i w:val="false"/>
          <w:iCs w:val="false"/>
          <w:color w:val="333333"/>
          <w:sz w:val="20"/>
          <w:sz w:val="20"/>
          <w:szCs w:val="20"/>
          <w:rtl w:val="true"/>
        </w:rPr>
        <w:t xml:space="preserve">؛ مستند العروة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النکاح؛ مهذّب الأحکام </w:t>
      </w:r>
      <w:r>
        <w:rPr>
          <w:rFonts w:eastAsia="IRNazanin" w:cs="IRNazanin"/>
          <w:b w:val="false"/>
          <w:bCs w:val="false"/>
          <w:i w:val="false"/>
          <w:iCs w:val="false"/>
          <w:color w:val="333333"/>
          <w:sz w:val="20"/>
          <w:szCs w:val="20"/>
        </w:rPr>
        <w:t>29:24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ح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1648</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82:14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130:23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83:14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1732</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للتوسعة انظر شرائع الإسلام </w:t>
      </w:r>
      <w:r>
        <w:rPr>
          <w:rFonts w:eastAsia="IRNazanin" w:cs="IRNazanin"/>
          <w:b w:val="false"/>
          <w:bCs w:val="false"/>
          <w:i w:val="false"/>
          <w:iCs w:val="false"/>
          <w:color w:val="333333"/>
          <w:sz w:val="20"/>
          <w:szCs w:val="20"/>
        </w:rPr>
        <w:t>268:2</w:t>
      </w:r>
      <w:r>
        <w:rPr>
          <w:rFonts w:ascii="IRNazanin" w:hAnsi="IRNazanin" w:eastAsia="IRNazanin"/>
          <w:b w:val="false"/>
          <w:b w:val="false"/>
          <w:bCs w:val="false"/>
          <w:i w:val="false"/>
          <w:i w:val="false"/>
          <w:iCs w:val="false"/>
          <w:color w:val="333333"/>
          <w:sz w:val="20"/>
          <w:sz w:val="20"/>
          <w:szCs w:val="20"/>
          <w:rtl w:val="true"/>
        </w:rPr>
        <w:t xml:space="preserve">؛ قواعد الأحکام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355:6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31:23</w:t>
      </w:r>
      <w:r>
        <w:rPr>
          <w:rFonts w:ascii="IRNazanin" w:hAnsi="IRNazanin" w:eastAsia="IRNazanin"/>
          <w:b w:val="false"/>
          <w:b w:val="false"/>
          <w:bCs w:val="false"/>
          <w:i w:val="false"/>
          <w:i w:val="false"/>
          <w:iCs w:val="false"/>
          <w:color w:val="333333"/>
          <w:sz w:val="20"/>
          <w:sz w:val="20"/>
          <w:szCs w:val="20"/>
          <w:rtl w:val="true"/>
        </w:rPr>
        <w:t xml:space="preserve">؛ العروة الوثقی </w:t>
      </w:r>
      <w:r>
        <w:rPr>
          <w:rFonts w:eastAsia="IRNazanin" w:cs="IRNazanin"/>
          <w:b w:val="false"/>
          <w:bCs w:val="false"/>
          <w:i w:val="false"/>
          <w:iCs w:val="false"/>
          <w:color w:val="333333"/>
          <w:sz w:val="20"/>
          <w:szCs w:val="20"/>
        </w:rPr>
        <w:t>800:2</w:t>
      </w:r>
      <w:r>
        <w:rPr>
          <w:rFonts w:ascii="IRNazanin" w:hAnsi="IRNazanin" w:eastAsia="IRNazanin"/>
          <w:b w:val="false"/>
          <w:b w:val="false"/>
          <w:bCs w:val="false"/>
          <w:i w:val="false"/>
          <w:i w:val="false"/>
          <w:iCs w:val="false"/>
          <w:color w:val="333333"/>
          <w:sz w:val="20"/>
          <w:sz w:val="20"/>
          <w:szCs w:val="20"/>
          <w:rtl w:val="true"/>
        </w:rPr>
        <w:t xml:space="preserve">؛ 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الفقیه، و فی التهذیب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ینکسف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الوسائل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انکسف</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1207</w:t>
      </w:r>
      <w:r>
        <w:rPr>
          <w:rFonts w:ascii="IRNazanin" w:hAnsi="IRNazanin" w:eastAsia="IRNazanin"/>
          <w:b w:val="false"/>
          <w:b w:val="false"/>
          <w:bCs w:val="false"/>
          <w:i w:val="false"/>
          <w:i w:val="false"/>
          <w:iCs w:val="false"/>
          <w:color w:val="333333"/>
          <w:sz w:val="20"/>
          <w:sz w:val="20"/>
          <w:szCs w:val="20"/>
          <w:rtl w:val="true"/>
        </w:rPr>
        <w:t xml:space="preserve">؛ تهذیب الاحکام </w:t>
      </w:r>
      <w:r>
        <w:rPr>
          <w:rFonts w:eastAsia="IRNazanin" w:cs="IRNazanin"/>
          <w:b w:val="false"/>
          <w:bCs w:val="false"/>
          <w:i w:val="false"/>
          <w:iCs w:val="false"/>
          <w:color w:val="333333"/>
          <w:sz w:val="20"/>
          <w:szCs w:val="20"/>
        </w:rPr>
        <w:t>369:7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89:14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89:14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132:23</w:t>
      </w:r>
      <w:r>
        <w:rPr>
          <w:rFonts w:ascii="IRNazanin" w:hAnsi="IRNazanin" w:eastAsia="IRNazanin"/>
          <w:b w:val="false"/>
          <w:b w:val="false"/>
          <w:bCs w:val="false"/>
          <w:i w:val="false"/>
          <w:i w:val="false"/>
          <w:iCs w:val="false"/>
          <w:color w:val="333333"/>
          <w:sz w:val="20"/>
          <w:sz w:val="20"/>
          <w:szCs w:val="20"/>
          <w:rtl w:val="true"/>
        </w:rPr>
        <w:t>، 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1208</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91:14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المرام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132:23</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55:29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1206</w:t>
      </w:r>
      <w:r>
        <w:rPr>
          <w:rFonts w:ascii="IRNazanin" w:hAnsi="IRNazanin" w:eastAsia="IRNazanin"/>
          <w:b w:val="false"/>
          <w:b w:val="false"/>
          <w:bCs w:val="false"/>
          <w:i w:val="false"/>
          <w:i w:val="false"/>
          <w:iCs w:val="false"/>
          <w:color w:val="333333"/>
          <w:sz w:val="20"/>
          <w:sz w:val="20"/>
          <w:szCs w:val="20"/>
          <w:rtl w:val="true"/>
        </w:rPr>
        <w:t>، 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90:14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1712</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90:14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268:2</w:t>
      </w:r>
      <w:r>
        <w:rPr>
          <w:rFonts w:ascii="IRNazanin" w:hAnsi="IRNazanin" w:eastAsia="IRNazanin"/>
          <w:b w:val="false"/>
          <w:b w:val="false"/>
          <w:bCs w:val="false"/>
          <w:i w:val="false"/>
          <w:i w:val="false"/>
          <w:iCs w:val="false"/>
          <w:color w:val="333333"/>
          <w:sz w:val="20"/>
          <w:sz w:val="20"/>
          <w:szCs w:val="20"/>
          <w:rtl w:val="true"/>
        </w:rPr>
        <w:t xml:space="preserve">؛ قواعد الأحکام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نهایة المرام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357:6</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57:29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412:7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57:29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458:10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14427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268:2</w:t>
      </w:r>
      <w:r>
        <w:rPr>
          <w:rFonts w:ascii="IRNazanin" w:hAnsi="IRNazanin" w:eastAsia="IRNazanin"/>
          <w:b w:val="false"/>
          <w:b w:val="false"/>
          <w:bCs w:val="false"/>
          <w:i w:val="false"/>
          <w:i w:val="false"/>
          <w:iCs w:val="false"/>
          <w:color w:val="333333"/>
          <w:sz w:val="20"/>
          <w:sz w:val="20"/>
          <w:szCs w:val="20"/>
          <w:rtl w:val="true"/>
        </w:rPr>
        <w:t xml:space="preserve">؛ قواعد الأحکام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نهایة المرام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مستند الشیعة </w:t>
      </w:r>
      <w:r>
        <w:rPr>
          <w:rFonts w:eastAsia="IRNazanin" w:cs="IRNazanin"/>
          <w:b w:val="false"/>
          <w:bCs w:val="false"/>
          <w:i w:val="false"/>
          <w:iCs w:val="false"/>
          <w:color w:val="333333"/>
          <w:sz w:val="20"/>
          <w:szCs w:val="20"/>
        </w:rPr>
        <w:t>22:16</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357:6</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137:23</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57:29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1646/412:7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268:2</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58:29</w:t>
      </w:r>
      <w:r>
        <w:rPr>
          <w:rFonts w:ascii="IRNazanin" w:hAnsi="IRNazanin" w:eastAsia="IRNazanin"/>
          <w:b w:val="false"/>
          <w:b w:val="false"/>
          <w:bCs w:val="false"/>
          <w:i w:val="false"/>
          <w:i w:val="false"/>
          <w:iCs w:val="false"/>
          <w:color w:val="333333"/>
          <w:sz w:val="20"/>
          <w:sz w:val="20"/>
          <w:szCs w:val="20"/>
          <w:rtl w:val="true"/>
        </w:rPr>
        <w:t xml:space="preserve">؛ العروة الوثقی </w:t>
      </w:r>
      <w:r>
        <w:rPr>
          <w:rFonts w:eastAsia="IRNazanin" w:cs="IRNazanin"/>
          <w:b w:val="false"/>
          <w:bCs w:val="false"/>
          <w:i w:val="false"/>
          <w:iCs w:val="false"/>
          <w:color w:val="333333"/>
          <w:sz w:val="20"/>
          <w:szCs w:val="20"/>
        </w:rPr>
        <w:t>801:2</w:t>
      </w:r>
      <w:r>
        <w:rPr>
          <w:rFonts w:ascii="IRNazanin" w:hAnsi="IRNazanin" w:eastAsia="IRNazanin"/>
          <w:b w:val="false"/>
          <w:b w:val="false"/>
          <w:bCs w:val="false"/>
          <w:i w:val="false"/>
          <w:i w:val="false"/>
          <w:iCs w:val="false"/>
          <w:color w:val="333333"/>
          <w:sz w:val="20"/>
          <w:sz w:val="20"/>
          <w:szCs w:val="20"/>
          <w:rtl w:val="true"/>
        </w:rPr>
        <w:t xml:space="preserve">؛ مستمسک العروة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95:14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1/499:5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94:14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النکاح</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268:2</w:t>
      </w:r>
      <w:r>
        <w:rPr>
          <w:rFonts w:ascii="IRNazanin" w:hAnsi="IRNazanin" w:eastAsia="IRNazanin"/>
          <w:b w:val="false"/>
          <w:b w:val="false"/>
          <w:bCs w:val="false"/>
          <w:i w:val="false"/>
          <w:i w:val="false"/>
          <w:iCs w:val="false"/>
          <w:color w:val="333333"/>
          <w:sz w:val="20"/>
          <w:sz w:val="20"/>
          <w:szCs w:val="20"/>
          <w:rtl w:val="true"/>
        </w:rPr>
        <w:t xml:space="preserve">؛ قواعد الأحکام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نهایة المرام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357:6</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60:29</w:t>
      </w:r>
      <w:r>
        <w:rPr>
          <w:rFonts w:ascii="IRNazanin" w:hAnsi="IRNazanin" w:eastAsia="IRNazanin"/>
          <w:b w:val="false"/>
          <w:b w:val="false"/>
          <w:bCs w:val="false"/>
          <w:i w:val="false"/>
          <w:i w:val="false"/>
          <w:iCs w:val="false"/>
          <w:color w:val="333333"/>
          <w:sz w:val="20"/>
          <w:sz w:val="20"/>
          <w:szCs w:val="20"/>
          <w:rtl w:val="true"/>
        </w:rPr>
        <w:t xml:space="preserve">؛ العروة الوثقی </w:t>
      </w:r>
      <w:r>
        <w:rPr>
          <w:rFonts w:eastAsia="IRNazanin" w:cs="IRNazanin"/>
          <w:b w:val="false"/>
          <w:bCs w:val="false"/>
          <w:i w:val="false"/>
          <w:iCs w:val="false"/>
          <w:color w:val="333333"/>
          <w:sz w:val="20"/>
          <w:szCs w:val="20"/>
        </w:rPr>
        <w:t>801:2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98:14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المرام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139:23</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60:29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413:7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86:14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5762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87:14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87:14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268:2</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نهایة المرام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139:23</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359:6</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59:29</w:t>
      </w:r>
      <w:r>
        <w:rPr>
          <w:rFonts w:ascii="IRNazanin" w:hAnsi="IRNazanin" w:eastAsia="IRNazanin"/>
          <w:b w:val="false"/>
          <w:b w:val="false"/>
          <w:bCs w:val="false"/>
          <w:i w:val="false"/>
          <w:i w:val="false"/>
          <w:iCs w:val="false"/>
          <w:color w:val="333333"/>
          <w:sz w:val="20"/>
          <w:sz w:val="20"/>
          <w:szCs w:val="20"/>
          <w:rtl w:val="true"/>
        </w:rPr>
        <w:t xml:space="preserve">؛ العروة الوثقی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الجوّال و الجوّالة و الجوّاب بمعنی کثیر الاسفار،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جَوبَ</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126:23</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60:29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25:24</w:t>
      </w:r>
      <w:r>
        <w:rPr>
          <w:rFonts w:ascii="IRNazanin" w:hAnsi="IRNazanin" w:eastAsia="IRNazanin"/>
          <w:b w:val="false"/>
          <w:b w:val="false"/>
          <w:bCs w:val="false"/>
          <w:i w:val="false"/>
          <w:i w:val="false"/>
          <w:iCs w:val="false"/>
          <w:color w:val="333333"/>
          <w:sz w:val="20"/>
          <w:sz w:val="20"/>
          <w:szCs w:val="20"/>
          <w:rtl w:val="true"/>
        </w:rPr>
        <w:t xml:space="preserve">؛ العروة الوثقی </w:t>
      </w:r>
      <w:r>
        <w:rPr>
          <w:rFonts w:eastAsia="IRNazanin" w:cs="IRNazanin"/>
          <w:b w:val="false"/>
          <w:bCs w:val="false"/>
          <w:i w:val="false"/>
          <w:iCs w:val="false"/>
          <w:color w:val="333333"/>
          <w:sz w:val="20"/>
          <w:szCs w:val="20"/>
        </w:rPr>
        <w:t>801:2</w:t>
      </w:r>
      <w:r>
        <w:rPr>
          <w:rFonts w:ascii="IRNazanin" w:hAnsi="IRNazanin" w:eastAsia="IRNazanin"/>
          <w:b w:val="false"/>
          <w:b w:val="false"/>
          <w:bCs w:val="false"/>
          <w:i w:val="false"/>
          <w:i w:val="false"/>
          <w:iCs w:val="false"/>
          <w:color w:val="333333"/>
          <w:sz w:val="20"/>
          <w:sz w:val="20"/>
          <w:szCs w:val="20"/>
          <w:rtl w:val="true"/>
        </w:rPr>
        <w:t xml:space="preserve">؛ مستمسک العروة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1712</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734:22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النکاح، أبواب معاشرة النساء ب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22045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146:23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62:29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قواعد الأحکام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320:1</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260:3</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225:3</w:t>
      </w:r>
      <w:r>
        <w:rPr>
          <w:rFonts w:ascii="IRNazanin" w:hAnsi="IRNazanin" w:eastAsia="IRNazanin"/>
          <w:b w:val="false"/>
          <w:b w:val="false"/>
          <w:bCs w:val="false"/>
          <w:i w:val="false"/>
          <w:i w:val="false"/>
          <w:iCs w:val="false"/>
          <w:color w:val="333333"/>
          <w:sz w:val="20"/>
          <w:sz w:val="20"/>
          <w:szCs w:val="20"/>
          <w:rtl w:val="true"/>
        </w:rPr>
        <w:t xml:space="preserve">؛ الاُم للشافعی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أحکام القرآن لابن عربی </w:t>
      </w:r>
      <w:r>
        <w:rPr>
          <w:rFonts w:eastAsia="IRNazanin" w:cs="IRNazanin"/>
          <w:b w:val="false"/>
          <w:bCs w:val="false"/>
          <w:i w:val="false"/>
          <w:iCs w:val="false"/>
          <w:color w:val="333333"/>
          <w:sz w:val="20"/>
          <w:szCs w:val="20"/>
        </w:rPr>
        <w:t>227:1</w:t>
      </w:r>
      <w:r>
        <w:rPr>
          <w:rFonts w:ascii="IRNazanin" w:hAnsi="IRNazanin" w:eastAsia="IRNazanin"/>
          <w:b w:val="false"/>
          <w:b w:val="false"/>
          <w:bCs w:val="false"/>
          <w:i w:val="false"/>
          <w:i w:val="false"/>
          <w:iCs w:val="false"/>
          <w:color w:val="333333"/>
          <w:sz w:val="20"/>
          <w:sz w:val="20"/>
          <w:szCs w:val="20"/>
          <w:rtl w:val="true"/>
        </w:rPr>
        <w:t xml:space="preserve">؛ المغنی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88:2</w:t>
      </w:r>
      <w:r>
        <w:rPr>
          <w:rFonts w:ascii="IRNazanin" w:hAnsi="IRNazanin" w:eastAsia="IRNazanin"/>
          <w:b w:val="false"/>
          <w:b w:val="false"/>
          <w:bCs w:val="false"/>
          <w:i w:val="false"/>
          <w:i w:val="false"/>
          <w:iCs w:val="false"/>
          <w:color w:val="333333"/>
          <w:sz w:val="20"/>
          <w:sz w:val="20"/>
          <w:szCs w:val="20"/>
          <w:rtl w:val="true"/>
        </w:rPr>
        <w:t xml:space="preserve">؛ الکشاف </w:t>
      </w:r>
      <w:r>
        <w:rPr>
          <w:rFonts w:eastAsia="IRNazanin" w:cs="IRNazanin"/>
          <w:b w:val="false"/>
          <w:bCs w:val="false"/>
          <w:i w:val="false"/>
          <w:iCs w:val="false"/>
          <w:color w:val="333333"/>
          <w:sz w:val="20"/>
          <w:szCs w:val="20"/>
        </w:rPr>
        <w:t>265:1</w:t>
      </w:r>
      <w:r>
        <w:rPr>
          <w:rFonts w:ascii="IRNazanin" w:hAnsi="IRNazanin" w:eastAsia="IRNazanin"/>
          <w:b w:val="false"/>
          <w:b w:val="false"/>
          <w:bCs w:val="false"/>
          <w:i w:val="false"/>
          <w:i w:val="false"/>
          <w:iCs w:val="false"/>
          <w:color w:val="333333"/>
          <w:sz w:val="20"/>
          <w:sz w:val="20"/>
          <w:szCs w:val="20"/>
          <w:rtl w:val="true"/>
        </w:rPr>
        <w:t xml:space="preserve">؛ المغنی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320:1</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للقرطبی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الآیة؛ تفسیر الکشّاف </w:t>
      </w:r>
      <w:r>
        <w:rPr>
          <w:rFonts w:eastAsia="IRNazanin" w:cs="IRNazanin"/>
          <w:b w:val="false"/>
          <w:bCs w:val="false"/>
          <w:i w:val="false"/>
          <w:iCs w:val="false"/>
          <w:color w:val="333333"/>
          <w:sz w:val="20"/>
          <w:szCs w:val="20"/>
        </w:rPr>
        <w:t>265:1</w:t>
      </w:r>
      <w:r>
        <w:rPr>
          <w:rFonts w:ascii="IRNazanin" w:hAnsi="IRNazanin" w:eastAsia="IRNazanin"/>
          <w:b w:val="false"/>
          <w:b w:val="false"/>
          <w:bCs w:val="false"/>
          <w:i w:val="false"/>
          <w:i w:val="false"/>
          <w:iCs w:val="false"/>
          <w:color w:val="333333"/>
          <w:sz w:val="20"/>
          <w:sz w:val="20"/>
          <w:szCs w:val="20"/>
          <w:rtl w:val="true"/>
        </w:rPr>
        <w:t xml:space="preserve">؛ أحکام القرآن لابن العربی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538:5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البیان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البیان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586:18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بقیّة الحدود،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134:15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135:15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135:15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136:15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135:15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الأولاد</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134:66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299:62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137:15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فی نقد الرجال </w:t>
      </w:r>
      <w:r>
        <w:rPr>
          <w:rFonts w:eastAsia="IRNazanin" w:cs="IRNazanin"/>
          <w:b w:val="false"/>
          <w:bCs w:val="false"/>
          <w:i w:val="false"/>
          <w:iCs w:val="false"/>
          <w:color w:val="333333"/>
          <w:sz w:val="20"/>
          <w:szCs w:val="20"/>
        </w:rPr>
        <w:t>650:3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7956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269:4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الموضوعات لابن القیسرانی و لسان المیزان لابن حجر و تنزیه الشریعة لابن عمران علی ما نقل فی موسوعة أطراف الحدیث النبوی الشریف </w:t>
      </w:r>
      <w:r>
        <w:rPr>
          <w:rFonts w:eastAsia="IRNazanin" w:cs="IRNazanin"/>
          <w:b w:val="false"/>
          <w:bCs w:val="false"/>
          <w:i w:val="false"/>
          <w:iCs w:val="false"/>
          <w:color w:val="333333"/>
          <w:sz w:val="20"/>
          <w:szCs w:val="20"/>
        </w:rPr>
        <w:t>567:1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286:6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348:7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112:12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القیام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389:16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417:2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التسعة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المستفادة من الروایات المرویة فی وسائل الشیعة </w:t>
      </w:r>
      <w:r>
        <w:rPr>
          <w:rFonts w:eastAsia="IRNazanin" w:cs="IRNazanin"/>
          <w:b w:val="false"/>
          <w:bCs w:val="false"/>
          <w:i w:val="false"/>
          <w:iCs w:val="false"/>
          <w:color w:val="333333"/>
          <w:sz w:val="20"/>
          <w:szCs w:val="20"/>
        </w:rPr>
        <w:t>340:17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إحیاء الموات</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مصطادة من الآیة الکریمة المذکورة فی سورة الحجّ </w:t>
      </w:r>
      <w:r>
        <w:rPr>
          <w:rFonts w:eastAsia="IRNazanin" w:cs="IRNazanin"/>
          <w:b w:val="false"/>
          <w:bCs w:val="false"/>
          <w:i w:val="false"/>
          <w:iCs w:val="false"/>
          <w:color w:val="333333"/>
          <w:sz w:val="20"/>
          <w:szCs w:val="20"/>
        </w:rPr>
        <w:t>78:22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استفیدت هذه القاعدة من الروایات فی وسائل الشیعة </w:t>
      </w:r>
      <w:r>
        <w:rPr>
          <w:rFonts w:eastAsia="IRNazanin" w:cs="IRNazanin"/>
          <w:b w:val="false"/>
          <w:bCs w:val="false"/>
          <w:i w:val="false"/>
          <w:iCs w:val="false"/>
          <w:color w:val="333333"/>
          <w:sz w:val="20"/>
          <w:szCs w:val="20"/>
        </w:rPr>
        <w:t>352:5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73:11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الکواکب الدرّیة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للشیرازی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للسرخسی </w:t>
      </w:r>
      <w:r>
        <w:rPr>
          <w:rFonts w:eastAsia="IRNazanin" w:cs="IRNazanin"/>
          <w:b w:val="false"/>
          <w:bCs w:val="false"/>
          <w:i w:val="false"/>
          <w:iCs w:val="false"/>
          <w:color w:val="333333"/>
          <w:sz w:val="20"/>
          <w:szCs w:val="20"/>
        </w:rPr>
        <w:t>151:24</w:t>
      </w:r>
      <w:r>
        <w:rPr>
          <w:rFonts w:ascii="IRNazanin" w:hAnsi="IRNazanin" w:eastAsia="IRNazanin"/>
          <w:b w:val="false"/>
          <w:b w:val="false"/>
          <w:bCs w:val="false"/>
          <w:i w:val="false"/>
          <w:i w:val="false"/>
          <w:iCs w:val="false"/>
          <w:color w:val="333333"/>
          <w:sz w:val="20"/>
          <w:sz w:val="20"/>
          <w:szCs w:val="20"/>
          <w:rtl w:val="true"/>
        </w:rPr>
        <w:t xml:space="preserve">؛ حاشیة الدسوقی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المحبنطی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بغیر همز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المتغضب المستبطئ للشیء و المحبنطئ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بالهمز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العظیم البطن المنتفخ</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383:3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96:15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طریق هذه الروایة قاسم بن یحیی و هو ثقة؛ لشهادة ابن قولویه بوثاقته، و لا یعارضها تضعیف ابن الغضائری؛ لعدم ثبوت نسبة الکتاب إلیه، و یؤیّد وثاقته حکم الصدوق بصحّة ما رواه فی زیارة الحسین علیه السلام عن الحسن بن راشد، و فی الطریق القاسم بن یحیی، بل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أصحّ الروایات عندی من طریق الروایة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361:2</w:t>
      </w:r>
      <w:r>
        <w:rPr>
          <w:rFonts w:ascii="IRNazanin" w:hAnsi="IRNazanin" w:eastAsia="IRNazanin"/>
          <w:b w:val="false"/>
          <w:b w:val="false"/>
          <w:bCs w:val="false"/>
          <w:i w:val="false"/>
          <w:i w:val="false"/>
          <w:iCs w:val="false"/>
          <w:color w:val="333333"/>
          <w:sz w:val="20"/>
          <w:sz w:val="20"/>
          <w:szCs w:val="20"/>
          <w:rtl w:val="true"/>
        </w:rPr>
        <w:t xml:space="preserve">؛ معجم رجال الحدیث </w:t>
      </w:r>
      <w:r>
        <w:rPr>
          <w:rFonts w:eastAsia="IRNazanin" w:cs="IRNazanin"/>
          <w:b w:val="false"/>
          <w:bCs w:val="false"/>
          <w:i w:val="false"/>
          <w:iCs w:val="false"/>
          <w:color w:val="333333"/>
          <w:sz w:val="20"/>
          <w:szCs w:val="20"/>
        </w:rPr>
        <w:t>65:14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التزویج،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417:7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باب حکم العزل، ح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397:4</w:t>
      </w:r>
      <w:r>
        <w:rPr>
          <w:rFonts w:ascii="IRNazanin" w:hAnsi="IRNazanin" w:eastAsia="IRNazanin"/>
          <w:b w:val="false"/>
          <w:b w:val="false"/>
          <w:bCs w:val="false"/>
          <w:i w:val="false"/>
          <w:i w:val="false"/>
          <w:iCs w:val="false"/>
          <w:color w:val="333333"/>
          <w:sz w:val="20"/>
          <w:sz w:val="20"/>
          <w:szCs w:val="20"/>
          <w:rtl w:val="true"/>
        </w:rPr>
        <w:t xml:space="preserve">؛ المعجم الوسیط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617:1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العقم عند الرجال و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المنظّمة العالمیة للصحّة، إرشادات للعاملات بالتولید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انظر الأحکام الطبّیة المتعلِّقة بالنساء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 و تنظیم الأسرة، انظر نفس المصدر السابق</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صراط النجاة </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المسائل </w:t>
      </w:r>
      <w:r>
        <w:rPr>
          <w:rFonts w:eastAsia="IRNazanin" w:cs="IRNazanin"/>
          <w:b w:val="false"/>
          <w:bCs w:val="false"/>
          <w:i w:val="false"/>
          <w:iCs w:val="false"/>
          <w:color w:val="333333"/>
          <w:sz w:val="20"/>
          <w:szCs w:val="20"/>
        </w:rPr>
        <w:t>488:1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448:2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الفتاوی الجدیدة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بحوث فقهیّة هامّة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المسائل </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فقه أهل البیت علیهم السلام رقم </w:t>
      </w:r>
      <w:r>
        <w:rPr>
          <w:rFonts w:eastAsia="IRNazanin" w:cs="IRNazanin"/>
          <w:b w:val="false"/>
          <w:bCs w:val="false"/>
          <w:i w:val="false"/>
          <w:iCs w:val="false"/>
          <w:color w:val="333333"/>
          <w:sz w:val="20"/>
          <w:szCs w:val="20"/>
        </w:rPr>
        <w:t>56:21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348:6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1876:3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الوسیط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607:1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التبیان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للقرطبی </w:t>
      </w:r>
      <w:r>
        <w:rPr>
          <w:rFonts w:eastAsia="IRNazanin" w:cs="IRNazanin"/>
          <w:b w:val="false"/>
          <w:bCs w:val="false"/>
          <w:i w:val="false"/>
          <w:iCs w:val="false"/>
          <w:color w:val="333333"/>
          <w:sz w:val="20"/>
          <w:szCs w:val="20"/>
        </w:rPr>
        <w:t>361:2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الرحمن فی تفسیر القرآن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الوطر من قاعدة لا ضرر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التبیان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للقرطبی </w:t>
      </w:r>
      <w:r>
        <w:rPr>
          <w:rFonts w:eastAsia="IRNazanin" w:cs="IRNazanin"/>
          <w:b w:val="false"/>
          <w:bCs w:val="false"/>
          <w:i w:val="false"/>
          <w:iCs w:val="false"/>
          <w:color w:val="333333"/>
          <w:sz w:val="20"/>
          <w:szCs w:val="20"/>
        </w:rPr>
        <w:t>389:5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کنز الدقائق </w:t>
      </w:r>
      <w:r>
        <w:rPr>
          <w:rFonts w:eastAsia="IRNazanin" w:cs="IRNazanin"/>
          <w:b w:val="false"/>
          <w:bCs w:val="false"/>
          <w:i w:val="false"/>
          <w:iCs w:val="false"/>
          <w:color w:val="333333"/>
          <w:sz w:val="20"/>
          <w:szCs w:val="20"/>
        </w:rPr>
        <w:t>544:3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الأحکام الطبّیة المتعلِّقة بالنساء فی الفقه الإسلامی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مسألة تحدید النسل وقایة و علاجاً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الرحمن فی تفسیر القرآن </w:t>
      </w:r>
      <w:r>
        <w:rPr>
          <w:rFonts w:eastAsia="IRNazanin" w:cs="IRNazanin"/>
          <w:b w:val="false"/>
          <w:bCs w:val="false"/>
          <w:i w:val="false"/>
          <w:iCs w:val="false"/>
          <w:color w:val="333333"/>
          <w:sz w:val="20"/>
          <w:szCs w:val="20"/>
        </w:rPr>
        <w:t>287:9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الدوابّ،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الدوابّ،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بشرح صحیح البخاری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الأحکام المتعلِّقة بالنساء فی الفقه الإسلامی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293:5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292:5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تراث الشیخ الأعظم، مجموعة رسائل 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الفقهیّة للمحقّق البجنوردی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لا ضرر و لا ضرار للشیخ ضیاء الدِّین العراقی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صراط النجاة </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المستحدثة، منهاج الصالحین للسیّد السیستانی </w:t>
      </w:r>
      <w:r>
        <w:rPr>
          <w:rFonts w:eastAsia="IRNazanin" w:cs="IRNazanin"/>
          <w:b w:val="false"/>
          <w:bCs w:val="false"/>
          <w:i w:val="false"/>
          <w:iCs w:val="false"/>
          <w:color w:val="333333"/>
          <w:sz w:val="20"/>
          <w:szCs w:val="20"/>
        </w:rPr>
        <w:t>461:1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أجوبة الاستفتاءات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الفقهیّة للمحقّق البجنوردی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لا ضرر للشیخ ضیاء الدِّین العراقی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الرسائل للشیخ الأنصاری </w:t>
      </w:r>
      <w:r>
        <w:rPr>
          <w:rFonts w:eastAsia="IRNazanin" w:cs="IRNazanin"/>
          <w:b w:val="false"/>
          <w:bCs w:val="false"/>
          <w:i w:val="false"/>
          <w:iCs w:val="false"/>
          <w:color w:val="333333"/>
          <w:sz w:val="20"/>
          <w:szCs w:val="20"/>
        </w:rPr>
        <w:t>537:2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الطالب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الغصب للمیرزا حبیب اللّه الرشتی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نیل الوطر من قاعدة لا ضرر للشیخ جعفر سبحانی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القواعد الفقهیّة للشیخ ناصر مکارم الشیرازی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صراط النجاة </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المسائل </w:t>
      </w:r>
      <w:r>
        <w:rPr>
          <w:rFonts w:eastAsia="IRNazanin" w:cs="IRNazanin"/>
          <w:b w:val="false"/>
          <w:bCs w:val="false"/>
          <w:i w:val="false"/>
          <w:iCs w:val="false"/>
          <w:color w:val="333333"/>
          <w:sz w:val="20"/>
          <w:szCs w:val="20"/>
        </w:rPr>
        <w:t>488:1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448:2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الفتاوی الجدیدة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بحوث فقهیّة هامّة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منهاج الصالحین للسیّد السیستانی </w:t>
      </w:r>
      <w:r>
        <w:rPr>
          <w:rFonts w:eastAsia="IRNazanin" w:cs="IRNazanin"/>
          <w:b w:val="false"/>
          <w:bCs w:val="false"/>
          <w:i w:val="false"/>
          <w:iCs w:val="false"/>
          <w:color w:val="333333"/>
          <w:sz w:val="20"/>
          <w:szCs w:val="20"/>
        </w:rPr>
        <w:t>460:1</w:t>
      </w:r>
      <w:r>
        <w:rPr>
          <w:rFonts w:ascii="IRNazanin" w:hAnsi="IRNazanin" w:eastAsia="IRNazanin"/>
          <w:b w:val="false"/>
          <w:b w:val="false"/>
          <w:bCs w:val="false"/>
          <w:i w:val="false"/>
          <w:i w:val="false"/>
          <w:iCs w:val="false"/>
          <w:color w:val="333333"/>
          <w:sz w:val="20"/>
          <w:sz w:val="20"/>
          <w:szCs w:val="20"/>
          <w:rtl w:val="true"/>
        </w:rPr>
        <w:t>؛ الفقه و المسائل الطبّیة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مجلّة فقه أهل البیت رقم </w:t>
      </w:r>
      <w:r>
        <w:rPr>
          <w:rFonts w:eastAsia="IRNazanin" w:cs="IRNazanin"/>
          <w:b w:val="false"/>
          <w:bCs w:val="false"/>
          <w:i w:val="false"/>
          <w:iCs w:val="false"/>
          <w:color w:val="333333"/>
          <w:sz w:val="20"/>
          <w:szCs w:val="20"/>
        </w:rPr>
        <w:t>54:21</w:t>
      </w:r>
      <w:r>
        <w:rPr>
          <w:rFonts w:ascii="IRNazanin" w:hAnsi="IRNazanin" w:eastAsia="IRNazanin"/>
          <w:b w:val="false"/>
          <w:b w:val="false"/>
          <w:bCs w:val="false"/>
          <w:i w:val="false"/>
          <w:i w:val="false"/>
          <w:iCs w:val="false"/>
          <w:color w:val="333333"/>
          <w:sz w:val="20"/>
          <w:sz w:val="20"/>
          <w:szCs w:val="20"/>
          <w:rtl w:val="true"/>
        </w:rPr>
        <w:t xml:space="preserve">؛ مجمع المسائل للسیّد الفقیه الگلپایگانی </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فقهیّة هامّة للشیخ ناصر المکارم الشیرازی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 و تغییر</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الخصال </w:t>
      </w:r>
      <w:r>
        <w:rPr>
          <w:rFonts w:eastAsia="IRNazanin" w:cs="IRNazanin"/>
          <w:b w:val="false"/>
          <w:bCs w:val="false"/>
          <w:i w:val="false"/>
          <w:iCs w:val="false"/>
          <w:color w:val="333333"/>
          <w:sz w:val="20"/>
          <w:szCs w:val="20"/>
        </w:rPr>
        <w:t>611:2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99:10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المسائل </w:t>
      </w:r>
      <w:r>
        <w:rPr>
          <w:rFonts w:eastAsia="IRNazanin" w:cs="IRNazanin"/>
          <w:b w:val="false"/>
          <w:bCs w:val="false"/>
          <w:i w:val="false"/>
          <w:iCs w:val="false"/>
          <w:color w:val="333333"/>
          <w:sz w:val="20"/>
          <w:szCs w:val="20"/>
        </w:rPr>
        <w:t>489:1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الفتاوی الجدیدة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الفقه و المسائل الطبّیة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المسائل </w:t>
      </w:r>
      <w:r>
        <w:rPr>
          <w:rFonts w:eastAsia="IRNazanin" w:cs="IRNazanin"/>
          <w:b w:val="false"/>
          <w:bCs w:val="false"/>
          <w:i w:val="false"/>
          <w:iCs w:val="false"/>
          <w:color w:val="333333"/>
          <w:sz w:val="20"/>
          <w:szCs w:val="20"/>
        </w:rPr>
        <w:t>489:2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صراط النجاة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للسیّد السیستانی </w:t>
      </w:r>
      <w:r>
        <w:rPr>
          <w:rFonts w:eastAsia="IRNazanin" w:cs="IRNazanin"/>
          <w:b w:val="false"/>
          <w:bCs w:val="false"/>
          <w:i w:val="false"/>
          <w:iCs w:val="false"/>
          <w:color w:val="333333"/>
          <w:sz w:val="20"/>
          <w:szCs w:val="20"/>
        </w:rPr>
        <w:t>460:1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المسائل للسیّد الفقیه الگلپایگانی </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607:2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270:2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112:7</w:t>
      </w:r>
      <w:r>
        <w:rPr>
          <w:rFonts w:ascii="IRNazanin" w:hAnsi="IRNazanin" w:eastAsia="IRNazanin"/>
          <w:b w:val="false"/>
          <w:b w:val="false"/>
          <w:bCs w:val="false"/>
          <w:i w:val="false"/>
          <w:i w:val="false"/>
          <w:iCs w:val="false"/>
          <w:color w:val="333333"/>
          <w:sz w:val="20"/>
          <w:sz w:val="20"/>
          <w:szCs w:val="20"/>
          <w:rtl w:val="true"/>
        </w:rPr>
        <w:t xml:space="preserve">؛ التذکرة </w:t>
      </w:r>
      <w:r>
        <w:rPr>
          <w:rFonts w:eastAsia="IRNazanin" w:cs="IRNazanin"/>
          <w:b w:val="false"/>
          <w:bCs w:val="false"/>
          <w:i w:val="false"/>
          <w:iCs w:val="false"/>
          <w:color w:val="333333"/>
          <w:sz w:val="20"/>
          <w:szCs w:val="20"/>
        </w:rPr>
        <w:t>576:2</w:t>
      </w:r>
      <w:r>
        <w:rPr>
          <w:rFonts w:ascii="IRNazanin" w:hAnsi="IRNazanin" w:eastAsia="IRNazanin"/>
          <w:b w:val="false"/>
          <w:b w:val="false"/>
          <w:bCs w:val="false"/>
          <w:i w:val="false"/>
          <w:i w:val="false"/>
          <w:iCs w:val="false"/>
          <w:color w:val="333333"/>
          <w:sz w:val="20"/>
          <w:sz w:val="20"/>
          <w:szCs w:val="20"/>
          <w:rtl w:val="true"/>
        </w:rPr>
        <w:t>؛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503:12</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270:7</w:t>
      </w:r>
      <w:r>
        <w:rPr>
          <w:rFonts w:ascii="IRNazanin" w:hAnsi="IRNazanin" w:eastAsia="IRNazanin"/>
          <w:b w:val="false"/>
          <w:b w:val="false"/>
          <w:bCs w:val="false"/>
          <w:i w:val="false"/>
          <w:i w:val="false"/>
          <w:iCs w:val="false"/>
          <w:color w:val="333333"/>
          <w:sz w:val="20"/>
          <w:sz w:val="20"/>
          <w:szCs w:val="20"/>
          <w:rtl w:val="true"/>
        </w:rPr>
        <w:t>؛ 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113:29</w:t>
      </w:r>
      <w:r>
        <w:rPr>
          <w:rFonts w:ascii="IRNazanin" w:hAnsi="IRNazanin" w:eastAsia="IRNazanin"/>
          <w:b w:val="false"/>
          <w:b w:val="false"/>
          <w:bCs w:val="false"/>
          <w:i w:val="false"/>
          <w:i w:val="false"/>
          <w:iCs w:val="false"/>
          <w:color w:val="333333"/>
          <w:sz w:val="20"/>
          <w:sz w:val="20"/>
          <w:szCs w:val="20"/>
          <w:rtl w:val="true"/>
        </w:rPr>
        <w:t xml:space="preserve">؛ مستند الشیعة </w:t>
      </w:r>
      <w:r>
        <w:rPr>
          <w:rFonts w:eastAsia="IRNazanin" w:cs="IRNazanin"/>
          <w:b w:val="false"/>
          <w:bCs w:val="false"/>
          <w:i w:val="false"/>
          <w:iCs w:val="false"/>
          <w:color w:val="333333"/>
          <w:sz w:val="20"/>
          <w:szCs w:val="20"/>
        </w:rPr>
        <w:t>75:16</w:t>
      </w:r>
      <w:r>
        <w:rPr>
          <w:rFonts w:ascii="IRNazanin" w:hAnsi="IRNazanin" w:eastAsia="IRNazanin"/>
          <w:b w:val="false"/>
          <w:b w:val="false"/>
          <w:bCs w:val="false"/>
          <w:i w:val="false"/>
          <w:i w:val="false"/>
          <w:iCs w:val="false"/>
          <w:color w:val="333333"/>
          <w:sz w:val="20"/>
          <w:sz w:val="20"/>
          <w:szCs w:val="20"/>
          <w:rtl w:val="true"/>
        </w:rPr>
        <w:t>؛ کفایة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الروضة البهیّة </w:t>
      </w:r>
      <w:r>
        <w:rPr>
          <w:rFonts w:eastAsia="IRNazanin" w:cs="IRNazanin"/>
          <w:b w:val="false"/>
          <w:bCs w:val="false"/>
          <w:i w:val="false"/>
          <w:iCs w:val="false"/>
          <w:color w:val="333333"/>
          <w:sz w:val="20"/>
          <w:szCs w:val="20"/>
        </w:rPr>
        <w:t>102:5</w:t>
      </w:r>
      <w:r>
        <w:rPr>
          <w:rFonts w:ascii="IRNazanin" w:hAnsi="IRNazanin" w:eastAsia="IRNazanin"/>
          <w:b w:val="false"/>
          <w:b w:val="false"/>
          <w:bCs w:val="false"/>
          <w:i w:val="false"/>
          <w:i w:val="false"/>
          <w:iCs w:val="false"/>
          <w:color w:val="333333"/>
          <w:sz w:val="20"/>
          <w:sz w:val="20"/>
          <w:szCs w:val="20"/>
          <w:rtl w:val="true"/>
        </w:rPr>
        <w:t xml:space="preserve">؛ مفاتیح الشرائع </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الخلاف </w:t>
      </w:r>
      <w:r>
        <w:rPr>
          <w:rFonts w:eastAsia="IRNazanin" w:cs="IRNazanin"/>
          <w:b w:val="false"/>
          <w:bCs w:val="false"/>
          <w:i w:val="false"/>
          <w:iCs w:val="false"/>
          <w:color w:val="333333"/>
          <w:sz w:val="20"/>
          <w:szCs w:val="20"/>
        </w:rPr>
        <w:t>395:4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267:4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259:4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یکره فیه العزل،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458:2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1928</w:t>
      </w:r>
      <w:r>
        <w:rPr>
          <w:rFonts w:ascii="IRNazanin" w:hAnsi="IRNazanin" w:eastAsia="IRNazanin"/>
          <w:b w:val="false"/>
          <w:b w:val="false"/>
          <w:bCs w:val="false"/>
          <w:i w:val="false"/>
          <w:i w:val="false"/>
          <w:iCs w:val="false"/>
          <w:color w:val="333333"/>
          <w:sz w:val="20"/>
          <w:sz w:val="20"/>
          <w:szCs w:val="20"/>
          <w:rtl w:val="true"/>
        </w:rPr>
        <w:t xml:space="preserve">؛ السنن الکبری للبیهقی </w:t>
      </w:r>
      <w:r>
        <w:rPr>
          <w:rFonts w:eastAsia="IRNazanin" w:cs="IRNazanin"/>
          <w:b w:val="false"/>
          <w:bCs w:val="false"/>
          <w:i w:val="false"/>
          <w:iCs w:val="false"/>
          <w:color w:val="333333"/>
          <w:sz w:val="20"/>
          <w:szCs w:val="20"/>
        </w:rPr>
        <w:t>537:10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14669</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w:t>
      </w:r>
      <w:r>
        <w:rPr>
          <w:rFonts w:eastAsia="IRNazanin" w:cs="IRNazanin"/>
          <w:b w:val="false"/>
          <w:bCs w:val="false"/>
          <w:i w:val="false"/>
          <w:iCs w:val="false"/>
          <w:color w:val="333333"/>
          <w:sz w:val="20"/>
          <w:szCs w:val="20"/>
        </w:rPr>
        <w:t>538:10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14677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76:16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المحتاج </w:t>
      </w:r>
      <w:r>
        <w:rPr>
          <w:rFonts w:eastAsia="IRNazanin" w:cs="IRNazanin"/>
          <w:b w:val="false"/>
          <w:bCs w:val="false"/>
          <w:i w:val="false"/>
          <w:iCs w:val="false"/>
          <w:color w:val="333333"/>
          <w:sz w:val="20"/>
          <w:szCs w:val="20"/>
        </w:rPr>
        <w:t>167:3</w:t>
      </w:r>
      <w:r>
        <w:rPr>
          <w:rFonts w:ascii="IRNazanin" w:hAnsi="IRNazanin" w:eastAsia="IRNazanin"/>
          <w:b w:val="false"/>
          <w:b w:val="false"/>
          <w:bCs w:val="false"/>
          <w:i w:val="false"/>
          <w:i w:val="false"/>
          <w:iCs w:val="false"/>
          <w:color w:val="333333"/>
          <w:sz w:val="20"/>
          <w:sz w:val="20"/>
          <w:szCs w:val="20"/>
          <w:rtl w:val="true"/>
        </w:rPr>
        <w:t xml:space="preserve">؛ مغنی المحتاج </w:t>
      </w:r>
      <w:r>
        <w:rPr>
          <w:rFonts w:eastAsia="IRNazanin" w:cs="IRNazanin"/>
          <w:b w:val="false"/>
          <w:bCs w:val="false"/>
          <w:i w:val="false"/>
          <w:iCs w:val="false"/>
          <w:color w:val="333333"/>
          <w:sz w:val="20"/>
          <w:szCs w:val="20"/>
        </w:rPr>
        <w:t>126:3</w:t>
      </w:r>
      <w:r>
        <w:rPr>
          <w:rFonts w:ascii="IRNazanin" w:hAnsi="IRNazanin" w:eastAsia="IRNazanin"/>
          <w:b w:val="false"/>
          <w:b w:val="false"/>
          <w:bCs w:val="false"/>
          <w:i w:val="false"/>
          <w:i w:val="false"/>
          <w:iCs w:val="false"/>
          <w:color w:val="333333"/>
          <w:sz w:val="20"/>
          <w:sz w:val="20"/>
          <w:szCs w:val="20"/>
          <w:rtl w:val="true"/>
        </w:rPr>
        <w:t xml:space="preserve">؛ تحفة المحتاج </w:t>
      </w:r>
      <w:r>
        <w:rPr>
          <w:rFonts w:eastAsia="IRNazanin" w:cs="IRNazanin"/>
          <w:b w:val="false"/>
          <w:bCs w:val="false"/>
          <w:i w:val="false"/>
          <w:iCs w:val="false"/>
          <w:color w:val="333333"/>
          <w:sz w:val="20"/>
          <w:szCs w:val="20"/>
        </w:rPr>
        <w:t>168:3</w:t>
      </w:r>
      <w:r>
        <w:rPr>
          <w:rFonts w:ascii="IRNazanin" w:hAnsi="IRNazanin" w:eastAsia="IRNazanin"/>
          <w:b w:val="false"/>
          <w:b w:val="false"/>
          <w:bCs w:val="false"/>
          <w:i w:val="false"/>
          <w:i w:val="false"/>
          <w:iCs w:val="false"/>
          <w:color w:val="333333"/>
          <w:sz w:val="20"/>
          <w:sz w:val="20"/>
          <w:szCs w:val="20"/>
          <w:rtl w:val="true"/>
        </w:rPr>
        <w:t xml:space="preserve">؛ نهایة المحتاج </w:t>
      </w:r>
      <w:r>
        <w:rPr>
          <w:rFonts w:eastAsia="IRNazanin" w:cs="IRNazanin"/>
          <w:b w:val="false"/>
          <w:bCs w:val="false"/>
          <w:i w:val="false"/>
          <w:iCs w:val="false"/>
          <w:color w:val="333333"/>
          <w:sz w:val="20"/>
          <w:szCs w:val="20"/>
        </w:rPr>
        <w:t>183:6</w:t>
      </w:r>
      <w:r>
        <w:rPr>
          <w:rFonts w:ascii="IRNazanin" w:hAnsi="IRNazanin" w:eastAsia="IRNazanin"/>
          <w:b w:val="false"/>
          <w:b w:val="false"/>
          <w:bCs w:val="false"/>
          <w:i w:val="false"/>
          <w:i w:val="false"/>
          <w:iCs w:val="false"/>
          <w:color w:val="333333"/>
          <w:sz w:val="20"/>
          <w:sz w:val="20"/>
          <w:szCs w:val="20"/>
          <w:rtl w:val="true"/>
        </w:rPr>
        <w:t xml:space="preserve">؛ الإقناع فی حلّ ألفاظ أبی شجاع </w:t>
      </w:r>
      <w:r>
        <w:rPr>
          <w:rFonts w:eastAsia="IRNazanin" w:cs="IRNazanin"/>
          <w:b w:val="false"/>
          <w:bCs w:val="false"/>
          <w:i w:val="false"/>
          <w:iCs w:val="false"/>
          <w:color w:val="333333"/>
          <w:sz w:val="20"/>
          <w:szCs w:val="20"/>
        </w:rPr>
        <w:t>229:2</w:t>
      </w:r>
      <w:r>
        <w:rPr>
          <w:rFonts w:ascii="IRNazanin" w:hAnsi="IRNazanin" w:eastAsia="IRNazanin"/>
          <w:b w:val="false"/>
          <w:b w:val="false"/>
          <w:bCs w:val="false"/>
          <w:i w:val="false"/>
          <w:i w:val="false"/>
          <w:iCs w:val="false"/>
          <w:color w:val="333333"/>
          <w:sz w:val="20"/>
          <w:sz w:val="20"/>
          <w:szCs w:val="20"/>
          <w:rtl w:val="true"/>
        </w:rPr>
        <w:t xml:space="preserve">؛ شرح الزرقانی </w:t>
      </w:r>
      <w:r>
        <w:rPr>
          <w:rFonts w:eastAsia="IRNazanin" w:cs="IRNazanin"/>
          <w:b w:val="false"/>
          <w:bCs w:val="false"/>
          <w:i w:val="false"/>
          <w:iCs w:val="false"/>
          <w:color w:val="333333"/>
          <w:sz w:val="20"/>
          <w:szCs w:val="20"/>
        </w:rPr>
        <w:t>225:3</w:t>
      </w:r>
      <w:r>
        <w:rPr>
          <w:rFonts w:ascii="IRNazanin" w:hAnsi="IRNazanin" w:eastAsia="IRNazanin"/>
          <w:b w:val="false"/>
          <w:b w:val="false"/>
          <w:bCs w:val="false"/>
          <w:i w:val="false"/>
          <w:i w:val="false"/>
          <w:iCs w:val="false"/>
          <w:color w:val="333333"/>
          <w:sz w:val="20"/>
          <w:sz w:val="20"/>
          <w:szCs w:val="20"/>
          <w:rtl w:val="true"/>
        </w:rPr>
        <w:t xml:space="preserve">؛ حاشیة القلیوبی </w:t>
      </w:r>
      <w:r>
        <w:rPr>
          <w:rFonts w:eastAsia="IRNazanin" w:cs="IRNazanin"/>
          <w:b w:val="false"/>
          <w:bCs w:val="false"/>
          <w:i w:val="false"/>
          <w:iCs w:val="false"/>
          <w:color w:val="333333"/>
          <w:sz w:val="20"/>
          <w:szCs w:val="20"/>
        </w:rPr>
        <w:t>314:3</w:t>
      </w:r>
      <w:r>
        <w:rPr>
          <w:rFonts w:ascii="IRNazanin" w:hAnsi="IRNazanin" w:eastAsia="IRNazanin"/>
          <w:b w:val="false"/>
          <w:b w:val="false"/>
          <w:bCs w:val="false"/>
          <w:i w:val="false"/>
          <w:i w:val="false"/>
          <w:iCs w:val="false"/>
          <w:color w:val="333333"/>
          <w:sz w:val="20"/>
          <w:sz w:val="20"/>
          <w:szCs w:val="20"/>
          <w:rtl w:val="true"/>
        </w:rPr>
        <w:t xml:space="preserve">؛ منتهی الإرادات </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 xml:space="preserve">؛ حاشیة البحیری علی الخطیب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651:2</w:t>
      </w:r>
      <w:r>
        <w:rPr>
          <w:rFonts w:ascii="IRNazanin" w:hAnsi="IRNazanin" w:eastAsia="IRNazanin"/>
          <w:b w:val="false"/>
          <w:b w:val="false"/>
          <w:bCs w:val="false"/>
          <w:i w:val="false"/>
          <w:i w:val="false"/>
          <w:iCs w:val="false"/>
          <w:color w:val="333333"/>
          <w:sz w:val="20"/>
          <w:sz w:val="20"/>
          <w:szCs w:val="20"/>
          <w:rtl w:val="true"/>
        </w:rPr>
        <w:t xml:space="preserve">؛ حاشیة ردّ المحتار </w:t>
      </w:r>
      <w:r>
        <w:rPr>
          <w:rFonts w:eastAsia="IRNazanin" w:cs="IRNazanin"/>
          <w:b w:val="false"/>
          <w:bCs w:val="false"/>
          <w:i w:val="false"/>
          <w:iCs w:val="false"/>
          <w:color w:val="333333"/>
          <w:sz w:val="20"/>
          <w:szCs w:val="20"/>
        </w:rPr>
        <w:t>175:3</w:t>
      </w:r>
      <w:r>
        <w:rPr>
          <w:rFonts w:ascii="IRNazanin" w:hAnsi="IRNazanin" w:eastAsia="IRNazanin"/>
          <w:b w:val="false"/>
          <w:b w:val="false"/>
          <w:bCs w:val="false"/>
          <w:i w:val="false"/>
          <w:i w:val="false"/>
          <w:iCs w:val="false"/>
          <w:color w:val="333333"/>
          <w:sz w:val="20"/>
          <w:sz w:val="20"/>
          <w:szCs w:val="20"/>
          <w:rtl w:val="true"/>
        </w:rPr>
        <w:t xml:space="preserve">؛ مختصر الطحاوی </w:t>
      </w:r>
      <w:r>
        <w:rPr>
          <w:rFonts w:eastAsia="IRNazanin" w:cs="IRNazanin"/>
          <w:b w:val="false"/>
          <w:bCs w:val="false"/>
          <w:i w:val="false"/>
          <w:iCs w:val="false"/>
          <w:color w:val="333333"/>
          <w:sz w:val="20"/>
          <w:szCs w:val="20"/>
        </w:rPr>
        <w:t>307:2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799</w:t>
      </w:r>
      <w:r>
        <w:rPr>
          <w:rFonts w:ascii="IRNazanin" w:hAnsi="IRNazanin" w:eastAsia="IRNazanin"/>
          <w:b w:val="false"/>
          <w:b w:val="false"/>
          <w:bCs w:val="false"/>
          <w:i w:val="false"/>
          <w:i w:val="false"/>
          <w:iCs w:val="false"/>
          <w:color w:val="333333"/>
          <w:sz w:val="20"/>
          <w:sz w:val="20"/>
          <w:szCs w:val="20"/>
          <w:rtl w:val="true"/>
        </w:rPr>
        <w:t xml:space="preserve">؛ الفتاوی الهندیة </w:t>
      </w:r>
      <w:r>
        <w:rPr>
          <w:rFonts w:eastAsia="IRNazanin" w:cs="IRNazanin"/>
          <w:b w:val="false"/>
          <w:bCs w:val="false"/>
          <w:i w:val="false"/>
          <w:iCs w:val="false"/>
          <w:color w:val="333333"/>
          <w:sz w:val="20"/>
          <w:szCs w:val="20"/>
        </w:rPr>
        <w:t>335:1</w:t>
      </w:r>
      <w:r>
        <w:rPr>
          <w:rFonts w:ascii="IRNazanin" w:hAnsi="IRNazanin" w:eastAsia="IRNazanin"/>
          <w:b w:val="false"/>
          <w:b w:val="false"/>
          <w:bCs w:val="false"/>
          <w:i w:val="false"/>
          <w:i w:val="false"/>
          <w:iCs w:val="false"/>
          <w:color w:val="333333"/>
          <w:sz w:val="20"/>
          <w:sz w:val="20"/>
          <w:szCs w:val="20"/>
          <w:rtl w:val="true"/>
        </w:rPr>
        <w:t xml:space="preserve">؛ شرح الزرقانی </w:t>
      </w:r>
      <w:r>
        <w:rPr>
          <w:rFonts w:eastAsia="IRNazanin" w:cs="IRNazanin"/>
          <w:b w:val="false"/>
          <w:bCs w:val="false"/>
          <w:i w:val="false"/>
          <w:iCs w:val="false"/>
          <w:color w:val="333333"/>
          <w:sz w:val="20"/>
          <w:szCs w:val="20"/>
        </w:rPr>
        <w:t>224:3</w:t>
      </w:r>
      <w:r>
        <w:rPr>
          <w:rFonts w:ascii="IRNazanin" w:hAnsi="IRNazanin" w:eastAsia="IRNazanin"/>
          <w:b w:val="false"/>
          <w:b w:val="false"/>
          <w:bCs w:val="false"/>
          <w:i w:val="false"/>
          <w:i w:val="false"/>
          <w:iCs w:val="false"/>
          <w:color w:val="333333"/>
          <w:sz w:val="20"/>
          <w:sz w:val="20"/>
          <w:szCs w:val="20"/>
          <w:rtl w:val="true"/>
        </w:rPr>
        <w:t xml:space="preserve">؛ المغنی و الشرح </w:t>
      </w:r>
      <w:r>
        <w:rPr>
          <w:rFonts w:eastAsia="IRNazanin" w:cs="IRNazanin"/>
          <w:b w:val="false"/>
          <w:bCs w:val="false"/>
          <w:i w:val="false"/>
          <w:iCs w:val="false"/>
          <w:color w:val="333333"/>
          <w:sz w:val="20"/>
          <w:szCs w:val="20"/>
        </w:rPr>
        <w:t>133:8</w:t>
      </w:r>
      <w:r>
        <w:rPr>
          <w:rFonts w:ascii="IRNazanin" w:hAnsi="IRNazanin" w:eastAsia="IRNazanin"/>
          <w:b w:val="false"/>
          <w:b w:val="false"/>
          <w:bCs w:val="false"/>
          <w:i w:val="false"/>
          <w:i w:val="false"/>
          <w:iCs w:val="false"/>
          <w:color w:val="333333"/>
          <w:sz w:val="20"/>
          <w:sz w:val="20"/>
          <w:szCs w:val="20"/>
          <w:rtl w:val="true"/>
        </w:rPr>
        <w:t xml:space="preserve">؛ المحرّر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الإنصاف </w:t>
      </w:r>
      <w:r>
        <w:rPr>
          <w:rFonts w:eastAsia="IRNazanin" w:cs="IRNazanin"/>
          <w:b w:val="false"/>
          <w:bCs w:val="false"/>
          <w:i w:val="false"/>
          <w:iCs w:val="false"/>
          <w:color w:val="333333"/>
          <w:sz w:val="20"/>
          <w:szCs w:val="20"/>
        </w:rPr>
        <w:t>347:8</w:t>
      </w:r>
      <w:r>
        <w:rPr>
          <w:rFonts w:ascii="IRNazanin" w:hAnsi="IRNazanin" w:eastAsia="IRNazanin"/>
          <w:b w:val="false"/>
          <w:b w:val="false"/>
          <w:bCs w:val="false"/>
          <w:i w:val="false"/>
          <w:i w:val="false"/>
          <w:iCs w:val="false"/>
          <w:color w:val="333333"/>
          <w:sz w:val="20"/>
          <w:sz w:val="20"/>
          <w:szCs w:val="20"/>
          <w:rtl w:val="true"/>
        </w:rPr>
        <w:t xml:space="preserve">؛ الکافی فی فقه أحمد </w:t>
      </w:r>
      <w:r>
        <w:rPr>
          <w:rFonts w:eastAsia="IRNazanin" w:cs="IRNazanin"/>
          <w:b w:val="false"/>
          <w:bCs w:val="false"/>
          <w:i w:val="false"/>
          <w:iCs w:val="false"/>
          <w:color w:val="333333"/>
          <w:sz w:val="20"/>
          <w:szCs w:val="20"/>
        </w:rPr>
        <w:t>84:3</w:t>
      </w:r>
      <w:r>
        <w:rPr>
          <w:rFonts w:ascii="IRNazanin" w:hAnsi="IRNazanin" w:eastAsia="IRNazanin"/>
          <w:b w:val="false"/>
          <w:b w:val="false"/>
          <w:bCs w:val="false"/>
          <w:i w:val="false"/>
          <w:i w:val="false"/>
          <w:iCs w:val="false"/>
          <w:color w:val="333333"/>
          <w:sz w:val="20"/>
          <w:sz w:val="20"/>
          <w:szCs w:val="20"/>
          <w:rtl w:val="true"/>
        </w:rPr>
        <w:t xml:space="preserve">؛ الفروع </w:t>
      </w:r>
      <w:r>
        <w:rPr>
          <w:rFonts w:eastAsia="IRNazanin" w:cs="IRNazanin"/>
          <w:b w:val="false"/>
          <w:bCs w:val="false"/>
          <w:i w:val="false"/>
          <w:iCs w:val="false"/>
          <w:color w:val="333333"/>
          <w:sz w:val="20"/>
          <w:szCs w:val="20"/>
        </w:rPr>
        <w:t>245:5</w:t>
      </w:r>
      <w:r>
        <w:rPr>
          <w:rFonts w:ascii="IRNazanin" w:hAnsi="IRNazanin" w:eastAsia="IRNazanin"/>
          <w:b w:val="false"/>
          <w:b w:val="false"/>
          <w:bCs w:val="false"/>
          <w:i w:val="false"/>
          <w:i w:val="false"/>
          <w:iCs w:val="false"/>
          <w:color w:val="333333"/>
          <w:sz w:val="20"/>
          <w:sz w:val="20"/>
          <w:szCs w:val="20"/>
          <w:rtl w:val="true"/>
        </w:rPr>
        <w:t xml:space="preserve">؛ المبدع </w:t>
      </w:r>
      <w:r>
        <w:rPr>
          <w:rFonts w:eastAsia="IRNazanin" w:cs="IRNazanin"/>
          <w:b w:val="false"/>
          <w:bCs w:val="false"/>
          <w:i w:val="false"/>
          <w:iCs w:val="false"/>
          <w:color w:val="333333"/>
          <w:sz w:val="20"/>
          <w:szCs w:val="20"/>
        </w:rPr>
        <w:t>194:7</w:t>
      </w:r>
      <w:r>
        <w:rPr>
          <w:rFonts w:ascii="IRNazanin" w:hAnsi="IRNazanin" w:eastAsia="IRNazanin"/>
          <w:b w:val="false"/>
          <w:b w:val="false"/>
          <w:bCs w:val="false"/>
          <w:i w:val="false"/>
          <w:i w:val="false"/>
          <w:iCs w:val="false"/>
          <w:color w:val="333333"/>
          <w:sz w:val="20"/>
          <w:sz w:val="20"/>
          <w:szCs w:val="20"/>
          <w:rtl w:val="true"/>
        </w:rPr>
        <w:t xml:space="preserve">؛ الإقناع </w:t>
      </w:r>
      <w:r>
        <w:rPr>
          <w:rFonts w:eastAsia="IRNazanin" w:cs="IRNazanin"/>
          <w:b w:val="false"/>
          <w:bCs w:val="false"/>
          <w:i w:val="false"/>
          <w:iCs w:val="false"/>
          <w:color w:val="333333"/>
          <w:sz w:val="20"/>
          <w:szCs w:val="20"/>
        </w:rPr>
        <w:t>240:3</w:t>
      </w:r>
      <w:r>
        <w:rPr>
          <w:rFonts w:ascii="IRNazanin" w:hAnsi="IRNazanin" w:eastAsia="IRNazanin"/>
          <w:b w:val="false"/>
          <w:b w:val="false"/>
          <w:bCs w:val="false"/>
          <w:i w:val="false"/>
          <w:i w:val="false"/>
          <w:iCs w:val="false"/>
          <w:color w:val="333333"/>
          <w:sz w:val="20"/>
          <w:sz w:val="20"/>
          <w:szCs w:val="20"/>
          <w:rtl w:val="true"/>
        </w:rPr>
        <w:t xml:space="preserve">؛ المهذّب للشیرازی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 البیان </w:t>
      </w:r>
      <w:r>
        <w:rPr>
          <w:rFonts w:eastAsia="IRNazanin" w:cs="IRNazanin"/>
          <w:b w:val="false"/>
          <w:bCs w:val="false"/>
          <w:i w:val="false"/>
          <w:iCs w:val="false"/>
          <w:color w:val="333333"/>
          <w:sz w:val="20"/>
          <w:szCs w:val="20"/>
        </w:rPr>
        <w:t>508:9</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بشرح النووی </w:t>
      </w:r>
      <w:r>
        <w:rPr>
          <w:rFonts w:eastAsia="IRNazanin" w:cs="IRNazanin"/>
          <w:b w:val="false"/>
          <w:bCs w:val="false"/>
          <w:i w:val="false"/>
          <w:iCs w:val="false"/>
          <w:color w:val="333333"/>
          <w:sz w:val="20"/>
          <w:szCs w:val="20"/>
        </w:rPr>
        <w:t>3882:6</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102:18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 تحدید النسل وقایةً و علاجاً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الأحکام الطبّیة المتعلِّقة بالنساء فی الفقه الإسلامی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854:2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الوسیط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Pr>
        <w:t>110:17</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ابن مسکان فی الصحیح عن أبی عبد اللّه علیه السلام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دیة الجنین خمسة أجزاء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 للنطفة عشرون دیناراً، و للعلقة خمسان أربعون دیناراً، و للمضغة ثلاثة أخماس ستّون دیناراً، و للعظم أربعة أخماس ثمانون دیناراً و إذا تمّ الجنین کانت له مائة دینار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وسائل الشیعة </w:t>
      </w:r>
      <w:r>
        <w:rPr>
          <w:rFonts w:eastAsia="IRNazanin" w:cs="IRNazanin"/>
          <w:b w:val="false"/>
          <w:bCs w:val="false"/>
          <w:i w:val="false"/>
          <w:iCs w:val="false"/>
          <w:color w:val="333333"/>
          <w:sz w:val="20"/>
          <w:szCs w:val="20"/>
        </w:rPr>
        <w:t>169:19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دیة النفس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 الإمام علیه السلام الجنین مقسماً لکلٍّ من النطفة و العلقة و المضغة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القسم داخل فی المقسم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یستفاد ذلک أیضاً ممّا ورد فی روایة ظریف عن أمیر المؤمنین علیه السلام و مرسلة محمّد بن الصباح عن أبی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237:19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صاحبقرانی </w:t>
      </w:r>
      <w:r>
        <w:rPr>
          <w:rFonts w:eastAsia="IRNazanin" w:cs="IRNazanin"/>
          <w:b w:val="false"/>
          <w:bCs w:val="false"/>
          <w:i w:val="false"/>
          <w:iCs w:val="false"/>
          <w:color w:val="333333"/>
          <w:sz w:val="20"/>
          <w:szCs w:val="20"/>
        </w:rPr>
        <w:t>645:1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255:13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المسائل </w:t>
      </w:r>
      <w:r>
        <w:rPr>
          <w:rFonts w:eastAsia="IRNazanin" w:cs="IRNazanin"/>
          <w:b w:val="false"/>
          <w:bCs w:val="false"/>
          <w:i w:val="false"/>
          <w:iCs w:val="false"/>
          <w:color w:val="333333"/>
          <w:sz w:val="20"/>
          <w:szCs w:val="20"/>
        </w:rPr>
        <w:t>490:1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فقه أهل البیت </w:t>
      </w:r>
      <w:r>
        <w:rPr>
          <w:rFonts w:eastAsia="IRNazanin" w:cs="IRNazanin"/>
          <w:b w:val="false"/>
          <w:bCs w:val="false"/>
          <w:i w:val="false"/>
          <w:iCs w:val="false"/>
          <w:color w:val="333333"/>
          <w:sz w:val="20"/>
          <w:szCs w:val="20"/>
        </w:rPr>
        <w:t>128:10</w:t>
      </w:r>
      <w:r>
        <w:rPr>
          <w:rFonts w:ascii="IRNazanin" w:hAnsi="IRNazanin" w:eastAsia="IRNazanin"/>
          <w:b w:val="false"/>
          <w:b w:val="false"/>
          <w:bCs w:val="false"/>
          <w:i w:val="false"/>
          <w:i w:val="false"/>
          <w:iCs w:val="false"/>
          <w:color w:val="333333"/>
          <w:sz w:val="20"/>
          <w:sz w:val="20"/>
          <w:szCs w:val="20"/>
          <w:rtl w:val="true"/>
        </w:rPr>
        <w:t>؛ بحوث فقهیّة هامّة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فقهی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کلمات سدیدة فی مسائل جدیدة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العبد و الأمة</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379:9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301:4</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390:17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یخفی أنّ المستفاد من الروایة إنّما هو الحکم الوضعی أی الدیة، و لا تدلّ علی الحکم التکلیفی إلاّ بالذهاب إلی الملازمة بینهما فی المقام و إن کانت ممنوعة فی الأحوال، فربما کان الضمان موجوداً مع عدم الحکم التکلیفی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کتاب الدیات،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العاقلة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لم یتمّ من کلّ شیء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309:19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العاقلة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یخفی أنّ‌</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381:18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المرتد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143:10</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بعدها، کتاب الحدود، باب ما یجب به الحدّ و التعزیر، سورة الاسراء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یقال بلزوم مضیّ ستّة أیّام بعد ورود المنی فی الرحم حتّی یستقرّ، فهل الحرمة فی تلک الأیّام و قبل الاستقرار ثابتة أیضاً أم لا؟ و لا یبعد أن یُقال بأنّ الأدلّة لا تشمل هذه الأیّام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إلاّ أن یُقال بأنّ إطلاق بعض ما تقدّم کموثّقة إسحاق و غیرها یثبت خلافها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 ف</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الفقهیة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الکویت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الدسوقی علی الشرح الکبیر </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الفقهیة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الکویت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البنایة فی شرح الهدایة </w:t>
      </w:r>
      <w:r>
        <w:rPr>
          <w:rFonts w:eastAsia="IRNazanin" w:cs="IRNazanin"/>
          <w:b w:val="false"/>
          <w:bCs w:val="false"/>
          <w:i w:val="false"/>
          <w:iCs w:val="false"/>
          <w:color w:val="333333"/>
          <w:sz w:val="20"/>
          <w:szCs w:val="20"/>
        </w:rPr>
        <w:t>201:10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أحکام الجنین فی الفقه الإسلامی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الإسلامی و أدلّته </w:t>
      </w:r>
      <w:r>
        <w:rPr>
          <w:rFonts w:eastAsia="IRNazanin" w:cs="IRNazanin"/>
          <w:b w:val="false"/>
          <w:bCs w:val="false"/>
          <w:i w:val="false"/>
          <w:iCs w:val="false"/>
          <w:color w:val="333333"/>
          <w:sz w:val="20"/>
          <w:szCs w:val="20"/>
        </w:rPr>
        <w:t>556:3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ردّ المحتار علی الدرّ المختار </w:t>
      </w:r>
      <w:r>
        <w:rPr>
          <w:rFonts w:eastAsia="IRNazanin" w:cs="IRNazanin"/>
          <w:b w:val="false"/>
          <w:bCs w:val="false"/>
          <w:i w:val="false"/>
          <w:iCs w:val="false"/>
          <w:color w:val="333333"/>
          <w:sz w:val="20"/>
          <w:szCs w:val="20"/>
        </w:rPr>
        <w:t>176:3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الموسوعة الفقهیة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الکویت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386:1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الموسوعة الفقهیة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الکویت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الفقهیة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الکویت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بدایة المجتهد </w:t>
      </w:r>
      <w:r>
        <w:rPr>
          <w:rFonts w:eastAsia="IRNazanin" w:cs="IRNazanin"/>
          <w:b w:val="false"/>
          <w:bCs w:val="false"/>
          <w:i w:val="false"/>
          <w:iCs w:val="false"/>
          <w:color w:val="333333"/>
          <w:sz w:val="20"/>
          <w:szCs w:val="20"/>
        </w:rPr>
        <w:t>453:2</w:t>
      </w:r>
      <w:r>
        <w:rPr>
          <w:rFonts w:ascii="IRNazanin" w:hAnsi="IRNazanin" w:eastAsia="IRNazanin"/>
          <w:b w:val="false"/>
          <w:b w:val="false"/>
          <w:bCs w:val="false"/>
          <w:i w:val="false"/>
          <w:i w:val="false"/>
          <w:iCs w:val="false"/>
          <w:color w:val="333333"/>
          <w:sz w:val="20"/>
          <w:sz w:val="20"/>
          <w:szCs w:val="20"/>
          <w:rtl w:val="true"/>
        </w:rPr>
        <w:t xml:space="preserve">، الموسوعة الفقهیة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الکویت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الموسوعة الفقهیة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الکویت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الإسلامی و أدلّته </w:t>
      </w:r>
      <w:r>
        <w:rPr>
          <w:rFonts w:eastAsia="IRNazanin" w:cs="IRNazanin"/>
          <w:b w:val="false"/>
          <w:bCs w:val="false"/>
          <w:i w:val="false"/>
          <w:iCs w:val="false"/>
          <w:color w:val="333333"/>
          <w:sz w:val="20"/>
          <w:szCs w:val="20"/>
        </w:rPr>
        <w:t>558:3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المرأة و البیت المسلم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439:1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فی الدفن مسألة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العروة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254:4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الاحکام </w:t>
      </w:r>
      <w:r>
        <w:rPr>
          <w:rFonts w:eastAsia="IRNazanin" w:cs="IRNazanin"/>
          <w:b w:val="false"/>
          <w:bCs w:val="false"/>
          <w:i w:val="false"/>
          <w:iCs w:val="false"/>
          <w:color w:val="333333"/>
          <w:sz w:val="20"/>
          <w:szCs w:val="20"/>
        </w:rPr>
        <w:t>177:4</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 xml:space="preserve">، القول فی الدفن مسألة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439:1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فی الدفن مسألة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محمد تقی الآملی فی مصباح الهدی </w:t>
      </w:r>
      <w:r>
        <w:rPr>
          <w:rFonts w:eastAsia="IRNazanin" w:cs="IRNazanin"/>
          <w:b w:val="false"/>
          <w:bCs w:val="false"/>
          <w:i w:val="false"/>
          <w:iCs w:val="false"/>
          <w:color w:val="333333"/>
          <w:sz w:val="20"/>
          <w:szCs w:val="20"/>
        </w:rPr>
        <w:t>443:6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فی هذا کلّه التنقیح فی شرح العروة الوثقی للسیّد الخوئی رحمه الله </w:t>
      </w:r>
      <w:r>
        <w:rPr>
          <w:rFonts w:eastAsia="IRNazanin" w:cs="IRNazanin"/>
          <w:b w:val="false"/>
          <w:bCs w:val="false"/>
          <w:i w:val="false"/>
          <w:iCs w:val="false"/>
          <w:color w:val="333333"/>
          <w:sz w:val="20"/>
          <w:szCs w:val="20"/>
        </w:rPr>
        <w:t>193:9</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المسائل </w:t>
      </w:r>
      <w:r>
        <w:rPr>
          <w:rFonts w:eastAsia="IRNazanin" w:cs="IRNazanin"/>
          <w:b w:val="false"/>
          <w:bCs w:val="false"/>
          <w:i w:val="false"/>
          <w:iCs w:val="false"/>
          <w:color w:val="333333"/>
          <w:sz w:val="20"/>
          <w:szCs w:val="20"/>
        </w:rPr>
        <w:t>490:1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فقهیّة هامّة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صراط النجاة للسیّد الخوئی مع تعلیقات الشیخ التبریزی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للسیّد السیستانی </w:t>
      </w:r>
      <w:r>
        <w:rPr>
          <w:rFonts w:eastAsia="IRNazanin" w:cs="IRNazanin"/>
          <w:b w:val="false"/>
          <w:bCs w:val="false"/>
          <w:i w:val="false"/>
          <w:iCs w:val="false"/>
          <w:color w:val="333333"/>
          <w:sz w:val="20"/>
          <w:szCs w:val="20"/>
        </w:rPr>
        <w:t>461:1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الفقهیّة للمحقّق البجنوردی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ردّ المحتار علی الدرّ المختار لابن عابدین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الفتاوی الخانیة </w:t>
      </w:r>
      <w:r>
        <w:rPr>
          <w:rFonts w:eastAsia="IRNazanin" w:cs="IRNazanin"/>
          <w:b w:val="false"/>
          <w:bCs w:val="false"/>
          <w:i w:val="false"/>
          <w:iCs w:val="false"/>
          <w:color w:val="333333"/>
          <w:sz w:val="20"/>
          <w:szCs w:val="20"/>
        </w:rPr>
        <w:t>410:3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الفتاوی الهندیة </w:t>
      </w:r>
      <w:r>
        <w:rPr>
          <w:rFonts w:eastAsia="IRNazanin" w:cs="IRNazanin"/>
          <w:b w:val="false"/>
          <w:bCs w:val="false"/>
          <w:i w:val="false"/>
          <w:iCs w:val="false"/>
          <w:color w:val="333333"/>
          <w:sz w:val="20"/>
          <w:szCs w:val="20"/>
        </w:rPr>
        <w:t>360:5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الفتاوی للشیخ محمود شلتوت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729:1</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و نکتها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376:4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454:1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439:1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فی الدفن، مسألة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الاحکام </w:t>
      </w:r>
      <w:r>
        <w:rPr>
          <w:rFonts w:eastAsia="IRNazanin" w:cs="IRNazanin"/>
          <w:b w:val="false"/>
          <w:bCs w:val="false"/>
          <w:i w:val="false"/>
          <w:iCs w:val="false"/>
          <w:color w:val="333333"/>
          <w:sz w:val="20"/>
          <w:szCs w:val="20"/>
        </w:rPr>
        <w:t>174:4</w:t>
      </w:r>
      <w:r>
        <w:rPr>
          <w:rFonts w:ascii="IRNazanin" w:hAnsi="IRNazanin" w:eastAsia="IRNazanin"/>
          <w:b w:val="false"/>
          <w:b w:val="false"/>
          <w:bCs w:val="false"/>
          <w:i w:val="false"/>
          <w:i w:val="false"/>
          <w:iCs w:val="false"/>
          <w:color w:val="333333"/>
          <w:sz w:val="20"/>
          <w:sz w:val="20"/>
          <w:szCs w:val="20"/>
          <w:rtl w:val="true"/>
        </w:rPr>
        <w:t xml:space="preserve">؛ التنقیح فی شرح العروة الوثقی </w:t>
      </w:r>
      <w:r>
        <w:rPr>
          <w:rFonts w:eastAsia="IRNazanin" w:cs="IRNazanin"/>
          <w:b w:val="false"/>
          <w:bCs w:val="false"/>
          <w:i w:val="false"/>
          <w:iCs w:val="false"/>
          <w:color w:val="333333"/>
          <w:sz w:val="20"/>
          <w:szCs w:val="20"/>
        </w:rPr>
        <w:t>189:9</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180:1</w:t>
      </w:r>
      <w:r>
        <w:rPr>
          <w:rFonts w:ascii="IRNazanin" w:hAnsi="IRNazanin" w:eastAsia="IRNazanin"/>
          <w:b w:val="false"/>
          <w:b w:val="false"/>
          <w:bCs w:val="false"/>
          <w:i w:val="false"/>
          <w:i w:val="false"/>
          <w:iCs w:val="false"/>
          <w:color w:val="333333"/>
          <w:sz w:val="20"/>
          <w:sz w:val="20"/>
          <w:szCs w:val="20"/>
          <w:rtl w:val="true"/>
        </w:rPr>
        <w:t xml:space="preserve">؛ نهایة الأحکام </w:t>
      </w:r>
      <w:r>
        <w:rPr>
          <w:rFonts w:eastAsia="IRNazanin" w:cs="IRNazanin"/>
          <w:b w:val="false"/>
          <w:bCs w:val="false"/>
          <w:i w:val="false"/>
          <w:iCs w:val="false"/>
          <w:color w:val="333333"/>
          <w:sz w:val="20"/>
          <w:szCs w:val="20"/>
        </w:rPr>
        <w:t>281:2</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387:1</w:t>
      </w:r>
      <w:r>
        <w:rPr>
          <w:rFonts w:ascii="IRNazanin" w:hAnsi="IRNazanin" w:eastAsia="IRNazanin"/>
          <w:b w:val="false"/>
          <w:b w:val="false"/>
          <w:bCs w:val="false"/>
          <w:i w:val="false"/>
          <w:i w:val="false"/>
          <w:iCs w:val="false"/>
          <w:color w:val="333333"/>
          <w:sz w:val="20"/>
          <w:sz w:val="20"/>
          <w:szCs w:val="20"/>
          <w:rtl w:val="true"/>
        </w:rPr>
        <w:t>؛ تحریر 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 xml:space="preserve">، القول فی الدفن، مسألة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673:2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345:3</w:t>
      </w:r>
      <w:r>
        <w:rPr>
          <w:rFonts w:ascii="IRNazanin" w:hAnsi="IRNazanin" w:eastAsia="IRNazanin"/>
          <w:b w:val="false"/>
          <w:b w:val="false"/>
          <w:bCs w:val="false"/>
          <w:i w:val="false"/>
          <w:i w:val="false"/>
          <w:iCs w:val="false"/>
          <w:color w:val="333333"/>
          <w:sz w:val="20"/>
          <w:sz w:val="20"/>
          <w:szCs w:val="20"/>
          <w:rtl w:val="true"/>
        </w:rPr>
        <w:t xml:space="preserve">؛ الفتاوی الهندیة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360:5</w:t>
      </w:r>
      <w:r>
        <w:rPr>
          <w:rFonts w:ascii="IRNazanin" w:hAnsi="IRNazanin" w:eastAsia="IRNazanin"/>
          <w:b w:val="false"/>
          <w:b w:val="false"/>
          <w:bCs w:val="false"/>
          <w:i w:val="false"/>
          <w:i w:val="false"/>
          <w:iCs w:val="false"/>
          <w:color w:val="333333"/>
          <w:sz w:val="20"/>
          <w:sz w:val="20"/>
          <w:szCs w:val="20"/>
          <w:rtl w:val="true"/>
        </w:rPr>
        <w:t xml:space="preserve">؛ حاشیة الدسوقی علی الشرح الکبیر </w:t>
      </w:r>
      <w:r>
        <w:rPr>
          <w:rFonts w:eastAsia="IRNazanin" w:cs="IRNazanin"/>
          <w:b w:val="false"/>
          <w:bCs w:val="false"/>
          <w:i w:val="false"/>
          <w:iCs w:val="false"/>
          <w:color w:val="333333"/>
          <w:sz w:val="20"/>
          <w:szCs w:val="20"/>
        </w:rPr>
        <w:t>429:1</w:t>
      </w:r>
      <w:r>
        <w:rPr>
          <w:rFonts w:ascii="IRNazanin" w:hAnsi="IRNazanin" w:eastAsia="IRNazanin"/>
          <w:b w:val="false"/>
          <w:b w:val="false"/>
          <w:bCs w:val="false"/>
          <w:i w:val="false"/>
          <w:i w:val="false"/>
          <w:iCs w:val="false"/>
          <w:color w:val="333333"/>
          <w:sz w:val="20"/>
          <w:sz w:val="20"/>
          <w:szCs w:val="20"/>
          <w:rtl w:val="true"/>
        </w:rPr>
        <w:t xml:space="preserve">؛ مواهب الجلیل للحطّاب </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 xml:space="preserve">؛ حاشیة ردّ المحتار علی الدّر المختار لابن عابدین </w:t>
      </w:r>
      <w:r>
        <w:rPr>
          <w:rFonts w:eastAsia="IRNazanin" w:cs="IRNazanin"/>
          <w:b w:val="false"/>
          <w:bCs w:val="false"/>
          <w:i w:val="false"/>
          <w:iCs w:val="false"/>
          <w:color w:val="333333"/>
          <w:sz w:val="20"/>
          <w:szCs w:val="20"/>
        </w:rPr>
        <w:t>238:2</w:t>
      </w:r>
      <w:r>
        <w:rPr>
          <w:rFonts w:ascii="IRNazanin" w:hAnsi="IRNazanin" w:eastAsia="IRNazanin"/>
          <w:b w:val="false"/>
          <w:b w:val="false"/>
          <w:bCs w:val="false"/>
          <w:i w:val="false"/>
          <w:i w:val="false"/>
          <w:iCs w:val="false"/>
          <w:color w:val="333333"/>
          <w:sz w:val="20"/>
          <w:sz w:val="20"/>
          <w:szCs w:val="20"/>
          <w:rtl w:val="true"/>
        </w:rPr>
        <w:t xml:space="preserve">؛ الکافی فی فقه الإمام أحمد </w:t>
      </w:r>
      <w:r>
        <w:rPr>
          <w:rFonts w:eastAsia="IRNazanin" w:cs="IRNazanin"/>
          <w:b w:val="false"/>
          <w:bCs w:val="false"/>
          <w:i w:val="false"/>
          <w:iCs w:val="false"/>
          <w:color w:val="333333"/>
          <w:sz w:val="20"/>
          <w:szCs w:val="20"/>
        </w:rPr>
        <w:t>373:1</w:t>
      </w:r>
      <w:r>
        <w:rPr>
          <w:rFonts w:ascii="IRNazanin" w:hAnsi="IRNazanin" w:eastAsia="IRNazanin"/>
          <w:b w:val="false"/>
          <w:b w:val="false"/>
          <w:bCs w:val="false"/>
          <w:i w:val="false"/>
          <w:i w:val="false"/>
          <w:iCs w:val="false"/>
          <w:color w:val="333333"/>
          <w:sz w:val="20"/>
          <w:sz w:val="20"/>
          <w:szCs w:val="20"/>
          <w:rtl w:val="true"/>
        </w:rPr>
        <w:t xml:space="preserve">؛ إعانة الطالبین </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tl w:val="true"/>
        </w:rPr>
        <w:t xml:space="preserve">؛ الحاوی الکبیر </w:t>
      </w:r>
      <w:r>
        <w:rPr>
          <w:rFonts w:eastAsia="IRNazanin" w:cs="IRNazanin"/>
          <w:b w:val="false"/>
          <w:bCs w:val="false"/>
          <w:i w:val="false"/>
          <w:iCs w:val="false"/>
          <w:color w:val="333333"/>
          <w:sz w:val="20"/>
          <w:szCs w:val="20"/>
        </w:rPr>
        <w:t>231:3</w:t>
      </w:r>
      <w:r>
        <w:rPr>
          <w:rFonts w:ascii="IRNazanin" w:hAnsi="IRNazanin" w:eastAsia="IRNazanin"/>
          <w:b w:val="false"/>
          <w:b w:val="false"/>
          <w:bCs w:val="false"/>
          <w:i w:val="false"/>
          <w:i w:val="false"/>
          <w:iCs w:val="false"/>
          <w:color w:val="333333"/>
          <w:sz w:val="20"/>
          <w:sz w:val="20"/>
          <w:szCs w:val="20"/>
          <w:rtl w:val="true"/>
        </w:rPr>
        <w:t xml:space="preserve">؛ المجموع للنووی </w:t>
      </w:r>
      <w:r>
        <w:rPr>
          <w:rFonts w:eastAsia="IRNazanin" w:cs="IRNazanin"/>
          <w:b w:val="false"/>
          <w:bCs w:val="false"/>
          <w:i w:val="false"/>
          <w:iCs w:val="false"/>
          <w:color w:val="333333"/>
          <w:sz w:val="20"/>
          <w:szCs w:val="20"/>
        </w:rPr>
        <w:t>263:5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حاشیتا القلیوبی و عمیرة </w:t>
      </w:r>
      <w:r>
        <w:rPr>
          <w:rFonts w:eastAsia="IRNazanin" w:cs="IRNazanin"/>
          <w:b w:val="false"/>
          <w:bCs w:val="false"/>
          <w:i w:val="false"/>
          <w:iCs w:val="false"/>
          <w:color w:val="333333"/>
          <w:sz w:val="20"/>
          <w:szCs w:val="20"/>
        </w:rPr>
        <w:t>528:1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413:2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729:1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الاحکام </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455:1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Pr>
        <w:t>386:1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375:4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439:1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الدفن مسألة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فی الدفن مسألة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169:1</w:t>
      </w:r>
      <w:r>
        <w:rPr>
          <w:rFonts w:ascii="IRNazanin" w:hAnsi="IRNazanin" w:eastAsia="IRNazanin"/>
          <w:b w:val="false"/>
          <w:b w:val="false"/>
          <w:bCs w:val="false"/>
          <w:i w:val="false"/>
          <w:i w:val="false"/>
          <w:iCs w:val="false"/>
          <w:color w:val="333333"/>
          <w:sz w:val="20"/>
          <w:sz w:val="20"/>
          <w:szCs w:val="20"/>
          <w:rtl w:val="true"/>
        </w:rPr>
        <w:t xml:space="preserve">؛ التنقیح فی شرح العروة الوثقی </w:t>
      </w:r>
      <w:r>
        <w:rPr>
          <w:rFonts w:eastAsia="IRNazanin" w:cs="IRNazanin"/>
          <w:b w:val="false"/>
          <w:bCs w:val="false"/>
          <w:i w:val="false"/>
          <w:iCs w:val="false"/>
          <w:color w:val="333333"/>
          <w:sz w:val="20"/>
          <w:szCs w:val="20"/>
        </w:rPr>
        <w:t>188:9</w:t>
      </w:r>
      <w:r>
        <w:rPr>
          <w:rFonts w:ascii="IRNazanin" w:hAnsi="IRNazanin" w:eastAsia="IRNazanin"/>
          <w:b w:val="false"/>
          <w:b w:val="false"/>
          <w:bCs w:val="false"/>
          <w:i w:val="false"/>
          <w:i w:val="false"/>
          <w:iCs w:val="false"/>
          <w:color w:val="333333"/>
          <w:sz w:val="20"/>
          <w:sz w:val="20"/>
          <w:szCs w:val="20"/>
          <w:rtl w:val="true"/>
        </w:rPr>
        <w:t xml:space="preserve">؛ مهذّب الاحکام للسید السبزواری </w:t>
      </w:r>
      <w:r>
        <w:rPr>
          <w:rFonts w:eastAsia="IRNazanin" w:cs="IRNazanin"/>
          <w:b w:val="false"/>
          <w:bCs w:val="false"/>
          <w:i w:val="false"/>
          <w:iCs w:val="false"/>
          <w:color w:val="333333"/>
          <w:sz w:val="20"/>
          <w:szCs w:val="20"/>
        </w:rPr>
        <w:t>175:4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1008/362:1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673:2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415:1</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375:4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729:1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730</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ردّ المحتار علی الدرّ المختار لابن عابدین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الدسوقی </w:t>
      </w:r>
      <w:r>
        <w:rPr>
          <w:rFonts w:eastAsia="IRNazanin" w:cs="IRNazanin"/>
          <w:b w:val="false"/>
          <w:bCs w:val="false"/>
          <w:i w:val="false"/>
          <w:iCs w:val="false"/>
          <w:color w:val="333333"/>
          <w:sz w:val="20"/>
          <w:szCs w:val="20"/>
        </w:rPr>
        <w:t>423:4</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208:3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474:6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فی فقه الشافعی </w:t>
      </w:r>
      <w:r>
        <w:rPr>
          <w:rFonts w:eastAsia="IRNazanin" w:cs="IRNazanin"/>
          <w:b w:val="false"/>
          <w:bCs w:val="false"/>
          <w:i w:val="false"/>
          <w:iCs w:val="false"/>
          <w:color w:val="333333"/>
          <w:sz w:val="20"/>
          <w:szCs w:val="20"/>
        </w:rPr>
        <w:t>456:1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306:2</w:t>
      </w:r>
      <w:r>
        <w:rPr>
          <w:rFonts w:ascii="IRNazanin" w:hAnsi="IRNazanin" w:eastAsia="IRNazanin"/>
          <w:b w:val="false"/>
          <w:b w:val="false"/>
          <w:bCs w:val="false"/>
          <w:i w:val="false"/>
          <w:i w:val="false"/>
          <w:iCs w:val="false"/>
          <w:color w:val="333333"/>
          <w:sz w:val="20"/>
          <w:sz w:val="20"/>
          <w:szCs w:val="20"/>
          <w:rtl w:val="true"/>
        </w:rPr>
        <w:t xml:space="preserve">، الروضة البهیّة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236:6</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386:28</w:t>
      </w:r>
      <w:r>
        <w:rPr>
          <w:rFonts w:ascii="IRNazanin" w:hAnsi="IRNazanin" w:eastAsia="IRNazanin"/>
          <w:b w:val="false"/>
          <w:b w:val="false"/>
          <w:bCs w:val="false"/>
          <w:i w:val="false"/>
          <w:i w:val="false"/>
          <w:iCs w:val="false"/>
          <w:color w:val="333333"/>
          <w:sz w:val="20"/>
          <w:sz w:val="20"/>
          <w:szCs w:val="20"/>
          <w:rtl w:val="true"/>
        </w:rPr>
        <w:t xml:space="preserve">، جامع المدارک للمحقق الخوانساری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 مهذب الاحکام </w:t>
      </w:r>
      <w:r>
        <w:rPr>
          <w:rFonts w:eastAsia="IRNazanin" w:cs="IRNazanin"/>
          <w:b w:val="false"/>
          <w:bCs w:val="false"/>
          <w:i w:val="false"/>
          <w:iCs w:val="false"/>
          <w:color w:val="333333"/>
          <w:sz w:val="20"/>
          <w:szCs w:val="20"/>
        </w:rPr>
        <w:t>204:22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لهذا تجوز الوصیّة للأجنبی الموجود بلا 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 ف</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الوصیّة التملیکیّة عقد یحتاج إلی إیجاب و قبول، و الحمل لا یمکن له القبول فهو کالجدار مثلاً فی هذا الأمر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تحتاج إلی القبول علی المشهور، و لکن القبول لیس شرطاً لتحقّق الوصیّة بل هو شرط لتملّک الموصی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 ف</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الوصایا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373:13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الوصایا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374:13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الوصایا</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460:2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300:1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 و کشف الصدق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460:2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342:6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306:2</w:t>
      </w:r>
      <w:r>
        <w:rPr>
          <w:rFonts w:ascii="IRNazanin" w:hAnsi="IRNazanin" w:eastAsia="IRNazanin"/>
          <w:b w:val="false"/>
          <w:b w:val="false"/>
          <w:bCs w:val="false"/>
          <w:i w:val="false"/>
          <w:i w:val="false"/>
          <w:iCs w:val="false"/>
          <w:color w:val="333333"/>
          <w:sz w:val="20"/>
          <w:sz w:val="20"/>
          <w:szCs w:val="20"/>
          <w:rtl w:val="true"/>
        </w:rPr>
        <w:t xml:space="preserve">، الروضة البهیة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236:6</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42:10</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234:6</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342:6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306:2</w:t>
      </w:r>
      <w:r>
        <w:rPr>
          <w:rFonts w:ascii="IRNazanin" w:hAnsi="IRNazanin" w:eastAsia="IRNazanin"/>
          <w:b w:val="false"/>
          <w:b w:val="false"/>
          <w:bCs w:val="false"/>
          <w:i w:val="false"/>
          <w:i w:val="false"/>
          <w:iCs w:val="false"/>
          <w:color w:val="333333"/>
          <w:sz w:val="20"/>
          <w:sz w:val="20"/>
          <w:szCs w:val="20"/>
          <w:rtl w:val="true"/>
        </w:rPr>
        <w:t xml:space="preserve">، الروضة البهیة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236:6</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42:10</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234:6</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المدارک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236:6</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الفقهاء للسمرقندی </w:t>
      </w:r>
      <w:r>
        <w:rPr>
          <w:rFonts w:eastAsia="IRNazanin" w:cs="IRNazanin"/>
          <w:b w:val="false"/>
          <w:bCs w:val="false"/>
          <w:i w:val="false"/>
          <w:iCs w:val="false"/>
          <w:color w:val="333333"/>
          <w:sz w:val="20"/>
          <w:szCs w:val="20"/>
        </w:rPr>
        <w:t>208:3</w:t>
      </w:r>
      <w:r>
        <w:rPr>
          <w:rFonts w:ascii="IRNazanin" w:hAnsi="IRNazanin" w:eastAsia="IRNazanin"/>
          <w:b w:val="false"/>
          <w:b w:val="false"/>
          <w:bCs w:val="false"/>
          <w:i w:val="false"/>
          <w:i w:val="false"/>
          <w:iCs w:val="false"/>
          <w:color w:val="333333"/>
          <w:sz w:val="20"/>
          <w:sz w:val="20"/>
          <w:szCs w:val="20"/>
          <w:rtl w:val="true"/>
        </w:rPr>
        <w:t xml:space="preserve">؛ الفتاوی الهندیة </w:t>
      </w:r>
      <w:r>
        <w:rPr>
          <w:rFonts w:eastAsia="IRNazanin" w:cs="IRNazanin"/>
          <w:b w:val="false"/>
          <w:bCs w:val="false"/>
          <w:i w:val="false"/>
          <w:iCs w:val="false"/>
          <w:color w:val="333333"/>
          <w:sz w:val="20"/>
          <w:szCs w:val="20"/>
        </w:rPr>
        <w:t>92:6</w:t>
      </w:r>
      <w:r>
        <w:rPr>
          <w:rFonts w:ascii="IRNazanin" w:hAnsi="IRNazanin" w:eastAsia="IRNazanin"/>
          <w:b w:val="false"/>
          <w:b w:val="false"/>
          <w:bCs w:val="false"/>
          <w:i w:val="false"/>
          <w:i w:val="false"/>
          <w:iCs w:val="false"/>
          <w:color w:val="333333"/>
          <w:sz w:val="20"/>
          <w:sz w:val="20"/>
          <w:szCs w:val="20"/>
          <w:rtl w:val="true"/>
        </w:rPr>
        <w:t xml:space="preserve">؛ المبسوط للسرخسی </w:t>
      </w:r>
      <w:r>
        <w:rPr>
          <w:rFonts w:eastAsia="IRNazanin" w:cs="IRNazanin"/>
          <w:b w:val="false"/>
          <w:bCs w:val="false"/>
          <w:i w:val="false"/>
          <w:iCs w:val="false"/>
          <w:color w:val="333333"/>
          <w:sz w:val="20"/>
          <w:szCs w:val="20"/>
        </w:rPr>
        <w:t>87:26</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474:6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فی فقه الإمام الشافعی </w:t>
      </w:r>
      <w:r>
        <w:rPr>
          <w:rFonts w:eastAsia="IRNazanin" w:cs="IRNazanin"/>
          <w:b w:val="false"/>
          <w:bCs w:val="false"/>
          <w:i w:val="false"/>
          <w:iCs w:val="false"/>
          <w:color w:val="333333"/>
          <w:sz w:val="20"/>
          <w:szCs w:val="20"/>
        </w:rPr>
        <w:t>456:1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الدسوقی علی الشرح الکبیر </w:t>
      </w:r>
      <w:r>
        <w:rPr>
          <w:rFonts w:eastAsia="IRNazanin" w:cs="IRNazanin"/>
          <w:b w:val="false"/>
          <w:bCs w:val="false"/>
          <w:i w:val="false"/>
          <w:iCs w:val="false"/>
          <w:color w:val="333333"/>
          <w:sz w:val="20"/>
          <w:szCs w:val="20"/>
        </w:rPr>
        <w:t>423:4</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112:4</w:t>
      </w:r>
      <w:r>
        <w:rPr>
          <w:rFonts w:ascii="IRNazanin" w:hAnsi="IRNazanin" w:eastAsia="IRNazanin"/>
          <w:b w:val="false"/>
          <w:b w:val="false"/>
          <w:bCs w:val="false"/>
          <w:i w:val="false"/>
          <w:i w:val="false"/>
          <w:iCs w:val="false"/>
          <w:color w:val="333333"/>
          <w:sz w:val="20"/>
          <w:sz w:val="20"/>
          <w:szCs w:val="20"/>
          <w:rtl w:val="true"/>
        </w:rPr>
        <w:t xml:space="preserve">، کتاب الفرائض المسألة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276:3</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355:2</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209:8</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546:11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309:2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الشرائع </w:t>
      </w:r>
      <w:r>
        <w:rPr>
          <w:rFonts w:eastAsia="IRNazanin" w:cs="IRNazanin"/>
          <w:b w:val="false"/>
          <w:bCs w:val="false"/>
          <w:i w:val="false"/>
          <w:iCs w:val="false"/>
          <w:color w:val="333333"/>
          <w:sz w:val="20"/>
          <w:szCs w:val="20"/>
        </w:rPr>
        <w:t>316:3</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415:4</w:t>
      </w:r>
      <w:r>
        <w:rPr>
          <w:rFonts w:ascii="IRNazanin" w:hAnsi="IRNazanin" w:eastAsia="IRNazanin"/>
          <w:b w:val="false"/>
          <w:b w:val="false"/>
          <w:bCs w:val="false"/>
          <w:i w:val="false"/>
          <w:i w:val="false"/>
          <w:iCs w:val="false"/>
          <w:color w:val="333333"/>
          <w:sz w:val="20"/>
          <w:sz w:val="20"/>
          <w:szCs w:val="20"/>
          <w:rtl w:val="true"/>
        </w:rPr>
        <w:t xml:space="preserve">؛ جامع المدارک </w:t>
      </w:r>
      <w:r>
        <w:rPr>
          <w:rFonts w:eastAsia="IRNazanin" w:cs="IRNazanin"/>
          <w:b w:val="false"/>
          <w:bCs w:val="false"/>
          <w:i w:val="false"/>
          <w:iCs w:val="false"/>
          <w:color w:val="333333"/>
          <w:sz w:val="20"/>
          <w:szCs w:val="20"/>
        </w:rPr>
        <w:t>371:5</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174:9</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70:39</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392:9</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226:4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581:17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الخنثی،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587:17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الخنثی،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586:17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الخنثی،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155:7</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587:17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الخنثی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587:17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الخنثی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586:17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الخنثی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586:17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الخنثی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174:9</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المدارک </w:t>
      </w:r>
      <w:r>
        <w:rPr>
          <w:rFonts w:eastAsia="IRNazanin" w:cs="IRNazanin"/>
          <w:b w:val="false"/>
          <w:bCs w:val="false"/>
          <w:i w:val="false"/>
          <w:iCs w:val="false"/>
          <w:color w:val="333333"/>
          <w:sz w:val="20"/>
          <w:szCs w:val="20"/>
        </w:rPr>
        <w:t>371:5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الشرائع </w:t>
      </w:r>
      <w:r>
        <w:rPr>
          <w:rFonts w:eastAsia="IRNazanin" w:cs="IRNazanin"/>
          <w:b w:val="false"/>
          <w:bCs w:val="false"/>
          <w:i w:val="false"/>
          <w:iCs w:val="false"/>
          <w:color w:val="333333"/>
          <w:sz w:val="20"/>
          <w:szCs w:val="20"/>
        </w:rPr>
        <w:t>316:3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174:9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فی شرح تحریر الوسیلة، کتاب الإرث،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عبّر الأصحاب رحمهم الله فی عنوان الباب بمیراث الحمل، و لکن بالنظر الدقّی و فی الحقیقة کان الإرث للمولود، کما لا یخفی</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للسرخسی </w:t>
      </w:r>
      <w:r>
        <w:rPr>
          <w:rFonts w:eastAsia="IRNazanin" w:cs="IRNazanin"/>
          <w:b w:val="false"/>
          <w:bCs w:val="false"/>
          <w:i w:val="false"/>
          <w:iCs w:val="false"/>
          <w:color w:val="333333"/>
          <w:sz w:val="20"/>
          <w:szCs w:val="20"/>
        </w:rPr>
        <w:t>50:30</w:t>
      </w:r>
      <w:r>
        <w:rPr>
          <w:rFonts w:ascii="IRNazanin" w:hAnsi="IRNazanin" w:eastAsia="IRNazanin"/>
          <w:b w:val="false"/>
          <w:b w:val="false"/>
          <w:bCs w:val="false"/>
          <w:i w:val="false"/>
          <w:i w:val="false"/>
          <w:iCs w:val="false"/>
          <w:color w:val="333333"/>
          <w:sz w:val="20"/>
          <w:sz w:val="20"/>
          <w:szCs w:val="20"/>
          <w:rtl w:val="true"/>
        </w:rPr>
        <w:t xml:space="preserve">؛ الفتاوی الهندیّة </w:t>
      </w:r>
      <w:r>
        <w:rPr>
          <w:rFonts w:eastAsia="IRNazanin" w:cs="IRNazanin"/>
          <w:b w:val="false"/>
          <w:bCs w:val="false"/>
          <w:i w:val="false"/>
          <w:iCs w:val="false"/>
          <w:color w:val="333333"/>
          <w:sz w:val="20"/>
          <w:szCs w:val="20"/>
        </w:rPr>
        <w:t>455:6</w:t>
      </w:r>
      <w:r>
        <w:rPr>
          <w:rFonts w:ascii="IRNazanin" w:hAnsi="IRNazanin" w:eastAsia="IRNazanin"/>
          <w:b w:val="false"/>
          <w:b w:val="false"/>
          <w:bCs w:val="false"/>
          <w:i w:val="false"/>
          <w:i w:val="false"/>
          <w:iCs w:val="false"/>
          <w:color w:val="333333"/>
          <w:sz w:val="20"/>
          <w:sz w:val="20"/>
          <w:szCs w:val="20"/>
          <w:rtl w:val="true"/>
        </w:rPr>
        <w:t xml:space="preserve">؛ حاشیة الدسوقی </w:t>
      </w:r>
      <w:r>
        <w:rPr>
          <w:rFonts w:eastAsia="IRNazanin" w:cs="IRNazanin"/>
          <w:b w:val="false"/>
          <w:bCs w:val="false"/>
          <w:i w:val="false"/>
          <w:iCs w:val="false"/>
          <w:color w:val="333333"/>
          <w:sz w:val="20"/>
          <w:szCs w:val="20"/>
        </w:rPr>
        <w:t>487:4</w:t>
      </w:r>
      <w:r>
        <w:rPr>
          <w:rFonts w:ascii="IRNazanin" w:hAnsi="IRNazanin" w:eastAsia="IRNazanin"/>
          <w:b w:val="false"/>
          <w:b w:val="false"/>
          <w:bCs w:val="false"/>
          <w:i w:val="false"/>
          <w:i w:val="false"/>
          <w:iCs w:val="false"/>
          <w:color w:val="333333"/>
          <w:sz w:val="20"/>
          <w:sz w:val="20"/>
          <w:szCs w:val="20"/>
          <w:rtl w:val="true"/>
        </w:rPr>
        <w:t xml:space="preserve">؛ المغنی لابن قدامة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مغنی المحتاج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الکواکب الدُّریّة فی فقه المالکیّة </w:t>
      </w:r>
      <w:r>
        <w:rPr>
          <w:rFonts w:eastAsia="IRNazanin" w:cs="IRNazanin"/>
          <w:b w:val="false"/>
          <w:bCs w:val="false"/>
          <w:i w:val="false"/>
          <w:iCs w:val="false"/>
          <w:color w:val="333333"/>
          <w:sz w:val="20"/>
          <w:szCs w:val="20"/>
        </w:rPr>
        <w:t>253:4</w:t>
      </w:r>
      <w:r>
        <w:rPr>
          <w:rFonts w:ascii="IRNazanin" w:hAnsi="IRNazanin" w:eastAsia="IRNazanin"/>
          <w:b w:val="false"/>
          <w:b w:val="false"/>
          <w:bCs w:val="false"/>
          <w:i w:val="false"/>
          <w:i w:val="false"/>
          <w:iCs w:val="false"/>
          <w:color w:val="333333"/>
          <w:sz w:val="20"/>
          <w:sz w:val="20"/>
          <w:szCs w:val="20"/>
          <w:rtl w:val="true"/>
        </w:rPr>
        <w:t xml:space="preserve">؛ المهذّب فی فقه الإمام الشافعی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224:5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الرموز </w:t>
      </w:r>
      <w:r>
        <w:rPr>
          <w:rFonts w:eastAsia="IRNazanin" w:cs="IRNazanin"/>
          <w:b w:val="false"/>
          <w:bCs w:val="false"/>
          <w:i w:val="false"/>
          <w:iCs w:val="false"/>
          <w:color w:val="333333"/>
          <w:sz w:val="20"/>
          <w:szCs w:val="20"/>
        </w:rPr>
        <w:t>549:2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376:14</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83:13</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59:10</w:t>
      </w:r>
      <w:r>
        <w:rPr>
          <w:rFonts w:ascii="IRNazanin" w:hAnsi="IRNazanin" w:eastAsia="IRNazanin"/>
          <w:b w:val="false"/>
          <w:b w:val="false"/>
          <w:bCs w:val="false"/>
          <w:i w:val="false"/>
          <w:i w:val="false"/>
          <w:iCs w:val="false"/>
          <w:color w:val="333333"/>
          <w:sz w:val="20"/>
          <w:sz w:val="20"/>
          <w:szCs w:val="20"/>
          <w:rtl w:val="true"/>
        </w:rPr>
        <w:t xml:space="preserve">، الجواهر </w:t>
      </w:r>
      <w:r>
        <w:rPr>
          <w:rFonts w:eastAsia="IRNazanin" w:cs="IRNazanin"/>
          <w:b w:val="false"/>
          <w:bCs w:val="false"/>
          <w:i w:val="false"/>
          <w:iCs w:val="false"/>
          <w:color w:val="333333"/>
          <w:sz w:val="20"/>
          <w:szCs w:val="20"/>
        </w:rPr>
        <w:t>337:41</w:t>
      </w:r>
      <w:r>
        <w:rPr>
          <w:rFonts w:ascii="IRNazanin" w:hAnsi="IRNazanin" w:eastAsia="IRNazanin"/>
          <w:b w:val="false"/>
          <w:b w:val="false"/>
          <w:bCs w:val="false"/>
          <w:i w:val="false"/>
          <w:i w:val="false"/>
          <w:iCs w:val="false"/>
          <w:color w:val="333333"/>
          <w:sz w:val="20"/>
          <w:sz w:val="20"/>
          <w:szCs w:val="20"/>
          <w:rtl w:val="true"/>
        </w:rPr>
        <w:t xml:space="preserve">، مهذّب الاحکام </w:t>
      </w:r>
      <w:r>
        <w:rPr>
          <w:rFonts w:eastAsia="IRNazanin" w:cs="IRNazanin"/>
          <w:b w:val="false"/>
          <w:bCs w:val="false"/>
          <w:i w:val="false"/>
          <w:iCs w:val="false"/>
          <w:color w:val="333333"/>
          <w:sz w:val="20"/>
          <w:szCs w:val="20"/>
        </w:rPr>
        <w:t>279:27</w:t>
      </w:r>
      <w:r>
        <w:rPr>
          <w:rFonts w:ascii="IRNazanin" w:hAnsi="IRNazanin" w:eastAsia="IRNazanin"/>
          <w:b w:val="false"/>
          <w:b w:val="false"/>
          <w:bCs w:val="false"/>
          <w:i w:val="false"/>
          <w:i w:val="false"/>
          <w:iCs w:val="false"/>
          <w:color w:val="333333"/>
          <w:sz w:val="20"/>
          <w:sz w:val="20"/>
          <w:szCs w:val="20"/>
          <w:rtl w:val="true"/>
        </w:rPr>
        <w:t>، جامع المدارک للمحقّق الخوانساری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381:18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الحدود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550:18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143:10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380:18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إحیاء الموات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یجب به التعزیر و الحد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w:t>
      </w:r>
      <w:r>
        <w:rPr>
          <w:rFonts w:eastAsia="IRNazanin" w:cs="IRNazanin"/>
          <w:b w:val="false"/>
          <w:bCs w:val="false"/>
          <w:i w:val="false"/>
          <w:iCs w:val="false"/>
          <w:color w:val="333333"/>
          <w:sz w:val="20"/>
          <w:szCs w:val="20"/>
        </w:rPr>
        <w:t>229:8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الحدود</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الحدود؛ الفقیه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یجب به التعزیر و الحدّ ح </w:t>
      </w:r>
      <w:r>
        <w:rPr>
          <w:rFonts w:eastAsia="IRNazanin" w:cs="IRNazanin"/>
          <w:b w:val="false"/>
          <w:bCs w:val="false"/>
          <w:i w:val="false"/>
          <w:iCs w:val="false"/>
          <w:color w:val="333333"/>
          <w:sz w:val="20"/>
          <w:szCs w:val="20"/>
        </w:rPr>
        <w:t>5018</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حجری</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454:3</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402:2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المدارک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کشف الرموز </w:t>
      </w:r>
      <w:r>
        <w:rPr>
          <w:rFonts w:eastAsia="IRNazanin" w:cs="IRNazanin"/>
          <w:b w:val="false"/>
          <w:bCs w:val="false"/>
          <w:i w:val="false"/>
          <w:iCs w:val="false"/>
          <w:color w:val="333333"/>
          <w:sz w:val="20"/>
          <w:szCs w:val="20"/>
        </w:rPr>
        <w:t>549:2</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فی فقه الإمام الشافعی </w:t>
      </w:r>
      <w:r>
        <w:rPr>
          <w:rFonts w:eastAsia="IRNazanin" w:cs="IRNazanin"/>
          <w:b w:val="false"/>
          <w:bCs w:val="false"/>
          <w:i w:val="false"/>
          <w:iCs w:val="false"/>
          <w:color w:val="333333"/>
          <w:sz w:val="20"/>
          <w:szCs w:val="20"/>
        </w:rPr>
        <w:t>271:2</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132:10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الکبری </w:t>
      </w:r>
      <w:r>
        <w:rPr>
          <w:rFonts w:eastAsia="IRNazanin" w:cs="IRNazanin"/>
          <w:b w:val="false"/>
          <w:bCs w:val="false"/>
          <w:i w:val="false"/>
          <w:iCs w:val="false"/>
          <w:color w:val="333333"/>
          <w:sz w:val="20"/>
          <w:szCs w:val="20"/>
        </w:rPr>
        <w:t>250:6</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للسرخسی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للسرخسی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322:42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تکملة المنهاج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301:2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الرموز </w:t>
      </w:r>
      <w:r>
        <w:rPr>
          <w:rFonts w:eastAsia="IRNazanin" w:cs="IRNazanin"/>
          <w:b w:val="false"/>
          <w:bCs w:val="false"/>
          <w:i w:val="false"/>
          <w:iCs w:val="false"/>
          <w:color w:val="333333"/>
          <w:sz w:val="20"/>
          <w:szCs w:val="20"/>
        </w:rPr>
        <w:t>549:2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429:4</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100:10</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253:15</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 البرهان</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469:2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485:2</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الاحکام </w:t>
      </w:r>
      <w:r>
        <w:rPr>
          <w:rFonts w:eastAsia="IRNazanin" w:cs="IRNazanin"/>
          <w:b w:val="false"/>
          <w:bCs w:val="false"/>
          <w:i w:val="false"/>
          <w:iCs w:val="false"/>
          <w:color w:val="333333"/>
          <w:sz w:val="20"/>
          <w:szCs w:val="20"/>
        </w:rPr>
        <w:t>37:29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300:28</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القصاص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377:18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143:10</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465:2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253:15</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323:42</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لابن قدامة فی الفقه الحنبلی </w:t>
      </w:r>
      <w:r>
        <w:rPr>
          <w:rFonts w:eastAsia="IRNazanin" w:cs="IRNazanin"/>
          <w:b w:val="false"/>
          <w:bCs w:val="false"/>
          <w:i w:val="false"/>
          <w:iCs w:val="false"/>
          <w:color w:val="333333"/>
          <w:sz w:val="20"/>
          <w:szCs w:val="20"/>
        </w:rPr>
        <w:t>449:9</w:t>
      </w:r>
      <w:r>
        <w:rPr>
          <w:rFonts w:ascii="IRNazanin" w:hAnsi="IRNazanin" w:eastAsia="IRNazanin"/>
          <w:b w:val="false"/>
          <w:b w:val="false"/>
          <w:bCs w:val="false"/>
          <w:i w:val="false"/>
          <w:i w:val="false"/>
          <w:iCs w:val="false"/>
          <w:color w:val="333333"/>
          <w:sz w:val="20"/>
          <w:sz w:val="20"/>
          <w:szCs w:val="20"/>
          <w:rtl w:val="true"/>
        </w:rPr>
        <w:t xml:space="preserve">؛ المهذّب فی الفقه الشافعی </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الدسوقی علی الشرح الکبیر </w:t>
      </w:r>
      <w:r>
        <w:rPr>
          <w:rFonts w:eastAsia="IRNazanin" w:cs="IRNazanin"/>
          <w:b w:val="false"/>
          <w:bCs w:val="false"/>
          <w:i w:val="false"/>
          <w:iCs w:val="false"/>
          <w:color w:val="333333"/>
          <w:sz w:val="20"/>
          <w:szCs w:val="20"/>
        </w:rPr>
        <w:t>260:4</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علی المذاهب الأربعة </w:t>
      </w:r>
      <w:r>
        <w:rPr>
          <w:rFonts w:eastAsia="IRNazanin" w:cs="IRNazanin"/>
          <w:b w:val="false"/>
          <w:bCs w:val="false"/>
          <w:i w:val="false"/>
          <w:iCs w:val="false"/>
          <w:color w:val="333333"/>
          <w:sz w:val="20"/>
          <w:szCs w:val="20"/>
        </w:rPr>
        <w:t>364:5</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الغسل بضمّ الغین کما فهمه الأصحاب، و لأصالة العبادة فی الأوامر، و هو الظاهر من الأخبار، ریاض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228:7</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251:31</w:t>
      </w:r>
      <w:r>
        <w:rPr>
          <w:rFonts w:ascii="IRNazanin" w:hAnsi="IRNazanin" w:eastAsia="IRNazanin"/>
          <w:b w:val="false"/>
          <w:b w:val="false"/>
          <w:bCs w:val="false"/>
          <w:i w:val="false"/>
          <w:i w:val="false"/>
          <w:iCs w:val="false"/>
          <w:color w:val="333333"/>
          <w:sz w:val="20"/>
          <w:sz w:val="20"/>
          <w:szCs w:val="20"/>
          <w:rtl w:val="true"/>
        </w:rPr>
        <w:t xml:space="preserve">؛ العروة الوثقی </w:t>
      </w:r>
      <w:r>
        <w:rPr>
          <w:rFonts w:eastAsia="IRNazanin" w:cs="IRNazanin"/>
          <w:b w:val="false"/>
          <w:bCs w:val="false"/>
          <w:i w:val="false"/>
          <w:iCs w:val="false"/>
          <w:color w:val="333333"/>
          <w:sz w:val="20"/>
          <w:szCs w:val="20"/>
        </w:rPr>
        <w:t>465:2</w:t>
      </w:r>
      <w:r>
        <w:rPr>
          <w:rFonts w:ascii="IRNazanin" w:hAnsi="IRNazanin" w:eastAsia="IRNazanin"/>
          <w:b w:val="false"/>
          <w:b w:val="false"/>
          <w:bCs w:val="false"/>
          <w:i w:val="false"/>
          <w:i w:val="false"/>
          <w:iCs w:val="false"/>
          <w:color w:val="333333"/>
          <w:sz w:val="20"/>
          <w:sz w:val="20"/>
          <w:szCs w:val="20"/>
          <w:rtl w:val="true"/>
        </w:rPr>
        <w:t xml:space="preserve">، علی هذا إن ما احتمله فی کشف اللثام </w:t>
      </w:r>
      <w:r>
        <w:rPr>
          <w:rFonts w:eastAsia="IRNazanin" w:cs="IRNazanin"/>
          <w:b w:val="false"/>
          <w:bCs w:val="false"/>
          <w:i w:val="false"/>
          <w:iCs w:val="false"/>
          <w:color w:val="333333"/>
          <w:sz w:val="20"/>
          <w:szCs w:val="20"/>
        </w:rPr>
        <w:t>525:7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المراد به الغسل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النجاسة لا ریب فی ضعفه</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الجواهر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646:2</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394:8</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النکاح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تراث الشیخ الأعظم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490:20</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المرام </w:t>
      </w:r>
      <w:r>
        <w:rPr>
          <w:rFonts w:eastAsia="IRNazanin" w:cs="IRNazanin"/>
          <w:b w:val="false"/>
          <w:bCs w:val="false"/>
          <w:i w:val="false"/>
          <w:iCs w:val="false"/>
          <w:color w:val="333333"/>
          <w:sz w:val="20"/>
          <w:szCs w:val="20"/>
        </w:rPr>
        <w:t>446:1</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190:4</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421:1</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276:2</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ذ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 عنه فی العروة الوثقی </w:t>
      </w:r>
      <w:r>
        <w:rPr>
          <w:rFonts w:eastAsia="IRNazanin" w:cs="IRNazanin"/>
          <w:b w:val="false"/>
          <w:bCs w:val="false"/>
          <w:i w:val="false"/>
          <w:iCs w:val="false"/>
          <w:color w:val="333333"/>
          <w:sz w:val="20"/>
          <w:szCs w:val="20"/>
        </w:rPr>
        <w:t>465:1</w:t>
      </w:r>
      <w:r>
        <w:rPr>
          <w:rFonts w:ascii="IRNazanin" w:hAnsi="IRNazanin" w:eastAsia="IRNazanin"/>
          <w:b w:val="false"/>
          <w:b w:val="false"/>
          <w:bCs w:val="false"/>
          <w:i w:val="false"/>
          <w:i w:val="false"/>
          <w:iCs w:val="false"/>
          <w:color w:val="333333"/>
          <w:sz w:val="20"/>
          <w:sz w:val="20"/>
          <w:szCs w:val="20"/>
          <w:rtl w:val="true"/>
        </w:rPr>
        <w:t>، و لم نجده فی کتبه</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228:7</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465:1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المرام </w:t>
      </w:r>
      <w:r>
        <w:rPr>
          <w:rFonts w:eastAsia="IRNazanin" w:cs="IRNazanin"/>
          <w:b w:val="false"/>
          <w:bCs w:val="false"/>
          <w:i w:val="false"/>
          <w:iCs w:val="false"/>
          <w:color w:val="333333"/>
          <w:sz w:val="20"/>
          <w:szCs w:val="20"/>
        </w:rPr>
        <w:t>446:1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394:8</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525:7</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228:7</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646:2</w:t>
      </w:r>
      <w:r>
        <w:rPr>
          <w:rFonts w:ascii="IRNazanin" w:hAnsi="IRNazanin" w:eastAsia="IRNazanin"/>
          <w:b w:val="false"/>
          <w:b w:val="false"/>
          <w:bCs w:val="false"/>
          <w:i w:val="false"/>
          <w:i w:val="false"/>
          <w:iCs w:val="false"/>
          <w:color w:val="333333"/>
          <w:sz w:val="20"/>
          <w:sz w:val="20"/>
          <w:szCs w:val="20"/>
          <w:rtl w:val="true"/>
        </w:rPr>
        <w:t>؛ 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343:2</w:t>
      </w:r>
      <w:r>
        <w:rPr>
          <w:rFonts w:ascii="IRNazanin" w:hAnsi="IRNazanin" w:eastAsia="IRNazanin"/>
          <w:b w:val="false"/>
          <w:b w:val="false"/>
          <w:bCs w:val="false"/>
          <w:i w:val="false"/>
          <w:i w:val="false"/>
          <w:iCs w:val="false"/>
          <w:color w:val="333333"/>
          <w:sz w:val="20"/>
          <w:sz w:val="20"/>
          <w:szCs w:val="20"/>
          <w:rtl w:val="true"/>
        </w:rPr>
        <w:t xml:space="preserve">؛ قواعد الاحکام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394:8</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526:7</w:t>
      </w:r>
      <w:r>
        <w:rPr>
          <w:rFonts w:ascii="IRNazanin" w:hAnsi="IRNazanin" w:eastAsia="IRNazanin"/>
          <w:b w:val="false"/>
          <w:b w:val="false"/>
          <w:bCs w:val="false"/>
          <w:i w:val="false"/>
          <w:i w:val="false"/>
          <w:iCs w:val="false"/>
          <w:color w:val="333333"/>
          <w:sz w:val="20"/>
          <w:sz w:val="20"/>
          <w:szCs w:val="20"/>
          <w:rtl w:val="true"/>
        </w:rPr>
        <w:t xml:space="preserve">؛ کتاب النکاح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تراث الشیخ الأنصاری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490:20</w:t>
      </w:r>
      <w:r>
        <w:rPr>
          <w:rFonts w:ascii="IRNazanin" w:hAnsi="IRNazanin" w:eastAsia="IRNazanin"/>
          <w:b w:val="false"/>
          <w:b w:val="false"/>
          <w:bCs w:val="false"/>
          <w:i w:val="false"/>
          <w:i w:val="false"/>
          <w:iCs w:val="false"/>
          <w:color w:val="333333"/>
          <w:sz w:val="20"/>
          <w:sz w:val="20"/>
          <w:szCs w:val="20"/>
          <w:rtl w:val="true"/>
        </w:rPr>
        <w:t xml:space="preserve">؛ 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601:1</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276:2</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136:15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137:15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1316:23</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139:15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136:15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و ج </w:t>
      </w:r>
      <w:r>
        <w:rPr>
          <w:rFonts w:eastAsia="IRNazanin" w:cs="IRNazanin"/>
          <w:b w:val="false"/>
          <w:bCs w:val="false"/>
          <w:i w:val="false"/>
          <w:iCs w:val="false"/>
          <w:color w:val="333333"/>
          <w:sz w:val="20"/>
          <w:szCs w:val="20"/>
        </w:rPr>
        <w:t>672:4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209:5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5105</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1518</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المحتاج إلی شرح المنهاج </w:t>
      </w:r>
      <w:r>
        <w:rPr>
          <w:rFonts w:eastAsia="IRNazanin" w:cs="IRNazanin"/>
          <w:b w:val="false"/>
          <w:bCs w:val="false"/>
          <w:i w:val="false"/>
          <w:iCs w:val="false"/>
          <w:color w:val="333333"/>
          <w:sz w:val="20"/>
          <w:szCs w:val="20"/>
        </w:rPr>
        <w:t>149:8</w:t>
      </w:r>
      <w:r>
        <w:rPr>
          <w:rFonts w:ascii="IRNazanin" w:hAnsi="IRNazanin" w:eastAsia="IRNazanin"/>
          <w:b w:val="false"/>
          <w:b w:val="false"/>
          <w:bCs w:val="false"/>
          <w:i w:val="false"/>
          <w:i w:val="false"/>
          <w:iCs w:val="false"/>
          <w:color w:val="333333"/>
          <w:sz w:val="20"/>
          <w:sz w:val="20"/>
          <w:szCs w:val="20"/>
          <w:rtl w:val="true"/>
        </w:rPr>
        <w:t xml:space="preserve">؛ مغنی المحتاج </w:t>
      </w:r>
      <w:r>
        <w:rPr>
          <w:rFonts w:eastAsia="IRNazanin" w:cs="IRNazanin"/>
          <w:b w:val="false"/>
          <w:bCs w:val="false"/>
          <w:i w:val="false"/>
          <w:iCs w:val="false"/>
          <w:color w:val="333333"/>
          <w:sz w:val="20"/>
          <w:szCs w:val="20"/>
        </w:rPr>
        <w:t>296:4</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الإسلامی و أدلّته </w:t>
      </w:r>
      <w:r>
        <w:rPr>
          <w:rFonts w:eastAsia="IRNazanin" w:cs="IRNazanin"/>
          <w:b w:val="false"/>
          <w:bCs w:val="false"/>
          <w:i w:val="false"/>
          <w:iCs w:val="false"/>
          <w:color w:val="333333"/>
          <w:sz w:val="20"/>
          <w:szCs w:val="20"/>
        </w:rPr>
        <w:t>640:3</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w:t>
      </w:r>
      <w:r>
        <w:rPr>
          <w:rFonts w:eastAsia="IRNazanin" w:cs="IRNazanin"/>
          <w:b w:val="false"/>
          <w:bCs w:val="false"/>
          <w:i w:val="false"/>
          <w:iCs w:val="false"/>
          <w:color w:val="333333"/>
          <w:sz w:val="20"/>
          <w:szCs w:val="20"/>
        </w:rPr>
        <w:t>264:14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19846</w:t>
      </w:r>
      <w:r>
        <w:rPr>
          <w:rFonts w:ascii="IRNazanin" w:hAnsi="IRNazanin" w:eastAsia="IRNazanin"/>
          <w:b w:val="false"/>
          <w:b w:val="false"/>
          <w:bCs w:val="false"/>
          <w:i w:val="false"/>
          <w:i w:val="false"/>
          <w:iCs w:val="false"/>
          <w:color w:val="333333"/>
          <w:sz w:val="20"/>
          <w:sz w:val="20"/>
          <w:szCs w:val="20"/>
          <w:rtl w:val="true"/>
        </w:rPr>
        <w:t xml:space="preserve">؛ نیل الأوطار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الإسلامی و أدلّته </w:t>
      </w:r>
      <w:r>
        <w:rPr>
          <w:rFonts w:eastAsia="IRNazanin" w:cs="IRNazanin"/>
          <w:b w:val="false"/>
          <w:bCs w:val="false"/>
          <w:i w:val="false"/>
          <w:iCs w:val="false"/>
          <w:color w:val="333333"/>
          <w:sz w:val="20"/>
          <w:szCs w:val="20"/>
        </w:rPr>
        <w:t>640:3</w:t>
      </w:r>
      <w:r>
        <w:rPr>
          <w:rFonts w:ascii="IRNazanin" w:hAnsi="IRNazanin" w:eastAsia="IRNazanin"/>
          <w:b w:val="false"/>
          <w:b w:val="false"/>
          <w:bCs w:val="false"/>
          <w:i w:val="false"/>
          <w:i w:val="false"/>
          <w:iCs w:val="false"/>
          <w:color w:val="333333"/>
          <w:sz w:val="20"/>
          <w:sz w:val="20"/>
          <w:szCs w:val="20"/>
          <w:rtl w:val="true"/>
        </w:rPr>
        <w:t xml:space="preserve">، المغنی لابن قدامة </w:t>
      </w:r>
      <w:r>
        <w:rPr>
          <w:rFonts w:eastAsia="IRNazanin" w:cs="IRNazanin"/>
          <w:b w:val="false"/>
          <w:bCs w:val="false"/>
          <w:i w:val="false"/>
          <w:iCs w:val="false"/>
          <w:color w:val="333333"/>
          <w:sz w:val="20"/>
          <w:szCs w:val="20"/>
        </w:rPr>
        <w:t>125:11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646:2</w:t>
      </w:r>
      <w:r>
        <w:rPr>
          <w:rFonts w:ascii="IRNazanin" w:hAnsi="IRNazanin" w:eastAsia="IRNazanin"/>
          <w:b w:val="false"/>
          <w:b w:val="false"/>
          <w:bCs w:val="false"/>
          <w:i w:val="false"/>
          <w:i w:val="false"/>
          <w:iCs w:val="false"/>
          <w:color w:val="333333"/>
          <w:sz w:val="20"/>
          <w:sz w:val="20"/>
          <w:szCs w:val="20"/>
          <w:rtl w:val="true"/>
        </w:rPr>
        <w:t xml:space="preserve">؛ شرائع الإسلام </w:t>
      </w:r>
      <w:r>
        <w:rPr>
          <w:rFonts w:eastAsia="IRNazanin" w:cs="IRNazanin"/>
          <w:b w:val="false"/>
          <w:bCs w:val="false"/>
          <w:i w:val="false"/>
          <w:iCs w:val="false"/>
          <w:color w:val="333333"/>
          <w:sz w:val="20"/>
          <w:szCs w:val="20"/>
        </w:rPr>
        <w:t>343:2</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395:8</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526:7</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395:8</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253:31</w:t>
      </w:r>
      <w:r>
        <w:rPr>
          <w:rFonts w:ascii="IRNazanin" w:hAnsi="IRNazanin" w:eastAsia="IRNazanin"/>
          <w:b w:val="false"/>
          <w:b w:val="false"/>
          <w:bCs w:val="false"/>
          <w:i w:val="false"/>
          <w:i w:val="false"/>
          <w:iCs w:val="false"/>
          <w:color w:val="333333"/>
          <w:sz w:val="20"/>
          <w:sz w:val="20"/>
          <w:szCs w:val="20"/>
          <w:rtl w:val="true"/>
        </w:rPr>
        <w:t xml:space="preserve">؛ 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138:15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138:15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436:7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138:15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138:15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138:15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253:31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فی فقه الإمام الشافعی </w:t>
      </w:r>
      <w:r>
        <w:rPr>
          <w:rFonts w:eastAsia="IRNazanin" w:cs="IRNazanin"/>
          <w:b w:val="false"/>
          <w:bCs w:val="false"/>
          <w:i w:val="false"/>
          <w:iCs w:val="false"/>
          <w:color w:val="333333"/>
          <w:sz w:val="20"/>
          <w:szCs w:val="20"/>
        </w:rPr>
        <w:t>242:1</w:t>
      </w:r>
      <w:r>
        <w:rPr>
          <w:rFonts w:ascii="IRNazanin" w:hAnsi="IRNazanin" w:eastAsia="IRNazanin"/>
          <w:b w:val="false"/>
          <w:b w:val="false"/>
          <w:bCs w:val="false"/>
          <w:i w:val="false"/>
          <w:i w:val="false"/>
          <w:iCs w:val="false"/>
          <w:color w:val="333333"/>
          <w:sz w:val="20"/>
          <w:sz w:val="20"/>
          <w:szCs w:val="20"/>
          <w:rtl w:val="true"/>
        </w:rPr>
        <w:t xml:space="preserve">؛ الفقه الإسلامی و أدلّته </w:t>
      </w:r>
      <w:r>
        <w:rPr>
          <w:rFonts w:eastAsia="IRNazanin" w:cs="IRNazanin"/>
          <w:b w:val="false"/>
          <w:bCs w:val="false"/>
          <w:i w:val="false"/>
          <w:iCs w:val="false"/>
          <w:color w:val="333333"/>
          <w:sz w:val="20"/>
          <w:szCs w:val="20"/>
        </w:rPr>
        <w:t>641:3</w:t>
      </w:r>
      <w:r>
        <w:rPr>
          <w:rFonts w:ascii="IRNazanin" w:hAnsi="IRNazanin" w:eastAsia="IRNazanin"/>
          <w:b w:val="false"/>
          <w:b w:val="false"/>
          <w:bCs w:val="false"/>
          <w:i w:val="false"/>
          <w:i w:val="false"/>
          <w:iCs w:val="false"/>
          <w:color w:val="333333"/>
          <w:sz w:val="20"/>
          <w:sz w:val="20"/>
          <w:szCs w:val="20"/>
          <w:rtl w:val="true"/>
        </w:rPr>
        <w:t xml:space="preserve">؛ المغنی </w:t>
      </w:r>
      <w:r>
        <w:rPr>
          <w:rFonts w:eastAsia="IRNazanin" w:cs="IRNazanin"/>
          <w:b w:val="false"/>
          <w:bCs w:val="false"/>
          <w:i w:val="false"/>
          <w:iCs w:val="false"/>
          <w:color w:val="333333"/>
          <w:sz w:val="20"/>
          <w:szCs w:val="20"/>
        </w:rPr>
        <w:t>125:11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المحتاج فی شرح المنهاج </w:t>
      </w:r>
      <w:r>
        <w:rPr>
          <w:rFonts w:eastAsia="IRNazanin" w:cs="IRNazanin"/>
          <w:b w:val="false"/>
          <w:bCs w:val="false"/>
          <w:i w:val="false"/>
          <w:iCs w:val="false"/>
          <w:color w:val="333333"/>
          <w:sz w:val="20"/>
          <w:szCs w:val="20"/>
        </w:rPr>
        <w:t>149:8</w:t>
      </w:r>
      <w:r>
        <w:rPr>
          <w:rFonts w:ascii="IRNazanin" w:hAnsi="IRNazanin" w:eastAsia="IRNazanin"/>
          <w:b w:val="false"/>
          <w:b w:val="false"/>
          <w:bCs w:val="false"/>
          <w:i w:val="false"/>
          <w:i w:val="false"/>
          <w:iCs w:val="false"/>
          <w:color w:val="333333"/>
          <w:sz w:val="20"/>
          <w:sz w:val="20"/>
          <w:szCs w:val="20"/>
          <w:rtl w:val="true"/>
        </w:rPr>
        <w:t xml:space="preserve">، نیل الأوطار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مغنی المحتاج </w:t>
      </w:r>
      <w:r>
        <w:rPr>
          <w:rFonts w:eastAsia="IRNazanin" w:cs="IRNazanin"/>
          <w:b w:val="false"/>
          <w:bCs w:val="false"/>
          <w:i w:val="false"/>
          <w:iCs w:val="false"/>
          <w:color w:val="333333"/>
          <w:sz w:val="20"/>
          <w:szCs w:val="20"/>
        </w:rPr>
        <w:t>296:4</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198:15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122:15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125:15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343:2</w:t>
      </w:r>
      <w:r>
        <w:rPr>
          <w:rFonts w:ascii="IRNazanin" w:hAnsi="IRNazanin" w:eastAsia="IRNazanin"/>
          <w:b w:val="false"/>
          <w:b w:val="false"/>
          <w:bCs w:val="false"/>
          <w:i w:val="false"/>
          <w:i w:val="false"/>
          <w:iCs w:val="false"/>
          <w:color w:val="333333"/>
          <w:sz w:val="20"/>
          <w:sz w:val="20"/>
          <w:szCs w:val="20"/>
          <w:rtl w:val="true"/>
        </w:rPr>
        <w:t xml:space="preserve">؛ قواعد الأحکام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276:2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646:2</w:t>
      </w:r>
      <w:r>
        <w:rPr>
          <w:rFonts w:ascii="IRNazanin" w:hAnsi="IRNazanin" w:eastAsia="IRNazanin"/>
          <w:b w:val="false"/>
          <w:b w:val="false"/>
          <w:bCs w:val="false"/>
          <w:i w:val="false"/>
          <w:i w:val="false"/>
          <w:iCs w:val="false"/>
          <w:color w:val="333333"/>
          <w:sz w:val="20"/>
          <w:sz w:val="20"/>
          <w:szCs w:val="20"/>
          <w:rtl w:val="true"/>
        </w:rPr>
        <w:t xml:space="preserve">؛ الجامع للشرائع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396:8</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لا یقتضی و لکن لا ینافیه أیضاً، و توضیح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المدار فی الأصدقیة إنّما هو مطابقة الاسم لواقع المسمّی و من هذه الجهة ما سُمّی بالعبودیة مطابق لواقع الإنسان و حقیقته، و لکن المدار فی الأفضلیّة إنّما هو من جهة أنّه یدلّ علی الموجود الذی هو أشرف من جمیع الموجودات و أفضلهم، فإنّ الأنبیاء أفضل من الجمة من جهة اتّصالهم بالوحی، فمن هذه الجهة تکون أسماءهم أفضل الأسماء، فتبیّن الخلاف فی ملاک الأسماء و لا تنافی بینهما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 ف</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128:15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یخفی أنّ ما روی عن علی بن الحسین عن أبیه لا یدلّ علی الأفضلیّة، بل من جهة أنّ علیّاً علیه السلام کان مظلوماً فی زمانه و بعده أیضاً، و لم یکن الناس فی رخصة بالنسبة إلیه و إلی ذکر فضائله، بل إلی سنین متمادیة تلزمهم الحکومة باللعن علیه فقال الإمام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أحببت 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 ف</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131:15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128:15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129:15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122:11</w:t>
      </w:r>
      <w:r>
        <w:rPr>
          <w:rFonts w:ascii="IRNazanin" w:hAnsi="IRNazanin" w:eastAsia="IRNazanin"/>
          <w:b w:val="false"/>
          <w:b w:val="false"/>
          <w:bCs w:val="false"/>
          <w:i w:val="false"/>
          <w:i w:val="false"/>
          <w:iCs w:val="false"/>
          <w:color w:val="333333"/>
          <w:sz w:val="20"/>
          <w:sz w:val="20"/>
          <w:szCs w:val="20"/>
          <w:rtl w:val="true"/>
        </w:rPr>
        <w:t xml:space="preserve">؛ الشرح الکبیر </w:t>
      </w:r>
      <w:r>
        <w:rPr>
          <w:rFonts w:eastAsia="IRNazanin" w:cs="IRNazanin"/>
          <w:b w:val="false"/>
          <w:bCs w:val="false"/>
          <w:i w:val="false"/>
          <w:iCs w:val="false"/>
          <w:color w:val="333333"/>
          <w:sz w:val="20"/>
          <w:szCs w:val="20"/>
        </w:rPr>
        <w:t>588:3</w:t>
      </w:r>
      <w:r>
        <w:rPr>
          <w:rFonts w:ascii="IRNazanin" w:hAnsi="IRNazanin" w:eastAsia="IRNazanin"/>
          <w:b w:val="false"/>
          <w:b w:val="false"/>
          <w:bCs w:val="false"/>
          <w:i w:val="false"/>
          <w:i w:val="false"/>
          <w:iCs w:val="false"/>
          <w:color w:val="333333"/>
          <w:sz w:val="20"/>
          <w:sz w:val="20"/>
          <w:szCs w:val="20"/>
          <w:rtl w:val="true"/>
        </w:rPr>
        <w:t xml:space="preserve">؛ المهذب فی فقه الإمام الشافعی </w:t>
      </w:r>
      <w:r>
        <w:rPr>
          <w:rFonts w:eastAsia="IRNazanin" w:cs="IRNazanin"/>
          <w:b w:val="false"/>
          <w:bCs w:val="false"/>
          <w:i w:val="false"/>
          <w:iCs w:val="false"/>
          <w:color w:val="333333"/>
          <w:sz w:val="20"/>
          <w:szCs w:val="20"/>
        </w:rPr>
        <w:t>242:1</w:t>
      </w:r>
      <w:r>
        <w:rPr>
          <w:rFonts w:ascii="IRNazanin" w:hAnsi="IRNazanin" w:eastAsia="IRNazanin"/>
          <w:b w:val="false"/>
          <w:b w:val="false"/>
          <w:bCs w:val="false"/>
          <w:i w:val="false"/>
          <w:i w:val="false"/>
          <w:iCs w:val="false"/>
          <w:color w:val="333333"/>
          <w:sz w:val="20"/>
          <w:sz w:val="20"/>
          <w:szCs w:val="20"/>
          <w:rtl w:val="true"/>
        </w:rPr>
        <w:t xml:space="preserve">؛ نهایة المحتاج إلی شرح المنهاج </w:t>
      </w:r>
      <w:r>
        <w:rPr>
          <w:rFonts w:eastAsia="IRNazanin" w:cs="IRNazanin"/>
          <w:b w:val="false"/>
          <w:bCs w:val="false"/>
          <w:i w:val="false"/>
          <w:iCs w:val="false"/>
          <w:color w:val="333333"/>
          <w:sz w:val="20"/>
          <w:szCs w:val="20"/>
        </w:rPr>
        <w:t>148:8</w:t>
      </w:r>
      <w:r>
        <w:rPr>
          <w:rFonts w:ascii="IRNazanin" w:hAnsi="IRNazanin" w:eastAsia="IRNazanin"/>
          <w:b w:val="false"/>
          <w:b w:val="false"/>
          <w:bCs w:val="false"/>
          <w:i w:val="false"/>
          <w:i w:val="false"/>
          <w:iCs w:val="false"/>
          <w:color w:val="333333"/>
          <w:sz w:val="20"/>
          <w:sz w:val="20"/>
          <w:szCs w:val="20"/>
          <w:rtl w:val="true"/>
        </w:rPr>
        <w:t xml:space="preserve">؛ الفقه الإسلامی و أدلّته </w:t>
      </w:r>
      <w:r>
        <w:rPr>
          <w:rFonts w:eastAsia="IRNazanin" w:cs="IRNazanin"/>
          <w:b w:val="false"/>
          <w:bCs w:val="false"/>
          <w:i w:val="false"/>
          <w:iCs w:val="false"/>
          <w:color w:val="333333"/>
          <w:sz w:val="20"/>
          <w:szCs w:val="20"/>
        </w:rPr>
        <w:t>642:3</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155:19</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Pr>
        <w:t>202:2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2690</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149:5</w:t>
      </w:r>
      <w:r>
        <w:rPr>
          <w:rFonts w:ascii="IRNazanin" w:hAnsi="IRNazanin" w:eastAsia="IRNazanin"/>
          <w:b w:val="false"/>
          <w:b w:val="false"/>
          <w:bCs w:val="false"/>
          <w:i w:val="false"/>
          <w:i w:val="false"/>
          <w:iCs w:val="false"/>
          <w:color w:val="333333"/>
          <w:sz w:val="20"/>
          <w:sz w:val="20"/>
          <w:szCs w:val="20"/>
          <w:rtl w:val="true"/>
        </w:rPr>
        <w:t xml:space="preserve">؛ کتاب الأدب 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4948</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Pr>
        <w:t>202:2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2691</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149:5</w:t>
      </w:r>
      <w:r>
        <w:rPr>
          <w:rFonts w:ascii="IRNazanin" w:hAnsi="IRNazanin" w:eastAsia="IRNazanin"/>
          <w:b w:val="false"/>
          <w:b w:val="false"/>
          <w:bCs w:val="false"/>
          <w:i w:val="false"/>
          <w:i w:val="false"/>
          <w:iCs w:val="false"/>
          <w:color w:val="333333"/>
          <w:sz w:val="20"/>
          <w:sz w:val="20"/>
          <w:szCs w:val="20"/>
          <w:rtl w:val="true"/>
        </w:rPr>
        <w:t xml:space="preserve">؛ کتاب الأدب 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4950</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122:11</w:t>
      </w:r>
      <w:r>
        <w:rPr>
          <w:rFonts w:ascii="IRNazanin" w:hAnsi="IRNazanin" w:eastAsia="IRNazanin"/>
          <w:b w:val="false"/>
          <w:b w:val="false"/>
          <w:bCs w:val="false"/>
          <w:i w:val="false"/>
          <w:i w:val="false"/>
          <w:iCs w:val="false"/>
          <w:color w:val="333333"/>
          <w:sz w:val="20"/>
          <w:sz w:val="20"/>
          <w:szCs w:val="20"/>
          <w:rtl w:val="true"/>
        </w:rPr>
        <w:t xml:space="preserve">؛ الفقه الإسلامی و أدلّته </w:t>
      </w:r>
      <w:r>
        <w:rPr>
          <w:rFonts w:eastAsia="IRNazanin" w:cs="IRNazanin"/>
          <w:b w:val="false"/>
          <w:bCs w:val="false"/>
          <w:i w:val="false"/>
          <w:iCs w:val="false"/>
          <w:color w:val="333333"/>
          <w:sz w:val="20"/>
          <w:szCs w:val="20"/>
        </w:rPr>
        <w:t>642:3</w:t>
      </w:r>
      <w:r>
        <w:rPr>
          <w:rFonts w:ascii="IRNazanin" w:hAnsi="IRNazanin" w:eastAsia="IRNazanin"/>
          <w:b w:val="false"/>
          <w:b w:val="false"/>
          <w:bCs w:val="false"/>
          <w:i w:val="false"/>
          <w:i w:val="false"/>
          <w:iCs w:val="false"/>
          <w:color w:val="333333"/>
          <w:sz w:val="20"/>
          <w:sz w:val="20"/>
          <w:szCs w:val="20"/>
          <w:rtl w:val="true"/>
        </w:rPr>
        <w:t xml:space="preserve">؛ مغنی المحتاج </w:t>
      </w:r>
      <w:r>
        <w:rPr>
          <w:rFonts w:eastAsia="IRNazanin" w:cs="IRNazanin"/>
          <w:b w:val="false"/>
          <w:bCs w:val="false"/>
          <w:i w:val="false"/>
          <w:iCs w:val="false"/>
          <w:color w:val="333333"/>
          <w:sz w:val="20"/>
          <w:szCs w:val="20"/>
        </w:rPr>
        <w:t>294:4</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الإسلامی و أدلّته </w:t>
      </w:r>
      <w:r>
        <w:rPr>
          <w:rFonts w:eastAsia="IRNazanin" w:cs="IRNazanin"/>
          <w:b w:val="false"/>
          <w:bCs w:val="false"/>
          <w:i w:val="false"/>
          <w:iCs w:val="false"/>
          <w:color w:val="333333"/>
          <w:sz w:val="20"/>
          <w:szCs w:val="20"/>
        </w:rPr>
        <w:t>642:3</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646:2</w:t>
      </w:r>
      <w:r>
        <w:rPr>
          <w:rFonts w:ascii="IRNazanin" w:hAnsi="IRNazanin" w:eastAsia="IRNazanin"/>
          <w:b w:val="false"/>
          <w:b w:val="false"/>
          <w:bCs w:val="false"/>
          <w:i w:val="false"/>
          <w:i w:val="false"/>
          <w:iCs w:val="false"/>
          <w:color w:val="333333"/>
          <w:sz w:val="20"/>
          <w:sz w:val="20"/>
          <w:szCs w:val="20"/>
          <w:rtl w:val="true"/>
        </w:rPr>
        <w:t xml:space="preserve">؛ شرائع الإسلام </w:t>
      </w:r>
      <w:r>
        <w:rPr>
          <w:rFonts w:eastAsia="IRNazanin" w:cs="IRNazanin"/>
          <w:b w:val="false"/>
          <w:bCs w:val="false"/>
          <w:i w:val="false"/>
          <w:iCs w:val="false"/>
          <w:color w:val="333333"/>
          <w:sz w:val="20"/>
          <w:szCs w:val="20"/>
        </w:rPr>
        <w:t>344:2</w:t>
      </w:r>
      <w:r>
        <w:rPr>
          <w:rFonts w:ascii="IRNazanin" w:hAnsi="IRNazanin" w:eastAsia="IRNazanin"/>
          <w:b w:val="false"/>
          <w:b w:val="false"/>
          <w:bCs w:val="false"/>
          <w:i w:val="false"/>
          <w:i w:val="false"/>
          <w:iCs w:val="false"/>
          <w:color w:val="333333"/>
          <w:sz w:val="20"/>
          <w:sz w:val="20"/>
          <w:szCs w:val="20"/>
          <w:rtl w:val="true"/>
        </w:rPr>
        <w:t xml:space="preserve">؛ قواعد الأحکام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231:7</w:t>
      </w:r>
      <w:r>
        <w:rPr>
          <w:rFonts w:ascii="IRNazanin" w:hAnsi="IRNazanin" w:eastAsia="IRNazanin"/>
          <w:b w:val="false"/>
          <w:b w:val="false"/>
          <w:bCs w:val="false"/>
          <w:i w:val="false"/>
          <w:i w:val="false"/>
          <w:iCs w:val="false"/>
          <w:color w:val="333333"/>
          <w:sz w:val="20"/>
          <w:sz w:val="20"/>
          <w:szCs w:val="20"/>
          <w:rtl w:val="true"/>
        </w:rPr>
        <w:t xml:space="preserve">؛ کتاب النکاح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تراث الشیخ الأعظم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بعض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بضم الحاء أو فتحها، و حکیم بفتح الحاء من أسمائه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إشعار الخالد بالخلود، و المالک بالملک و الاستقلال فی الأمور، و هما کاذبان منافیان للخضوع، و اشعار الضرار بالضرر، و قد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حارثاً و ضراراً من أسماء إبلیس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527:7</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130:15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131:15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4958</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4950</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المحتاج إلی شرح المنهاج </w:t>
      </w:r>
      <w:r>
        <w:rPr>
          <w:rFonts w:eastAsia="IRNazanin" w:cs="IRNazanin"/>
          <w:b w:val="false"/>
          <w:bCs w:val="false"/>
          <w:i w:val="false"/>
          <w:iCs w:val="false"/>
          <w:color w:val="333333"/>
          <w:sz w:val="20"/>
          <w:szCs w:val="20"/>
        </w:rPr>
        <w:t>148:8</w:t>
      </w:r>
      <w:r>
        <w:rPr>
          <w:rFonts w:ascii="IRNazanin" w:hAnsi="IRNazanin" w:eastAsia="IRNazanin"/>
          <w:b w:val="false"/>
          <w:b w:val="false"/>
          <w:bCs w:val="false"/>
          <w:i w:val="false"/>
          <w:i w:val="false"/>
          <w:iCs w:val="false"/>
          <w:color w:val="333333"/>
          <w:sz w:val="20"/>
          <w:sz w:val="20"/>
          <w:szCs w:val="20"/>
          <w:rtl w:val="true"/>
        </w:rPr>
        <w:t xml:space="preserve">؛ مغنی المحتاج </w:t>
      </w:r>
      <w:r>
        <w:rPr>
          <w:rFonts w:eastAsia="IRNazanin" w:cs="IRNazanin"/>
          <w:b w:val="false"/>
          <w:bCs w:val="false"/>
          <w:i w:val="false"/>
          <w:iCs w:val="false"/>
          <w:color w:val="333333"/>
          <w:sz w:val="20"/>
          <w:szCs w:val="20"/>
        </w:rPr>
        <w:t>294:4</w:t>
      </w:r>
      <w:r>
        <w:rPr>
          <w:rFonts w:ascii="IRNazanin" w:hAnsi="IRNazanin" w:eastAsia="IRNazanin"/>
          <w:b w:val="false"/>
          <w:b w:val="false"/>
          <w:bCs w:val="false"/>
          <w:i w:val="false"/>
          <w:i w:val="false"/>
          <w:iCs w:val="false"/>
          <w:color w:val="333333"/>
          <w:sz w:val="20"/>
          <w:sz w:val="20"/>
          <w:szCs w:val="20"/>
          <w:rtl w:val="true"/>
        </w:rPr>
        <w:t xml:space="preserve">؛ الفقه الإسلامی و أدلّته </w:t>
      </w:r>
      <w:r>
        <w:rPr>
          <w:rFonts w:eastAsia="IRNazanin" w:cs="IRNazanin"/>
          <w:b w:val="false"/>
          <w:bCs w:val="false"/>
          <w:i w:val="false"/>
          <w:iCs w:val="false"/>
          <w:color w:val="333333"/>
          <w:sz w:val="20"/>
          <w:szCs w:val="20"/>
        </w:rPr>
        <w:t>642:3</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155:19</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1345:3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2142</w:t>
      </w:r>
      <w:r>
        <w:rPr>
          <w:rFonts w:ascii="IRNazanin" w:hAnsi="IRNazanin" w:eastAsia="IRNazanin"/>
          <w:b w:val="false"/>
          <w:b w:val="false"/>
          <w:bCs w:val="false"/>
          <w:i w:val="false"/>
          <w:i w:val="false"/>
          <w:iCs w:val="false"/>
          <w:color w:val="333333"/>
          <w:sz w:val="20"/>
          <w:sz w:val="20"/>
          <w:szCs w:val="20"/>
          <w:rtl w:val="true"/>
        </w:rPr>
        <w:t xml:space="preserve">؛ مغنی المحتاج </w:t>
      </w:r>
      <w:r>
        <w:rPr>
          <w:rFonts w:eastAsia="IRNazanin" w:cs="IRNazanin"/>
          <w:b w:val="false"/>
          <w:bCs w:val="false"/>
          <w:i w:val="false"/>
          <w:iCs w:val="false"/>
          <w:color w:val="333333"/>
          <w:sz w:val="20"/>
          <w:szCs w:val="20"/>
        </w:rPr>
        <w:t>295:4</w:t>
      </w:r>
      <w:r>
        <w:rPr>
          <w:rFonts w:ascii="IRNazanin" w:hAnsi="IRNazanin" w:eastAsia="IRNazanin"/>
          <w:b w:val="false"/>
          <w:b w:val="false"/>
          <w:bCs w:val="false"/>
          <w:i w:val="false"/>
          <w:i w:val="false"/>
          <w:iCs w:val="false"/>
          <w:color w:val="333333"/>
          <w:sz w:val="20"/>
          <w:sz w:val="20"/>
          <w:szCs w:val="20"/>
          <w:rtl w:val="true"/>
        </w:rPr>
        <w:t xml:space="preserve">؛ المفصل فی أحکام المرأة </w:t>
      </w:r>
      <w:r>
        <w:rPr>
          <w:rFonts w:eastAsia="IRNazanin" w:cs="IRNazanin"/>
          <w:b w:val="false"/>
          <w:bCs w:val="false"/>
          <w:i w:val="false"/>
          <w:iCs w:val="false"/>
          <w:color w:val="333333"/>
          <w:sz w:val="20"/>
          <w:szCs w:val="20"/>
        </w:rPr>
        <w:t>289:9</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1344:3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2139</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242:1</w:t>
      </w:r>
      <w:r>
        <w:rPr>
          <w:rFonts w:ascii="IRNazanin" w:hAnsi="IRNazanin" w:eastAsia="IRNazanin"/>
          <w:b w:val="false"/>
          <w:b w:val="false"/>
          <w:bCs w:val="false"/>
          <w:i w:val="false"/>
          <w:i w:val="false"/>
          <w:iCs w:val="false"/>
          <w:color w:val="333333"/>
          <w:sz w:val="20"/>
          <w:sz w:val="20"/>
          <w:szCs w:val="20"/>
          <w:rtl w:val="true"/>
        </w:rPr>
        <w:t xml:space="preserve">؛ مغنی المحتاج </w:t>
      </w:r>
      <w:r>
        <w:rPr>
          <w:rFonts w:eastAsia="IRNazanin" w:cs="IRNazanin"/>
          <w:b w:val="false"/>
          <w:bCs w:val="false"/>
          <w:i w:val="false"/>
          <w:iCs w:val="false"/>
          <w:color w:val="333333"/>
          <w:sz w:val="20"/>
          <w:szCs w:val="20"/>
        </w:rPr>
        <w:t>294:4</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وسائل الشیعة </w:t>
      </w:r>
      <w:r>
        <w:rPr>
          <w:rFonts w:eastAsia="IRNazanin" w:cs="IRNazanin"/>
          <w:b w:val="false"/>
          <w:bCs w:val="false"/>
          <w:i w:val="false"/>
          <w:iCs w:val="false"/>
          <w:color w:val="333333"/>
          <w:sz w:val="20"/>
          <w:szCs w:val="20"/>
        </w:rPr>
        <w:t>128:15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الأولاد</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219:2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123:15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152:7</w:t>
      </w:r>
      <w:r>
        <w:rPr>
          <w:rFonts w:ascii="IRNazanin" w:hAnsi="IRNazanin" w:eastAsia="IRNazanin"/>
          <w:b w:val="false"/>
          <w:b w:val="false"/>
          <w:bCs w:val="false"/>
          <w:i w:val="false"/>
          <w:i w:val="false"/>
          <w:iCs w:val="false"/>
          <w:color w:val="333333"/>
          <w:sz w:val="20"/>
          <w:sz w:val="20"/>
          <w:szCs w:val="20"/>
          <w:rtl w:val="true"/>
        </w:rPr>
        <w:t xml:space="preserve">، کتاب الأدب، ب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6193</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121:15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الأولاد</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1516</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1759</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1746</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526:7</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155:19</w:t>
      </w:r>
      <w:r>
        <w:rPr>
          <w:rFonts w:ascii="IRNazanin" w:hAnsi="IRNazanin" w:eastAsia="IRNazanin"/>
          <w:b w:val="false"/>
          <w:b w:val="false"/>
          <w:bCs w:val="false"/>
          <w:i w:val="false"/>
          <w:i w:val="false"/>
          <w:iCs w:val="false"/>
          <w:color w:val="333333"/>
          <w:sz w:val="20"/>
          <w:sz w:val="20"/>
          <w:szCs w:val="20"/>
          <w:rtl w:val="true"/>
        </w:rPr>
        <w:t xml:space="preserve">؛ إبانة الأحکام </w:t>
      </w:r>
      <w:r>
        <w:rPr>
          <w:rFonts w:eastAsia="IRNazanin" w:cs="IRNazanin"/>
          <w:b w:val="false"/>
          <w:bCs w:val="false"/>
          <w:i w:val="false"/>
          <w:iCs w:val="false"/>
          <w:color w:val="333333"/>
          <w:sz w:val="20"/>
          <w:szCs w:val="20"/>
        </w:rPr>
        <w:t>235:4</w:t>
      </w:r>
      <w:r>
        <w:rPr>
          <w:rFonts w:ascii="IRNazanin" w:hAnsi="IRNazanin" w:eastAsia="IRNazanin"/>
          <w:b w:val="false"/>
          <w:b w:val="false"/>
          <w:bCs w:val="false"/>
          <w:i w:val="false"/>
          <w:i w:val="false"/>
          <w:iCs w:val="false"/>
          <w:color w:val="333333"/>
          <w:sz w:val="20"/>
          <w:sz w:val="20"/>
          <w:szCs w:val="20"/>
          <w:rtl w:val="true"/>
        </w:rPr>
        <w:t xml:space="preserve">؛ مغنی المحتاج </w:t>
      </w:r>
      <w:r>
        <w:rPr>
          <w:rFonts w:eastAsia="IRNazanin" w:cs="IRNazanin"/>
          <w:b w:val="false"/>
          <w:bCs w:val="false"/>
          <w:i w:val="false"/>
          <w:iCs w:val="false"/>
          <w:color w:val="333333"/>
          <w:sz w:val="20"/>
          <w:szCs w:val="20"/>
        </w:rPr>
        <w:t>294:4</w:t>
      </w:r>
      <w:r>
        <w:rPr>
          <w:rFonts w:ascii="IRNazanin" w:hAnsi="IRNazanin" w:eastAsia="IRNazanin"/>
          <w:b w:val="false"/>
          <w:b w:val="false"/>
          <w:bCs w:val="false"/>
          <w:i w:val="false"/>
          <w:i w:val="false"/>
          <w:iCs w:val="false"/>
          <w:color w:val="333333"/>
          <w:sz w:val="20"/>
          <w:sz w:val="20"/>
          <w:szCs w:val="20"/>
          <w:rtl w:val="true"/>
        </w:rPr>
        <w:t xml:space="preserve">؛ المغنی </w:t>
      </w:r>
      <w:r>
        <w:rPr>
          <w:rFonts w:eastAsia="IRNazanin" w:cs="IRNazanin"/>
          <w:b w:val="false"/>
          <w:bCs w:val="false"/>
          <w:i w:val="false"/>
          <w:iCs w:val="false"/>
          <w:color w:val="333333"/>
          <w:sz w:val="20"/>
          <w:szCs w:val="20"/>
        </w:rPr>
        <w:t>122:11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w:t>
      </w:r>
      <w:r>
        <w:rPr>
          <w:rFonts w:eastAsia="IRNazanin" w:cs="IRNazanin"/>
          <w:b w:val="false"/>
          <w:bCs w:val="false"/>
          <w:i w:val="false"/>
          <w:iCs w:val="false"/>
          <w:color w:val="333333"/>
          <w:sz w:val="20"/>
          <w:szCs w:val="20"/>
        </w:rPr>
        <w:t>294:4</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السالک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w:t>
      </w:r>
      <w:r>
        <w:rPr>
          <w:rFonts w:eastAsia="IRNazanin" w:cs="IRNazanin"/>
          <w:b w:val="false"/>
          <w:bCs w:val="false"/>
          <w:i w:val="false"/>
          <w:iCs w:val="false"/>
          <w:color w:val="333333"/>
          <w:sz w:val="20"/>
          <w:szCs w:val="20"/>
        </w:rPr>
        <w:t>294:4</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343:2</w:t>
      </w:r>
      <w:r>
        <w:rPr>
          <w:rFonts w:ascii="IRNazanin" w:hAnsi="IRNazanin" w:eastAsia="IRNazanin"/>
          <w:b w:val="false"/>
          <w:b w:val="false"/>
          <w:bCs w:val="false"/>
          <w:i w:val="false"/>
          <w:i w:val="false"/>
          <w:iCs w:val="false"/>
          <w:color w:val="333333"/>
          <w:sz w:val="20"/>
          <w:sz w:val="20"/>
          <w:szCs w:val="20"/>
          <w:rtl w:val="true"/>
        </w:rPr>
        <w:t xml:space="preserve">؛ کشف الرموز </w:t>
      </w:r>
      <w:r>
        <w:rPr>
          <w:rFonts w:eastAsia="IRNazanin" w:cs="IRNazanin"/>
          <w:b w:val="false"/>
          <w:bCs w:val="false"/>
          <w:i w:val="false"/>
          <w:iCs w:val="false"/>
          <w:color w:val="333333"/>
          <w:sz w:val="20"/>
          <w:szCs w:val="20"/>
        </w:rPr>
        <w:t>197:2</w:t>
      </w:r>
      <w:r>
        <w:rPr>
          <w:rFonts w:ascii="IRNazanin" w:hAnsi="IRNazanin" w:eastAsia="IRNazanin"/>
          <w:b w:val="false"/>
          <w:b w:val="false"/>
          <w:bCs w:val="false"/>
          <w:i w:val="false"/>
          <w:i w:val="false"/>
          <w:iCs w:val="false"/>
          <w:color w:val="333333"/>
          <w:sz w:val="20"/>
          <w:sz w:val="20"/>
          <w:szCs w:val="20"/>
          <w:rtl w:val="true"/>
        </w:rPr>
        <w:t xml:space="preserve">؛ ریاض العلماء </w:t>
      </w:r>
      <w:r>
        <w:rPr>
          <w:rFonts w:eastAsia="IRNazanin" w:cs="IRNazanin"/>
          <w:b w:val="false"/>
          <w:bCs w:val="false"/>
          <w:i w:val="false"/>
          <w:iCs w:val="false"/>
          <w:color w:val="333333"/>
          <w:sz w:val="20"/>
          <w:szCs w:val="20"/>
        </w:rPr>
        <w:t>231:7</w:t>
      </w:r>
      <w:r>
        <w:rPr>
          <w:rFonts w:ascii="IRNazanin" w:hAnsi="IRNazanin" w:eastAsia="IRNazanin"/>
          <w:b w:val="false"/>
          <w:b w:val="false"/>
          <w:bCs w:val="false"/>
          <w:i w:val="false"/>
          <w:i w:val="false"/>
          <w:iCs w:val="false"/>
          <w:color w:val="333333"/>
          <w:sz w:val="20"/>
          <w:sz w:val="20"/>
          <w:szCs w:val="20"/>
          <w:rtl w:val="true"/>
        </w:rPr>
        <w:t xml:space="preserve">؛ کتاب النکاح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تراث الشیخ الأعظم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490:20</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397:8</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129:15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127:15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154:7</w:t>
      </w:r>
      <w:r>
        <w:rPr>
          <w:rFonts w:ascii="IRNazanin" w:hAnsi="IRNazanin" w:eastAsia="IRNazanin"/>
          <w:b w:val="false"/>
          <w:b w:val="false"/>
          <w:bCs w:val="false"/>
          <w:i w:val="false"/>
          <w:i w:val="false"/>
          <w:iCs w:val="false"/>
          <w:color w:val="333333"/>
          <w:sz w:val="20"/>
          <w:sz w:val="20"/>
          <w:szCs w:val="20"/>
          <w:rtl w:val="true"/>
        </w:rPr>
        <w:t xml:space="preserve">، کتاب الأدب ب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6203</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129:15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501:5</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151:5</w:t>
      </w:r>
      <w:r>
        <w:rPr>
          <w:rFonts w:ascii="IRNazanin" w:hAnsi="IRNazanin" w:eastAsia="IRNazanin"/>
          <w:b w:val="false"/>
          <w:b w:val="false"/>
          <w:bCs w:val="false"/>
          <w:i w:val="false"/>
          <w:i w:val="false"/>
          <w:iCs w:val="false"/>
          <w:color w:val="333333"/>
          <w:sz w:val="20"/>
          <w:sz w:val="20"/>
          <w:szCs w:val="20"/>
          <w:rtl w:val="true"/>
        </w:rPr>
        <w:t xml:space="preserve">، کتاب الأدب 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4955</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یغشی أی یأتی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مرّة کنیة إبلیس اللعین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1326:23</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1340:4</w:t>
      </w:r>
      <w:r>
        <w:rPr>
          <w:rFonts w:ascii="IRNazanin" w:hAnsi="IRNazanin" w:eastAsia="IRNazanin"/>
          <w:b w:val="false"/>
          <w:b w:val="false"/>
          <w:bCs w:val="false"/>
          <w:i w:val="false"/>
          <w:i w:val="false"/>
          <w:iCs w:val="false"/>
          <w:color w:val="333333"/>
          <w:sz w:val="20"/>
          <w:sz w:val="20"/>
          <w:szCs w:val="20"/>
          <w:rtl w:val="true"/>
        </w:rPr>
        <w:t xml:space="preserve">، کتاب الأدب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646:2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344:2</w:t>
      </w:r>
      <w:r>
        <w:rPr>
          <w:rFonts w:ascii="IRNazanin" w:hAnsi="IRNazanin" w:eastAsia="IRNazanin"/>
          <w:b w:val="false"/>
          <w:b w:val="false"/>
          <w:bCs w:val="false"/>
          <w:i w:val="false"/>
          <w:i w:val="false"/>
          <w:iCs w:val="false"/>
          <w:color w:val="333333"/>
          <w:sz w:val="20"/>
          <w:sz w:val="20"/>
          <w:szCs w:val="20"/>
          <w:rtl w:val="true"/>
        </w:rPr>
        <w:t xml:space="preserve">؛ کشف الرموز </w:t>
      </w:r>
      <w:r>
        <w:rPr>
          <w:rFonts w:eastAsia="IRNazanin" w:cs="IRNazanin"/>
          <w:b w:val="false"/>
          <w:bCs w:val="false"/>
          <w:i w:val="false"/>
          <w:iCs w:val="false"/>
          <w:color w:val="333333"/>
          <w:sz w:val="20"/>
          <w:szCs w:val="20"/>
        </w:rPr>
        <w:t>197:2</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401:8</w:t>
      </w:r>
      <w:r>
        <w:rPr>
          <w:rFonts w:ascii="IRNazanin" w:hAnsi="IRNazanin" w:eastAsia="IRNazanin"/>
          <w:b w:val="false"/>
          <w:b w:val="false"/>
          <w:bCs w:val="false"/>
          <w:i w:val="false"/>
          <w:i w:val="false"/>
          <w:iCs w:val="false"/>
          <w:color w:val="333333"/>
          <w:sz w:val="20"/>
          <w:sz w:val="20"/>
          <w:szCs w:val="20"/>
          <w:rtl w:val="true"/>
        </w:rPr>
        <w:t xml:space="preserve">؛ 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1767</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الأولاد</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527:7</w:t>
      </w:r>
      <w:r>
        <w:rPr>
          <w:rFonts w:ascii="IRNazanin" w:hAnsi="IRNazanin" w:eastAsia="IRNazanin"/>
          <w:b w:val="false"/>
          <w:b w:val="false"/>
          <w:bCs w:val="false"/>
          <w:i w:val="false"/>
          <w:i w:val="false"/>
          <w:iCs w:val="false"/>
          <w:color w:val="333333"/>
          <w:sz w:val="20"/>
          <w:sz w:val="20"/>
          <w:szCs w:val="20"/>
          <w:rtl w:val="true"/>
        </w:rPr>
        <w:t>، 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258:31</w:t>
      </w:r>
      <w:r>
        <w:rPr>
          <w:rFonts w:ascii="IRNazanin" w:hAnsi="IRNazanin" w:eastAsia="IRNazanin"/>
          <w:b w:val="false"/>
          <w:b w:val="false"/>
          <w:bCs w:val="false"/>
          <w:i w:val="false"/>
          <w:i w:val="false"/>
          <w:iCs w:val="false"/>
          <w:color w:val="333333"/>
          <w:sz w:val="20"/>
          <w:sz w:val="20"/>
          <w:szCs w:val="20"/>
          <w:rtl w:val="true"/>
        </w:rPr>
        <w:t>، ریاض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231:7</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153:15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241:1</w:t>
      </w:r>
      <w:r>
        <w:rPr>
          <w:rFonts w:ascii="IRNazanin" w:hAnsi="IRNazanin" w:eastAsia="IRNazanin"/>
          <w:b w:val="false"/>
          <w:b w:val="false"/>
          <w:bCs w:val="false"/>
          <w:i w:val="false"/>
          <w:i w:val="false"/>
          <w:iCs w:val="false"/>
          <w:color w:val="333333"/>
          <w:sz w:val="20"/>
          <w:sz w:val="20"/>
          <w:szCs w:val="20"/>
          <w:rtl w:val="true"/>
        </w:rPr>
        <w:t>، المغنی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122:11</w:t>
      </w:r>
      <w:r>
        <w:rPr>
          <w:rFonts w:ascii="IRNazanin" w:hAnsi="IRNazanin" w:eastAsia="IRNazanin"/>
          <w:b w:val="false"/>
          <w:b w:val="false"/>
          <w:bCs w:val="false"/>
          <w:i w:val="false"/>
          <w:i w:val="false"/>
          <w:iCs w:val="false"/>
          <w:color w:val="333333"/>
          <w:sz w:val="20"/>
          <w:sz w:val="20"/>
          <w:szCs w:val="20"/>
          <w:rtl w:val="true"/>
        </w:rPr>
        <w:t>، الشرح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587:3</w:t>
      </w:r>
      <w:r>
        <w:rPr>
          <w:rFonts w:ascii="IRNazanin" w:hAnsi="IRNazanin" w:eastAsia="IRNazanin"/>
          <w:b w:val="false"/>
          <w:b w:val="false"/>
          <w:bCs w:val="false"/>
          <w:i w:val="false"/>
          <w:i w:val="false"/>
          <w:iCs w:val="false"/>
          <w:color w:val="333333"/>
          <w:sz w:val="20"/>
          <w:sz w:val="20"/>
          <w:szCs w:val="20"/>
          <w:rtl w:val="true"/>
        </w:rPr>
        <w:t>، إبانة الاحکام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235:4</w:t>
      </w:r>
      <w:r>
        <w:rPr>
          <w:rFonts w:ascii="IRNazanin" w:hAnsi="IRNazanin" w:eastAsia="IRNazanin"/>
          <w:b w:val="false"/>
          <w:b w:val="false"/>
          <w:bCs w:val="false"/>
          <w:i w:val="false"/>
          <w:i w:val="false"/>
          <w:iCs w:val="false"/>
          <w:color w:val="333333"/>
          <w:sz w:val="20"/>
          <w:sz w:val="20"/>
          <w:szCs w:val="20"/>
          <w:rtl w:val="true"/>
        </w:rPr>
        <w:t>، بدایة المجتهد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343:10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27266</w:t>
      </w:r>
      <w:r>
        <w:rPr>
          <w:rFonts w:ascii="IRNazanin" w:hAnsi="IRNazanin" w:eastAsia="IRNazanin"/>
          <w:b w:val="false"/>
          <w:b w:val="false"/>
          <w:bCs w:val="false"/>
          <w:i w:val="false"/>
          <w:i w:val="false"/>
          <w:iCs w:val="false"/>
          <w:color w:val="333333"/>
          <w:sz w:val="20"/>
          <w:sz w:val="20"/>
          <w:szCs w:val="20"/>
          <w:rtl w:val="true"/>
        </w:rPr>
        <w:t xml:space="preserve">؛ نیل الأوطار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مراسیل أبی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الفقهیّة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الکویت </w:t>
      </w:r>
      <w:r>
        <w:rPr>
          <w:rFonts w:eastAsia="IRNazanin" w:cs="IRNazanin"/>
          <w:b w:val="false"/>
          <w:bCs w:val="false"/>
          <w:i w:val="false"/>
          <w:iCs w:val="false"/>
          <w:color w:val="333333"/>
          <w:sz w:val="20"/>
          <w:szCs w:val="20"/>
        </w:rPr>
        <w:t>96:18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المفصل فی أحکام المرأة </w:t>
      </w:r>
      <w:r>
        <w:rPr>
          <w:rFonts w:eastAsia="IRNazanin" w:cs="IRNazanin"/>
          <w:b w:val="false"/>
          <w:bCs w:val="false"/>
          <w:i w:val="false"/>
          <w:iCs w:val="false"/>
          <w:color w:val="333333"/>
          <w:sz w:val="20"/>
          <w:szCs w:val="20"/>
        </w:rPr>
        <w:t>274:9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323:9</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264:31</w:t>
      </w:r>
      <w:r>
        <w:rPr>
          <w:rFonts w:ascii="IRNazanin" w:hAnsi="IRNazanin" w:eastAsia="IRNazanin"/>
          <w:b w:val="false"/>
          <w:b w:val="false"/>
          <w:bCs w:val="false"/>
          <w:i w:val="false"/>
          <w:i w:val="false"/>
          <w:iCs w:val="false"/>
          <w:color w:val="333333"/>
          <w:sz w:val="20"/>
          <w:sz w:val="20"/>
          <w:szCs w:val="20"/>
          <w:rtl w:val="true"/>
        </w:rPr>
        <w:t xml:space="preserve">؛ المهذب فی فقه الإمام الشافعی </w:t>
      </w:r>
      <w:r>
        <w:rPr>
          <w:rFonts w:eastAsia="IRNazanin" w:cs="IRNazanin"/>
          <w:b w:val="false"/>
          <w:bCs w:val="false"/>
          <w:i w:val="false"/>
          <w:iCs w:val="false"/>
          <w:color w:val="333333"/>
          <w:sz w:val="20"/>
          <w:szCs w:val="20"/>
        </w:rPr>
        <w:t>241:1</w:t>
      </w:r>
      <w:r>
        <w:rPr>
          <w:rFonts w:ascii="IRNazanin" w:hAnsi="IRNazanin" w:eastAsia="IRNazanin"/>
          <w:b w:val="false"/>
          <w:b w:val="false"/>
          <w:bCs w:val="false"/>
          <w:i w:val="false"/>
          <w:i w:val="false"/>
          <w:iCs w:val="false"/>
          <w:color w:val="333333"/>
          <w:sz w:val="20"/>
          <w:sz w:val="20"/>
          <w:szCs w:val="20"/>
          <w:rtl w:val="true"/>
        </w:rPr>
        <w:t xml:space="preserve">؛ الشرح الکبیر </w:t>
      </w:r>
      <w:r>
        <w:rPr>
          <w:rFonts w:eastAsia="IRNazanin" w:cs="IRNazanin"/>
          <w:b w:val="false"/>
          <w:bCs w:val="false"/>
          <w:i w:val="false"/>
          <w:iCs w:val="false"/>
          <w:color w:val="333333"/>
          <w:sz w:val="20"/>
          <w:szCs w:val="20"/>
        </w:rPr>
        <w:t>585:3</w:t>
      </w:r>
      <w:r>
        <w:rPr>
          <w:rFonts w:ascii="IRNazanin" w:hAnsi="IRNazanin" w:eastAsia="IRNazanin"/>
          <w:b w:val="false"/>
          <w:b w:val="false"/>
          <w:bCs w:val="false"/>
          <w:i w:val="false"/>
          <w:i w:val="false"/>
          <w:iCs w:val="false"/>
          <w:color w:val="333333"/>
          <w:sz w:val="20"/>
          <w:sz w:val="20"/>
          <w:szCs w:val="20"/>
          <w:rtl w:val="true"/>
        </w:rPr>
        <w:t xml:space="preserve">؛ الفقه الإسلامی و أدلّته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المغنی </w:t>
      </w:r>
      <w:r>
        <w:rPr>
          <w:rFonts w:eastAsia="IRNazanin" w:cs="IRNazanin"/>
          <w:b w:val="false"/>
          <w:bCs w:val="false"/>
          <w:i w:val="false"/>
          <w:iCs w:val="false"/>
          <w:color w:val="333333"/>
          <w:sz w:val="20"/>
          <w:szCs w:val="20"/>
        </w:rPr>
        <w:t>119:11</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646:2</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344:2</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الرموز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528:7</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59:25</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264:31</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بدایة المجتهد </w:t>
      </w:r>
      <w:r>
        <w:rPr>
          <w:rFonts w:eastAsia="IRNazanin" w:cs="IRNazanin"/>
          <w:b w:val="false"/>
          <w:bCs w:val="false"/>
          <w:i w:val="false"/>
          <w:iCs w:val="false"/>
          <w:color w:val="333333"/>
          <w:sz w:val="20"/>
          <w:szCs w:val="20"/>
        </w:rPr>
        <w:t>484:1</w:t>
      </w:r>
      <w:r>
        <w:rPr>
          <w:rFonts w:ascii="IRNazanin" w:hAnsi="IRNazanin" w:eastAsia="IRNazanin"/>
          <w:b w:val="false"/>
          <w:b w:val="false"/>
          <w:bCs w:val="false"/>
          <w:i w:val="false"/>
          <w:i w:val="false"/>
          <w:iCs w:val="false"/>
          <w:color w:val="333333"/>
          <w:sz w:val="20"/>
          <w:sz w:val="20"/>
          <w:szCs w:val="20"/>
          <w:rtl w:val="true"/>
        </w:rPr>
        <w:t xml:space="preserve">؛ المهذب فی فقه الإمام الشافعی </w:t>
      </w:r>
      <w:r>
        <w:rPr>
          <w:rFonts w:eastAsia="IRNazanin" w:cs="IRNazanin"/>
          <w:b w:val="false"/>
          <w:bCs w:val="false"/>
          <w:i w:val="false"/>
          <w:iCs w:val="false"/>
          <w:color w:val="333333"/>
          <w:sz w:val="20"/>
          <w:szCs w:val="20"/>
        </w:rPr>
        <w:t>241:1</w:t>
      </w:r>
      <w:r>
        <w:rPr>
          <w:rFonts w:ascii="IRNazanin" w:hAnsi="IRNazanin" w:eastAsia="IRNazanin"/>
          <w:b w:val="false"/>
          <w:b w:val="false"/>
          <w:bCs w:val="false"/>
          <w:i w:val="false"/>
          <w:i w:val="false"/>
          <w:iCs w:val="false"/>
          <w:color w:val="333333"/>
          <w:sz w:val="20"/>
          <w:sz w:val="20"/>
          <w:szCs w:val="20"/>
          <w:rtl w:val="true"/>
        </w:rPr>
        <w:t xml:space="preserve">؛ نهایة المحتاج إلی شرح المنهاج </w:t>
      </w:r>
      <w:r>
        <w:rPr>
          <w:rFonts w:eastAsia="IRNazanin" w:cs="IRNazanin"/>
          <w:b w:val="false"/>
          <w:bCs w:val="false"/>
          <w:i w:val="false"/>
          <w:iCs w:val="false"/>
          <w:color w:val="333333"/>
          <w:sz w:val="20"/>
          <w:szCs w:val="20"/>
        </w:rPr>
        <w:t>1458</w:t>
      </w:r>
      <w:r>
        <w:rPr>
          <w:rFonts w:ascii="IRNazanin" w:hAnsi="IRNazanin" w:eastAsia="IRNazanin"/>
          <w:b w:val="false"/>
          <w:b w:val="false"/>
          <w:bCs w:val="false"/>
          <w:i w:val="false"/>
          <w:i w:val="false"/>
          <w:iCs w:val="false"/>
          <w:color w:val="333333"/>
          <w:sz w:val="20"/>
          <w:sz w:val="20"/>
          <w:szCs w:val="20"/>
          <w:rtl w:val="true"/>
        </w:rPr>
        <w:t xml:space="preserve">؛ الفقه الإسلامی و أدلّته </w:t>
      </w:r>
      <w:r>
        <w:rPr>
          <w:rFonts w:eastAsia="IRNazanin" w:cs="IRNazanin"/>
          <w:b w:val="false"/>
          <w:bCs w:val="false"/>
          <w:i w:val="false"/>
          <w:iCs w:val="false"/>
          <w:color w:val="333333"/>
          <w:sz w:val="20"/>
          <w:szCs w:val="20"/>
        </w:rPr>
        <w:t>636:3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xml:space="preserve">؛ المغنی </w:t>
      </w:r>
      <w:r>
        <w:rPr>
          <w:rFonts w:eastAsia="IRNazanin" w:cs="IRNazanin"/>
          <w:b w:val="false"/>
          <w:bCs w:val="false"/>
          <w:i w:val="false"/>
          <w:iCs w:val="false"/>
          <w:color w:val="333333"/>
          <w:sz w:val="20"/>
          <w:szCs w:val="20"/>
        </w:rPr>
        <w:t>120:11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303:7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1330:23</w:t>
      </w:r>
      <w:r>
        <w:rPr>
          <w:rFonts w:ascii="IRNazanin" w:hAnsi="IRNazanin" w:eastAsia="IRNazanin"/>
          <w:b w:val="false"/>
          <w:b w:val="false"/>
          <w:bCs w:val="false"/>
          <w:i w:val="false"/>
          <w:i w:val="false"/>
          <w:iCs w:val="false"/>
          <w:color w:val="333333"/>
          <w:sz w:val="20"/>
          <w:sz w:val="20"/>
          <w:szCs w:val="20"/>
          <w:rtl w:val="true"/>
        </w:rPr>
        <w:t xml:space="preserve">، و لکن قال قدس سره فی مفاتیح الشرائع </w:t>
      </w:r>
      <w:r>
        <w:rPr>
          <w:rFonts w:eastAsia="IRNazanin" w:cs="IRNazanin"/>
          <w:b w:val="false"/>
          <w:bCs w:val="false"/>
          <w:i w:val="false"/>
          <w:iCs w:val="false"/>
          <w:color w:val="333333"/>
          <w:sz w:val="20"/>
          <w:szCs w:val="20"/>
        </w:rPr>
        <w:t>367:2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یستحبّ العقیقة عنه استحباباً مؤکّداً؛ للنصوص المستفیضة</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بدایة المجتهد </w:t>
      </w:r>
      <w:r>
        <w:rPr>
          <w:rFonts w:eastAsia="IRNazanin" w:cs="IRNazanin"/>
          <w:b w:val="false"/>
          <w:bCs w:val="false"/>
          <w:i w:val="false"/>
          <w:iCs w:val="false"/>
          <w:color w:val="333333"/>
          <w:sz w:val="20"/>
          <w:szCs w:val="20"/>
        </w:rPr>
        <w:t>484:1</w:t>
      </w:r>
      <w:r>
        <w:rPr>
          <w:rFonts w:ascii="IRNazanin" w:hAnsi="IRNazanin" w:eastAsia="IRNazanin"/>
          <w:b w:val="false"/>
          <w:b w:val="false"/>
          <w:bCs w:val="false"/>
          <w:i w:val="false"/>
          <w:i w:val="false"/>
          <w:iCs w:val="false"/>
          <w:color w:val="333333"/>
          <w:sz w:val="20"/>
          <w:sz w:val="20"/>
          <w:szCs w:val="20"/>
          <w:rtl w:val="true"/>
        </w:rPr>
        <w:t xml:space="preserve">، الشرح الکبیر </w:t>
      </w:r>
      <w:r>
        <w:rPr>
          <w:rFonts w:eastAsia="IRNazanin" w:cs="IRNazanin"/>
          <w:b w:val="false"/>
          <w:bCs w:val="false"/>
          <w:i w:val="false"/>
          <w:iCs w:val="false"/>
          <w:color w:val="333333"/>
          <w:sz w:val="20"/>
          <w:szCs w:val="20"/>
        </w:rPr>
        <w:t>586:3</w:t>
      </w:r>
      <w:r>
        <w:rPr>
          <w:rFonts w:ascii="IRNazanin" w:hAnsi="IRNazanin" w:eastAsia="IRNazanin"/>
          <w:b w:val="false"/>
          <w:b w:val="false"/>
          <w:bCs w:val="false"/>
          <w:i w:val="false"/>
          <w:i w:val="false"/>
          <w:iCs w:val="false"/>
          <w:color w:val="333333"/>
          <w:sz w:val="20"/>
          <w:sz w:val="20"/>
          <w:szCs w:val="20"/>
          <w:rtl w:val="true"/>
        </w:rPr>
        <w:t xml:space="preserve">، إبانة الاحکام </w:t>
      </w:r>
      <w:r>
        <w:rPr>
          <w:rFonts w:eastAsia="IRNazanin" w:cs="IRNazanin"/>
          <w:b w:val="false"/>
          <w:bCs w:val="false"/>
          <w:i w:val="false"/>
          <w:iCs w:val="false"/>
          <w:color w:val="333333"/>
          <w:sz w:val="20"/>
          <w:szCs w:val="20"/>
        </w:rPr>
        <w:t>233:4</w:t>
      </w:r>
      <w:r>
        <w:rPr>
          <w:rFonts w:ascii="IRNazanin" w:hAnsi="IRNazanin" w:eastAsia="IRNazanin"/>
          <w:b w:val="false"/>
          <w:b w:val="false"/>
          <w:bCs w:val="false"/>
          <w:i w:val="false"/>
          <w:i w:val="false"/>
          <w:iCs w:val="false"/>
          <w:color w:val="333333"/>
          <w:sz w:val="20"/>
          <w:sz w:val="20"/>
          <w:szCs w:val="20"/>
          <w:rtl w:val="true"/>
        </w:rPr>
        <w:t xml:space="preserve">، الحاوی الکبیر </w:t>
      </w:r>
      <w:r>
        <w:rPr>
          <w:rFonts w:eastAsia="IRNazanin" w:cs="IRNazanin"/>
          <w:b w:val="false"/>
          <w:bCs w:val="false"/>
          <w:i w:val="false"/>
          <w:iCs w:val="false"/>
          <w:color w:val="333333"/>
          <w:sz w:val="20"/>
          <w:szCs w:val="20"/>
        </w:rPr>
        <w:t>150:19</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شاة کان العرب فی الجاهلیة یذبحونها فی رجب، فیأکل منها أهل البیت و یطبخون و یطعمون، و العتیرة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ولد للناقة أو الشاة یذبح و یأکل صاحبه و یطعم منه،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الشاة التی تذبح فی رجب وفاءً للنذر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الاسلامی و أدلّته </w:t>
      </w:r>
      <w:r>
        <w:rPr>
          <w:rFonts w:eastAsia="IRNazanin" w:cs="IRNazanin"/>
          <w:b w:val="false"/>
          <w:bCs w:val="false"/>
          <w:i w:val="false"/>
          <w:iCs w:val="false"/>
          <w:color w:val="333333"/>
          <w:sz w:val="20"/>
          <w:szCs w:val="20"/>
        </w:rPr>
        <w:t>636:3</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506:7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14046</w:t>
      </w:r>
      <w:r>
        <w:rPr>
          <w:rFonts w:ascii="IRNazanin" w:hAnsi="IRNazanin" w:eastAsia="IRNazanin"/>
          <w:b w:val="false"/>
          <w:b w:val="false"/>
          <w:bCs w:val="false"/>
          <w:i w:val="false"/>
          <w:i w:val="false"/>
          <w:iCs w:val="false"/>
          <w:color w:val="333333"/>
          <w:sz w:val="20"/>
          <w:sz w:val="20"/>
          <w:szCs w:val="20"/>
          <w:rtl w:val="true"/>
        </w:rPr>
        <w:t xml:space="preserve">؛ سنن الدارقطنی </w:t>
      </w:r>
      <w:r>
        <w:rPr>
          <w:rFonts w:eastAsia="IRNazanin" w:cs="IRNazanin"/>
          <w:b w:val="false"/>
          <w:bCs w:val="false"/>
          <w:i w:val="false"/>
          <w:iCs w:val="false"/>
          <w:color w:val="333333"/>
          <w:sz w:val="20"/>
          <w:szCs w:val="20"/>
        </w:rPr>
        <w:t>186:4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4703</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Pr>
        <w:t>172:14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19549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19551</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255:14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19814</w:t>
      </w:r>
      <w:r>
        <w:rPr>
          <w:rFonts w:ascii="IRNazanin" w:hAnsi="IRNazanin" w:eastAsia="IRNazanin"/>
          <w:b w:val="false"/>
          <w:b w:val="false"/>
          <w:bCs w:val="false"/>
          <w:i w:val="false"/>
          <w:i w:val="false"/>
          <w:iCs w:val="false"/>
          <w:color w:val="333333"/>
          <w:sz w:val="20"/>
          <w:sz w:val="20"/>
          <w:szCs w:val="20"/>
          <w:rtl w:val="true"/>
        </w:rPr>
        <w:t xml:space="preserve">؛ الحاوی الکبیر </w:t>
      </w:r>
      <w:r>
        <w:rPr>
          <w:rFonts w:eastAsia="IRNazanin" w:cs="IRNazanin"/>
          <w:b w:val="false"/>
          <w:bCs w:val="false"/>
          <w:i w:val="false"/>
          <w:iCs w:val="false"/>
          <w:color w:val="333333"/>
          <w:sz w:val="20"/>
          <w:szCs w:val="20"/>
        </w:rPr>
        <w:t>150:19</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143:15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الأضحیّة جمع ضحایا کعطایا، و المراد بها ما یذبح أو ینحر من النعم یوم عید الأضحی و ما بعده إلی ثلاثة أیّام أحدها یوم العید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وجه تسمیتها لذبحها فی الضحی غالباً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1522</w:t>
      </w:r>
      <w:r>
        <w:rPr>
          <w:rFonts w:ascii="IRNazanin" w:hAnsi="IRNazanin" w:eastAsia="IRNazanin"/>
          <w:b w:val="false"/>
          <w:b w:val="false"/>
          <w:bCs w:val="false"/>
          <w:i w:val="false"/>
          <w:i w:val="false"/>
          <w:iCs w:val="false"/>
          <w:color w:val="333333"/>
          <w:sz w:val="20"/>
          <w:sz w:val="20"/>
          <w:szCs w:val="20"/>
          <w:rtl w:val="true"/>
        </w:rPr>
        <w:t xml:space="preserve">؛ و سنن أبی داود </w:t>
      </w:r>
      <w:r>
        <w:rPr>
          <w:rFonts w:eastAsia="IRNazanin" w:cs="IRNazanin"/>
          <w:b w:val="false"/>
          <w:bCs w:val="false"/>
          <w:i w:val="false"/>
          <w:iCs w:val="false"/>
          <w:color w:val="333333"/>
          <w:sz w:val="20"/>
          <w:szCs w:val="20"/>
        </w:rPr>
        <w:t>176:3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2838</w:t>
      </w:r>
      <w:r>
        <w:rPr>
          <w:rFonts w:ascii="IRNazanin" w:hAnsi="IRNazanin" w:eastAsia="IRNazanin"/>
          <w:b w:val="false"/>
          <w:b w:val="false"/>
          <w:bCs w:val="false"/>
          <w:i w:val="false"/>
          <w:i w:val="false"/>
          <w:iCs w:val="false"/>
          <w:color w:val="333333"/>
          <w:sz w:val="20"/>
          <w:sz w:val="20"/>
          <w:szCs w:val="20"/>
          <w:rtl w:val="true"/>
        </w:rPr>
        <w:t xml:space="preserve">؛ و السنن الکبری للبیهقی </w:t>
      </w:r>
      <w:r>
        <w:rPr>
          <w:rFonts w:eastAsia="IRNazanin" w:cs="IRNazanin"/>
          <w:b w:val="false"/>
          <w:bCs w:val="false"/>
          <w:i w:val="false"/>
          <w:iCs w:val="false"/>
          <w:color w:val="333333"/>
          <w:sz w:val="20"/>
          <w:szCs w:val="20"/>
        </w:rPr>
        <w:t>252:14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19804</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442:7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1768</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قول الرسول لا یدلّ علی الرجحان و الاستحباب کما أنّ المراد من حکمة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هو الندب، فإنّ الفاعل فیها هو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ولد له 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التعبیر بأنّه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فلینسک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یدلّ علی الإباحة</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2842</w:t>
      </w:r>
      <w:r>
        <w:rPr>
          <w:rFonts w:ascii="IRNazanin" w:hAnsi="IRNazanin" w:eastAsia="IRNazanin"/>
          <w:b w:val="false"/>
          <w:b w:val="false"/>
          <w:bCs w:val="false"/>
          <w:i w:val="false"/>
          <w:i w:val="false"/>
          <w:iCs w:val="false"/>
          <w:color w:val="333333"/>
          <w:sz w:val="20"/>
          <w:sz w:val="20"/>
          <w:szCs w:val="20"/>
          <w:rtl w:val="true"/>
        </w:rPr>
        <w:t xml:space="preserve">؛ نیل الأوطار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303:7</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408:8</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1760</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 الأوطار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304:7</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267:31</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59:25</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المرام </w:t>
      </w:r>
      <w:r>
        <w:rPr>
          <w:rFonts w:eastAsia="IRNazanin" w:cs="IRNazanin"/>
          <w:b w:val="false"/>
          <w:bCs w:val="false"/>
          <w:i w:val="false"/>
          <w:iCs w:val="false"/>
          <w:color w:val="333333"/>
          <w:sz w:val="20"/>
          <w:szCs w:val="20"/>
        </w:rPr>
        <w:t>455:1</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59:25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442:7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1768</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شرائع الإسلام </w:t>
      </w:r>
      <w:r>
        <w:rPr>
          <w:rFonts w:eastAsia="IRNazanin" w:cs="IRNazanin"/>
          <w:b w:val="false"/>
          <w:bCs w:val="false"/>
          <w:i w:val="false"/>
          <w:iCs w:val="false"/>
          <w:color w:val="333333"/>
          <w:sz w:val="20"/>
          <w:szCs w:val="20"/>
        </w:rPr>
        <w:t>344:2</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59:25</w:t>
      </w:r>
      <w:r>
        <w:rPr>
          <w:rFonts w:ascii="IRNazanin" w:hAnsi="IRNazanin" w:eastAsia="IRNazanin"/>
          <w:b w:val="false"/>
          <w:b w:val="false"/>
          <w:bCs w:val="false"/>
          <w:i w:val="false"/>
          <w:i w:val="false"/>
          <w:iCs w:val="false"/>
          <w:color w:val="333333"/>
          <w:sz w:val="20"/>
          <w:sz w:val="20"/>
          <w:szCs w:val="20"/>
          <w:rtl w:val="true"/>
        </w:rPr>
        <w:t xml:space="preserve">؛ 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فی فقه الإمام الشافعی </w:t>
      </w:r>
      <w:r>
        <w:rPr>
          <w:rFonts w:eastAsia="IRNazanin" w:cs="IRNazanin"/>
          <w:b w:val="false"/>
          <w:bCs w:val="false"/>
          <w:i w:val="false"/>
          <w:iCs w:val="false"/>
          <w:color w:val="333333"/>
          <w:sz w:val="20"/>
          <w:szCs w:val="20"/>
        </w:rPr>
        <w:t>241:1</w:t>
      </w:r>
      <w:r>
        <w:rPr>
          <w:rFonts w:ascii="IRNazanin" w:hAnsi="IRNazanin" w:eastAsia="IRNazanin"/>
          <w:b w:val="false"/>
          <w:b w:val="false"/>
          <w:bCs w:val="false"/>
          <w:i w:val="false"/>
          <w:i w:val="false"/>
          <w:iCs w:val="false"/>
          <w:color w:val="333333"/>
          <w:sz w:val="20"/>
          <w:sz w:val="20"/>
          <w:szCs w:val="20"/>
          <w:rtl w:val="true"/>
        </w:rPr>
        <w:t xml:space="preserve">؛ المغنی </w:t>
      </w:r>
      <w:r>
        <w:rPr>
          <w:rFonts w:eastAsia="IRNazanin" w:cs="IRNazanin"/>
          <w:b w:val="false"/>
          <w:bCs w:val="false"/>
          <w:i w:val="false"/>
          <w:iCs w:val="false"/>
          <w:color w:val="333333"/>
          <w:sz w:val="20"/>
          <w:szCs w:val="20"/>
        </w:rPr>
        <w:t>121:11</w:t>
      </w:r>
      <w:r>
        <w:rPr>
          <w:rFonts w:ascii="IRNazanin" w:hAnsi="IRNazanin" w:eastAsia="IRNazanin"/>
          <w:b w:val="false"/>
          <w:b w:val="false"/>
          <w:bCs w:val="false"/>
          <w:i w:val="false"/>
          <w:i w:val="false"/>
          <w:iCs w:val="false"/>
          <w:color w:val="333333"/>
          <w:sz w:val="20"/>
          <w:sz w:val="20"/>
          <w:szCs w:val="20"/>
          <w:rtl w:val="true"/>
        </w:rPr>
        <w:t xml:space="preserve">؛ الشرح الکبیر </w:t>
      </w:r>
      <w:r>
        <w:rPr>
          <w:rFonts w:eastAsia="IRNazanin" w:cs="IRNazanin"/>
          <w:b w:val="false"/>
          <w:bCs w:val="false"/>
          <w:i w:val="false"/>
          <w:iCs w:val="false"/>
          <w:color w:val="333333"/>
          <w:sz w:val="20"/>
          <w:szCs w:val="20"/>
        </w:rPr>
        <w:t>587:3</w:t>
      </w:r>
      <w:r>
        <w:rPr>
          <w:rFonts w:ascii="IRNazanin" w:hAnsi="IRNazanin" w:eastAsia="IRNazanin"/>
          <w:b w:val="false"/>
          <w:b w:val="false"/>
          <w:bCs w:val="false"/>
          <w:i w:val="false"/>
          <w:i w:val="false"/>
          <w:iCs w:val="false"/>
          <w:color w:val="333333"/>
          <w:sz w:val="20"/>
          <w:sz w:val="20"/>
          <w:szCs w:val="20"/>
          <w:rtl w:val="true"/>
        </w:rPr>
        <w:t xml:space="preserve">؛ الحاوی الکبیر </w:t>
      </w:r>
      <w:r>
        <w:rPr>
          <w:rFonts w:eastAsia="IRNazanin" w:cs="IRNazanin"/>
          <w:b w:val="false"/>
          <w:bCs w:val="false"/>
          <w:i w:val="false"/>
          <w:iCs w:val="false"/>
          <w:color w:val="333333"/>
          <w:sz w:val="20"/>
          <w:szCs w:val="20"/>
        </w:rPr>
        <w:t>15319</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1526</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176:3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2838</w:t>
      </w:r>
      <w:r>
        <w:rPr>
          <w:rFonts w:ascii="IRNazanin" w:hAnsi="IRNazanin" w:eastAsia="IRNazanin"/>
          <w:b w:val="false"/>
          <w:b w:val="false"/>
          <w:bCs w:val="false"/>
          <w:i w:val="false"/>
          <w:i w:val="false"/>
          <w:iCs w:val="false"/>
          <w:color w:val="333333"/>
          <w:sz w:val="20"/>
          <w:sz w:val="20"/>
          <w:szCs w:val="20"/>
          <w:rtl w:val="true"/>
        </w:rPr>
        <w:t xml:space="preserve">؛ السنن الکبری للبیهقی </w:t>
      </w:r>
      <w:r>
        <w:rPr>
          <w:rFonts w:eastAsia="IRNazanin" w:cs="IRNazanin"/>
          <w:b w:val="false"/>
          <w:bCs w:val="false"/>
          <w:i w:val="false"/>
          <w:iCs w:val="false"/>
          <w:color w:val="333333"/>
          <w:sz w:val="20"/>
          <w:szCs w:val="20"/>
        </w:rPr>
        <w:t>252:14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19804</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کتاب النکاح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تراث الشیخ الأعظم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491:20</w:t>
      </w:r>
      <w:r>
        <w:rPr>
          <w:rFonts w:ascii="IRNazanin" w:hAnsi="IRNazanin" w:eastAsia="IRNazanin"/>
          <w:b w:val="false"/>
          <w:b w:val="false"/>
          <w:bCs w:val="false"/>
          <w:i w:val="false"/>
          <w:i w:val="false"/>
          <w:iCs w:val="false"/>
          <w:color w:val="333333"/>
          <w:sz w:val="20"/>
          <w:sz w:val="20"/>
          <w:szCs w:val="20"/>
          <w:rtl w:val="true"/>
        </w:rPr>
        <w:t xml:space="preserve">؛ 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145:15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173:15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446:7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1787</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60:25</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267:31</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بدایة المجتهد </w:t>
      </w:r>
      <w:r>
        <w:rPr>
          <w:rFonts w:eastAsia="IRNazanin" w:cs="IRNazanin"/>
          <w:b w:val="false"/>
          <w:bCs w:val="false"/>
          <w:i w:val="false"/>
          <w:iCs w:val="false"/>
          <w:color w:val="333333"/>
          <w:sz w:val="20"/>
          <w:szCs w:val="20"/>
        </w:rPr>
        <w:t>484:1</w:t>
      </w:r>
      <w:r>
        <w:rPr>
          <w:rFonts w:ascii="IRNazanin" w:hAnsi="IRNazanin" w:eastAsia="IRNazanin"/>
          <w:b w:val="false"/>
          <w:b w:val="false"/>
          <w:bCs w:val="false"/>
          <w:i w:val="false"/>
          <w:i w:val="false"/>
          <w:iCs w:val="false"/>
          <w:color w:val="333333"/>
          <w:sz w:val="20"/>
          <w:sz w:val="20"/>
          <w:szCs w:val="20"/>
          <w:rtl w:val="true"/>
        </w:rPr>
        <w:t xml:space="preserve">؛ الشرح الکبیر للمقدسی </w:t>
      </w:r>
      <w:r>
        <w:rPr>
          <w:rFonts w:eastAsia="IRNazanin" w:cs="IRNazanin"/>
          <w:b w:val="false"/>
          <w:bCs w:val="false"/>
          <w:i w:val="false"/>
          <w:iCs w:val="false"/>
          <w:color w:val="333333"/>
          <w:sz w:val="20"/>
          <w:szCs w:val="20"/>
        </w:rPr>
        <w:t>588:3</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1518</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146:15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63:25</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278:2</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154:15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154:15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344:2</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268:31</w:t>
      </w:r>
      <w:r>
        <w:rPr>
          <w:rFonts w:ascii="IRNazanin" w:hAnsi="IRNazanin" w:eastAsia="IRNazanin"/>
          <w:b w:val="false"/>
          <w:b w:val="false"/>
          <w:bCs w:val="false"/>
          <w:i w:val="false"/>
          <w:i w:val="false"/>
          <w:iCs w:val="false"/>
          <w:color w:val="333333"/>
          <w:sz w:val="20"/>
          <w:sz w:val="20"/>
          <w:szCs w:val="20"/>
          <w:rtl w:val="true"/>
        </w:rPr>
        <w:t xml:space="preserve">؛ کشف الرموز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1517</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123:11</w:t>
      </w:r>
      <w:r>
        <w:rPr>
          <w:rFonts w:ascii="IRNazanin" w:hAnsi="IRNazanin" w:eastAsia="IRNazanin"/>
          <w:b w:val="false"/>
          <w:b w:val="false"/>
          <w:bCs w:val="false"/>
          <w:i w:val="false"/>
          <w:i w:val="false"/>
          <w:iCs w:val="false"/>
          <w:color w:val="333333"/>
          <w:sz w:val="20"/>
          <w:sz w:val="20"/>
          <w:szCs w:val="20"/>
          <w:rtl w:val="true"/>
        </w:rPr>
        <w:t xml:space="preserve">؛ الشرح الکبیر </w:t>
      </w:r>
      <w:r>
        <w:rPr>
          <w:rFonts w:eastAsia="IRNazanin" w:cs="IRNazanin"/>
          <w:b w:val="false"/>
          <w:bCs w:val="false"/>
          <w:i w:val="false"/>
          <w:iCs w:val="false"/>
          <w:color w:val="333333"/>
          <w:sz w:val="20"/>
          <w:szCs w:val="20"/>
        </w:rPr>
        <w:t>589:3</w:t>
      </w:r>
      <w:r>
        <w:rPr>
          <w:rFonts w:ascii="IRNazanin" w:hAnsi="IRNazanin" w:eastAsia="IRNazanin"/>
          <w:b w:val="false"/>
          <w:b w:val="false"/>
          <w:bCs w:val="false"/>
          <w:i w:val="false"/>
          <w:i w:val="false"/>
          <w:iCs w:val="false"/>
          <w:color w:val="333333"/>
          <w:sz w:val="20"/>
          <w:sz w:val="20"/>
          <w:szCs w:val="20"/>
          <w:rtl w:val="true"/>
        </w:rPr>
        <w:t>؛ نهایة المحتاج إلی شرح المنهاج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146:8</w:t>
      </w:r>
      <w:r>
        <w:rPr>
          <w:rFonts w:ascii="IRNazanin" w:hAnsi="IRNazanin" w:eastAsia="IRNazanin"/>
          <w:b w:val="false"/>
          <w:b w:val="false"/>
          <w:bCs w:val="false"/>
          <w:i w:val="false"/>
          <w:i w:val="false"/>
          <w:iCs w:val="false"/>
          <w:color w:val="333333"/>
          <w:sz w:val="20"/>
          <w:sz w:val="20"/>
          <w:szCs w:val="20"/>
          <w:rtl w:val="true"/>
        </w:rPr>
        <w:t xml:space="preserve">؛ الحاوی الکبیر </w:t>
      </w:r>
      <w:r>
        <w:rPr>
          <w:rFonts w:eastAsia="IRNazanin" w:cs="IRNazanin"/>
          <w:b w:val="false"/>
          <w:bCs w:val="false"/>
          <w:i w:val="false"/>
          <w:iCs w:val="false"/>
          <w:color w:val="333333"/>
          <w:sz w:val="20"/>
          <w:szCs w:val="20"/>
        </w:rPr>
        <w:t>153:19</w:t>
      </w:r>
      <w:r>
        <w:rPr>
          <w:rFonts w:ascii="IRNazanin" w:hAnsi="IRNazanin" w:eastAsia="IRNazanin"/>
          <w:b w:val="false"/>
          <w:b w:val="false"/>
          <w:bCs w:val="false"/>
          <w:i w:val="false"/>
          <w:i w:val="false"/>
          <w:iCs w:val="false"/>
          <w:color w:val="333333"/>
          <w:sz w:val="20"/>
          <w:sz w:val="20"/>
          <w:szCs w:val="20"/>
          <w:rtl w:val="true"/>
        </w:rPr>
        <w:t xml:space="preserve">؛ الفقه الإسلامی و أدلّته </w:t>
      </w:r>
      <w:r>
        <w:rPr>
          <w:rFonts w:eastAsia="IRNazanin" w:cs="IRNazanin"/>
          <w:b w:val="false"/>
          <w:bCs w:val="false"/>
          <w:i w:val="false"/>
          <w:iCs w:val="false"/>
          <w:color w:val="333333"/>
          <w:sz w:val="20"/>
          <w:szCs w:val="20"/>
        </w:rPr>
        <w:t>637:3</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بدایة المجتهد </w:t>
      </w:r>
      <w:r>
        <w:rPr>
          <w:rFonts w:eastAsia="IRNazanin" w:cs="IRNazanin"/>
          <w:b w:val="false"/>
          <w:bCs w:val="false"/>
          <w:i w:val="false"/>
          <w:iCs w:val="false"/>
          <w:color w:val="333333"/>
          <w:sz w:val="20"/>
          <w:szCs w:val="20"/>
        </w:rPr>
        <w:t>485:1</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147:15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شرائع الإسلام </w:t>
      </w:r>
      <w:r>
        <w:rPr>
          <w:rFonts w:eastAsia="IRNazanin" w:cs="IRNazanin"/>
          <w:b w:val="false"/>
          <w:bCs w:val="false"/>
          <w:i w:val="false"/>
          <w:iCs w:val="false"/>
          <w:color w:val="333333"/>
          <w:sz w:val="20"/>
          <w:szCs w:val="20"/>
        </w:rPr>
        <w:t>288:2</w:t>
      </w:r>
      <w:r>
        <w:rPr>
          <w:rFonts w:ascii="IRNazanin" w:hAnsi="IRNazanin" w:eastAsia="IRNazanin"/>
          <w:b w:val="false"/>
          <w:b w:val="false"/>
          <w:bCs w:val="false"/>
          <w:i w:val="false"/>
          <w:i w:val="false"/>
          <w:iCs w:val="false"/>
          <w:color w:val="333333"/>
          <w:sz w:val="20"/>
          <w:sz w:val="20"/>
          <w:szCs w:val="20"/>
          <w:rtl w:val="true"/>
        </w:rPr>
        <w:t xml:space="preserve">؛ إرشاد الأذهان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تبصرة المتعلِّمین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265:31</w:t>
      </w:r>
      <w:r>
        <w:rPr>
          <w:rFonts w:ascii="IRNazanin" w:hAnsi="IRNazanin" w:eastAsia="IRNazanin"/>
          <w:b w:val="false"/>
          <w:b w:val="false"/>
          <w:bCs w:val="false"/>
          <w:i w:val="false"/>
          <w:i w:val="false"/>
          <w:iCs w:val="false"/>
          <w:color w:val="333333"/>
          <w:sz w:val="20"/>
          <w:sz w:val="20"/>
          <w:szCs w:val="20"/>
          <w:rtl w:val="true"/>
        </w:rPr>
        <w:t xml:space="preserve">؛ کتاب النکاح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تراث الشیخ الأعظم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491:20</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142:15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1518</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148:15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268:31</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1520</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158:15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166:7</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2841</w:t>
      </w:r>
      <w:r>
        <w:rPr>
          <w:rFonts w:ascii="IRNazanin" w:hAnsi="IRNazanin" w:eastAsia="IRNazanin"/>
          <w:b w:val="false"/>
          <w:b w:val="false"/>
          <w:bCs w:val="false"/>
          <w:i w:val="false"/>
          <w:i w:val="false"/>
          <w:iCs w:val="false"/>
          <w:color w:val="333333"/>
          <w:sz w:val="20"/>
          <w:sz w:val="20"/>
          <w:szCs w:val="20"/>
          <w:rtl w:val="true"/>
        </w:rPr>
        <w:t xml:space="preserve">؛ نیل الأوطار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1517</w:t>
      </w:r>
      <w:r>
        <w:rPr>
          <w:rFonts w:ascii="IRNazanin" w:hAnsi="IRNazanin" w:eastAsia="IRNazanin"/>
          <w:b w:val="false"/>
          <w:b w:val="false"/>
          <w:bCs w:val="false"/>
          <w:i w:val="false"/>
          <w:i w:val="false"/>
          <w:iCs w:val="false"/>
          <w:color w:val="333333"/>
          <w:sz w:val="20"/>
          <w:sz w:val="20"/>
          <w:szCs w:val="20"/>
          <w:rtl w:val="true"/>
        </w:rPr>
        <w:t xml:space="preserve">؛ نیل الأوطار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بدایة المجتهد </w:t>
      </w:r>
      <w:r>
        <w:rPr>
          <w:rFonts w:eastAsia="IRNazanin" w:cs="IRNazanin"/>
          <w:b w:val="false"/>
          <w:bCs w:val="false"/>
          <w:i w:val="false"/>
          <w:iCs w:val="false"/>
          <w:color w:val="333333"/>
          <w:sz w:val="20"/>
          <w:szCs w:val="20"/>
        </w:rPr>
        <w:t>485:1</w:t>
      </w:r>
      <w:r>
        <w:rPr>
          <w:rFonts w:ascii="IRNazanin" w:hAnsi="IRNazanin" w:eastAsia="IRNazanin"/>
          <w:b w:val="false"/>
          <w:b w:val="false"/>
          <w:bCs w:val="false"/>
          <w:i w:val="false"/>
          <w:i w:val="false"/>
          <w:iCs w:val="false"/>
          <w:color w:val="333333"/>
          <w:sz w:val="20"/>
          <w:sz w:val="20"/>
          <w:szCs w:val="20"/>
          <w:rtl w:val="true"/>
        </w:rPr>
        <w:t xml:space="preserve">؛ المغنی </w:t>
      </w:r>
      <w:r>
        <w:rPr>
          <w:rFonts w:eastAsia="IRNazanin" w:cs="IRNazanin"/>
          <w:b w:val="false"/>
          <w:bCs w:val="false"/>
          <w:i w:val="false"/>
          <w:iCs w:val="false"/>
          <w:color w:val="333333"/>
          <w:sz w:val="20"/>
          <w:szCs w:val="20"/>
        </w:rPr>
        <w:t>121:11</w:t>
      </w:r>
      <w:r>
        <w:rPr>
          <w:rFonts w:ascii="IRNazanin" w:hAnsi="IRNazanin" w:eastAsia="IRNazanin"/>
          <w:b w:val="false"/>
          <w:b w:val="false"/>
          <w:bCs w:val="false"/>
          <w:i w:val="false"/>
          <w:i w:val="false"/>
          <w:iCs w:val="false"/>
          <w:color w:val="333333"/>
          <w:sz w:val="20"/>
          <w:sz w:val="20"/>
          <w:szCs w:val="20"/>
          <w:rtl w:val="true"/>
        </w:rPr>
        <w:t xml:space="preserve">؛ الحاوی الکبیر </w:t>
      </w:r>
      <w:r>
        <w:rPr>
          <w:rFonts w:eastAsia="IRNazanin" w:cs="IRNazanin"/>
          <w:b w:val="false"/>
          <w:bCs w:val="false"/>
          <w:i w:val="false"/>
          <w:iCs w:val="false"/>
          <w:color w:val="333333"/>
          <w:sz w:val="20"/>
          <w:szCs w:val="20"/>
        </w:rPr>
        <w:t>152:19</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شرائع الإسلام </w:t>
      </w:r>
      <w:r>
        <w:rPr>
          <w:rFonts w:eastAsia="IRNazanin" w:cs="IRNazanin"/>
          <w:b w:val="false"/>
          <w:bCs w:val="false"/>
          <w:i w:val="false"/>
          <w:iCs w:val="false"/>
          <w:color w:val="333333"/>
          <w:sz w:val="20"/>
          <w:szCs w:val="20"/>
        </w:rPr>
        <w:t>344:2</w:t>
      </w:r>
      <w:r>
        <w:rPr>
          <w:rFonts w:ascii="IRNazanin" w:hAnsi="IRNazanin" w:eastAsia="IRNazanin"/>
          <w:b w:val="false"/>
          <w:b w:val="false"/>
          <w:bCs w:val="false"/>
          <w:i w:val="false"/>
          <w:i w:val="false"/>
          <w:iCs w:val="false"/>
          <w:color w:val="333333"/>
          <w:sz w:val="20"/>
          <w:sz w:val="20"/>
          <w:szCs w:val="20"/>
          <w:rtl w:val="true"/>
        </w:rPr>
        <w:t xml:space="preserve">؛ کشف الرموز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530:7</w:t>
      </w:r>
      <w:r>
        <w:rPr>
          <w:rFonts w:ascii="IRNazanin" w:hAnsi="IRNazanin" w:eastAsia="IRNazanin"/>
          <w:b w:val="false"/>
          <w:b w:val="false"/>
          <w:bCs w:val="false"/>
          <w:i w:val="false"/>
          <w:i w:val="false"/>
          <w:iCs w:val="false"/>
          <w:color w:val="333333"/>
          <w:sz w:val="20"/>
          <w:sz w:val="20"/>
          <w:szCs w:val="20"/>
          <w:rtl w:val="true"/>
        </w:rPr>
        <w:t xml:space="preserve">؛ کتاب النکاح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تراث الشیخ الأعظم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491:20</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المحتاج فی شرح المنهاج </w:t>
      </w:r>
      <w:r>
        <w:rPr>
          <w:rFonts w:eastAsia="IRNazanin" w:cs="IRNazanin"/>
          <w:b w:val="false"/>
          <w:bCs w:val="false"/>
          <w:i w:val="false"/>
          <w:iCs w:val="false"/>
          <w:color w:val="333333"/>
          <w:sz w:val="20"/>
          <w:szCs w:val="20"/>
        </w:rPr>
        <w:t>145:8</w:t>
      </w:r>
      <w:r>
        <w:rPr>
          <w:rFonts w:ascii="IRNazanin" w:hAnsi="IRNazanin" w:eastAsia="IRNazanin"/>
          <w:b w:val="false"/>
          <w:b w:val="false"/>
          <w:bCs w:val="false"/>
          <w:i w:val="false"/>
          <w:i w:val="false"/>
          <w:iCs w:val="false"/>
          <w:color w:val="333333"/>
          <w:sz w:val="20"/>
          <w:sz w:val="20"/>
          <w:szCs w:val="20"/>
          <w:rtl w:val="true"/>
        </w:rPr>
        <w:t xml:space="preserve">؛ المغنی </w:t>
      </w:r>
      <w:r>
        <w:rPr>
          <w:rFonts w:eastAsia="IRNazanin" w:cs="IRNazanin"/>
          <w:b w:val="false"/>
          <w:bCs w:val="false"/>
          <w:i w:val="false"/>
          <w:iCs w:val="false"/>
          <w:color w:val="333333"/>
          <w:sz w:val="20"/>
          <w:szCs w:val="20"/>
        </w:rPr>
        <w:t>120:11</w:t>
      </w:r>
      <w:r>
        <w:rPr>
          <w:rFonts w:ascii="IRNazanin" w:hAnsi="IRNazanin" w:eastAsia="IRNazanin"/>
          <w:b w:val="false"/>
          <w:b w:val="false"/>
          <w:bCs w:val="false"/>
          <w:i w:val="false"/>
          <w:i w:val="false"/>
          <w:iCs w:val="false"/>
          <w:color w:val="333333"/>
          <w:sz w:val="20"/>
          <w:sz w:val="20"/>
          <w:szCs w:val="20"/>
          <w:rtl w:val="true"/>
        </w:rPr>
        <w:t xml:space="preserve">؛ الشرح الکبیر </w:t>
      </w:r>
      <w:r>
        <w:rPr>
          <w:rFonts w:eastAsia="IRNazanin" w:cs="IRNazanin"/>
          <w:b w:val="false"/>
          <w:bCs w:val="false"/>
          <w:i w:val="false"/>
          <w:iCs w:val="false"/>
          <w:color w:val="333333"/>
          <w:sz w:val="20"/>
          <w:szCs w:val="20"/>
        </w:rPr>
        <w:t>586:3</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146:15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145:15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271:31</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1526</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1527</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155:15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مستدرک الوسائل </w:t>
      </w:r>
      <w:r>
        <w:rPr>
          <w:rFonts w:eastAsia="IRNazanin" w:cs="IRNazanin"/>
          <w:b w:val="false"/>
          <w:bCs w:val="false"/>
          <w:i w:val="false"/>
          <w:iCs w:val="false"/>
          <w:color w:val="333333"/>
          <w:sz w:val="20"/>
          <w:szCs w:val="20"/>
        </w:rPr>
        <w:t>146:15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المحتاج إلی شرح المنهاج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156:15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الفقیه </w:t>
      </w:r>
      <w:r>
        <w:rPr>
          <w:rFonts w:eastAsia="IRNazanin" w:cs="IRNazanin"/>
          <w:b w:val="false"/>
          <w:bCs w:val="false"/>
          <w:i w:val="false"/>
          <w:iCs w:val="false"/>
          <w:color w:val="333333"/>
          <w:sz w:val="20"/>
          <w:szCs w:val="20"/>
        </w:rPr>
        <w:t>358:3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1520</w:t>
      </w:r>
      <w:r>
        <w:rPr>
          <w:rFonts w:ascii="IRNazanin" w:hAnsi="IRNazanin" w:eastAsia="IRNazanin"/>
          <w:b w:val="false"/>
          <w:b w:val="false"/>
          <w:bCs w:val="false"/>
          <w:i w:val="false"/>
          <w:i w:val="false"/>
          <w:iCs w:val="false"/>
          <w:color w:val="333333"/>
          <w:sz w:val="20"/>
          <w:sz w:val="20"/>
          <w:szCs w:val="20"/>
          <w:rtl w:val="true"/>
        </w:rPr>
        <w:t>؛ 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شرائع الإسلام </w:t>
      </w:r>
      <w:r>
        <w:rPr>
          <w:rFonts w:eastAsia="IRNazanin" w:cs="IRNazanin"/>
          <w:b w:val="false"/>
          <w:bCs w:val="false"/>
          <w:i w:val="false"/>
          <w:iCs w:val="false"/>
          <w:color w:val="333333"/>
          <w:sz w:val="20"/>
          <w:szCs w:val="20"/>
        </w:rPr>
        <w:t>344:2</w:t>
      </w:r>
      <w:r>
        <w:rPr>
          <w:rFonts w:ascii="IRNazanin" w:hAnsi="IRNazanin" w:eastAsia="IRNazanin"/>
          <w:b w:val="false"/>
          <w:b w:val="false"/>
          <w:bCs w:val="false"/>
          <w:i w:val="false"/>
          <w:i w:val="false"/>
          <w:iCs w:val="false"/>
          <w:color w:val="333333"/>
          <w:sz w:val="20"/>
          <w:sz w:val="20"/>
          <w:szCs w:val="20"/>
          <w:rtl w:val="true"/>
        </w:rPr>
        <w:t xml:space="preserve">؛ المسالک </w:t>
      </w:r>
      <w:r>
        <w:rPr>
          <w:rFonts w:eastAsia="IRNazanin" w:cs="IRNazanin"/>
          <w:b w:val="false"/>
          <w:bCs w:val="false"/>
          <w:i w:val="false"/>
          <w:iCs w:val="false"/>
          <w:color w:val="333333"/>
          <w:sz w:val="20"/>
          <w:szCs w:val="20"/>
        </w:rPr>
        <w:t>409:8</w:t>
      </w:r>
      <w:r>
        <w:rPr>
          <w:rFonts w:ascii="IRNazanin" w:hAnsi="IRNazanin" w:eastAsia="IRNazanin"/>
          <w:b w:val="false"/>
          <w:b w:val="false"/>
          <w:bCs w:val="false"/>
          <w:i w:val="false"/>
          <w:i w:val="false"/>
          <w:iCs w:val="false"/>
          <w:color w:val="333333"/>
          <w:sz w:val="20"/>
          <w:sz w:val="20"/>
          <w:szCs w:val="20"/>
          <w:rtl w:val="true"/>
        </w:rPr>
        <w:t xml:space="preserve">؛ کتاب النکاح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تراث الشیخ الأعظم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491:20</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531:7</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278:2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المحتاج إلی شرح المنهاج </w:t>
      </w:r>
      <w:r>
        <w:rPr>
          <w:rFonts w:eastAsia="IRNazanin" w:cs="IRNazanin"/>
          <w:b w:val="false"/>
          <w:bCs w:val="false"/>
          <w:i w:val="false"/>
          <w:iCs w:val="false"/>
          <w:color w:val="333333"/>
          <w:sz w:val="20"/>
          <w:szCs w:val="20"/>
        </w:rPr>
        <w:t>147:8</w:t>
      </w:r>
      <w:r>
        <w:rPr>
          <w:rFonts w:ascii="IRNazanin" w:hAnsi="IRNazanin" w:eastAsia="IRNazanin"/>
          <w:b w:val="false"/>
          <w:b w:val="false"/>
          <w:bCs w:val="false"/>
          <w:i w:val="false"/>
          <w:i w:val="false"/>
          <w:iCs w:val="false"/>
          <w:color w:val="333333"/>
          <w:sz w:val="20"/>
          <w:sz w:val="20"/>
          <w:szCs w:val="20"/>
          <w:rtl w:val="true"/>
        </w:rPr>
        <w:t xml:space="preserve">؛ الفقه الإسلامی و أدلّته </w:t>
      </w:r>
      <w:r>
        <w:rPr>
          <w:rFonts w:eastAsia="IRNazanin" w:cs="IRNazanin"/>
          <w:b w:val="false"/>
          <w:bCs w:val="false"/>
          <w:i w:val="false"/>
          <w:iCs w:val="false"/>
          <w:color w:val="333333"/>
          <w:sz w:val="20"/>
          <w:szCs w:val="20"/>
        </w:rPr>
        <w:t>639:3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مراسیل أبی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وجود الخلاف فی أمثال هذه الموارد یکشف عن عدم وجود تعبّد خاصّ بالنسبة إلی مقدار خاصّ، بل السنّة أن تعطی إلیه طائفة، و هذا یصدق علی الأقل من الثلث و الربع أیضاً کما یصدق علی أکثر منهما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 ف</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1520</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647:2</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411:8</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67:25</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532:7</w:t>
      </w:r>
      <w:r>
        <w:rPr>
          <w:rFonts w:ascii="IRNazanin" w:hAnsi="IRNazanin" w:eastAsia="IRNazanin"/>
          <w:b w:val="false"/>
          <w:b w:val="false"/>
          <w:bCs w:val="false"/>
          <w:i w:val="false"/>
          <w:i w:val="false"/>
          <w:iCs w:val="false"/>
          <w:color w:val="333333"/>
          <w:sz w:val="20"/>
          <w:sz w:val="20"/>
          <w:szCs w:val="20"/>
          <w:rtl w:val="true"/>
        </w:rPr>
        <w:t xml:space="preserve">؛ 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152:15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بدایة المجتهد </w:t>
      </w:r>
      <w:r>
        <w:rPr>
          <w:rFonts w:eastAsia="IRNazanin" w:cs="IRNazanin"/>
          <w:b w:val="false"/>
          <w:bCs w:val="false"/>
          <w:i w:val="false"/>
          <w:iCs w:val="false"/>
          <w:color w:val="333333"/>
          <w:sz w:val="20"/>
          <w:szCs w:val="20"/>
        </w:rPr>
        <w:t>485:1</w:t>
      </w:r>
      <w:r>
        <w:rPr>
          <w:rFonts w:ascii="IRNazanin" w:hAnsi="IRNazanin" w:eastAsia="IRNazanin"/>
          <w:b w:val="false"/>
          <w:b w:val="false"/>
          <w:bCs w:val="false"/>
          <w:i w:val="false"/>
          <w:i w:val="false"/>
          <w:iCs w:val="false"/>
          <w:color w:val="333333"/>
          <w:sz w:val="20"/>
          <w:sz w:val="20"/>
          <w:szCs w:val="20"/>
          <w:rtl w:val="true"/>
        </w:rPr>
        <w:t xml:space="preserve">؛ المغنی </w:t>
      </w:r>
      <w:r>
        <w:rPr>
          <w:rFonts w:eastAsia="IRNazanin" w:cs="IRNazanin"/>
          <w:b w:val="false"/>
          <w:bCs w:val="false"/>
          <w:i w:val="false"/>
          <w:iCs w:val="false"/>
          <w:color w:val="333333"/>
          <w:sz w:val="20"/>
          <w:szCs w:val="20"/>
        </w:rPr>
        <w:t>124:11</w:t>
      </w:r>
      <w:r>
        <w:rPr>
          <w:rFonts w:ascii="IRNazanin" w:hAnsi="IRNazanin" w:eastAsia="IRNazanin"/>
          <w:b w:val="false"/>
          <w:b w:val="false"/>
          <w:bCs w:val="false"/>
          <w:i w:val="false"/>
          <w:i w:val="false"/>
          <w:iCs w:val="false"/>
          <w:color w:val="333333"/>
          <w:sz w:val="20"/>
          <w:sz w:val="20"/>
          <w:szCs w:val="20"/>
          <w:rtl w:val="true"/>
        </w:rPr>
        <w:t xml:space="preserve">؛ الشرح الکبیر </w:t>
      </w:r>
      <w:r>
        <w:rPr>
          <w:rFonts w:eastAsia="IRNazanin" w:cs="IRNazanin"/>
          <w:b w:val="false"/>
          <w:bCs w:val="false"/>
          <w:i w:val="false"/>
          <w:iCs w:val="false"/>
          <w:color w:val="333333"/>
          <w:sz w:val="20"/>
          <w:szCs w:val="20"/>
        </w:rPr>
        <w:t>589:3</w:t>
      </w:r>
      <w:r>
        <w:rPr>
          <w:rFonts w:ascii="IRNazanin" w:hAnsi="IRNazanin" w:eastAsia="IRNazanin"/>
          <w:b w:val="false"/>
          <w:b w:val="false"/>
          <w:bCs w:val="false"/>
          <w:i w:val="false"/>
          <w:i w:val="false"/>
          <w:iCs w:val="false"/>
          <w:color w:val="333333"/>
          <w:sz w:val="20"/>
          <w:sz w:val="20"/>
          <w:szCs w:val="20"/>
          <w:rtl w:val="true"/>
        </w:rPr>
        <w:t xml:space="preserve">؛ نهایة المحتاج إلی شرح المنهاج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الفقه الإسلامی </w:t>
      </w:r>
      <w:r>
        <w:rPr>
          <w:rFonts w:eastAsia="IRNazanin" w:cs="IRNazanin"/>
          <w:b w:val="false"/>
          <w:bCs w:val="false"/>
          <w:i w:val="false"/>
          <w:iCs w:val="false"/>
          <w:color w:val="333333"/>
          <w:sz w:val="20"/>
          <w:szCs w:val="20"/>
        </w:rPr>
        <w:t>639:3</w:t>
      </w:r>
      <w:r>
        <w:rPr>
          <w:rFonts w:ascii="IRNazanin" w:hAnsi="IRNazanin" w:eastAsia="IRNazanin"/>
          <w:b w:val="false"/>
          <w:b w:val="false"/>
          <w:bCs w:val="false"/>
          <w:i w:val="false"/>
          <w:i w:val="false"/>
          <w:iCs w:val="false"/>
          <w:color w:val="333333"/>
          <w:sz w:val="20"/>
          <w:sz w:val="20"/>
          <w:szCs w:val="20"/>
          <w:rtl w:val="true"/>
        </w:rPr>
        <w:t xml:space="preserve">؛ 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411:8</w:t>
      </w:r>
      <w:r>
        <w:rPr>
          <w:rFonts w:ascii="IRNazanin" w:hAnsi="IRNazanin" w:eastAsia="IRNazanin"/>
          <w:b w:val="false"/>
          <w:b w:val="false"/>
          <w:bCs w:val="false"/>
          <w:i w:val="false"/>
          <w:i w:val="false"/>
          <w:iCs w:val="false"/>
          <w:color w:val="333333"/>
          <w:sz w:val="20"/>
          <w:sz w:val="20"/>
          <w:szCs w:val="20"/>
          <w:rtl w:val="true"/>
        </w:rPr>
        <w:t xml:space="preserve">؛ کتاب النکاح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تراث الشیخ الأعظم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491:20</w:t>
      </w:r>
      <w:r>
        <w:rPr>
          <w:rFonts w:ascii="IRNazanin" w:hAnsi="IRNazanin" w:eastAsia="IRNazanin"/>
          <w:b w:val="false"/>
          <w:b w:val="false"/>
          <w:bCs w:val="false"/>
          <w:i w:val="false"/>
          <w:i w:val="false"/>
          <w:iCs w:val="false"/>
          <w:color w:val="333333"/>
          <w:sz w:val="20"/>
          <w:sz w:val="20"/>
          <w:szCs w:val="20"/>
          <w:rtl w:val="true"/>
        </w:rPr>
        <w:t>؛ کشف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532:7</w:t>
      </w:r>
      <w:r>
        <w:rPr>
          <w:rFonts w:ascii="IRNazanin" w:hAnsi="IRNazanin" w:eastAsia="IRNazanin"/>
          <w:b w:val="false"/>
          <w:b w:val="false"/>
          <w:bCs w:val="false"/>
          <w:i w:val="false"/>
          <w:i w:val="false"/>
          <w:iCs w:val="false"/>
          <w:color w:val="333333"/>
          <w:sz w:val="20"/>
          <w:sz w:val="20"/>
          <w:szCs w:val="20"/>
          <w:rtl w:val="true"/>
        </w:rPr>
        <w:t xml:space="preserve">؛ 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1775</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بدایة المجتهد </w:t>
      </w:r>
      <w:r>
        <w:rPr>
          <w:rFonts w:eastAsia="IRNazanin" w:cs="IRNazanin"/>
          <w:b w:val="false"/>
          <w:bCs w:val="false"/>
          <w:i w:val="false"/>
          <w:iCs w:val="false"/>
          <w:color w:val="333333"/>
          <w:sz w:val="20"/>
          <w:szCs w:val="20"/>
        </w:rPr>
        <w:t>485:1</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241:1</w:t>
      </w:r>
      <w:r>
        <w:rPr>
          <w:rFonts w:ascii="IRNazanin" w:hAnsi="IRNazanin" w:eastAsia="IRNazanin"/>
          <w:b w:val="false"/>
          <w:b w:val="false"/>
          <w:bCs w:val="false"/>
          <w:i w:val="false"/>
          <w:i w:val="false"/>
          <w:iCs w:val="false"/>
          <w:color w:val="333333"/>
          <w:sz w:val="20"/>
          <w:sz w:val="20"/>
          <w:szCs w:val="20"/>
          <w:rtl w:val="true"/>
        </w:rPr>
        <w:t xml:space="preserve">؛ نهایة المحتاج إلی شرح المنهاج </w:t>
      </w:r>
      <w:r>
        <w:rPr>
          <w:rFonts w:eastAsia="IRNazanin" w:cs="IRNazanin"/>
          <w:b w:val="false"/>
          <w:bCs w:val="false"/>
          <w:i w:val="false"/>
          <w:iCs w:val="false"/>
          <w:color w:val="333333"/>
          <w:sz w:val="20"/>
          <w:szCs w:val="20"/>
        </w:rPr>
        <w:t>147:8</w:t>
      </w:r>
      <w:r>
        <w:rPr>
          <w:rFonts w:ascii="IRNazanin" w:hAnsi="IRNazanin" w:eastAsia="IRNazanin"/>
          <w:b w:val="false"/>
          <w:b w:val="false"/>
          <w:bCs w:val="false"/>
          <w:i w:val="false"/>
          <w:i w:val="false"/>
          <w:iCs w:val="false"/>
          <w:color w:val="333333"/>
          <w:sz w:val="20"/>
          <w:sz w:val="20"/>
          <w:szCs w:val="20"/>
          <w:rtl w:val="true"/>
        </w:rPr>
        <w:t xml:space="preserve">؛ الفقه الإسلامی و أدلّته </w:t>
      </w:r>
      <w:r>
        <w:rPr>
          <w:rFonts w:eastAsia="IRNazanin" w:cs="IRNazanin"/>
          <w:b w:val="false"/>
          <w:bCs w:val="false"/>
          <w:i w:val="false"/>
          <w:iCs w:val="false"/>
          <w:color w:val="333333"/>
          <w:sz w:val="20"/>
          <w:szCs w:val="20"/>
        </w:rPr>
        <w:t>639:3</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1520</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646:2</w:t>
      </w:r>
      <w:r>
        <w:rPr>
          <w:rFonts w:ascii="IRNazanin" w:hAnsi="IRNazanin" w:eastAsia="IRNazanin"/>
          <w:b w:val="false"/>
          <w:b w:val="false"/>
          <w:bCs w:val="false"/>
          <w:i w:val="false"/>
          <w:i w:val="false"/>
          <w:iCs w:val="false"/>
          <w:color w:val="333333"/>
          <w:sz w:val="20"/>
          <w:sz w:val="20"/>
          <w:szCs w:val="20"/>
          <w:rtl w:val="true"/>
        </w:rPr>
        <w:t>؛ 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شرائع الإسلام </w:t>
      </w:r>
      <w:r>
        <w:rPr>
          <w:rFonts w:eastAsia="IRNazanin" w:cs="IRNazanin"/>
          <w:b w:val="false"/>
          <w:bCs w:val="false"/>
          <w:i w:val="false"/>
          <w:iCs w:val="false"/>
          <w:color w:val="333333"/>
          <w:sz w:val="20"/>
          <w:szCs w:val="20"/>
        </w:rPr>
        <w:t>345:2</w:t>
      </w:r>
      <w:r>
        <w:rPr>
          <w:rFonts w:ascii="IRNazanin" w:hAnsi="IRNazanin" w:eastAsia="IRNazanin"/>
          <w:b w:val="false"/>
          <w:b w:val="false"/>
          <w:bCs w:val="false"/>
          <w:i w:val="false"/>
          <w:i w:val="false"/>
          <w:iCs w:val="false"/>
          <w:color w:val="333333"/>
          <w:sz w:val="20"/>
          <w:sz w:val="20"/>
          <w:szCs w:val="20"/>
          <w:rtl w:val="true"/>
        </w:rPr>
        <w:t xml:space="preserve">؛ کشف الرموز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xml:space="preserve">؛ إرشاد الأذهان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532:7</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270:31</w:t>
      </w:r>
      <w:r>
        <w:rPr>
          <w:rFonts w:ascii="IRNazanin" w:hAnsi="IRNazanin" w:eastAsia="IRNazanin"/>
          <w:b w:val="false"/>
          <w:b w:val="false"/>
          <w:bCs w:val="false"/>
          <w:i w:val="false"/>
          <w:i w:val="false"/>
          <w:iCs w:val="false"/>
          <w:color w:val="333333"/>
          <w:sz w:val="20"/>
          <w:sz w:val="20"/>
          <w:szCs w:val="20"/>
          <w:rtl w:val="true"/>
        </w:rPr>
        <w:t xml:space="preserve">؛ کتاب النکاح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تراث الشیخ الأعظم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491:20</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241:1</w:t>
      </w:r>
      <w:r>
        <w:rPr>
          <w:rFonts w:ascii="IRNazanin" w:hAnsi="IRNazanin" w:eastAsia="IRNazanin"/>
          <w:b w:val="false"/>
          <w:b w:val="false"/>
          <w:bCs w:val="false"/>
          <w:i w:val="false"/>
          <w:i w:val="false"/>
          <w:iCs w:val="false"/>
          <w:color w:val="333333"/>
          <w:sz w:val="20"/>
          <w:sz w:val="20"/>
          <w:szCs w:val="20"/>
          <w:rtl w:val="true"/>
        </w:rPr>
        <w:t xml:space="preserve">؛ المغنی </w:t>
      </w:r>
      <w:r>
        <w:rPr>
          <w:rFonts w:eastAsia="IRNazanin" w:cs="IRNazanin"/>
          <w:b w:val="false"/>
          <w:bCs w:val="false"/>
          <w:i w:val="false"/>
          <w:iCs w:val="false"/>
          <w:color w:val="333333"/>
          <w:sz w:val="20"/>
          <w:szCs w:val="20"/>
        </w:rPr>
        <w:t>123:11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الشرح الکبیر </w:t>
      </w:r>
      <w:r>
        <w:rPr>
          <w:rFonts w:eastAsia="IRNazanin" w:cs="IRNazanin"/>
          <w:b w:val="false"/>
          <w:bCs w:val="false"/>
          <w:i w:val="false"/>
          <w:iCs w:val="false"/>
          <w:color w:val="333333"/>
          <w:sz w:val="20"/>
          <w:szCs w:val="20"/>
        </w:rPr>
        <w:t>589:3</w:t>
      </w:r>
      <w:r>
        <w:rPr>
          <w:rFonts w:ascii="IRNazanin" w:hAnsi="IRNazanin" w:eastAsia="IRNazanin"/>
          <w:b w:val="false"/>
          <w:b w:val="false"/>
          <w:bCs w:val="false"/>
          <w:i w:val="false"/>
          <w:i w:val="false"/>
          <w:iCs w:val="false"/>
          <w:color w:val="333333"/>
          <w:sz w:val="20"/>
          <w:sz w:val="20"/>
          <w:szCs w:val="20"/>
          <w:rtl w:val="true"/>
        </w:rPr>
        <w:t xml:space="preserve">؛ نهایة المحتاج إلی شرح المنهاج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 xml:space="preserve">؛ الفقه الإسلامی و أدلّته </w:t>
      </w:r>
      <w:r>
        <w:rPr>
          <w:rFonts w:eastAsia="IRNazanin" w:cs="IRNazanin"/>
          <w:b w:val="false"/>
          <w:bCs w:val="false"/>
          <w:i w:val="false"/>
          <w:iCs w:val="false"/>
          <w:color w:val="333333"/>
          <w:sz w:val="20"/>
          <w:szCs w:val="20"/>
        </w:rPr>
        <w:t>639:3</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647:2</w:t>
      </w:r>
      <w:r>
        <w:rPr>
          <w:rFonts w:ascii="IRNazanin" w:hAnsi="IRNazanin" w:eastAsia="IRNazanin"/>
          <w:b w:val="false"/>
          <w:b w:val="false"/>
          <w:bCs w:val="false"/>
          <w:i w:val="false"/>
          <w:i w:val="false"/>
          <w:iCs w:val="false"/>
          <w:color w:val="333333"/>
          <w:sz w:val="20"/>
          <w:sz w:val="20"/>
          <w:szCs w:val="20"/>
          <w:rtl w:val="true"/>
        </w:rPr>
        <w:t xml:space="preserve">؛ شرائع الإسلام </w:t>
      </w:r>
      <w:r>
        <w:rPr>
          <w:rFonts w:eastAsia="IRNazanin" w:cs="IRNazanin"/>
          <w:b w:val="false"/>
          <w:bCs w:val="false"/>
          <w:i w:val="false"/>
          <w:iCs w:val="false"/>
          <w:color w:val="333333"/>
          <w:sz w:val="20"/>
          <w:szCs w:val="20"/>
        </w:rPr>
        <w:t>344:2</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402:8</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528:7</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48:25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260:31</w:t>
      </w:r>
      <w:r>
        <w:rPr>
          <w:rFonts w:ascii="IRNazanin" w:hAnsi="IRNazanin" w:eastAsia="IRNazanin"/>
          <w:b w:val="false"/>
          <w:b w:val="false"/>
          <w:bCs w:val="false"/>
          <w:i w:val="false"/>
          <w:i w:val="false"/>
          <w:iCs w:val="false"/>
          <w:color w:val="333333"/>
          <w:sz w:val="20"/>
          <w:sz w:val="20"/>
          <w:szCs w:val="20"/>
          <w:rtl w:val="true"/>
        </w:rPr>
        <w:t xml:space="preserve">؛ 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165:15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647:2</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529:7</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51:25</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الأولاد</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403:8</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51:25</w:t>
      </w:r>
      <w:r>
        <w:rPr>
          <w:rFonts w:ascii="IRNazanin" w:hAnsi="IRNazanin" w:eastAsia="IRNazanin"/>
          <w:b w:val="false"/>
          <w:b w:val="false"/>
          <w:bCs w:val="false"/>
          <w:i w:val="false"/>
          <w:i w:val="false"/>
          <w:iCs w:val="false"/>
          <w:color w:val="333333"/>
          <w:sz w:val="20"/>
          <w:sz w:val="20"/>
          <w:szCs w:val="20"/>
          <w:rtl w:val="true"/>
        </w:rPr>
        <w:t xml:space="preserve">؛ مهذّب الأحکام </w:t>
      </w:r>
      <w:r>
        <w:rPr>
          <w:rFonts w:eastAsia="IRNazanin" w:cs="IRNazanin"/>
          <w:b w:val="false"/>
          <w:bCs w:val="false"/>
          <w:i w:val="false"/>
          <w:iCs w:val="false"/>
          <w:color w:val="333333"/>
          <w:sz w:val="20"/>
          <w:szCs w:val="20"/>
        </w:rPr>
        <w:t>263:25</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647:2</w:t>
      </w:r>
      <w:r>
        <w:rPr>
          <w:rFonts w:ascii="IRNazanin" w:hAnsi="IRNazanin" w:eastAsia="IRNazanin"/>
          <w:b w:val="false"/>
          <w:b w:val="false"/>
          <w:bCs w:val="false"/>
          <w:i w:val="false"/>
          <w:i w:val="false"/>
          <w:iCs w:val="false"/>
          <w:color w:val="333333"/>
          <w:sz w:val="20"/>
          <w:sz w:val="20"/>
          <w:szCs w:val="20"/>
          <w:rtl w:val="true"/>
        </w:rPr>
        <w:t xml:space="preserve">؛ شرائع الإسلام </w:t>
      </w:r>
      <w:r>
        <w:rPr>
          <w:rFonts w:eastAsia="IRNazanin" w:cs="IRNazanin"/>
          <w:b w:val="false"/>
          <w:bCs w:val="false"/>
          <w:i w:val="false"/>
          <w:iCs w:val="false"/>
          <w:color w:val="333333"/>
          <w:sz w:val="20"/>
          <w:szCs w:val="20"/>
        </w:rPr>
        <w:t>344:2</w:t>
      </w:r>
      <w:r>
        <w:rPr>
          <w:rFonts w:ascii="IRNazanin" w:hAnsi="IRNazanin" w:eastAsia="IRNazanin"/>
          <w:b w:val="false"/>
          <w:b w:val="false"/>
          <w:bCs w:val="false"/>
          <w:i w:val="false"/>
          <w:i w:val="false"/>
          <w:iCs w:val="false"/>
          <w:color w:val="333333"/>
          <w:sz w:val="20"/>
          <w:sz w:val="20"/>
          <w:szCs w:val="20"/>
          <w:rtl w:val="true"/>
        </w:rPr>
        <w:t xml:space="preserve">؛ المهذّب البارع </w:t>
      </w:r>
      <w:r>
        <w:rPr>
          <w:rFonts w:eastAsia="IRNazanin" w:cs="IRNazanin"/>
          <w:b w:val="false"/>
          <w:bCs w:val="false"/>
          <w:i w:val="false"/>
          <w:iCs w:val="false"/>
          <w:color w:val="333333"/>
          <w:sz w:val="20"/>
          <w:szCs w:val="20"/>
        </w:rPr>
        <w:t>424:3</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26331</w:t>
      </w:r>
      <w:r>
        <w:rPr>
          <w:rFonts w:ascii="IRNazanin" w:hAnsi="IRNazanin" w:eastAsia="IRNazanin"/>
          <w:b w:val="false"/>
          <w:b w:val="false"/>
          <w:bCs w:val="false"/>
          <w:i w:val="false"/>
          <w:i w:val="false"/>
          <w:iCs w:val="false"/>
          <w:color w:val="333333"/>
          <w:sz w:val="20"/>
          <w:sz w:val="20"/>
          <w:szCs w:val="20"/>
          <w:rtl w:val="true"/>
        </w:rPr>
        <w:t xml:space="preserve">؛ مهذّب الأحکام </w:t>
      </w:r>
      <w:r>
        <w:rPr>
          <w:rFonts w:eastAsia="IRNazanin" w:cs="IRNazanin"/>
          <w:b w:val="false"/>
          <w:bCs w:val="false"/>
          <w:i w:val="false"/>
          <w:iCs w:val="false"/>
          <w:color w:val="333333"/>
          <w:sz w:val="20"/>
          <w:szCs w:val="20"/>
        </w:rPr>
        <w:t>263:25</w:t>
      </w:r>
      <w:r>
        <w:rPr>
          <w:rFonts w:ascii="IRNazanin" w:hAnsi="IRNazanin" w:eastAsia="IRNazanin"/>
          <w:b w:val="false"/>
          <w:b w:val="false"/>
          <w:bCs w:val="false"/>
          <w:i w:val="false"/>
          <w:i w:val="false"/>
          <w:iCs w:val="false"/>
          <w:color w:val="333333"/>
          <w:sz w:val="20"/>
          <w:sz w:val="20"/>
          <w:szCs w:val="20"/>
          <w:rtl w:val="true"/>
        </w:rPr>
        <w:t xml:space="preserve">؛ 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529:7</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55:25</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260:31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مهذب الأحکام </w:t>
      </w:r>
      <w:r>
        <w:rPr>
          <w:rFonts w:eastAsia="IRNazanin" w:cs="IRNazanin"/>
          <w:b w:val="false"/>
          <w:bCs w:val="false"/>
          <w:i w:val="false"/>
          <w:iCs w:val="false"/>
          <w:color w:val="333333"/>
          <w:sz w:val="20"/>
          <w:szCs w:val="20"/>
        </w:rPr>
        <w:t>263:25</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55:25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169:15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السالک لأقرب المسالک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366:1</w:t>
      </w:r>
      <w:r>
        <w:rPr>
          <w:rFonts w:ascii="IRNazanin" w:hAnsi="IRNazanin" w:eastAsia="IRNazanin"/>
          <w:b w:val="false"/>
          <w:b w:val="false"/>
          <w:bCs w:val="false"/>
          <w:i w:val="false"/>
          <w:i w:val="false"/>
          <w:iCs w:val="false"/>
          <w:color w:val="333333"/>
          <w:sz w:val="20"/>
          <w:sz w:val="20"/>
          <w:szCs w:val="20"/>
          <w:rtl w:val="true"/>
        </w:rPr>
        <w:t xml:space="preserve">؛ الفقه الإسلامی و أدلّته </w:t>
      </w:r>
      <w:r>
        <w:rPr>
          <w:rFonts w:eastAsia="IRNazanin" w:cs="IRNazanin"/>
          <w:b w:val="false"/>
          <w:bCs w:val="false"/>
          <w:i w:val="false"/>
          <w:iCs w:val="false"/>
          <w:color w:val="333333"/>
          <w:sz w:val="20"/>
          <w:szCs w:val="20"/>
        </w:rPr>
        <w:t>642:3</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xml:space="preserve">؛ الفقه الإسلامی و أدلّته </w:t>
      </w:r>
      <w:r>
        <w:rPr>
          <w:rFonts w:eastAsia="IRNazanin" w:cs="IRNazanin"/>
          <w:b w:val="false"/>
          <w:bCs w:val="false"/>
          <w:i w:val="false"/>
          <w:iCs w:val="false"/>
          <w:color w:val="333333"/>
          <w:sz w:val="20"/>
          <w:szCs w:val="20"/>
        </w:rPr>
        <w:t>642:3</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الفقهیة </w:t>
      </w:r>
      <w:r>
        <w:rPr>
          <w:rFonts w:eastAsia="IRNazanin" w:cs="IRNazanin"/>
          <w:b w:val="false"/>
          <w:bCs w:val="false"/>
          <w:i w:val="false"/>
          <w:iCs w:val="false"/>
          <w:color w:val="333333"/>
          <w:sz w:val="20"/>
          <w:szCs w:val="20"/>
        </w:rPr>
        <w:t>28:19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المحتاج إلی شرح المنهاج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الجمل علی شرح المنهج </w:t>
      </w:r>
      <w:r>
        <w:rPr>
          <w:rFonts w:eastAsia="IRNazanin" w:cs="IRNazanin"/>
          <w:b w:val="false"/>
          <w:bCs w:val="false"/>
          <w:i w:val="false"/>
          <w:iCs w:val="false"/>
          <w:color w:val="333333"/>
          <w:sz w:val="20"/>
          <w:szCs w:val="20"/>
        </w:rPr>
        <w:t>173:5</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السالک </w:t>
      </w:r>
      <w:r>
        <w:rPr>
          <w:rFonts w:eastAsia="IRNazanin" w:cs="IRNazanin"/>
          <w:b w:val="false"/>
          <w:bCs w:val="false"/>
          <w:i w:val="false"/>
          <w:iCs w:val="false"/>
          <w:color w:val="333333"/>
          <w:sz w:val="20"/>
          <w:szCs w:val="20"/>
        </w:rPr>
        <w:t>96:2</w:t>
      </w:r>
      <w:r>
        <w:rPr>
          <w:rFonts w:ascii="IRNazanin" w:hAnsi="IRNazanin" w:eastAsia="IRNazanin"/>
          <w:b w:val="false"/>
          <w:b w:val="false"/>
          <w:bCs w:val="false"/>
          <w:i w:val="false"/>
          <w:i w:val="false"/>
          <w:iCs w:val="false"/>
          <w:color w:val="333333"/>
          <w:sz w:val="20"/>
          <w:sz w:val="20"/>
          <w:szCs w:val="20"/>
          <w:rtl w:val="true"/>
        </w:rPr>
        <w:t>، الإنصاف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155:19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نهایة المحتاج إلی شرح المنهاج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حاشیة الجمل علی شرح المنهج </w:t>
      </w:r>
      <w:r>
        <w:rPr>
          <w:rFonts w:eastAsia="IRNazanin" w:cs="IRNazanin"/>
          <w:b w:val="false"/>
          <w:bCs w:val="false"/>
          <w:i w:val="false"/>
          <w:iCs w:val="false"/>
          <w:color w:val="333333"/>
          <w:sz w:val="20"/>
          <w:szCs w:val="20"/>
        </w:rPr>
        <w:t>174:5</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الخفض للنساء کالختان للرجال، و یقال للخاتن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الشیخ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عذرة المرأة البکارة و الجلدة التی تقطع فی الختان، و هی تلک الجلدة التی کعرف الدیک بین الشفرین فی أعلی الفرج فوق مدخل الذکر و فوق مخرج البول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494:5</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647:2</w:t>
      </w:r>
      <w:r>
        <w:rPr>
          <w:rFonts w:ascii="IRNazanin" w:hAnsi="IRNazanin" w:eastAsia="IRNazanin"/>
          <w:b w:val="false"/>
          <w:b w:val="false"/>
          <w:bCs w:val="false"/>
          <w:i w:val="false"/>
          <w:i w:val="false"/>
          <w:iCs w:val="false"/>
          <w:color w:val="333333"/>
          <w:sz w:val="20"/>
          <w:sz w:val="20"/>
          <w:szCs w:val="20"/>
          <w:rtl w:val="true"/>
        </w:rPr>
        <w:t xml:space="preserve">؛ شرائع الإسلام </w:t>
      </w:r>
      <w:r>
        <w:rPr>
          <w:rFonts w:eastAsia="IRNazanin" w:cs="IRNazanin"/>
          <w:b w:val="false"/>
          <w:bCs w:val="false"/>
          <w:i w:val="false"/>
          <w:iCs w:val="false"/>
          <w:color w:val="333333"/>
          <w:sz w:val="20"/>
          <w:szCs w:val="20"/>
        </w:rPr>
        <w:t>344:2</w:t>
      </w:r>
      <w:r>
        <w:rPr>
          <w:rFonts w:ascii="IRNazanin" w:hAnsi="IRNazanin" w:eastAsia="IRNazanin"/>
          <w:b w:val="false"/>
          <w:b w:val="false"/>
          <w:bCs w:val="false"/>
          <w:i w:val="false"/>
          <w:i w:val="false"/>
          <w:iCs w:val="false"/>
          <w:color w:val="333333"/>
          <w:sz w:val="20"/>
          <w:sz w:val="20"/>
          <w:szCs w:val="20"/>
          <w:rtl w:val="true"/>
        </w:rPr>
        <w:t xml:space="preserve">؛ المهذّب البارع </w:t>
      </w:r>
      <w:r>
        <w:rPr>
          <w:rFonts w:eastAsia="IRNazanin" w:cs="IRNazanin"/>
          <w:b w:val="false"/>
          <w:bCs w:val="false"/>
          <w:i w:val="false"/>
          <w:iCs w:val="false"/>
          <w:color w:val="333333"/>
          <w:sz w:val="20"/>
          <w:szCs w:val="20"/>
        </w:rPr>
        <w:t>424:3</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405:8</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529:7</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52:25</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234:7</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262:31</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92:12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167:15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66:21</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234:7</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262:31</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52:25</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93:12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السالک </w:t>
      </w:r>
      <w:r>
        <w:rPr>
          <w:rFonts w:eastAsia="IRNazanin" w:cs="IRNazanin"/>
          <w:b w:val="false"/>
          <w:bCs w:val="false"/>
          <w:i w:val="false"/>
          <w:iCs w:val="false"/>
          <w:color w:val="333333"/>
          <w:sz w:val="20"/>
          <w:szCs w:val="20"/>
        </w:rPr>
        <w:t>97:2</w:t>
      </w:r>
      <w:r>
        <w:rPr>
          <w:rFonts w:ascii="IRNazanin" w:hAnsi="IRNazanin" w:eastAsia="IRNazanin"/>
          <w:b w:val="false"/>
          <w:b w:val="false"/>
          <w:bCs w:val="false"/>
          <w:i w:val="false"/>
          <w:i w:val="false"/>
          <w:iCs w:val="false"/>
          <w:color w:val="333333"/>
          <w:sz w:val="20"/>
          <w:sz w:val="20"/>
          <w:szCs w:val="20"/>
          <w:rtl w:val="true"/>
        </w:rPr>
        <w:t xml:space="preserve">؛ المغنی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الفقه الإسلامی و أدلّته </w:t>
      </w:r>
      <w:r>
        <w:rPr>
          <w:rFonts w:eastAsia="IRNazanin" w:cs="IRNazanin"/>
          <w:b w:val="false"/>
          <w:bCs w:val="false"/>
          <w:i w:val="false"/>
          <w:iCs w:val="false"/>
          <w:color w:val="333333"/>
          <w:sz w:val="20"/>
          <w:szCs w:val="20"/>
        </w:rPr>
        <w:t>642:3</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366:1</w:t>
      </w:r>
      <w:r>
        <w:rPr>
          <w:rFonts w:ascii="IRNazanin" w:hAnsi="IRNazanin" w:eastAsia="IRNazanin"/>
          <w:b w:val="false"/>
          <w:b w:val="false"/>
          <w:bCs w:val="false"/>
          <w:i w:val="false"/>
          <w:i w:val="false"/>
          <w:iCs w:val="false"/>
          <w:color w:val="333333"/>
          <w:sz w:val="20"/>
          <w:sz w:val="20"/>
          <w:szCs w:val="20"/>
          <w:rtl w:val="true"/>
        </w:rPr>
        <w:t xml:space="preserve">؛ نهایة المحتاج إلی شرح المنهاج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شرائع الإسلام </w:t>
      </w:r>
      <w:r>
        <w:rPr>
          <w:rFonts w:eastAsia="IRNazanin" w:cs="IRNazanin"/>
          <w:b w:val="false"/>
          <w:bCs w:val="false"/>
          <w:i w:val="false"/>
          <w:iCs w:val="false"/>
          <w:color w:val="333333"/>
          <w:sz w:val="20"/>
          <w:szCs w:val="20"/>
        </w:rPr>
        <w:t>344:2</w:t>
      </w:r>
      <w:r>
        <w:rPr>
          <w:rFonts w:ascii="IRNazanin" w:hAnsi="IRNazanin" w:eastAsia="IRNazanin"/>
          <w:b w:val="false"/>
          <w:b w:val="false"/>
          <w:bCs w:val="false"/>
          <w:i w:val="false"/>
          <w:i w:val="false"/>
          <w:iCs w:val="false"/>
          <w:color w:val="333333"/>
          <w:sz w:val="20"/>
          <w:sz w:val="20"/>
          <w:szCs w:val="20"/>
          <w:rtl w:val="true"/>
        </w:rPr>
        <w:t xml:space="preserve">؛ قواعد الأحکام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الحجریة؛ مسالک الأفهام </w:t>
      </w:r>
      <w:r>
        <w:rPr>
          <w:rFonts w:eastAsia="IRNazanin" w:cs="IRNazanin"/>
          <w:b w:val="false"/>
          <w:bCs w:val="false"/>
          <w:i w:val="false"/>
          <w:iCs w:val="false"/>
          <w:color w:val="333333"/>
          <w:sz w:val="20"/>
          <w:szCs w:val="20"/>
        </w:rPr>
        <w:t>400:8</w:t>
      </w:r>
      <w:r>
        <w:rPr>
          <w:rFonts w:ascii="IRNazanin" w:hAnsi="IRNazanin" w:eastAsia="IRNazanin"/>
          <w:b w:val="false"/>
          <w:b w:val="false"/>
          <w:bCs w:val="false"/>
          <w:i w:val="false"/>
          <w:i w:val="false"/>
          <w:iCs w:val="false"/>
          <w:color w:val="333333"/>
          <w:sz w:val="20"/>
          <w:sz w:val="20"/>
          <w:szCs w:val="20"/>
          <w:rtl w:val="true"/>
        </w:rPr>
        <w:t xml:space="preserve">؛ نهایة المرام </w:t>
      </w:r>
      <w:r>
        <w:rPr>
          <w:rFonts w:eastAsia="IRNazanin" w:cs="IRNazanin"/>
          <w:b w:val="false"/>
          <w:bCs w:val="false"/>
          <w:i w:val="false"/>
          <w:iCs w:val="false"/>
          <w:color w:val="333333"/>
          <w:sz w:val="20"/>
          <w:szCs w:val="20"/>
        </w:rPr>
        <w:t>452:1</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المرام </w:t>
      </w:r>
      <w:r>
        <w:rPr>
          <w:rFonts w:eastAsia="IRNazanin" w:cs="IRNazanin"/>
          <w:b w:val="false"/>
          <w:bCs w:val="false"/>
          <w:i w:val="false"/>
          <w:iCs w:val="false"/>
          <w:color w:val="333333"/>
          <w:sz w:val="20"/>
          <w:szCs w:val="20"/>
        </w:rPr>
        <w:t>452:1</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232:7</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160:15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159:15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160:15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102:2</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233:7</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علق فی شحمة الأذن من درة و نحوها، و الشنف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علق فی أعلاها</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159:15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فی هذا کلّه المفصّل فی أحکام المرأة </w:t>
      </w:r>
      <w:r>
        <w:rPr>
          <w:rFonts w:eastAsia="IRNazanin" w:cs="IRNazanin"/>
          <w:b w:val="false"/>
          <w:bCs w:val="false"/>
          <w:i w:val="false"/>
          <w:iCs w:val="false"/>
          <w:color w:val="333333"/>
          <w:sz w:val="20"/>
          <w:szCs w:val="20"/>
        </w:rPr>
        <w:t>276:9</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وسیلة النجاة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مهذّب الأحکام </w:t>
      </w:r>
      <w:r>
        <w:rPr>
          <w:rFonts w:eastAsia="IRNazanin" w:cs="IRNazanin"/>
          <w:b w:val="false"/>
          <w:bCs w:val="false"/>
          <w:i w:val="false"/>
          <w:iCs w:val="false"/>
          <w:color w:val="333333"/>
          <w:sz w:val="20"/>
          <w:szCs w:val="20"/>
        </w:rPr>
        <w:t>260:25</w:t>
      </w:r>
      <w:r>
        <w:rPr>
          <w:rFonts w:ascii="IRNazanin" w:hAnsi="IRNazanin" w:eastAsia="IRNazanin"/>
          <w:b w:val="false"/>
          <w:b w:val="false"/>
          <w:bCs w:val="false"/>
          <w:i w:val="false"/>
          <w:i w:val="false"/>
          <w:iCs w:val="false"/>
          <w:color w:val="333333"/>
          <w:sz w:val="20"/>
          <w:sz w:val="20"/>
          <w:szCs w:val="20"/>
          <w:rtl w:val="true"/>
        </w:rPr>
        <w:t xml:space="preserve">؛ 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454:16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المائدة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قال الفیض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الصواب أن یجعل 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تجب الدعوة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الوجوب لا من الإجابة یعنی لم یثبت فی السنة دعاء الناس إلی طعام و جمع جمّ غفیر لذلک إلاّ فی هذه الأربع أو الخمس أو لم یتأکد استحباب ذلک إلاّ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528:20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281:6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453:16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لابن الأثیر </w:t>
      </w:r>
      <w:r>
        <w:rPr>
          <w:rFonts w:eastAsia="IRNazanin" w:cs="IRNazanin"/>
          <w:b w:val="false"/>
          <w:bCs w:val="false"/>
          <w:i w:val="false"/>
          <w:iCs w:val="false"/>
          <w:color w:val="333333"/>
          <w:sz w:val="20"/>
          <w:szCs w:val="20"/>
        </w:rPr>
        <w:t>277:5</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فی أحکام المرأة </w:t>
      </w:r>
      <w:r>
        <w:rPr>
          <w:rFonts w:eastAsia="IRNazanin" w:cs="IRNazanin"/>
          <w:b w:val="false"/>
          <w:bCs w:val="false"/>
          <w:i w:val="false"/>
          <w:iCs w:val="false"/>
          <w:color w:val="333333"/>
          <w:sz w:val="20"/>
          <w:szCs w:val="20"/>
        </w:rPr>
        <w:t>261:9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159:15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143:15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w:t>
      </w:r>
      <w:r>
        <w:rPr>
          <w:rFonts w:ascii="IRNazanin" w:hAnsi="IRNazanin" w:eastAsia="IRNazanin"/>
          <w:b w:val="false"/>
          <w:b w:val="false"/>
          <w:bCs w:val="false"/>
          <w:i w:val="false"/>
          <w:i w:val="false"/>
          <w:iCs w:val="false"/>
          <w:color w:val="333333"/>
          <w:sz w:val="20"/>
          <w:sz w:val="20"/>
          <w:szCs w:val="20"/>
          <w:rtl w:val="true"/>
        </w:rPr>
        <w:t xml:space="preserve">، حکمة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126:15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126:15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تفسیر المنار لمحمد رشید رضا </w:t>
      </w:r>
      <w:r>
        <w:rPr>
          <w:rFonts w:eastAsia="IRNazanin" w:cs="IRNazanin"/>
          <w:b w:val="false"/>
          <w:bCs w:val="false"/>
          <w:i w:val="false"/>
          <w:iCs w:val="false"/>
          <w:color w:val="333333"/>
          <w:sz w:val="20"/>
          <w:szCs w:val="20"/>
        </w:rPr>
        <w:t>416:2</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240:7</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241:7</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648:2</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458:5</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الینابیع الفقهیة </w:t>
      </w:r>
      <w:r>
        <w:rPr>
          <w:rFonts w:eastAsia="IRNazanin" w:cs="IRNazanin"/>
          <w:b w:val="false"/>
          <w:bCs w:val="false"/>
          <w:i w:val="false"/>
          <w:iCs w:val="false"/>
          <w:color w:val="333333"/>
          <w:sz w:val="20"/>
          <w:szCs w:val="20"/>
        </w:rPr>
        <w:t>204:18</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241:7</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312:9</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الأولاد</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178:15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241:7</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241:7</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273:31</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الدمشقیّة </w:t>
      </w:r>
      <w:r>
        <w:rPr>
          <w:rFonts w:eastAsia="IRNazanin" w:cs="IRNazanin"/>
          <w:b w:val="false"/>
          <w:bCs w:val="false"/>
          <w:i w:val="false"/>
          <w:iCs w:val="false"/>
          <w:color w:val="333333"/>
          <w:sz w:val="20"/>
          <w:szCs w:val="20"/>
        </w:rPr>
        <w:t>455:5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274:25</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241:7</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241:7</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العرفان </w:t>
      </w:r>
      <w:r>
        <w:rPr>
          <w:rFonts w:eastAsia="IRNazanin" w:cs="IRNazanin"/>
          <w:b w:val="false"/>
          <w:bCs w:val="false"/>
          <w:i w:val="false"/>
          <w:iCs w:val="false"/>
          <w:color w:val="333333"/>
          <w:sz w:val="20"/>
          <w:szCs w:val="20"/>
        </w:rPr>
        <w:t>231:2</w:t>
      </w:r>
      <w:r>
        <w:rPr>
          <w:rFonts w:ascii="IRNazanin" w:hAnsi="IRNazanin" w:eastAsia="IRNazanin"/>
          <w:b w:val="false"/>
          <w:b w:val="false"/>
          <w:bCs w:val="false"/>
          <w:i w:val="false"/>
          <w:i w:val="false"/>
          <w:iCs w:val="false"/>
          <w:color w:val="333333"/>
          <w:sz w:val="20"/>
          <w:sz w:val="20"/>
          <w:szCs w:val="20"/>
          <w:rtl w:val="true"/>
        </w:rPr>
        <w:t>؛ زبدة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241:7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کتاب النکاح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 مع اختلاف یسیر</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242:7</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بدایة المجتهد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فی هذا کلّه الفقه الإسلامی و أدلّته </w:t>
      </w:r>
      <w:r>
        <w:rPr>
          <w:rFonts w:eastAsia="IRNazanin" w:cs="IRNazanin"/>
          <w:b w:val="false"/>
          <w:bCs w:val="false"/>
          <w:i w:val="false"/>
          <w:iCs w:val="false"/>
          <w:color w:val="333333"/>
          <w:sz w:val="20"/>
          <w:szCs w:val="20"/>
        </w:rPr>
        <w:t>698:7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العرفان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و نکتها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قواعد الاحکام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الروضة البهیّة </w:t>
      </w:r>
      <w:r>
        <w:rPr>
          <w:rFonts w:eastAsia="IRNazanin" w:cs="IRNazanin"/>
          <w:b w:val="false"/>
          <w:bCs w:val="false"/>
          <w:i w:val="false"/>
          <w:iCs w:val="false"/>
          <w:color w:val="333333"/>
          <w:sz w:val="20"/>
          <w:szCs w:val="20"/>
        </w:rPr>
        <w:t>457:5</w:t>
      </w:r>
      <w:r>
        <w:rPr>
          <w:rFonts w:ascii="IRNazanin" w:hAnsi="IRNazanin" w:eastAsia="IRNazanin"/>
          <w:b w:val="false"/>
          <w:b w:val="false"/>
          <w:bCs w:val="false"/>
          <w:i w:val="false"/>
          <w:i w:val="false"/>
          <w:iCs w:val="false"/>
          <w:color w:val="333333"/>
          <w:sz w:val="20"/>
          <w:sz w:val="20"/>
          <w:szCs w:val="20"/>
          <w:rtl w:val="true"/>
        </w:rPr>
        <w:t xml:space="preserve">؛ الفقه الإسلامی و أدلّته </w:t>
      </w:r>
      <w:r>
        <w:rPr>
          <w:rFonts w:eastAsia="IRNazanin" w:cs="IRNazanin"/>
          <w:b w:val="false"/>
          <w:bCs w:val="false"/>
          <w:i w:val="false"/>
          <w:iCs w:val="false"/>
          <w:color w:val="333333"/>
          <w:sz w:val="20"/>
          <w:szCs w:val="20"/>
        </w:rPr>
        <w:t>702:7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703</w:t>
      </w:r>
      <w:r>
        <w:rPr>
          <w:rFonts w:ascii="IRNazanin" w:hAnsi="IRNazanin" w:eastAsia="IRNazanin"/>
          <w:b w:val="false"/>
          <w:b w:val="false"/>
          <w:bCs w:val="false"/>
          <w:i w:val="false"/>
          <w:i w:val="false"/>
          <w:iCs w:val="false"/>
          <w:color w:val="333333"/>
          <w:sz w:val="20"/>
          <w:sz w:val="20"/>
          <w:szCs w:val="20"/>
          <w:rtl w:val="true"/>
        </w:rPr>
        <w:t xml:space="preserve">؛ 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الآیة الشریفة فی مقام بیان مدّة الرضاع و کمالها، و لیست بصدد إثبات وجوب الرضاع أو کونه حقّاً للوالدات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 ف</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xml:space="preserve">؛ أحکام القرآن للجصاص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الأولاد</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457:5</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246:7</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278:2</w:t>
      </w:r>
      <w:r>
        <w:rPr>
          <w:rFonts w:ascii="IRNazanin" w:hAnsi="IRNazanin" w:eastAsia="IRNazanin"/>
          <w:b w:val="false"/>
          <w:b w:val="false"/>
          <w:bCs w:val="false"/>
          <w:i w:val="false"/>
          <w:i w:val="false"/>
          <w:iCs w:val="false"/>
          <w:color w:val="333333"/>
          <w:sz w:val="20"/>
          <w:sz w:val="20"/>
          <w:szCs w:val="20"/>
          <w:rtl w:val="true"/>
        </w:rPr>
        <w:t xml:space="preserve">، القول فی أحکام الولادة، مسألة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تفصیل الشریعة، 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الإسلامی و أدلّته </w:t>
      </w:r>
      <w:r>
        <w:rPr>
          <w:rFonts w:eastAsia="IRNazanin" w:cs="IRNazanin"/>
          <w:b w:val="false"/>
          <w:bCs w:val="false"/>
          <w:i w:val="false"/>
          <w:iCs w:val="false"/>
          <w:color w:val="333333"/>
          <w:sz w:val="20"/>
          <w:szCs w:val="20"/>
        </w:rPr>
        <w:t>702:7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247:7</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الإسلامی و أدلّته ج </w:t>
      </w:r>
      <w:r>
        <w:rPr>
          <w:rFonts w:eastAsia="IRNazanin" w:cs="IRNazanin"/>
          <w:b w:val="false"/>
          <w:bCs w:val="false"/>
          <w:i w:val="false"/>
          <w:iCs w:val="false"/>
          <w:color w:val="333333"/>
          <w:sz w:val="20"/>
          <w:szCs w:val="20"/>
        </w:rPr>
        <w:t>703:7</w:t>
      </w:r>
      <w:r>
        <w:rPr>
          <w:rFonts w:ascii="IRNazanin" w:hAnsi="IRNazanin" w:eastAsia="IRNazanin"/>
          <w:b w:val="false"/>
          <w:b w:val="false"/>
          <w:bCs w:val="false"/>
          <w:i w:val="false"/>
          <w:i w:val="false"/>
          <w:iCs w:val="false"/>
          <w:color w:val="333333"/>
          <w:sz w:val="20"/>
          <w:sz w:val="20"/>
          <w:szCs w:val="20"/>
          <w:rtl w:val="true"/>
        </w:rPr>
        <w:t xml:space="preserve">؛ أحکام القرآن للجصاص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42:10</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247:7</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الروضة البهیّة </w:t>
      </w:r>
      <w:r>
        <w:rPr>
          <w:rFonts w:eastAsia="IRNazanin" w:cs="IRNazanin"/>
          <w:b w:val="false"/>
          <w:bCs w:val="false"/>
          <w:i w:val="false"/>
          <w:iCs w:val="false"/>
          <w:color w:val="333333"/>
          <w:sz w:val="20"/>
          <w:szCs w:val="20"/>
        </w:rPr>
        <w:t>456:5</w:t>
      </w:r>
      <w:r>
        <w:rPr>
          <w:rFonts w:ascii="IRNazanin" w:hAnsi="IRNazanin" w:eastAsia="IRNazanin"/>
          <w:b w:val="false"/>
          <w:b w:val="false"/>
          <w:bCs w:val="false"/>
          <w:i w:val="false"/>
          <w:i w:val="false"/>
          <w:iCs w:val="false"/>
          <w:color w:val="333333"/>
          <w:sz w:val="20"/>
          <w:sz w:val="20"/>
          <w:szCs w:val="20"/>
          <w:rtl w:val="true"/>
        </w:rPr>
        <w:t xml:space="preserve">؛ کنز العرفان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یخفی ما فی الاستدلال بهذه الروایة، من جهة أنّ کلمة الجور لیست ظاهرة فی الحرمة التکلیفیّة، بل یمکن أن تکون إرشاداً إلی عدم کمال الرضاع فیما نقص عن واحد و عشرون، و یؤیّد ذلک أنّه إذا کان جوراً علی الصبی فتراضی الأبوین لا دخل له فی ذلک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 ف</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177:15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177:15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یخفی أنّ الآیة إنّما دلّت علی جواز الفصال و الفطام فی صورة التراضی و التشاور و لا تدلّ علی کون الفصال لا بدّ و أن یکون بمصلحة الولد مثلاً إذا لم یکن الفصال مصلحة للولد و لکن من جهة أخری تراضی الأبوان علی الفطام، فلا بأس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کلّه مضافاً إلی أنّه إذا کان الملاک لزوم رعایة مصلحة الولد فلا دخل للتراضی أصلاً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 ف</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xml:space="preserve">؛ أحکام القرآن للجصاص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417:8</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245:7</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المرام </w:t>
      </w:r>
      <w:r>
        <w:rPr>
          <w:rFonts w:eastAsia="IRNazanin" w:cs="IRNazanin"/>
          <w:b w:val="false"/>
          <w:bCs w:val="false"/>
          <w:i w:val="false"/>
          <w:iCs w:val="false"/>
          <w:color w:val="333333"/>
          <w:sz w:val="20"/>
          <w:szCs w:val="20"/>
        </w:rPr>
        <w:t>464:1</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81:25</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منهاج الصالحین </w:t>
      </w:r>
      <w:r>
        <w:rPr>
          <w:rFonts w:eastAsia="IRNazanin" w:cs="IRNazanin"/>
          <w:b w:val="false"/>
          <w:bCs w:val="false"/>
          <w:i w:val="false"/>
          <w:iCs w:val="false"/>
          <w:color w:val="333333"/>
          <w:sz w:val="20"/>
          <w:szCs w:val="20"/>
        </w:rPr>
        <w:t>274:10</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245:7</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278:31</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417:8</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81:25</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648:2</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الدمشقیة </w:t>
      </w:r>
      <w:r>
        <w:rPr>
          <w:rFonts w:eastAsia="IRNazanin" w:cs="IRNazanin"/>
          <w:b w:val="false"/>
          <w:bCs w:val="false"/>
          <w:i w:val="false"/>
          <w:iCs w:val="false"/>
          <w:color w:val="333333"/>
          <w:sz w:val="20"/>
          <w:szCs w:val="20"/>
        </w:rPr>
        <w:t>456:5</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278:31</w:t>
      </w:r>
      <w:r>
        <w:rPr>
          <w:rFonts w:ascii="IRNazanin" w:hAnsi="IRNazanin" w:eastAsia="IRNazanin"/>
          <w:b w:val="false"/>
          <w:b w:val="false"/>
          <w:bCs w:val="false"/>
          <w:i w:val="false"/>
          <w:i w:val="false"/>
          <w:iCs w:val="false"/>
          <w:color w:val="333333"/>
          <w:sz w:val="20"/>
          <w:sz w:val="20"/>
          <w:szCs w:val="20"/>
          <w:rtl w:val="true"/>
        </w:rPr>
        <w:t xml:space="preserve">؛ مهذّب الأحکام </w:t>
      </w:r>
      <w:r>
        <w:rPr>
          <w:rFonts w:eastAsia="IRNazanin" w:cs="IRNazanin"/>
          <w:b w:val="false"/>
          <w:bCs w:val="false"/>
          <w:i w:val="false"/>
          <w:iCs w:val="false"/>
          <w:color w:val="333333"/>
          <w:sz w:val="20"/>
          <w:szCs w:val="20"/>
        </w:rPr>
        <w:t>275:25</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648:2</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278:31</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81:25</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278:31</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239:36</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منهاج الصالحین </w:t>
      </w:r>
      <w:r>
        <w:rPr>
          <w:rFonts w:eastAsia="IRNazanin" w:cs="IRNazanin"/>
          <w:b w:val="false"/>
          <w:bCs w:val="false"/>
          <w:i w:val="false"/>
          <w:iCs w:val="false"/>
          <w:color w:val="333333"/>
          <w:sz w:val="20"/>
          <w:szCs w:val="20"/>
        </w:rPr>
        <w:t>275:10</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275:25</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278:31</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الأحکام </w:t>
      </w:r>
      <w:r>
        <w:rPr>
          <w:rFonts w:eastAsia="IRNazanin" w:cs="IRNazanin"/>
          <w:b w:val="false"/>
          <w:bCs w:val="false"/>
          <w:i w:val="false"/>
          <w:iCs w:val="false"/>
          <w:color w:val="333333"/>
          <w:sz w:val="20"/>
          <w:szCs w:val="20"/>
        </w:rPr>
        <w:t>245:7</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الدمشقیة </w:t>
      </w:r>
      <w:r>
        <w:rPr>
          <w:rFonts w:eastAsia="IRNazanin" w:cs="IRNazanin"/>
          <w:b w:val="false"/>
          <w:bCs w:val="false"/>
          <w:i w:val="false"/>
          <w:iCs w:val="false"/>
          <w:color w:val="333333"/>
          <w:sz w:val="20"/>
          <w:szCs w:val="20"/>
        </w:rPr>
        <w:t>456:5</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279:31</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417:7</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549:7</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المرام </w:t>
      </w:r>
      <w:r>
        <w:rPr>
          <w:rFonts w:eastAsia="IRNazanin" w:cs="IRNazanin"/>
          <w:b w:val="false"/>
          <w:bCs w:val="false"/>
          <w:i w:val="false"/>
          <w:iCs w:val="false"/>
          <w:color w:val="333333"/>
          <w:sz w:val="20"/>
          <w:szCs w:val="20"/>
        </w:rPr>
        <w:t>464:1</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245:7</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المدارک </w:t>
      </w:r>
      <w:r>
        <w:rPr>
          <w:rFonts w:eastAsia="IRNazanin" w:cs="IRNazanin"/>
          <w:b w:val="false"/>
          <w:bCs w:val="false"/>
          <w:i w:val="false"/>
          <w:iCs w:val="false"/>
          <w:color w:val="333333"/>
          <w:sz w:val="20"/>
          <w:szCs w:val="20"/>
        </w:rPr>
        <w:t>471:4</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فی مذهب الإمام الشافعی </w:t>
      </w:r>
      <w:r>
        <w:rPr>
          <w:rFonts w:eastAsia="IRNazanin" w:cs="IRNazanin"/>
          <w:b w:val="false"/>
          <w:bCs w:val="false"/>
          <w:i w:val="false"/>
          <w:iCs w:val="false"/>
          <w:color w:val="333333"/>
          <w:sz w:val="20"/>
          <w:szCs w:val="20"/>
        </w:rPr>
        <w:t>143:11</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القرآن للجصّاص </w:t>
      </w:r>
      <w:r>
        <w:rPr>
          <w:rFonts w:eastAsia="IRNazanin" w:cs="IRNazanin"/>
          <w:b w:val="false"/>
          <w:bCs w:val="false"/>
          <w:i w:val="false"/>
          <w:iCs w:val="false"/>
          <w:color w:val="333333"/>
          <w:sz w:val="20"/>
          <w:szCs w:val="20"/>
        </w:rPr>
        <w:t>564:1</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للقرطبی </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الجواهر الثمینة </w:t>
      </w:r>
      <w:r>
        <w:rPr>
          <w:rFonts w:eastAsia="IRNazanin" w:cs="IRNazanin"/>
          <w:b w:val="false"/>
          <w:bCs w:val="false"/>
          <w:i w:val="false"/>
          <w:iCs w:val="false"/>
          <w:color w:val="333333"/>
          <w:sz w:val="20"/>
          <w:szCs w:val="20"/>
        </w:rPr>
        <w:t>286:2</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الإسلامی و أدلّته </w:t>
      </w:r>
      <w:r>
        <w:rPr>
          <w:rFonts w:eastAsia="IRNazanin" w:cs="IRNazanin"/>
          <w:b w:val="false"/>
          <w:bCs w:val="false"/>
          <w:i w:val="false"/>
          <w:iCs w:val="false"/>
          <w:color w:val="333333"/>
          <w:sz w:val="20"/>
          <w:szCs w:val="20"/>
        </w:rPr>
        <w:t>710:7</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بالآثار </w:t>
      </w:r>
      <w:r>
        <w:rPr>
          <w:rFonts w:eastAsia="IRNazanin" w:cs="IRNazanin"/>
          <w:b w:val="false"/>
          <w:bCs w:val="false"/>
          <w:i w:val="false"/>
          <w:iCs w:val="false"/>
          <w:color w:val="333333"/>
          <w:sz w:val="20"/>
          <w:szCs w:val="20"/>
        </w:rPr>
        <w:t>174:10</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العلماء </w:t>
      </w:r>
      <w:r>
        <w:rPr>
          <w:rFonts w:eastAsia="IRNazanin" w:cs="IRNazanin"/>
          <w:b w:val="false"/>
          <w:bCs w:val="false"/>
          <w:i w:val="false"/>
          <w:iCs w:val="false"/>
          <w:color w:val="333333"/>
          <w:sz w:val="20"/>
          <w:szCs w:val="20"/>
        </w:rPr>
        <w:t>370:7</w:t>
      </w:r>
      <w:r>
        <w:rPr>
          <w:rFonts w:ascii="IRNazanin" w:hAnsi="IRNazanin" w:eastAsia="IRNazanin"/>
          <w:b w:val="false"/>
          <w:b w:val="false"/>
          <w:bCs w:val="false"/>
          <w:i w:val="false"/>
          <w:i w:val="false"/>
          <w:iCs w:val="false"/>
          <w:color w:val="333333"/>
          <w:sz w:val="20"/>
          <w:sz w:val="20"/>
          <w:szCs w:val="20"/>
          <w:rtl w:val="true"/>
        </w:rPr>
        <w:t xml:space="preserve">؛ الإنصاف </w:t>
      </w:r>
      <w:r>
        <w:rPr>
          <w:rFonts w:eastAsia="IRNazanin" w:cs="IRNazanin"/>
          <w:b w:val="false"/>
          <w:bCs w:val="false"/>
          <w:i w:val="false"/>
          <w:iCs w:val="false"/>
          <w:color w:val="333333"/>
          <w:sz w:val="20"/>
          <w:szCs w:val="20"/>
        </w:rPr>
        <w:t>348:9</w:t>
      </w:r>
      <w:r>
        <w:rPr>
          <w:rFonts w:ascii="IRNazanin" w:hAnsi="IRNazanin" w:eastAsia="IRNazanin"/>
          <w:b w:val="false"/>
          <w:b w:val="false"/>
          <w:bCs w:val="false"/>
          <w:i w:val="false"/>
          <w:i w:val="false"/>
          <w:iCs w:val="false"/>
          <w:color w:val="333333"/>
          <w:sz w:val="20"/>
          <w:sz w:val="20"/>
          <w:szCs w:val="20"/>
          <w:rtl w:val="true"/>
        </w:rPr>
        <w:t xml:space="preserve">؛ منتهی الإرادات </w:t>
      </w:r>
      <w:r>
        <w:rPr>
          <w:rFonts w:eastAsia="IRNazanin" w:cs="IRNazanin"/>
          <w:b w:val="false"/>
          <w:bCs w:val="false"/>
          <w:i w:val="false"/>
          <w:iCs w:val="false"/>
          <w:color w:val="333333"/>
          <w:sz w:val="20"/>
          <w:szCs w:val="20"/>
        </w:rPr>
        <w:t>428:4</w:t>
      </w:r>
      <w:r>
        <w:rPr>
          <w:rFonts w:ascii="IRNazanin" w:hAnsi="IRNazanin" w:eastAsia="IRNazanin"/>
          <w:b w:val="false"/>
          <w:b w:val="false"/>
          <w:bCs w:val="false"/>
          <w:i w:val="false"/>
          <w:i w:val="false"/>
          <w:iCs w:val="false"/>
          <w:color w:val="333333"/>
          <w:sz w:val="20"/>
          <w:sz w:val="20"/>
          <w:szCs w:val="20"/>
          <w:rtl w:val="true"/>
        </w:rPr>
        <w:t xml:space="preserve">؛ تبیین المسالک </w:t>
      </w:r>
      <w:r>
        <w:rPr>
          <w:rFonts w:eastAsia="IRNazanin" w:cs="IRNazanin"/>
          <w:b w:val="false"/>
          <w:bCs w:val="false"/>
          <w:i w:val="false"/>
          <w:iCs w:val="false"/>
          <w:color w:val="333333"/>
          <w:sz w:val="20"/>
          <w:szCs w:val="20"/>
        </w:rPr>
        <w:t>222:3</w:t>
      </w:r>
      <w:r>
        <w:rPr>
          <w:rFonts w:ascii="IRNazanin" w:hAnsi="IRNazanin" w:eastAsia="IRNazanin"/>
          <w:b w:val="false"/>
          <w:b w:val="false"/>
          <w:bCs w:val="false"/>
          <w:i w:val="false"/>
          <w:i w:val="false"/>
          <w:iCs w:val="false"/>
          <w:color w:val="333333"/>
          <w:sz w:val="20"/>
          <w:sz w:val="20"/>
          <w:szCs w:val="20"/>
          <w:rtl w:val="true"/>
        </w:rPr>
        <w:t xml:space="preserve">؛ مواهب الجلیل </w:t>
      </w:r>
      <w:r>
        <w:rPr>
          <w:rFonts w:eastAsia="IRNazanin" w:cs="IRNazanin"/>
          <w:b w:val="false"/>
          <w:bCs w:val="false"/>
          <w:i w:val="false"/>
          <w:iCs w:val="false"/>
          <w:color w:val="333333"/>
          <w:sz w:val="20"/>
          <w:szCs w:val="20"/>
        </w:rPr>
        <w:t>537:5</w:t>
      </w:r>
      <w:r>
        <w:rPr>
          <w:rFonts w:ascii="IRNazanin" w:hAnsi="IRNazanin" w:eastAsia="IRNazanin"/>
          <w:b w:val="false"/>
          <w:b w:val="false"/>
          <w:bCs w:val="false"/>
          <w:i w:val="false"/>
          <w:i w:val="false"/>
          <w:iCs w:val="false"/>
          <w:color w:val="333333"/>
          <w:sz w:val="20"/>
          <w:sz w:val="20"/>
          <w:szCs w:val="20"/>
          <w:rtl w:val="true"/>
        </w:rPr>
        <w:t>؛ تحفة الورود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المفصّل فی أحکام المرأة </w:t>
      </w:r>
      <w:r>
        <w:rPr>
          <w:rFonts w:eastAsia="IRNazanin" w:cs="IRNazanin"/>
          <w:b w:val="false"/>
          <w:bCs w:val="false"/>
          <w:i w:val="false"/>
          <w:iCs w:val="false"/>
          <w:color w:val="333333"/>
          <w:sz w:val="20"/>
          <w:szCs w:val="20"/>
        </w:rPr>
        <w:t>469:9</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239:3</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472:2</w:t>
      </w:r>
      <w:r>
        <w:rPr>
          <w:rFonts w:ascii="IRNazanin" w:hAnsi="IRNazanin" w:eastAsia="IRNazanin"/>
          <w:b w:val="false"/>
          <w:b w:val="false"/>
          <w:bCs w:val="false"/>
          <w:i w:val="false"/>
          <w:i w:val="false"/>
          <w:iCs w:val="false"/>
          <w:color w:val="333333"/>
          <w:sz w:val="20"/>
          <w:sz w:val="20"/>
          <w:szCs w:val="20"/>
          <w:rtl w:val="true"/>
        </w:rPr>
        <w:t>، و فیه حکایة قول السید المرتضی رحمه الله أیضاً و لم نجده فی کتبه</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452:5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278:2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فی أحکام الولادة، مسألة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239:3</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القرآن للجصاص </w:t>
      </w:r>
      <w:r>
        <w:rPr>
          <w:rFonts w:eastAsia="IRNazanin" w:cs="IRNazanin"/>
          <w:b w:val="false"/>
          <w:bCs w:val="false"/>
          <w:i w:val="false"/>
          <w:iCs w:val="false"/>
          <w:color w:val="333333"/>
          <w:sz w:val="20"/>
          <w:szCs w:val="20"/>
        </w:rPr>
        <w:t>105:2</w:t>
      </w:r>
      <w:r>
        <w:rPr>
          <w:rFonts w:ascii="IRNazanin" w:hAnsi="IRNazanin" w:eastAsia="IRNazanin"/>
          <w:b w:val="false"/>
          <w:b w:val="false"/>
          <w:bCs w:val="false"/>
          <w:i w:val="false"/>
          <w:i w:val="false"/>
          <w:iCs w:val="false"/>
          <w:color w:val="333333"/>
          <w:sz w:val="20"/>
          <w:sz w:val="20"/>
          <w:szCs w:val="20"/>
          <w:rtl w:val="true"/>
        </w:rPr>
        <w:t xml:space="preserve">، الفقه الإسلامی و أدلّته </w:t>
      </w:r>
      <w:r>
        <w:rPr>
          <w:rFonts w:eastAsia="IRNazanin" w:cs="IRNazanin"/>
          <w:b w:val="false"/>
          <w:bCs w:val="false"/>
          <w:i w:val="false"/>
          <w:iCs w:val="false"/>
          <w:color w:val="333333"/>
          <w:sz w:val="20"/>
          <w:szCs w:val="20"/>
        </w:rPr>
        <w:t>700:7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305:7</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القرآن للجصاص </w:t>
      </w:r>
      <w:r>
        <w:rPr>
          <w:rFonts w:eastAsia="IRNazanin" w:cs="IRNazanin"/>
          <w:b w:val="false"/>
          <w:bCs w:val="false"/>
          <w:i w:val="false"/>
          <w:iCs w:val="false"/>
          <w:color w:val="333333"/>
          <w:sz w:val="20"/>
          <w:szCs w:val="20"/>
        </w:rPr>
        <w:t>105:2</w:t>
      </w:r>
      <w:r>
        <w:rPr>
          <w:rFonts w:ascii="IRNazanin" w:hAnsi="IRNazanin" w:eastAsia="IRNazanin"/>
          <w:b w:val="false"/>
          <w:b w:val="false"/>
          <w:bCs w:val="false"/>
          <w:i w:val="false"/>
          <w:i w:val="false"/>
          <w:iCs w:val="false"/>
          <w:color w:val="333333"/>
          <w:sz w:val="20"/>
          <w:sz w:val="20"/>
          <w:szCs w:val="20"/>
          <w:rtl w:val="true"/>
        </w:rPr>
        <w:t xml:space="preserve">؛ الفقه الإسلامی و أدلّته </w:t>
      </w:r>
      <w:r>
        <w:rPr>
          <w:rFonts w:eastAsia="IRNazanin" w:cs="IRNazanin"/>
          <w:b w:val="false"/>
          <w:bCs w:val="false"/>
          <w:i w:val="false"/>
          <w:iCs w:val="false"/>
          <w:color w:val="333333"/>
          <w:sz w:val="20"/>
          <w:szCs w:val="20"/>
        </w:rPr>
        <w:t>701:7</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376:23</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376:23</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317:23</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309:29</w:t>
      </w:r>
      <w:r>
        <w:rPr>
          <w:rFonts w:ascii="IRNazanin" w:hAnsi="IRNazanin" w:eastAsia="IRNazanin"/>
          <w:b w:val="false"/>
          <w:b w:val="false"/>
          <w:bCs w:val="false"/>
          <w:i w:val="false"/>
          <w:i w:val="false"/>
          <w:iCs w:val="false"/>
          <w:color w:val="333333"/>
          <w:sz w:val="20"/>
          <w:sz w:val="20"/>
          <w:szCs w:val="20"/>
          <w:rtl w:val="true"/>
        </w:rPr>
        <w:t xml:space="preserve">؛ کتاب النکاح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تراث الشیخ الأعظم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285:20</w:t>
      </w:r>
      <w:r>
        <w:rPr>
          <w:rFonts w:ascii="IRNazanin" w:hAnsi="IRNazanin" w:eastAsia="IRNazanin"/>
          <w:b w:val="false"/>
          <w:b w:val="false"/>
          <w:bCs w:val="false"/>
          <w:i w:val="false"/>
          <w:i w:val="false"/>
          <w:iCs w:val="false"/>
          <w:color w:val="333333"/>
          <w:sz w:val="20"/>
          <w:sz w:val="20"/>
          <w:szCs w:val="20"/>
          <w:rtl w:val="true"/>
        </w:rPr>
        <w:t xml:space="preserve">؛ بلغة الفقیه </w:t>
      </w:r>
      <w:r>
        <w:rPr>
          <w:rFonts w:eastAsia="IRNazanin" w:cs="IRNazanin"/>
          <w:b w:val="false"/>
          <w:bCs w:val="false"/>
          <w:i w:val="false"/>
          <w:iCs w:val="false"/>
          <w:color w:val="333333"/>
          <w:sz w:val="20"/>
          <w:szCs w:val="20"/>
        </w:rPr>
        <w:t>121:3</w:t>
      </w:r>
      <w:r>
        <w:rPr>
          <w:rFonts w:ascii="IRNazanin" w:hAnsi="IRNazanin" w:eastAsia="IRNazanin"/>
          <w:b w:val="false"/>
          <w:b w:val="false"/>
          <w:bCs w:val="false"/>
          <w:i w:val="false"/>
          <w:i w:val="false"/>
          <w:iCs w:val="false"/>
          <w:color w:val="333333"/>
          <w:sz w:val="20"/>
          <w:sz w:val="20"/>
          <w:szCs w:val="20"/>
          <w:rtl w:val="true"/>
        </w:rPr>
        <w:t xml:space="preserve">؛ بدایة المجتهد و نهایة المقتصد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تفصیل الشریعة، 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326:14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281:14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بالرضاع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300:14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بالرضاع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یحرم بالرضاع</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865:2</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453:3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867:2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الرضاع ح </w:t>
      </w:r>
      <w:r>
        <w:rPr>
          <w:rFonts w:eastAsia="IRNazanin" w:cs="IRNazanin"/>
          <w:b w:val="false"/>
          <w:bCs w:val="false"/>
          <w:i w:val="false"/>
          <w:iCs w:val="false"/>
          <w:color w:val="333333"/>
          <w:sz w:val="20"/>
          <w:szCs w:val="20"/>
        </w:rPr>
        <w:t>1445</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369:3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النکاح ح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1938</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453:3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868:2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الرضاع ح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452:3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الرضاع</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الفقیه للسید محمّد آل بحر العلوم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309:29</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285:2</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302:4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553:2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314:29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307:14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بالرضاع،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350:3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1470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306:14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بالرضاع،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285:2</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412:23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302:14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بالرضاع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300:14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بالرضاع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340:14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326:14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325:14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442:23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296:5</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521:2</w:t>
      </w:r>
      <w:r>
        <w:rPr>
          <w:rFonts w:ascii="IRNazanin" w:hAnsi="IRNazanin" w:eastAsia="IRNazanin"/>
          <w:b w:val="false"/>
          <w:b w:val="false"/>
          <w:bCs w:val="false"/>
          <w:i w:val="false"/>
          <w:i w:val="false"/>
          <w:iCs w:val="false"/>
          <w:color w:val="333333"/>
          <w:sz w:val="20"/>
          <w:sz w:val="20"/>
          <w:szCs w:val="20"/>
          <w:rtl w:val="true"/>
        </w:rPr>
        <w:t xml:space="preserve">؛ شرائع الإسلام </w:t>
      </w:r>
      <w:r>
        <w:rPr>
          <w:rFonts w:eastAsia="IRNazanin" w:cs="IRNazanin"/>
          <w:b w:val="false"/>
          <w:bCs w:val="false"/>
          <w:i w:val="false"/>
          <w:iCs w:val="false"/>
          <w:color w:val="333333"/>
          <w:sz w:val="20"/>
          <w:szCs w:val="20"/>
        </w:rPr>
        <w:t>283:2</w:t>
      </w:r>
      <w:r>
        <w:rPr>
          <w:rFonts w:ascii="IRNazanin" w:hAnsi="IRNazanin" w:eastAsia="IRNazanin"/>
          <w:b w:val="false"/>
          <w:b w:val="false"/>
          <w:bCs w:val="false"/>
          <w:i w:val="false"/>
          <w:i w:val="false"/>
          <w:iCs w:val="false"/>
          <w:color w:val="333333"/>
          <w:sz w:val="20"/>
          <w:sz w:val="20"/>
          <w:szCs w:val="20"/>
          <w:rtl w:val="true"/>
        </w:rPr>
        <w:t xml:space="preserve">؛ قواعد الأحکام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حجری؛ جامع المقاصد </w:t>
      </w:r>
      <w:r>
        <w:rPr>
          <w:rFonts w:eastAsia="IRNazanin" w:cs="IRNazanin"/>
          <w:b w:val="false"/>
          <w:bCs w:val="false"/>
          <w:i w:val="false"/>
          <w:iCs w:val="false"/>
          <w:color w:val="333333"/>
          <w:sz w:val="20"/>
          <w:szCs w:val="20"/>
        </w:rPr>
        <w:t>202:12</w:t>
      </w:r>
      <w:r>
        <w:rPr>
          <w:rFonts w:ascii="IRNazanin" w:hAnsi="IRNazanin" w:eastAsia="IRNazanin"/>
          <w:b w:val="false"/>
          <w:b w:val="false"/>
          <w:bCs w:val="false"/>
          <w:i w:val="false"/>
          <w:i w:val="false"/>
          <w:iCs w:val="false"/>
          <w:color w:val="333333"/>
          <w:sz w:val="20"/>
          <w:sz w:val="20"/>
          <w:szCs w:val="20"/>
          <w:rtl w:val="true"/>
        </w:rPr>
        <w:t xml:space="preserve">؛ بلغة الفقیه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362:23</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بالرضاع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362:23</w:t>
      </w:r>
      <w:r>
        <w:rPr>
          <w:rFonts w:ascii="IRNazanin" w:hAnsi="IRNazanin" w:eastAsia="IRNazanin"/>
          <w:b w:val="false"/>
          <w:b w:val="false"/>
          <w:bCs w:val="false"/>
          <w:i w:val="false"/>
          <w:i w:val="false"/>
          <w:iCs w:val="false"/>
          <w:color w:val="333333"/>
          <w:sz w:val="20"/>
          <w:sz w:val="20"/>
          <w:szCs w:val="20"/>
          <w:rtl w:val="true"/>
        </w:rPr>
        <w:t xml:space="preserve">؛ بلغة الفقیه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علی المذاهب الأربعة </w:t>
      </w:r>
      <w:r>
        <w:rPr>
          <w:rFonts w:eastAsia="IRNazanin" w:cs="IRNazanin"/>
          <w:b w:val="false"/>
          <w:bCs w:val="false"/>
          <w:i w:val="false"/>
          <w:iCs w:val="false"/>
          <w:color w:val="333333"/>
          <w:sz w:val="20"/>
          <w:szCs w:val="20"/>
        </w:rPr>
        <w:t>254:4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الفقه الإسلامی و أدلّته </w:t>
      </w:r>
      <w:r>
        <w:rPr>
          <w:rFonts w:eastAsia="IRNazanin" w:cs="IRNazanin"/>
          <w:b w:val="false"/>
          <w:bCs w:val="false"/>
          <w:i w:val="false"/>
          <w:iCs w:val="false"/>
          <w:color w:val="333333"/>
          <w:sz w:val="20"/>
          <w:szCs w:val="20"/>
        </w:rPr>
        <w:t>705:7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520:2</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264:29</w:t>
      </w:r>
      <w:r>
        <w:rPr>
          <w:rFonts w:ascii="IRNazanin" w:hAnsi="IRNazanin" w:eastAsia="IRNazanin"/>
          <w:b w:val="false"/>
          <w:b w:val="false"/>
          <w:bCs w:val="false"/>
          <w:i w:val="false"/>
          <w:i w:val="false"/>
          <w:iCs w:val="false"/>
          <w:color w:val="333333"/>
          <w:sz w:val="20"/>
          <w:sz w:val="20"/>
          <w:szCs w:val="20"/>
          <w:rtl w:val="true"/>
        </w:rPr>
        <w:t xml:space="preserve">؛ بلغة الفقیه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237:2</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307:5</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204:12</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427:6</w:t>
      </w:r>
      <w:r>
        <w:rPr>
          <w:rFonts w:ascii="IRNazanin" w:hAnsi="IRNazanin" w:eastAsia="IRNazanin"/>
          <w:b w:val="false"/>
          <w:b w:val="false"/>
          <w:bCs w:val="false"/>
          <w:i w:val="false"/>
          <w:i w:val="false"/>
          <w:iCs w:val="false"/>
          <w:color w:val="333333"/>
          <w:sz w:val="20"/>
          <w:sz w:val="20"/>
          <w:szCs w:val="20"/>
          <w:rtl w:val="true"/>
        </w:rPr>
        <w:t xml:space="preserve">؛ قواعد الاحکام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حجری؛ ایضاح الفوائد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منهاج الصالحین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264:29</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207:7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266:29</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916</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373:14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من الرضاع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الفقه علی المذاهب الأربعة </w:t>
      </w:r>
      <w:r>
        <w:rPr>
          <w:rFonts w:eastAsia="IRNazanin" w:cs="IRNazanin"/>
          <w:b w:val="false"/>
          <w:bCs w:val="false"/>
          <w:i w:val="false"/>
          <w:iCs w:val="false"/>
          <w:color w:val="333333"/>
          <w:sz w:val="20"/>
          <w:szCs w:val="20"/>
        </w:rPr>
        <w:t>253:4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بدائع الصنائع </w:t>
      </w:r>
      <w:r>
        <w:rPr>
          <w:rFonts w:eastAsia="IRNazanin" w:cs="IRNazanin"/>
          <w:b w:val="false"/>
          <w:bCs w:val="false"/>
          <w:i w:val="false"/>
          <w:iCs w:val="false"/>
          <w:color w:val="333333"/>
          <w:sz w:val="20"/>
          <w:szCs w:val="20"/>
        </w:rPr>
        <w:t>399:3</w:t>
      </w:r>
      <w:r>
        <w:rPr>
          <w:rFonts w:ascii="IRNazanin" w:hAnsi="IRNazanin" w:eastAsia="IRNazanin"/>
          <w:b w:val="false"/>
          <w:b w:val="false"/>
          <w:bCs w:val="false"/>
          <w:i w:val="false"/>
          <w:i w:val="false"/>
          <w:iCs w:val="false"/>
          <w:color w:val="333333"/>
          <w:sz w:val="20"/>
          <w:sz w:val="20"/>
          <w:szCs w:val="20"/>
          <w:rtl w:val="true"/>
        </w:rPr>
        <w:t xml:space="preserve">؛ الفقه الإسلامی و أدلّته </w:t>
      </w:r>
      <w:r>
        <w:rPr>
          <w:rFonts w:eastAsia="IRNazanin" w:cs="IRNazanin"/>
          <w:b w:val="false"/>
          <w:bCs w:val="false"/>
          <w:i w:val="false"/>
          <w:iCs w:val="false"/>
          <w:color w:val="333333"/>
          <w:sz w:val="20"/>
          <w:szCs w:val="20"/>
        </w:rPr>
        <w:t>705:7</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206:9</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205:9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208:7</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520:2</w:t>
      </w:r>
      <w:r>
        <w:rPr>
          <w:rFonts w:ascii="IRNazanin" w:hAnsi="IRNazanin" w:eastAsia="IRNazanin"/>
          <w:b w:val="false"/>
          <w:b w:val="false"/>
          <w:bCs w:val="false"/>
          <w:i w:val="false"/>
          <w:i w:val="false"/>
          <w:iCs w:val="false"/>
          <w:color w:val="333333"/>
          <w:sz w:val="20"/>
          <w:sz w:val="20"/>
          <w:szCs w:val="20"/>
          <w:rtl w:val="true"/>
        </w:rPr>
        <w:t xml:space="preserve">، تفصیل الشریعة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302:14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بالرضاع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بالرضاع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201:12</w:t>
      </w:r>
      <w:r>
        <w:rPr>
          <w:rFonts w:ascii="IRNazanin" w:hAnsi="IRNazanin" w:eastAsia="IRNazanin"/>
          <w:b w:val="false"/>
          <w:b w:val="false"/>
          <w:bCs w:val="false"/>
          <w:i w:val="false"/>
          <w:i w:val="false"/>
          <w:iCs w:val="false"/>
          <w:color w:val="333333"/>
          <w:sz w:val="20"/>
          <w:sz w:val="20"/>
          <w:szCs w:val="20"/>
          <w:rtl w:val="true"/>
        </w:rPr>
        <w:t xml:space="preserve">؛ إیضاح الفوائد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بالرضاع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بالرضاع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306:14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بالرضاع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بالرضاع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النکاح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تراث الشیخ الأعظم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291:20</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444:23</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267:29</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409:3</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293:5</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الفقیه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519:2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الغنیة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443:5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النکاح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تراث الشیخ الأعظم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298:20</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296:29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بالرضاع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292:14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بالرضاع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292:14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بالرضاع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بدایة المجتهد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المقدّمات و الممهّدات لابن رشد </w:t>
      </w:r>
      <w:r>
        <w:rPr>
          <w:rFonts w:eastAsia="IRNazanin" w:cs="IRNazanin"/>
          <w:b w:val="false"/>
          <w:bCs w:val="false"/>
          <w:i w:val="false"/>
          <w:iCs w:val="false"/>
          <w:color w:val="333333"/>
          <w:sz w:val="20"/>
          <w:szCs w:val="20"/>
        </w:rPr>
        <w:t>493:1</w:t>
      </w:r>
      <w:r>
        <w:rPr>
          <w:rFonts w:ascii="IRNazanin" w:hAnsi="IRNazanin" w:eastAsia="IRNazanin"/>
          <w:b w:val="false"/>
          <w:b w:val="false"/>
          <w:bCs w:val="false"/>
          <w:i w:val="false"/>
          <w:i w:val="false"/>
          <w:iCs w:val="false"/>
          <w:color w:val="333333"/>
          <w:sz w:val="20"/>
          <w:sz w:val="20"/>
          <w:szCs w:val="20"/>
          <w:rtl w:val="true"/>
        </w:rPr>
        <w:t xml:space="preserve">؛ بدائع الصنائع </w:t>
      </w:r>
      <w:r>
        <w:rPr>
          <w:rFonts w:eastAsia="IRNazanin" w:cs="IRNazanin"/>
          <w:b w:val="false"/>
          <w:bCs w:val="false"/>
          <w:i w:val="false"/>
          <w:iCs w:val="false"/>
          <w:color w:val="333333"/>
          <w:sz w:val="20"/>
          <w:szCs w:val="20"/>
        </w:rPr>
        <w:t>400:3</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201:9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الدارقطنی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4318</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274:6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15678</w:t>
      </w:r>
      <w:r>
        <w:rPr>
          <w:rFonts w:ascii="IRNazanin" w:hAnsi="IRNazanin" w:eastAsia="IRNazanin"/>
          <w:b w:val="false"/>
          <w:b w:val="false"/>
          <w:bCs w:val="false"/>
          <w:i w:val="false"/>
          <w:i w:val="false"/>
          <w:iCs w:val="false"/>
          <w:color w:val="333333"/>
          <w:sz w:val="20"/>
          <w:sz w:val="20"/>
          <w:szCs w:val="20"/>
          <w:rtl w:val="true"/>
        </w:rPr>
        <w:t xml:space="preserve">؛ نیل الأوطار </w:t>
      </w:r>
      <w:r>
        <w:rPr>
          <w:rFonts w:eastAsia="IRNazanin" w:cs="IRNazanin"/>
          <w:b w:val="false"/>
          <w:bCs w:val="false"/>
          <w:i w:val="false"/>
          <w:iCs w:val="false"/>
          <w:color w:val="333333"/>
          <w:sz w:val="20"/>
          <w:szCs w:val="20"/>
        </w:rPr>
        <w:t>315:6</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الترمذی </w:t>
      </w:r>
      <w:r>
        <w:rPr>
          <w:rFonts w:eastAsia="IRNazanin" w:cs="IRNazanin"/>
          <w:b w:val="false"/>
          <w:bCs w:val="false"/>
          <w:i w:val="false"/>
          <w:iCs w:val="false"/>
          <w:color w:val="333333"/>
          <w:sz w:val="20"/>
          <w:szCs w:val="20"/>
        </w:rPr>
        <w:t>458:3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1154</w:t>
      </w:r>
      <w:r>
        <w:rPr>
          <w:rFonts w:ascii="IRNazanin" w:hAnsi="IRNazanin" w:eastAsia="IRNazanin"/>
          <w:b w:val="false"/>
          <w:b w:val="false"/>
          <w:bCs w:val="false"/>
          <w:i w:val="false"/>
          <w:i w:val="false"/>
          <w:iCs w:val="false"/>
          <w:color w:val="333333"/>
          <w:sz w:val="20"/>
          <w:sz w:val="20"/>
          <w:szCs w:val="20"/>
          <w:rtl w:val="true"/>
        </w:rPr>
        <w:t xml:space="preserve">؛ نیل الأوطار </w:t>
      </w:r>
      <w:r>
        <w:rPr>
          <w:rFonts w:eastAsia="IRNazanin" w:cs="IRNazanin"/>
          <w:b w:val="false"/>
          <w:bCs w:val="false"/>
          <w:i w:val="false"/>
          <w:iCs w:val="false"/>
          <w:color w:val="333333"/>
          <w:sz w:val="20"/>
          <w:szCs w:val="20"/>
        </w:rPr>
        <w:t>315:6</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داود الطیالسی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1767</w:t>
      </w:r>
      <w:r>
        <w:rPr>
          <w:rFonts w:ascii="IRNazanin" w:hAnsi="IRNazanin" w:eastAsia="IRNazanin"/>
          <w:b w:val="false"/>
          <w:b w:val="false"/>
          <w:bCs w:val="false"/>
          <w:i w:val="false"/>
          <w:i w:val="false"/>
          <w:iCs w:val="false"/>
          <w:color w:val="333333"/>
          <w:sz w:val="20"/>
          <w:sz w:val="20"/>
          <w:szCs w:val="20"/>
          <w:rtl w:val="true"/>
        </w:rPr>
        <w:t xml:space="preserve">؛ نیل الأوطار </w:t>
      </w:r>
      <w:r>
        <w:rPr>
          <w:rFonts w:eastAsia="IRNazanin" w:cs="IRNazanin"/>
          <w:b w:val="false"/>
          <w:bCs w:val="false"/>
          <w:i w:val="false"/>
          <w:iCs w:val="false"/>
          <w:color w:val="333333"/>
          <w:sz w:val="20"/>
          <w:szCs w:val="20"/>
        </w:rPr>
        <w:t>315:6</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الإسلامی و أدلّته </w:t>
      </w:r>
      <w:r>
        <w:rPr>
          <w:rFonts w:eastAsia="IRNazanin" w:cs="IRNazanin"/>
          <w:b w:val="false"/>
          <w:bCs w:val="false"/>
          <w:i w:val="false"/>
          <w:iCs w:val="false"/>
          <w:color w:val="333333"/>
          <w:sz w:val="20"/>
          <w:szCs w:val="20"/>
        </w:rPr>
        <w:t>709:7</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الإسلامی و أدلّته </w:t>
      </w:r>
      <w:r>
        <w:rPr>
          <w:rFonts w:eastAsia="IRNazanin" w:cs="IRNazanin"/>
          <w:b w:val="false"/>
          <w:bCs w:val="false"/>
          <w:i w:val="false"/>
          <w:iCs w:val="false"/>
          <w:color w:val="333333"/>
          <w:sz w:val="20"/>
          <w:szCs w:val="20"/>
        </w:rPr>
        <w:t>709:7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710</w:t>
      </w:r>
      <w:r>
        <w:rPr>
          <w:rFonts w:ascii="IRNazanin" w:hAnsi="IRNazanin" w:eastAsia="IRNazanin"/>
          <w:b w:val="false"/>
          <w:b w:val="false"/>
          <w:bCs w:val="false"/>
          <w:i w:val="false"/>
          <w:i w:val="false"/>
          <w:iCs w:val="false"/>
          <w:color w:val="333333"/>
          <w:sz w:val="20"/>
          <w:sz w:val="20"/>
          <w:szCs w:val="20"/>
          <w:rtl w:val="true"/>
        </w:rPr>
        <w:t xml:space="preserve">؛ بدائع الصنائع </w:t>
      </w:r>
      <w:r>
        <w:rPr>
          <w:rFonts w:eastAsia="IRNazanin" w:cs="IRNazanin"/>
          <w:b w:val="false"/>
          <w:bCs w:val="false"/>
          <w:i w:val="false"/>
          <w:iCs w:val="false"/>
          <w:color w:val="333333"/>
          <w:sz w:val="20"/>
          <w:szCs w:val="20"/>
        </w:rPr>
        <w:t>404:3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المحلّی بالآثار </w:t>
      </w:r>
      <w:r>
        <w:rPr>
          <w:rFonts w:eastAsia="IRNazanin" w:cs="IRNazanin"/>
          <w:b w:val="false"/>
          <w:bCs w:val="false"/>
          <w:i w:val="false"/>
          <w:iCs w:val="false"/>
          <w:color w:val="333333"/>
          <w:sz w:val="20"/>
          <w:szCs w:val="20"/>
        </w:rPr>
        <w:t>208:10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619:2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النکاح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تراث الشیخ الأعظم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299:20</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1311</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519:2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تحریر الأحکام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المراد </w:t>
      </w:r>
      <w:r>
        <w:rPr>
          <w:rFonts w:eastAsia="IRNazanin" w:cs="IRNazanin"/>
          <w:b w:val="false"/>
          <w:bCs w:val="false"/>
          <w:i w:val="false"/>
          <w:iCs w:val="false"/>
          <w:color w:val="333333"/>
          <w:sz w:val="20"/>
          <w:szCs w:val="20"/>
        </w:rPr>
        <w:t>145:3</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237:7</w:t>
      </w:r>
      <w:r>
        <w:rPr>
          <w:rFonts w:ascii="IRNazanin" w:hAnsi="IRNazanin" w:eastAsia="IRNazanin"/>
          <w:b w:val="false"/>
          <w:b w:val="false"/>
          <w:bCs w:val="false"/>
          <w:i w:val="false"/>
          <w:i w:val="false"/>
          <w:iCs w:val="false"/>
          <w:color w:val="333333"/>
          <w:sz w:val="20"/>
          <w:sz w:val="20"/>
          <w:szCs w:val="20"/>
          <w:rtl w:val="true"/>
        </w:rPr>
        <w:t xml:space="preserve">؛ الروضة البهیّة </w:t>
      </w:r>
      <w:r>
        <w:rPr>
          <w:rFonts w:eastAsia="IRNazanin" w:cs="IRNazanin"/>
          <w:b w:val="false"/>
          <w:bCs w:val="false"/>
          <w:i w:val="false"/>
          <w:iCs w:val="false"/>
          <w:color w:val="333333"/>
          <w:sz w:val="20"/>
          <w:szCs w:val="20"/>
        </w:rPr>
        <w:t>163:5</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220:12</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المرام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237:2</w:t>
      </w:r>
      <w:r>
        <w:rPr>
          <w:rFonts w:ascii="IRNazanin" w:hAnsi="IRNazanin" w:eastAsia="IRNazanin"/>
          <w:b w:val="false"/>
          <w:b w:val="false"/>
          <w:bCs w:val="false"/>
          <w:i w:val="false"/>
          <w:i w:val="false"/>
          <w:iCs w:val="false"/>
          <w:color w:val="333333"/>
          <w:sz w:val="20"/>
          <w:sz w:val="20"/>
          <w:szCs w:val="20"/>
          <w:rtl w:val="true"/>
        </w:rPr>
        <w:t xml:space="preserve">، القول فی الرضاع 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290:14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یحرم بالرضاع</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النکاح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تراث الشیخ الأعظم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299:20</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المرام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298:29</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298:29</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النکاح للشیخ الأنصاری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بلغة الفقیه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بالرضاع، ذیل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الفقیه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210:7</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440:6</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301:29</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208:20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یحرم بالرضاع</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553:2</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621:2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440:6</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302:29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294:14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بالرضاع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بالرضاع،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الآیة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304:29</w:t>
      </w:r>
      <w:r>
        <w:rPr>
          <w:rFonts w:ascii="IRNazanin" w:hAnsi="IRNazanin" w:eastAsia="IRNazanin"/>
          <w:b w:val="false"/>
          <w:b w:val="false"/>
          <w:bCs w:val="false"/>
          <w:i w:val="false"/>
          <w:i w:val="false"/>
          <w:iCs w:val="false"/>
          <w:color w:val="333333"/>
          <w:sz w:val="20"/>
          <w:sz w:val="20"/>
          <w:szCs w:val="20"/>
          <w:rtl w:val="true"/>
        </w:rPr>
        <w:t>؛ کتاب النکاح للشیخ الأنصاری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بلغة الفقیه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بالرضاع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العلامة قدس سره فی التذکرة </w:t>
      </w:r>
      <w:r>
        <w:rPr>
          <w:rFonts w:eastAsia="IRNazanin" w:cs="IRNazanin"/>
          <w:b w:val="false"/>
          <w:bCs w:val="false"/>
          <w:i w:val="false"/>
          <w:iCs w:val="false"/>
          <w:color w:val="333333"/>
          <w:sz w:val="20"/>
          <w:szCs w:val="20"/>
        </w:rPr>
        <w:t>621:2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صرّح المحقّق الثانی فی جامع المقاصد </w:t>
      </w:r>
      <w:r>
        <w:rPr>
          <w:rFonts w:eastAsia="IRNazanin" w:cs="IRNazanin"/>
          <w:b w:val="false"/>
          <w:bCs w:val="false"/>
          <w:i w:val="false"/>
          <w:iCs w:val="false"/>
          <w:color w:val="333333"/>
          <w:sz w:val="20"/>
          <w:szCs w:val="20"/>
        </w:rPr>
        <w:t>223:12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بعدم الخلاف بین الأصحاب</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304:29</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الفقیه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304:29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بلغة الفقیه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553:2</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305:29</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ردّ المحتار </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207:9</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التذکرة </w:t>
      </w:r>
      <w:r>
        <w:rPr>
          <w:rFonts w:eastAsia="IRNazanin" w:cs="IRNazanin"/>
          <w:b w:val="false"/>
          <w:bCs w:val="false"/>
          <w:i w:val="false"/>
          <w:iCs w:val="false"/>
          <w:color w:val="333333"/>
          <w:sz w:val="20"/>
          <w:szCs w:val="20"/>
        </w:rPr>
        <w:t>618:2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282:2</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211:12</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294:29</w:t>
      </w:r>
      <w:r>
        <w:rPr>
          <w:rFonts w:ascii="IRNazanin" w:hAnsi="IRNazanin" w:eastAsia="IRNazanin"/>
          <w:b w:val="false"/>
          <w:b w:val="false"/>
          <w:bCs w:val="false"/>
          <w:i w:val="false"/>
          <w:i w:val="false"/>
          <w:iCs w:val="false"/>
          <w:color w:val="333333"/>
          <w:sz w:val="20"/>
          <w:sz w:val="20"/>
          <w:szCs w:val="20"/>
          <w:rtl w:val="true"/>
        </w:rPr>
        <w:t xml:space="preserve">؛ جامع المدارک </w:t>
      </w:r>
      <w:r>
        <w:rPr>
          <w:rFonts w:eastAsia="IRNazanin" w:cs="IRNazanin"/>
          <w:b w:val="false"/>
          <w:bCs w:val="false"/>
          <w:i w:val="false"/>
          <w:iCs w:val="false"/>
          <w:color w:val="333333"/>
          <w:sz w:val="20"/>
          <w:szCs w:val="20"/>
        </w:rPr>
        <w:t>192:4</w:t>
      </w:r>
      <w:r>
        <w:rPr>
          <w:rFonts w:ascii="IRNazanin" w:hAnsi="IRNazanin" w:eastAsia="IRNazanin"/>
          <w:b w:val="false"/>
          <w:b w:val="false"/>
          <w:bCs w:val="false"/>
          <w:i w:val="false"/>
          <w:i w:val="false"/>
          <w:iCs w:val="false"/>
          <w:color w:val="333333"/>
          <w:sz w:val="20"/>
          <w:sz w:val="20"/>
          <w:szCs w:val="20"/>
          <w:rtl w:val="true"/>
        </w:rPr>
        <w:t xml:space="preserve">؛ بلغة الفقیه </w:t>
      </w:r>
      <w:r>
        <w:rPr>
          <w:rFonts w:eastAsia="IRNazanin" w:cs="IRNazanin"/>
          <w:b w:val="false"/>
          <w:bCs w:val="false"/>
          <w:i w:val="false"/>
          <w:iCs w:val="false"/>
          <w:color w:val="333333"/>
          <w:sz w:val="20"/>
          <w:szCs w:val="20"/>
        </w:rPr>
        <w:t>172:3</w:t>
      </w:r>
      <w:r>
        <w:rPr>
          <w:rFonts w:ascii="IRNazanin" w:hAnsi="IRNazanin" w:eastAsia="IRNazanin"/>
          <w:b w:val="false"/>
          <w:b w:val="false"/>
          <w:bCs w:val="false"/>
          <w:i w:val="false"/>
          <w:i w:val="false"/>
          <w:iCs w:val="false"/>
          <w:color w:val="333333"/>
          <w:sz w:val="20"/>
          <w:sz w:val="20"/>
          <w:szCs w:val="20"/>
          <w:rtl w:val="true"/>
        </w:rPr>
        <w:t>، تفصیل الشریعة، 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230:7</w:t>
      </w:r>
      <w:r>
        <w:rPr>
          <w:rFonts w:ascii="IRNazanin" w:hAnsi="IRNazanin" w:eastAsia="IRNazanin"/>
          <w:b w:val="false"/>
          <w:b w:val="false"/>
          <w:bCs w:val="false"/>
          <w:i w:val="false"/>
          <w:i w:val="false"/>
          <w:iCs w:val="false"/>
          <w:color w:val="333333"/>
          <w:sz w:val="20"/>
          <w:sz w:val="20"/>
          <w:szCs w:val="20"/>
          <w:rtl w:val="true"/>
        </w:rPr>
        <w:t xml:space="preserve">؛ و الجواهر </w:t>
      </w:r>
      <w:r>
        <w:rPr>
          <w:rFonts w:eastAsia="IRNazanin" w:cs="IRNazanin"/>
          <w:b w:val="false"/>
          <w:bCs w:val="false"/>
          <w:i w:val="false"/>
          <w:iCs w:val="false"/>
          <w:color w:val="333333"/>
          <w:sz w:val="20"/>
          <w:szCs w:val="20"/>
        </w:rPr>
        <w:t>294:29</w:t>
      </w:r>
      <w:r>
        <w:rPr>
          <w:rFonts w:ascii="IRNazanin" w:hAnsi="IRNazanin" w:eastAsia="IRNazanin"/>
          <w:b w:val="false"/>
          <w:b w:val="false"/>
          <w:bCs w:val="false"/>
          <w:i w:val="false"/>
          <w:i w:val="false"/>
          <w:iCs w:val="false"/>
          <w:color w:val="333333"/>
          <w:sz w:val="20"/>
          <w:sz w:val="20"/>
          <w:szCs w:val="20"/>
          <w:rtl w:val="true"/>
        </w:rPr>
        <w:t>، مع التصرّف</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1310</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292:14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بالرضاع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294:29</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1315</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286:14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بالرضاع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359:23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294:29</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الوجور، کرسول، الدواء یُصبّ فی الحلق، و المراد هنا أن یصبّ اللبن فی حلق الصبی، أی شرب لبنها من غیر ثدیها</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359:23</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294:29</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النکاح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تراث الشیخ الأعظم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294:20</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علی المذاهب الأربعة </w:t>
      </w:r>
      <w:r>
        <w:rPr>
          <w:rFonts w:eastAsia="IRNazanin" w:cs="IRNazanin"/>
          <w:b w:val="false"/>
          <w:bCs w:val="false"/>
          <w:i w:val="false"/>
          <w:iCs w:val="false"/>
          <w:color w:val="333333"/>
          <w:sz w:val="20"/>
          <w:szCs w:val="20"/>
        </w:rPr>
        <w:t>254:4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الإسلامی و أدلّته </w:t>
      </w:r>
      <w:r>
        <w:rPr>
          <w:rFonts w:eastAsia="IRNazanin" w:cs="IRNazanin"/>
          <w:b w:val="false"/>
          <w:bCs w:val="false"/>
          <w:i w:val="false"/>
          <w:iCs w:val="false"/>
          <w:color w:val="333333"/>
          <w:sz w:val="20"/>
          <w:szCs w:val="20"/>
        </w:rPr>
        <w:t>706:7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النکاح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تراث الشیخ الأعظم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431:6</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334:23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مهذّب الأحکام </w:t>
      </w:r>
      <w:r>
        <w:rPr>
          <w:rFonts w:eastAsia="IRNazanin" w:cs="IRNazanin"/>
          <w:b w:val="false"/>
          <w:bCs w:val="false"/>
          <w:i w:val="false"/>
          <w:iCs w:val="false"/>
          <w:color w:val="333333"/>
          <w:sz w:val="20"/>
          <w:szCs w:val="20"/>
        </w:rPr>
        <w:t>20:25</w:t>
      </w:r>
      <w:r>
        <w:rPr>
          <w:rFonts w:ascii="IRNazanin" w:hAnsi="IRNazanin" w:eastAsia="IRNazanin"/>
          <w:b w:val="false"/>
          <w:b w:val="false"/>
          <w:bCs w:val="false"/>
          <w:i w:val="false"/>
          <w:i w:val="false"/>
          <w:iCs w:val="false"/>
          <w:color w:val="333333"/>
          <w:sz w:val="20"/>
          <w:sz w:val="20"/>
          <w:szCs w:val="20"/>
          <w:rtl w:val="true"/>
        </w:rPr>
        <w:t xml:space="preserve">؛ بلغة الفقیه </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Pr>
        <w:t>160:3</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الخلاف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620:2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282:14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بالرضاع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286:14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بالرضاع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الفقیه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286:14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بالرضاع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286:14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بالرضاع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286:29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بلغة الفقیه </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المختلف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520:2</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الروضة البهیّة </w:t>
      </w:r>
      <w:r>
        <w:rPr>
          <w:rFonts w:eastAsia="IRNazanin" w:cs="IRNazanin"/>
          <w:b w:val="false"/>
          <w:bCs w:val="false"/>
          <w:i w:val="false"/>
          <w:iCs w:val="false"/>
          <w:color w:val="333333"/>
          <w:sz w:val="20"/>
          <w:szCs w:val="20"/>
        </w:rPr>
        <w:t>157:5</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204:4</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620:2</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349:23</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285:29</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الفقیه </w:t>
      </w:r>
      <w:r>
        <w:rPr>
          <w:rFonts w:eastAsia="IRNazanin" w:cs="IRNazanin"/>
          <w:b w:val="false"/>
          <w:bCs w:val="false"/>
          <w:i w:val="false"/>
          <w:iCs w:val="false"/>
          <w:color w:val="333333"/>
          <w:sz w:val="20"/>
          <w:szCs w:val="20"/>
        </w:rPr>
        <w:t>169:3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شرائط الرضاع</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620:2</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البیان </w:t>
      </w:r>
      <w:r>
        <w:rPr>
          <w:rFonts w:eastAsia="IRNazanin" w:cs="IRNazanin"/>
          <w:b w:val="false"/>
          <w:bCs w:val="false"/>
          <w:i w:val="false"/>
          <w:iCs w:val="false"/>
          <w:color w:val="333333"/>
          <w:sz w:val="20"/>
          <w:szCs w:val="20"/>
        </w:rPr>
        <w:t>663:2</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الشرائع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العرفان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الفقیه </w:t>
      </w:r>
      <w:r>
        <w:rPr>
          <w:rFonts w:eastAsia="IRNazanin" w:cs="IRNazanin"/>
          <w:b w:val="false"/>
          <w:bCs w:val="false"/>
          <w:i w:val="false"/>
          <w:iCs w:val="false"/>
          <w:color w:val="333333"/>
          <w:sz w:val="20"/>
          <w:szCs w:val="20"/>
        </w:rPr>
        <w:t>167:3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520:2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369:3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1937</w:t>
      </w:r>
      <w:r>
        <w:rPr>
          <w:rFonts w:ascii="IRNazanin" w:hAnsi="IRNazanin" w:eastAsia="IRNazanin"/>
          <w:b w:val="false"/>
          <w:b w:val="false"/>
          <w:bCs w:val="false"/>
          <w:i w:val="false"/>
          <w:i w:val="false"/>
          <w:iCs w:val="false"/>
          <w:color w:val="333333"/>
          <w:sz w:val="20"/>
          <w:sz w:val="20"/>
          <w:szCs w:val="20"/>
          <w:rtl w:val="true"/>
        </w:rPr>
        <w:t xml:space="preserve">؛ سنن النسائی </w:t>
      </w:r>
      <w:r>
        <w:rPr>
          <w:rFonts w:eastAsia="IRNazanin" w:cs="IRNazanin"/>
          <w:b w:val="false"/>
          <w:bCs w:val="false"/>
          <w:i w:val="false"/>
          <w:iCs w:val="false"/>
          <w:color w:val="333333"/>
          <w:sz w:val="20"/>
          <w:szCs w:val="20"/>
        </w:rPr>
        <w:t>99:6</w:t>
      </w:r>
      <w:r>
        <w:rPr>
          <w:rFonts w:ascii="IRNazanin" w:hAnsi="IRNazanin" w:eastAsia="IRNazanin"/>
          <w:b w:val="false"/>
          <w:b w:val="false"/>
          <w:bCs w:val="false"/>
          <w:i w:val="false"/>
          <w:i w:val="false"/>
          <w:iCs w:val="false"/>
          <w:color w:val="333333"/>
          <w:sz w:val="20"/>
          <w:sz w:val="20"/>
          <w:szCs w:val="20"/>
          <w:rtl w:val="true"/>
        </w:rPr>
        <w:t xml:space="preserve">؛ نیل الأوطار </w:t>
      </w:r>
      <w:r>
        <w:rPr>
          <w:rFonts w:eastAsia="IRNazanin" w:cs="IRNazanin"/>
          <w:b w:val="false"/>
          <w:bCs w:val="false"/>
          <w:i w:val="false"/>
          <w:iCs w:val="false"/>
          <w:color w:val="333333"/>
          <w:sz w:val="20"/>
          <w:szCs w:val="20"/>
        </w:rPr>
        <w:t>317:6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نصب الرایة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314:7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287:14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بالرضاع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313:7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یخفی أنّ مقصود العلاّمة أنّ التخصیص قطعی ممّا دون العشر، و نشک فی الزائد علیها فیجب التمسّک بالعموم، فهذا الاستدلال مبنی علی عدم تمامیّة الدلیل الدالّ علی الخمس 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 ف</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343:23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النکاح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871:2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1452</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456:3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1152</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372:3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1942</w:t>
      </w:r>
      <w:r>
        <w:rPr>
          <w:rFonts w:ascii="IRNazanin" w:hAnsi="IRNazanin" w:eastAsia="IRNazanin"/>
          <w:b w:val="false"/>
          <w:b w:val="false"/>
          <w:bCs w:val="false"/>
          <w:i w:val="false"/>
          <w:i w:val="false"/>
          <w:iCs w:val="false"/>
          <w:color w:val="333333"/>
          <w:sz w:val="20"/>
          <w:sz w:val="20"/>
          <w:szCs w:val="20"/>
          <w:rtl w:val="true"/>
        </w:rPr>
        <w:t xml:space="preserve">؛ السنن الکبری للبیهقی </w:t>
      </w:r>
      <w:r>
        <w:rPr>
          <w:rFonts w:eastAsia="IRNazanin" w:cs="IRNazanin"/>
          <w:b w:val="false"/>
          <w:bCs w:val="false"/>
          <w:i w:val="false"/>
          <w:iCs w:val="false"/>
          <w:color w:val="333333"/>
          <w:sz w:val="20"/>
          <w:szCs w:val="20"/>
        </w:rPr>
        <w:t>452:11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16045</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w:t>
      </w:r>
      <w:r>
        <w:rPr>
          <w:rFonts w:eastAsia="IRNazanin" w:cs="IRNazanin"/>
          <w:b w:val="false"/>
          <w:bCs w:val="false"/>
          <w:i w:val="false"/>
          <w:iCs w:val="false"/>
          <w:color w:val="333333"/>
          <w:sz w:val="20"/>
          <w:szCs w:val="20"/>
        </w:rPr>
        <w:t>452:11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16044</w:t>
      </w:r>
      <w:r>
        <w:rPr>
          <w:rFonts w:ascii="IRNazanin" w:hAnsi="IRNazanin" w:eastAsia="IRNazanin"/>
          <w:b w:val="false"/>
          <w:b w:val="false"/>
          <w:bCs w:val="false"/>
          <w:i w:val="false"/>
          <w:i w:val="false"/>
          <w:iCs w:val="false"/>
          <w:color w:val="333333"/>
          <w:sz w:val="20"/>
          <w:sz w:val="20"/>
          <w:szCs w:val="20"/>
          <w:rtl w:val="true"/>
        </w:rPr>
        <w:t xml:space="preserve">؛ شرح فتح القدیر </w:t>
      </w:r>
      <w:r>
        <w:rPr>
          <w:rFonts w:eastAsia="IRNazanin" w:cs="IRNazanin"/>
          <w:b w:val="false"/>
          <w:bCs w:val="false"/>
          <w:i w:val="false"/>
          <w:iCs w:val="false"/>
          <w:color w:val="333333"/>
          <w:sz w:val="20"/>
          <w:szCs w:val="20"/>
        </w:rPr>
        <w:t>305:3</w:t>
      </w:r>
      <w:r>
        <w:rPr>
          <w:rFonts w:ascii="IRNazanin" w:hAnsi="IRNazanin" w:eastAsia="IRNazanin"/>
          <w:b w:val="false"/>
          <w:b w:val="false"/>
          <w:bCs w:val="false"/>
          <w:i w:val="false"/>
          <w:i w:val="false"/>
          <w:iCs w:val="false"/>
          <w:color w:val="333333"/>
          <w:sz w:val="20"/>
          <w:sz w:val="20"/>
          <w:szCs w:val="20"/>
          <w:rtl w:val="true"/>
        </w:rPr>
        <w:t>؛ بدایة المجتهد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الفقه الإسلامی و أدلّته </w:t>
      </w:r>
      <w:r>
        <w:rPr>
          <w:rFonts w:eastAsia="IRNazanin" w:cs="IRNazanin"/>
          <w:b w:val="false"/>
          <w:bCs w:val="false"/>
          <w:i w:val="false"/>
          <w:iCs w:val="false"/>
          <w:color w:val="333333"/>
          <w:sz w:val="20"/>
          <w:szCs w:val="20"/>
        </w:rPr>
        <w:t>711:7</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348:23</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ح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1305/316</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344:23</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324:7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282:29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ضعّفه جملة من علماء الرجال، کالشیخ و النجاشی و ابن الغضائری،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غال لا یلتفت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الکشّی فیه روایات تشتمل علی قدح عظیم، بل عن ابن شاذان أنّه من الکذّابین المشهورین، و أیّ رجحان یبقی لروایته مع تصریح هؤلاء الذین هم أساطین هذا العلم و هم المرجع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343:23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حاشیة الوافی </w:t>
      </w:r>
      <w:r>
        <w:rPr>
          <w:rFonts w:eastAsia="IRNazanin" w:cs="IRNazanin"/>
          <w:b w:val="false"/>
          <w:bCs w:val="false"/>
          <w:i w:val="false"/>
          <w:iCs w:val="false"/>
          <w:color w:val="333333"/>
          <w:sz w:val="20"/>
          <w:szCs w:val="20"/>
        </w:rPr>
        <w:t>239:21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للشعرانی</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346:23</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313:7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313:7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283:14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346:23</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284:29</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283:29</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317:7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1309</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352:23</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279:29</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1298</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1298</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286:14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بالرضاع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الجواهر </w:t>
      </w:r>
      <w:r>
        <w:rPr>
          <w:rFonts w:eastAsia="IRNazanin" w:cs="IRNazanin"/>
          <w:b w:val="false"/>
          <w:bCs w:val="false"/>
          <w:i w:val="false"/>
          <w:iCs w:val="false"/>
          <w:color w:val="333333"/>
          <w:sz w:val="20"/>
          <w:szCs w:val="20"/>
        </w:rPr>
        <w:t>271:29</w:t>
      </w:r>
      <w:r>
        <w:rPr>
          <w:rFonts w:ascii="IRNazanin" w:hAnsi="IRNazanin" w:eastAsia="IRNazanin"/>
          <w:b w:val="false"/>
          <w:b w:val="false"/>
          <w:bCs w:val="false"/>
          <w:i w:val="false"/>
          <w:i w:val="false"/>
          <w:iCs w:val="false"/>
          <w:color w:val="333333"/>
          <w:sz w:val="20"/>
          <w:sz w:val="20"/>
          <w:szCs w:val="20"/>
          <w:rtl w:val="true"/>
        </w:rPr>
        <w:t xml:space="preserve">؛ بلغة الفقیه </w:t>
      </w:r>
      <w:r>
        <w:rPr>
          <w:rFonts w:eastAsia="IRNazanin" w:cs="IRNazanin"/>
          <w:b w:val="false"/>
          <w:bCs w:val="false"/>
          <w:i w:val="false"/>
          <w:iCs w:val="false"/>
          <w:color w:val="333333"/>
          <w:sz w:val="20"/>
          <w:szCs w:val="20"/>
        </w:rPr>
        <w:t>158:3</w:t>
      </w:r>
      <w:r>
        <w:rPr>
          <w:rFonts w:ascii="IRNazanin" w:hAnsi="IRNazanin" w:eastAsia="IRNazanin"/>
          <w:b w:val="false"/>
          <w:b w:val="false"/>
          <w:bCs w:val="false"/>
          <w:i w:val="false"/>
          <w:i w:val="false"/>
          <w:iCs w:val="false"/>
          <w:color w:val="333333"/>
          <w:sz w:val="20"/>
          <w:sz w:val="20"/>
          <w:szCs w:val="20"/>
          <w:rtl w:val="true"/>
        </w:rPr>
        <w:t xml:space="preserve">؛ جامع المدارک </w:t>
      </w:r>
      <w:r>
        <w:rPr>
          <w:rFonts w:eastAsia="IRNazanin" w:cs="IRNazanin"/>
          <w:b w:val="false"/>
          <w:bCs w:val="false"/>
          <w:i w:val="false"/>
          <w:iCs w:val="false"/>
          <w:color w:val="333333"/>
          <w:sz w:val="20"/>
          <w:szCs w:val="20"/>
        </w:rPr>
        <w:t>177:4</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الفقیه </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النکاح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تراث الشیخ الأعظم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303:20</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620:2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الحجر</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430:6</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الخلاف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213:7</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330:23</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271:29</w:t>
      </w:r>
      <w:r>
        <w:rPr>
          <w:rFonts w:ascii="IRNazanin" w:hAnsi="IRNazanin" w:eastAsia="IRNazanin"/>
          <w:b w:val="false"/>
          <w:b w:val="false"/>
          <w:bCs w:val="false"/>
          <w:i w:val="false"/>
          <w:i w:val="false"/>
          <w:iCs w:val="false"/>
          <w:color w:val="333333"/>
          <w:sz w:val="20"/>
          <w:sz w:val="20"/>
          <w:szCs w:val="20"/>
          <w:rtl w:val="true"/>
        </w:rPr>
        <w:t xml:space="preserve">؛ بلغة الفقیه </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w:t>
      </w:r>
      <w:r>
        <w:rPr>
          <w:rFonts w:eastAsia="IRNazanin" w:cs="IRNazanin"/>
          <w:b w:val="false"/>
          <w:bCs w:val="false"/>
          <w:i w:val="false"/>
          <w:iCs w:val="false"/>
          <w:color w:val="333333"/>
          <w:sz w:val="20"/>
          <w:szCs w:val="20"/>
        </w:rPr>
        <w:t>463:11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16079</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1298</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283:14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بالرضاع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274:29</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بدایة المجتهد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شرح فتح القدیر </w:t>
      </w:r>
      <w:r>
        <w:rPr>
          <w:rFonts w:eastAsia="IRNazanin" w:cs="IRNazanin"/>
          <w:b w:val="false"/>
          <w:bCs w:val="false"/>
          <w:i w:val="false"/>
          <w:iCs w:val="false"/>
          <w:color w:val="333333"/>
          <w:sz w:val="20"/>
          <w:szCs w:val="20"/>
        </w:rPr>
        <w:t>304:3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الفقه علی المذاهب الأربعة </w:t>
      </w:r>
      <w:r>
        <w:rPr>
          <w:rFonts w:eastAsia="IRNazanin" w:cs="IRNazanin"/>
          <w:b w:val="false"/>
          <w:bCs w:val="false"/>
          <w:i w:val="false"/>
          <w:iCs w:val="false"/>
          <w:color w:val="333333"/>
          <w:sz w:val="20"/>
          <w:szCs w:val="20"/>
        </w:rPr>
        <w:t>256:4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الفقه الإسلامی و أدلّته </w:t>
      </w:r>
      <w:r>
        <w:rPr>
          <w:rFonts w:eastAsia="IRNazanin" w:cs="IRNazanin"/>
          <w:b w:val="false"/>
          <w:bCs w:val="false"/>
          <w:i w:val="false"/>
          <w:iCs w:val="false"/>
          <w:color w:val="333333"/>
          <w:sz w:val="20"/>
          <w:szCs w:val="20"/>
        </w:rPr>
        <w:t>710:7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قواعد الأحکام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تحریر الأحکام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218:12</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288:29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کتاب النکاح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تراث الشیخ الأعظم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315:20</w:t>
      </w:r>
      <w:r>
        <w:rPr>
          <w:rFonts w:ascii="IRNazanin" w:hAnsi="IRNazanin" w:eastAsia="IRNazanin"/>
          <w:b w:val="false"/>
          <w:b w:val="false"/>
          <w:bCs w:val="false"/>
          <w:i w:val="false"/>
          <w:i w:val="false"/>
          <w:iCs w:val="false"/>
          <w:color w:val="333333"/>
          <w:sz w:val="20"/>
          <w:sz w:val="20"/>
          <w:szCs w:val="20"/>
          <w:rtl w:val="true"/>
        </w:rPr>
        <w:t xml:space="preserve">؛ جامع المدارک </w:t>
      </w:r>
      <w:r>
        <w:rPr>
          <w:rFonts w:eastAsia="IRNazanin" w:cs="IRNazanin"/>
          <w:b w:val="false"/>
          <w:bCs w:val="false"/>
          <w:i w:val="false"/>
          <w:iCs w:val="false"/>
          <w:color w:val="333333"/>
          <w:sz w:val="20"/>
          <w:szCs w:val="20"/>
        </w:rPr>
        <w:t>1924</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النکاح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تراث الشیخ الأعظم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315:20</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294:5</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290:29</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290:14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بالرضاع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194:9</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228:7</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291:29</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213:12</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440:23</w:t>
      </w:r>
      <w:r>
        <w:rPr>
          <w:rFonts w:ascii="IRNazanin" w:hAnsi="IRNazanin" w:eastAsia="IRNazanin"/>
          <w:b w:val="false"/>
          <w:b w:val="false"/>
          <w:bCs w:val="false"/>
          <w:i w:val="false"/>
          <w:i w:val="false"/>
          <w:iCs w:val="false"/>
          <w:color w:val="333333"/>
          <w:sz w:val="20"/>
          <w:sz w:val="20"/>
          <w:szCs w:val="20"/>
          <w:rtl w:val="true"/>
        </w:rPr>
        <w:t xml:space="preserve">؛ جامع المدارک </w:t>
      </w:r>
      <w:r>
        <w:rPr>
          <w:rFonts w:eastAsia="IRNazanin" w:cs="IRNazanin"/>
          <w:b w:val="false"/>
          <w:bCs w:val="false"/>
          <w:i w:val="false"/>
          <w:iCs w:val="false"/>
          <w:color w:val="333333"/>
          <w:sz w:val="20"/>
          <w:szCs w:val="20"/>
        </w:rPr>
        <w:t>192:4</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282:14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بالرضاع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النکاح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تراث الشیخ الأعظم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317:20</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440:23</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194:9</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مقاییس اللغة </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 xml:space="preserve">؛ أقرب الموارد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422:1</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کتاب النکاح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421:8</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240:7</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283:31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549:7</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83:25</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283:31</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المدارک </w:t>
      </w:r>
      <w:r>
        <w:rPr>
          <w:rFonts w:eastAsia="IRNazanin" w:cs="IRNazanin"/>
          <w:b w:val="false"/>
          <w:bCs w:val="false"/>
          <w:i w:val="false"/>
          <w:iCs w:val="false"/>
          <w:color w:val="333333"/>
          <w:sz w:val="20"/>
          <w:szCs w:val="20"/>
        </w:rPr>
        <w:t>472:4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472:4</w:t>
      </w:r>
      <w:r>
        <w:rPr>
          <w:rFonts w:ascii="IRNazanin" w:hAnsi="IRNazanin" w:eastAsia="IRNazanin"/>
          <w:b w:val="false"/>
          <w:b w:val="false"/>
          <w:bCs w:val="false"/>
          <w:i w:val="false"/>
          <w:i w:val="false"/>
          <w:iCs w:val="false"/>
          <w:color w:val="333333"/>
          <w:sz w:val="20"/>
          <w:sz w:val="20"/>
          <w:szCs w:val="20"/>
          <w:rtl w:val="true"/>
        </w:rPr>
        <w:t xml:space="preserve">؛ 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الکبیر </w:t>
      </w:r>
      <w:r>
        <w:rPr>
          <w:rFonts w:eastAsia="IRNazanin" w:cs="IRNazanin"/>
          <w:b w:val="false"/>
          <w:bCs w:val="false"/>
          <w:i w:val="false"/>
          <w:iCs w:val="false"/>
          <w:color w:val="333333"/>
          <w:sz w:val="20"/>
          <w:szCs w:val="20"/>
        </w:rPr>
        <w:t>526:2</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w:t>
      </w:r>
      <w:r>
        <w:rPr>
          <w:rFonts w:eastAsia="IRNazanin" w:cs="IRNazanin"/>
          <w:b w:val="false"/>
          <w:bCs w:val="false"/>
          <w:i w:val="false"/>
          <w:iCs w:val="false"/>
          <w:color w:val="333333"/>
          <w:sz w:val="20"/>
          <w:szCs w:val="20"/>
        </w:rPr>
        <w:t>452:3</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القناع </w:t>
      </w:r>
      <w:r>
        <w:rPr>
          <w:rFonts w:eastAsia="IRNazanin" w:cs="IRNazanin"/>
          <w:b w:val="false"/>
          <w:bCs w:val="false"/>
          <w:i w:val="false"/>
          <w:iCs w:val="false"/>
          <w:color w:val="333333"/>
          <w:sz w:val="20"/>
          <w:szCs w:val="20"/>
        </w:rPr>
        <w:t>583:5</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الذی یخطر بالبال عدم تمامیّة الاستدلال بالآیة الشریفة؛ لأنّ المدّعی عامّ و هو ثبوت أو لزوم الحضانة علی الاُمّ و إن کان فی البین من یکون حاضراً علی تربیته و حفظه، فالدلیل أخصّ من المدّعی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مضافاً إلی أنّ الآیة إنّما تدلّ علی حرمة المضارّة و الإضرار و لا تدلّ علی وجوب الحضانة، و الفرق بینهما واضح، و عدم الاستلزام أوضح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 ف</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المنار </w:t>
      </w:r>
      <w:r>
        <w:rPr>
          <w:rFonts w:eastAsia="IRNazanin" w:cs="IRNazanin"/>
          <w:b w:val="false"/>
          <w:bCs w:val="false"/>
          <w:i w:val="false"/>
          <w:iCs w:val="false"/>
          <w:color w:val="333333"/>
          <w:sz w:val="20"/>
          <w:szCs w:val="20"/>
        </w:rPr>
        <w:t>413:2</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للقرطبی </w:t>
      </w:r>
      <w:r>
        <w:rPr>
          <w:rFonts w:eastAsia="IRNazanin" w:cs="IRNazanin"/>
          <w:b w:val="false"/>
          <w:bCs w:val="false"/>
          <w:i w:val="false"/>
          <w:iCs w:val="false"/>
          <w:color w:val="333333"/>
          <w:sz w:val="20"/>
          <w:szCs w:val="20"/>
        </w:rPr>
        <w:t>169:18</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42:10</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464:5</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أنّ الحضانة حقّ و لیس حکماً شرعیّاً، و استفادة الوجوب من الروایات فی کمال البُعد، و إنّما المفروغ عند الإمام علیه السلام و السائل أصل ثبوت الاستحقاق للوالدین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 ف</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مضافاً إلی أنّ العقل لیس صالحاً للحکم بل هو یدرک الحسن و القبح فقط، أنّ هذا الدلیل إنّما یدلّ علی وجوب الحضانة فی ما إذا لم یکن فی البین شخص آخر حاضراً للحضانة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 ف</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276:25</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للشهید الأوّل </w:t>
      </w:r>
      <w:r>
        <w:rPr>
          <w:rFonts w:eastAsia="IRNazanin" w:cs="IRNazanin"/>
          <w:b w:val="false"/>
          <w:bCs w:val="false"/>
          <w:i w:val="false"/>
          <w:iCs w:val="false"/>
          <w:color w:val="333333"/>
          <w:sz w:val="20"/>
          <w:szCs w:val="20"/>
        </w:rPr>
        <w:t>396:1</w:t>
      </w:r>
      <w:r>
        <w:rPr>
          <w:rFonts w:ascii="IRNazanin" w:hAnsi="IRNazanin" w:eastAsia="IRNazanin"/>
          <w:b w:val="false"/>
          <w:b w:val="false"/>
          <w:bCs w:val="false"/>
          <w:i w:val="false"/>
          <w:i w:val="false"/>
          <w:iCs w:val="false"/>
          <w:color w:val="333333"/>
          <w:sz w:val="20"/>
          <w:sz w:val="20"/>
          <w:szCs w:val="20"/>
          <w:rtl w:val="true"/>
        </w:rPr>
        <w:t xml:space="preserve">، قاعدة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قواعد النکاح</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464:5</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549:7</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284:31</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276:25</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164:15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461:2</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135:11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الفقیه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و الحقّ بین الفقهاء و الأصولیّین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کتاب المکاسب للمحقّق الأصفهانی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ذکرنا فی رسالة الحقّ و الحکم أنّه یمکن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الحقّ و إن کان اعتباره ممکناً و قابلاً لأن یکون منشأ لانتزاع الحکم أیضاً، إلاّ أنّه فی کثیر بل فی جمیع الحقوق الشرعیة و العقلائیة یکون أمراً انتزاعیّاً قد ینتزع من الأحکام الشرعیّة التکلیفیّة أو الوضعیّة، و قد تنزع من الأحکام العقلائیة و یسمّی حقّاً عقلائیّاً، فمثلاً من وجوب إطاعة الأب و حرمة مخالفته ینتزع حقّ الاُبوّة، و من وجوب تمکین الزوجة للزوج ینتزع حقّ الزوج و من عدم جواز مزاحمة شخص لشخص آخر ینتزع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 ف</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المکاسب للسیّد الیزدی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المکاسب للمحقّق الأصفهانی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الفقیه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 منیة الطالب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الفقیه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 منیة الطالب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254:7</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282:25</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297:9</w:t>
      </w:r>
      <w:r>
        <w:rPr>
          <w:rFonts w:ascii="IRNazanin" w:hAnsi="IRNazanin" w:eastAsia="IRNazanin"/>
          <w:b w:val="false"/>
          <w:b w:val="false"/>
          <w:bCs w:val="false"/>
          <w:i w:val="false"/>
          <w:i w:val="false"/>
          <w:iCs w:val="false"/>
          <w:color w:val="333333"/>
          <w:sz w:val="20"/>
          <w:sz w:val="20"/>
          <w:szCs w:val="20"/>
          <w:rtl w:val="true"/>
        </w:rPr>
        <w:t xml:space="preserve">؛ و انظر المفصل فی أحکام المرأة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فی أحکام المرأة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مغنی المحتاج </w:t>
      </w:r>
      <w:r>
        <w:rPr>
          <w:rFonts w:eastAsia="IRNazanin" w:cs="IRNazanin"/>
          <w:b w:val="false"/>
          <w:bCs w:val="false"/>
          <w:i w:val="false"/>
          <w:iCs w:val="false"/>
          <w:color w:val="333333"/>
          <w:sz w:val="20"/>
          <w:szCs w:val="20"/>
        </w:rPr>
        <w:t>456:3</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الدسوقی علی الشرح الکبیر </w:t>
      </w:r>
      <w:r>
        <w:rPr>
          <w:rFonts w:eastAsia="IRNazanin" w:cs="IRNazanin"/>
          <w:b w:val="false"/>
          <w:bCs w:val="false"/>
          <w:i w:val="false"/>
          <w:iCs w:val="false"/>
          <w:color w:val="333333"/>
          <w:sz w:val="20"/>
          <w:szCs w:val="20"/>
        </w:rPr>
        <w:t>532:2</w:t>
      </w:r>
      <w:r>
        <w:rPr>
          <w:rFonts w:ascii="IRNazanin" w:hAnsi="IRNazanin" w:eastAsia="IRNazanin"/>
          <w:b w:val="false"/>
          <w:b w:val="false"/>
          <w:bCs w:val="false"/>
          <w:i w:val="false"/>
          <w:i w:val="false"/>
          <w:iCs w:val="false"/>
          <w:color w:val="333333"/>
          <w:sz w:val="20"/>
          <w:sz w:val="20"/>
          <w:szCs w:val="20"/>
          <w:rtl w:val="true"/>
        </w:rPr>
        <w:t xml:space="preserve">؛ المفصل فی أحکام المرأة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ردّ المحتار علی الدر المختار </w:t>
      </w:r>
      <w:r>
        <w:rPr>
          <w:rFonts w:eastAsia="IRNazanin" w:cs="IRNazanin"/>
          <w:b w:val="false"/>
          <w:bCs w:val="false"/>
          <w:i w:val="false"/>
          <w:iCs w:val="false"/>
          <w:color w:val="333333"/>
          <w:sz w:val="20"/>
          <w:szCs w:val="20"/>
        </w:rPr>
        <w:t>614:3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426:3</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421:8</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247:7</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284:31</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262:2</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653:2</w:t>
      </w:r>
      <w:r>
        <w:rPr>
          <w:rFonts w:ascii="IRNazanin" w:hAnsi="IRNazanin" w:eastAsia="IRNazanin"/>
          <w:b w:val="false"/>
          <w:b w:val="false"/>
          <w:bCs w:val="false"/>
          <w:i w:val="false"/>
          <w:i w:val="false"/>
          <w:iCs w:val="false"/>
          <w:color w:val="333333"/>
          <w:sz w:val="20"/>
          <w:sz w:val="20"/>
          <w:szCs w:val="20"/>
          <w:rtl w:val="true"/>
        </w:rPr>
        <w:t xml:space="preserve">؛ جامع المدارک </w:t>
      </w:r>
      <w:r>
        <w:rPr>
          <w:rFonts w:eastAsia="IRNazanin" w:cs="IRNazanin"/>
          <w:b w:val="false"/>
          <w:bCs w:val="false"/>
          <w:i w:val="false"/>
          <w:iCs w:val="false"/>
          <w:color w:val="333333"/>
          <w:sz w:val="20"/>
          <w:szCs w:val="20"/>
        </w:rPr>
        <w:t>473:4</w:t>
      </w:r>
      <w:r>
        <w:rPr>
          <w:rFonts w:ascii="IRNazanin" w:hAnsi="IRNazanin" w:eastAsia="IRNazanin"/>
          <w:b w:val="false"/>
          <w:b w:val="false"/>
          <w:bCs w:val="false"/>
          <w:i w:val="false"/>
          <w:i w:val="false"/>
          <w:iCs w:val="false"/>
          <w:color w:val="333333"/>
          <w:sz w:val="20"/>
          <w:sz w:val="20"/>
          <w:szCs w:val="20"/>
          <w:rtl w:val="true"/>
        </w:rPr>
        <w:t xml:space="preserve">؛ 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191:15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الأولاد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الأولاد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الأولاد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المدارک </w:t>
      </w:r>
      <w:r>
        <w:rPr>
          <w:rFonts w:eastAsia="IRNazanin" w:cs="IRNazanin"/>
          <w:b w:val="false"/>
          <w:bCs w:val="false"/>
          <w:i w:val="false"/>
          <w:iCs w:val="false"/>
          <w:color w:val="333333"/>
          <w:sz w:val="20"/>
          <w:szCs w:val="20"/>
        </w:rPr>
        <w:t>475:4</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القول بثبوت السیرة العقلائیة فی المقام مع إمکان المنع عن السیرة المتشرّعیة، فإنّ قوام هذه السیرة عمل المتشرّعة بما هم متدیّنون، و هذا ممنوع 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 ف</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426:3</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286:31</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247:7</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421:8</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286:31</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298:9</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457:3</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الجواهر الثمینة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w:t>
      </w:r>
      <w:r>
        <w:rPr>
          <w:rFonts w:eastAsia="IRNazanin" w:cs="IRNazanin"/>
          <w:b w:val="false"/>
          <w:bCs w:val="false"/>
          <w:i w:val="false"/>
          <w:iCs w:val="false"/>
          <w:color w:val="333333"/>
          <w:sz w:val="20"/>
          <w:szCs w:val="20"/>
        </w:rPr>
        <w:t>452:3</w:t>
      </w:r>
      <w:r>
        <w:rPr>
          <w:rFonts w:ascii="IRNazanin" w:hAnsi="IRNazanin" w:eastAsia="IRNazanin"/>
          <w:b w:val="false"/>
          <w:b w:val="false"/>
          <w:bCs w:val="false"/>
          <w:i w:val="false"/>
          <w:i w:val="false"/>
          <w:iCs w:val="false"/>
          <w:color w:val="333333"/>
          <w:sz w:val="20"/>
          <w:sz w:val="20"/>
          <w:szCs w:val="20"/>
          <w:rtl w:val="true"/>
        </w:rPr>
        <w:t xml:space="preserve">؛ الأم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426:3</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653:2</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الإمام جعفر الصادق علیه السلام </w:t>
      </w:r>
      <w:r>
        <w:rPr>
          <w:rFonts w:eastAsia="IRNazanin" w:cs="IRNazanin"/>
          <w:b w:val="false"/>
          <w:bCs w:val="false"/>
          <w:i w:val="false"/>
          <w:iCs w:val="false"/>
          <w:color w:val="333333"/>
          <w:sz w:val="20"/>
          <w:szCs w:val="20"/>
        </w:rPr>
        <w:t>313:5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المدارک </w:t>
      </w:r>
      <w:r>
        <w:rPr>
          <w:rFonts w:eastAsia="IRNazanin" w:cs="IRNazanin"/>
          <w:b w:val="false"/>
          <w:bCs w:val="false"/>
          <w:i w:val="false"/>
          <w:iCs w:val="false"/>
          <w:color w:val="333333"/>
          <w:sz w:val="20"/>
          <w:szCs w:val="20"/>
        </w:rPr>
        <w:t>473:4</w:t>
      </w:r>
      <w:r>
        <w:rPr>
          <w:rFonts w:ascii="IRNazanin" w:hAnsi="IRNazanin" w:eastAsia="IRNazanin"/>
          <w:b w:val="false"/>
          <w:b w:val="false"/>
          <w:bCs w:val="false"/>
          <w:i w:val="false"/>
          <w:i w:val="false"/>
          <w:iCs w:val="false"/>
          <w:color w:val="333333"/>
          <w:sz w:val="20"/>
          <w:sz w:val="20"/>
          <w:szCs w:val="20"/>
          <w:rtl w:val="true"/>
        </w:rPr>
        <w:t xml:space="preserve">؛ 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653:2</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426:3</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285:31</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244:7</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279:2</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89:25</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لعلّ الصحیح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یخفی ما فیه من عدم الصراحة، بل هذه الطائفة ظاهرة فی انتهاء الحضانة إلی حولین، و بمفهومها تدلّ علی ذلک، فکلتا الطائفتین تدلاّن بظاهرهما علی مدلولهما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 ف</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المدارک </w:t>
      </w:r>
      <w:r>
        <w:rPr>
          <w:rFonts w:eastAsia="IRNazanin" w:cs="IRNazanin"/>
          <w:b w:val="false"/>
          <w:bCs w:val="false"/>
          <w:i w:val="false"/>
          <w:iCs w:val="false"/>
          <w:color w:val="333333"/>
          <w:sz w:val="20"/>
          <w:szCs w:val="20"/>
        </w:rPr>
        <w:t>474:4</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ردّ المحتار </w:t>
      </w:r>
      <w:r>
        <w:rPr>
          <w:rFonts w:eastAsia="IRNazanin" w:cs="IRNazanin"/>
          <w:b w:val="false"/>
          <w:bCs w:val="false"/>
          <w:i w:val="false"/>
          <w:iCs w:val="false"/>
          <w:color w:val="333333"/>
          <w:sz w:val="20"/>
          <w:szCs w:val="20"/>
        </w:rPr>
        <w:t>566:3</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491:2</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298:9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تخریجه فی الصفحة السابقة</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w:t>
      </w:r>
      <w:r>
        <w:rPr>
          <w:rFonts w:eastAsia="IRNazanin" w:cs="IRNazanin"/>
          <w:b w:val="false"/>
          <w:bCs w:val="false"/>
          <w:i w:val="false"/>
          <w:iCs w:val="false"/>
          <w:color w:val="333333"/>
          <w:sz w:val="20"/>
          <w:szCs w:val="20"/>
        </w:rPr>
        <w:t>452:3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أثغر الصغیر نبت ثغره و الثغر الأسنان أو مقدّمها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ثغر</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الجواهر الثمینة </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427:8</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293:31</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المدارک </w:t>
      </w:r>
      <w:r>
        <w:rPr>
          <w:rFonts w:eastAsia="IRNazanin" w:cs="IRNazanin"/>
          <w:b w:val="false"/>
          <w:bCs w:val="false"/>
          <w:i w:val="false"/>
          <w:iCs w:val="false"/>
          <w:color w:val="333333"/>
          <w:sz w:val="20"/>
          <w:szCs w:val="20"/>
        </w:rPr>
        <w:t>475:4</w:t>
      </w:r>
      <w:r>
        <w:rPr>
          <w:rFonts w:ascii="IRNazanin" w:hAnsi="IRNazanin" w:eastAsia="IRNazanin"/>
          <w:b w:val="false"/>
          <w:b w:val="false"/>
          <w:bCs w:val="false"/>
          <w:i w:val="false"/>
          <w:i w:val="false"/>
          <w:iCs w:val="false"/>
          <w:color w:val="333333"/>
          <w:sz w:val="20"/>
          <w:sz w:val="20"/>
          <w:szCs w:val="20"/>
          <w:rtl w:val="true"/>
        </w:rPr>
        <w:t>؛ تفصیل الشریعة، 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عدم صحّة الاستدلال بالآیة الشریفة علی أصل الحضانة فضلاً عن کونها دالّة علی تقدّم الأبوین علی غیرهما،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 ف</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652:2</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الحکم فی أولاد المطلّقات،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293:31</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293:31</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297:31</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2278/709:2</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309:7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296:31</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654:2</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430:8</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460:5</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312:7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297:31</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281:25</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المرام </w:t>
      </w:r>
      <w:r>
        <w:rPr>
          <w:rFonts w:eastAsia="IRNazanin" w:cs="IRNazanin"/>
          <w:b w:val="false"/>
          <w:bCs w:val="false"/>
          <w:i w:val="false"/>
          <w:iCs w:val="false"/>
          <w:color w:val="333333"/>
          <w:sz w:val="20"/>
          <w:szCs w:val="20"/>
        </w:rPr>
        <w:t>472:1</w:t>
      </w:r>
      <w:r>
        <w:rPr>
          <w:rFonts w:ascii="IRNazanin" w:hAnsi="IRNazanin" w:eastAsia="IRNazanin"/>
          <w:b w:val="false"/>
          <w:b w:val="false"/>
          <w:bCs w:val="false"/>
          <w:i w:val="false"/>
          <w:i w:val="false"/>
          <w:iCs w:val="false"/>
          <w:color w:val="333333"/>
          <w:sz w:val="20"/>
          <w:sz w:val="20"/>
          <w:szCs w:val="20"/>
          <w:rtl w:val="true"/>
        </w:rPr>
        <w:t>؛ تفصیل الشریعة، 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الوصایا،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456:3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الأمّ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309:3</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الإسلامی و أدلّته </w:t>
      </w:r>
      <w:r>
        <w:rPr>
          <w:rFonts w:eastAsia="IRNazanin" w:cs="IRNazanin"/>
          <w:b w:val="false"/>
          <w:bCs w:val="false"/>
          <w:i w:val="false"/>
          <w:iCs w:val="false"/>
          <w:color w:val="333333"/>
          <w:sz w:val="20"/>
          <w:szCs w:val="20"/>
        </w:rPr>
        <w:t>722:7</w:t>
      </w:r>
      <w:r>
        <w:rPr>
          <w:rFonts w:ascii="IRNazanin" w:hAnsi="IRNazanin" w:eastAsia="IRNazanin"/>
          <w:b w:val="false"/>
          <w:b w:val="false"/>
          <w:bCs w:val="false"/>
          <w:i w:val="false"/>
          <w:i w:val="false"/>
          <w:iCs w:val="false"/>
          <w:color w:val="333333"/>
          <w:sz w:val="20"/>
          <w:sz w:val="20"/>
          <w:szCs w:val="20"/>
          <w:rtl w:val="true"/>
        </w:rPr>
        <w:t xml:space="preserve">؛ المفصّل فی أحکام المرأة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الکبری </w:t>
      </w:r>
      <w:r>
        <w:rPr>
          <w:rFonts w:eastAsia="IRNazanin" w:cs="IRNazanin"/>
          <w:b w:val="false"/>
          <w:bCs w:val="false"/>
          <w:i w:val="false"/>
          <w:iCs w:val="false"/>
          <w:color w:val="333333"/>
          <w:sz w:val="20"/>
          <w:szCs w:val="20"/>
        </w:rPr>
        <w:t>357:2</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الإسلامی و أدلّته </w:t>
      </w:r>
      <w:r>
        <w:rPr>
          <w:rFonts w:eastAsia="IRNazanin" w:cs="IRNazanin"/>
          <w:b w:val="false"/>
          <w:bCs w:val="false"/>
          <w:i w:val="false"/>
          <w:iCs w:val="false"/>
          <w:color w:val="333333"/>
          <w:sz w:val="20"/>
          <w:szCs w:val="20"/>
        </w:rPr>
        <w:t>723:7</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294:31</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422:8</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90:25</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المدارک </w:t>
      </w:r>
      <w:r>
        <w:rPr>
          <w:rFonts w:eastAsia="IRNazanin" w:cs="IRNazanin"/>
          <w:b w:val="false"/>
          <w:bCs w:val="false"/>
          <w:i w:val="false"/>
          <w:iCs w:val="false"/>
          <w:color w:val="333333"/>
          <w:sz w:val="20"/>
          <w:szCs w:val="20"/>
        </w:rPr>
        <w:t>476:4</w:t>
      </w:r>
      <w:r>
        <w:rPr>
          <w:rFonts w:ascii="IRNazanin" w:hAnsi="IRNazanin" w:eastAsia="IRNazanin"/>
          <w:b w:val="false"/>
          <w:b w:val="false"/>
          <w:bCs w:val="false"/>
          <w:i w:val="false"/>
          <w:i w:val="false"/>
          <w:iCs w:val="false"/>
          <w:color w:val="333333"/>
          <w:sz w:val="20"/>
          <w:sz w:val="20"/>
          <w:szCs w:val="20"/>
          <w:rtl w:val="true"/>
        </w:rPr>
        <w:t>؛ تفصیل الشریعة، 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297:4</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الإسلامی و أدلّته </w:t>
      </w:r>
      <w:r>
        <w:rPr>
          <w:rFonts w:eastAsia="IRNazanin" w:cs="IRNazanin"/>
          <w:b w:val="false"/>
          <w:bCs w:val="false"/>
          <w:i w:val="false"/>
          <w:iCs w:val="false"/>
          <w:color w:val="333333"/>
          <w:sz w:val="20"/>
          <w:szCs w:val="20"/>
        </w:rPr>
        <w:t>727:7</w:t>
      </w:r>
      <w:r>
        <w:rPr>
          <w:rFonts w:ascii="IRNazanin" w:hAnsi="IRNazanin" w:eastAsia="IRNazanin"/>
          <w:b w:val="false"/>
          <w:b w:val="false"/>
          <w:bCs w:val="false"/>
          <w:i w:val="false"/>
          <w:i w:val="false"/>
          <w:iCs w:val="false"/>
          <w:color w:val="333333"/>
          <w:sz w:val="20"/>
          <w:sz w:val="20"/>
          <w:szCs w:val="20"/>
          <w:rtl w:val="true"/>
        </w:rPr>
        <w:t xml:space="preserve">؛ المفصل فی أحکام المرأة </w:t>
      </w:r>
      <w:r>
        <w:rPr>
          <w:rFonts w:eastAsia="IRNazanin" w:cs="IRNazanin"/>
          <w:b w:val="false"/>
          <w:bCs w:val="false"/>
          <w:i w:val="false"/>
          <w:iCs w:val="false"/>
          <w:color w:val="333333"/>
          <w:sz w:val="20"/>
          <w:szCs w:val="20"/>
        </w:rPr>
        <w:t>35:10</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فی أحکام المرأة </w:t>
      </w:r>
      <w:r>
        <w:rPr>
          <w:rFonts w:eastAsia="IRNazanin" w:cs="IRNazanin"/>
          <w:b w:val="false"/>
          <w:bCs w:val="false"/>
          <w:i w:val="false"/>
          <w:iCs w:val="false"/>
          <w:color w:val="333333"/>
          <w:sz w:val="20"/>
          <w:szCs w:val="20"/>
        </w:rPr>
        <w:t>35:10</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الإسلامی و أدلّته </w:t>
      </w:r>
      <w:r>
        <w:rPr>
          <w:rFonts w:eastAsia="IRNazanin" w:cs="IRNazanin"/>
          <w:b w:val="false"/>
          <w:bCs w:val="false"/>
          <w:i w:val="false"/>
          <w:iCs w:val="false"/>
          <w:color w:val="333333"/>
          <w:sz w:val="20"/>
          <w:szCs w:val="20"/>
        </w:rPr>
        <w:t>727:7</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فی أحکام المرأة </w:t>
      </w:r>
      <w:r>
        <w:rPr>
          <w:rFonts w:eastAsia="IRNazanin" w:cs="IRNazanin"/>
          <w:b w:val="false"/>
          <w:bCs w:val="false"/>
          <w:i w:val="false"/>
          <w:iCs w:val="false"/>
          <w:color w:val="333333"/>
          <w:sz w:val="20"/>
          <w:szCs w:val="20"/>
        </w:rPr>
        <w:t>34:10</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652:2</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90:25</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286:31</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کتاب النکاح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423:8</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w:t>
      </w:r>
      <w:r>
        <w:rPr>
          <w:rFonts w:eastAsia="IRNazanin" w:cs="IRNazanin"/>
          <w:b w:val="false"/>
          <w:bCs w:val="false"/>
          <w:i w:val="false"/>
          <w:iCs w:val="false"/>
          <w:color w:val="333333"/>
          <w:sz w:val="20"/>
          <w:szCs w:val="20"/>
        </w:rPr>
        <w:t>454:3</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297:9</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458:3</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الجواهر الثمینة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417:2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الاستدلال بهذا الحدیث و کذا الآیة الشریفة مبنیّ علی کون الحضانة من باب التکلیف، أمّا إذا قلنا بکونها حقّاً للحاضن فلا یصحّ الاستدلال 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 ف</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فی أحکام المرأة </w:t>
      </w:r>
      <w:r>
        <w:rPr>
          <w:rFonts w:eastAsia="IRNazanin" w:cs="IRNazanin"/>
          <w:b w:val="false"/>
          <w:bCs w:val="false"/>
          <w:i w:val="false"/>
          <w:iCs w:val="false"/>
          <w:color w:val="333333"/>
          <w:sz w:val="20"/>
          <w:szCs w:val="20"/>
        </w:rPr>
        <w:t>41:10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مغنی المحتاج </w:t>
      </w:r>
      <w:r>
        <w:rPr>
          <w:rFonts w:eastAsia="IRNazanin" w:cs="IRNazanin"/>
          <w:b w:val="false"/>
          <w:bCs w:val="false"/>
          <w:i w:val="false"/>
          <w:iCs w:val="false"/>
          <w:color w:val="333333"/>
          <w:sz w:val="20"/>
          <w:szCs w:val="20"/>
        </w:rPr>
        <w:t>456:3</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فی أحکام المرأة </w:t>
      </w:r>
      <w:r>
        <w:rPr>
          <w:rFonts w:eastAsia="IRNazanin" w:cs="IRNazanin"/>
          <w:b w:val="false"/>
          <w:bCs w:val="false"/>
          <w:i w:val="false"/>
          <w:iCs w:val="false"/>
          <w:color w:val="333333"/>
          <w:sz w:val="20"/>
          <w:szCs w:val="20"/>
        </w:rPr>
        <w:t>41:10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الشرح الکبیر للدردیر </w:t>
      </w:r>
      <w:r>
        <w:rPr>
          <w:rFonts w:eastAsia="IRNazanin" w:cs="IRNazanin"/>
          <w:b w:val="false"/>
          <w:bCs w:val="false"/>
          <w:i w:val="false"/>
          <w:iCs w:val="false"/>
          <w:color w:val="333333"/>
          <w:sz w:val="20"/>
          <w:szCs w:val="20"/>
        </w:rPr>
        <w:t>528:2</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297:9</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المحتار علی الدرّ المختار </w:t>
      </w:r>
      <w:r>
        <w:rPr>
          <w:rFonts w:eastAsia="IRNazanin" w:cs="IRNazanin"/>
          <w:b w:val="false"/>
          <w:bCs w:val="false"/>
          <w:i w:val="false"/>
          <w:iCs w:val="false"/>
          <w:color w:val="333333"/>
          <w:sz w:val="20"/>
          <w:szCs w:val="20"/>
        </w:rPr>
        <w:t>555:3</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الشرط یقرّب کون الحضانة من باب الاستحقاق و إلاّ إذا کان من باب التکلیف فلیس یصحّ، بل یلزم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المریض غیر مکلّف بالحضانة لا أنّ المرض موجب لسقوط الحضانة، فافهم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 ف</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w:t>
      </w:r>
      <w:r>
        <w:rPr>
          <w:rFonts w:eastAsia="IRNazanin" w:cs="IRNazanin"/>
          <w:b w:val="false"/>
          <w:bCs w:val="false"/>
          <w:i w:val="false"/>
          <w:iCs w:val="false"/>
          <w:color w:val="333333"/>
          <w:sz w:val="20"/>
          <w:szCs w:val="20"/>
        </w:rPr>
        <w:t>396:1</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91:25</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1390:4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288:31</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فی أحکام المرأة </w:t>
      </w:r>
      <w:r>
        <w:rPr>
          <w:rFonts w:eastAsia="IRNazanin" w:cs="IRNazanin"/>
          <w:b w:val="false"/>
          <w:bCs w:val="false"/>
          <w:i w:val="false"/>
          <w:iCs w:val="false"/>
          <w:color w:val="333333"/>
          <w:sz w:val="20"/>
          <w:szCs w:val="20"/>
        </w:rPr>
        <w:t>42:10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کشاف القناع </w:t>
      </w:r>
      <w:r>
        <w:rPr>
          <w:rFonts w:eastAsia="IRNazanin" w:cs="IRNazanin"/>
          <w:b w:val="false"/>
          <w:bCs w:val="false"/>
          <w:i w:val="false"/>
          <w:iCs w:val="false"/>
          <w:color w:val="333333"/>
          <w:sz w:val="20"/>
          <w:szCs w:val="20"/>
        </w:rPr>
        <w:t>587:5</w:t>
      </w:r>
      <w:r>
        <w:rPr>
          <w:rFonts w:ascii="IRNazanin" w:hAnsi="IRNazanin" w:eastAsia="IRNazanin"/>
          <w:b w:val="false"/>
          <w:b w:val="false"/>
          <w:bCs w:val="false"/>
          <w:i w:val="false"/>
          <w:i w:val="false"/>
          <w:iCs w:val="false"/>
          <w:color w:val="333333"/>
          <w:sz w:val="20"/>
          <w:sz w:val="20"/>
          <w:szCs w:val="20"/>
          <w:rtl w:val="true"/>
        </w:rPr>
        <w:t xml:space="preserve">؛ و الشرح الکبیر للدردیر </w:t>
      </w:r>
      <w:r>
        <w:rPr>
          <w:rFonts w:eastAsia="IRNazanin" w:cs="IRNazanin"/>
          <w:b w:val="false"/>
          <w:bCs w:val="false"/>
          <w:i w:val="false"/>
          <w:iCs w:val="false"/>
          <w:color w:val="333333"/>
          <w:sz w:val="20"/>
          <w:szCs w:val="20"/>
        </w:rPr>
        <w:t>528:2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91:25</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287:31</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العبادات،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423:8</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91:25</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287:31</w:t>
      </w:r>
      <w:r>
        <w:rPr>
          <w:rFonts w:ascii="IRNazanin" w:hAnsi="IRNazanin" w:eastAsia="IRNazanin"/>
          <w:b w:val="false"/>
          <w:b w:val="false"/>
          <w:bCs w:val="false"/>
          <w:i w:val="false"/>
          <w:i w:val="false"/>
          <w:iCs w:val="false"/>
          <w:color w:val="333333"/>
          <w:sz w:val="20"/>
          <w:sz w:val="20"/>
          <w:szCs w:val="20"/>
          <w:rtl w:val="true"/>
        </w:rPr>
        <w:t xml:space="preserve">؛ مهذّب الأحکام </w:t>
      </w:r>
      <w:r>
        <w:rPr>
          <w:rFonts w:eastAsia="IRNazanin" w:cs="IRNazanin"/>
          <w:b w:val="false"/>
          <w:bCs w:val="false"/>
          <w:i w:val="false"/>
          <w:iCs w:val="false"/>
          <w:color w:val="333333"/>
          <w:sz w:val="20"/>
          <w:szCs w:val="20"/>
        </w:rPr>
        <w:t>279:25</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297:9</w:t>
      </w:r>
      <w:r>
        <w:rPr>
          <w:rFonts w:ascii="IRNazanin" w:hAnsi="IRNazanin" w:eastAsia="IRNazanin"/>
          <w:b w:val="false"/>
          <w:b w:val="false"/>
          <w:bCs w:val="false"/>
          <w:i w:val="false"/>
          <w:i w:val="false"/>
          <w:iCs w:val="false"/>
          <w:color w:val="333333"/>
          <w:sz w:val="20"/>
          <w:sz w:val="20"/>
          <w:szCs w:val="20"/>
          <w:rtl w:val="true"/>
        </w:rPr>
        <w:t xml:space="preserve">؛ مغنی المحتاج </w:t>
      </w:r>
      <w:r>
        <w:rPr>
          <w:rFonts w:eastAsia="IRNazanin" w:cs="IRNazanin"/>
          <w:b w:val="false"/>
          <w:bCs w:val="false"/>
          <w:i w:val="false"/>
          <w:iCs w:val="false"/>
          <w:color w:val="333333"/>
          <w:sz w:val="20"/>
          <w:szCs w:val="20"/>
        </w:rPr>
        <w:t>454:3</w:t>
      </w:r>
      <w:r>
        <w:rPr>
          <w:rFonts w:ascii="IRNazanin" w:hAnsi="IRNazanin" w:eastAsia="IRNazanin"/>
          <w:b w:val="false"/>
          <w:b w:val="false"/>
          <w:bCs w:val="false"/>
          <w:i w:val="false"/>
          <w:i w:val="false"/>
          <w:iCs w:val="false"/>
          <w:color w:val="333333"/>
          <w:sz w:val="20"/>
          <w:sz w:val="20"/>
          <w:szCs w:val="20"/>
          <w:rtl w:val="true"/>
        </w:rPr>
        <w:t xml:space="preserve">؛ حاشیة رد المحتار </w:t>
      </w:r>
      <w:r>
        <w:rPr>
          <w:rFonts w:eastAsia="IRNazanin" w:cs="IRNazanin"/>
          <w:b w:val="false"/>
          <w:bCs w:val="false"/>
          <w:i w:val="false"/>
          <w:iCs w:val="false"/>
          <w:color w:val="333333"/>
          <w:sz w:val="20"/>
          <w:szCs w:val="20"/>
        </w:rPr>
        <w:t>610:3</w:t>
      </w:r>
      <w:r>
        <w:rPr>
          <w:rFonts w:ascii="IRNazanin" w:hAnsi="IRNazanin" w:eastAsia="IRNazanin"/>
          <w:b w:val="false"/>
          <w:b w:val="false"/>
          <w:bCs w:val="false"/>
          <w:i w:val="false"/>
          <w:i w:val="false"/>
          <w:iCs w:val="false"/>
          <w:color w:val="333333"/>
          <w:sz w:val="20"/>
          <w:sz w:val="20"/>
          <w:szCs w:val="20"/>
          <w:rtl w:val="true"/>
        </w:rPr>
        <w:t xml:space="preserve">؛ عقد الجواهر الثمینة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181:15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الأولاد،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کتاب النکاح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الحجری</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92:25</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291:31</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653:2</w:t>
      </w:r>
      <w:r>
        <w:rPr>
          <w:rFonts w:ascii="IRNazanin" w:hAnsi="IRNazanin" w:eastAsia="IRNazanin"/>
          <w:b w:val="false"/>
          <w:b w:val="false"/>
          <w:bCs w:val="false"/>
          <w:i w:val="false"/>
          <w:i w:val="false"/>
          <w:iCs w:val="false"/>
          <w:color w:val="333333"/>
          <w:sz w:val="20"/>
          <w:sz w:val="20"/>
          <w:szCs w:val="20"/>
          <w:rtl w:val="true"/>
        </w:rPr>
        <w:t xml:space="preserve">؛ جامع المدارک </w:t>
      </w:r>
      <w:r>
        <w:rPr>
          <w:rFonts w:eastAsia="IRNazanin" w:cs="IRNazanin"/>
          <w:b w:val="false"/>
          <w:bCs w:val="false"/>
          <w:i w:val="false"/>
          <w:iCs w:val="false"/>
          <w:color w:val="333333"/>
          <w:sz w:val="20"/>
          <w:szCs w:val="20"/>
        </w:rPr>
        <w:t>475:4</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463:5</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424:8</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306:9</w:t>
      </w:r>
      <w:r>
        <w:rPr>
          <w:rFonts w:ascii="IRNazanin" w:hAnsi="IRNazanin" w:eastAsia="IRNazanin"/>
          <w:b w:val="false"/>
          <w:b w:val="false"/>
          <w:bCs w:val="false"/>
          <w:i w:val="false"/>
          <w:i w:val="false"/>
          <w:iCs w:val="false"/>
          <w:color w:val="333333"/>
          <w:sz w:val="20"/>
          <w:sz w:val="20"/>
          <w:szCs w:val="20"/>
          <w:rtl w:val="true"/>
        </w:rPr>
        <w:t xml:space="preserve">؛ مغنی المحتاج </w:t>
      </w:r>
      <w:r>
        <w:rPr>
          <w:rFonts w:eastAsia="IRNazanin" w:cs="IRNazanin"/>
          <w:b w:val="false"/>
          <w:bCs w:val="false"/>
          <w:i w:val="false"/>
          <w:iCs w:val="false"/>
          <w:color w:val="333333"/>
          <w:sz w:val="20"/>
          <w:szCs w:val="20"/>
        </w:rPr>
        <w:t>455:3</w:t>
      </w:r>
      <w:r>
        <w:rPr>
          <w:rFonts w:ascii="IRNazanin" w:hAnsi="IRNazanin" w:eastAsia="IRNazanin"/>
          <w:b w:val="false"/>
          <w:b w:val="false"/>
          <w:bCs w:val="false"/>
          <w:i w:val="false"/>
          <w:i w:val="false"/>
          <w:iCs w:val="false"/>
          <w:color w:val="333333"/>
          <w:sz w:val="20"/>
          <w:sz w:val="20"/>
          <w:szCs w:val="20"/>
          <w:rtl w:val="true"/>
        </w:rPr>
        <w:t xml:space="preserve">؛ بدائع الصنائع </w:t>
      </w:r>
      <w:r>
        <w:rPr>
          <w:rFonts w:eastAsia="IRNazanin" w:cs="IRNazanin"/>
          <w:b w:val="false"/>
          <w:bCs w:val="false"/>
          <w:i w:val="false"/>
          <w:iCs w:val="false"/>
          <w:color w:val="333333"/>
          <w:sz w:val="20"/>
          <w:szCs w:val="20"/>
        </w:rPr>
        <w:t>458:3</w:t>
      </w:r>
      <w:r>
        <w:rPr>
          <w:rFonts w:ascii="IRNazanin" w:hAnsi="IRNazanin" w:eastAsia="IRNazanin"/>
          <w:b w:val="false"/>
          <w:b w:val="false"/>
          <w:bCs w:val="false"/>
          <w:i w:val="false"/>
          <w:i w:val="false"/>
          <w:iCs w:val="false"/>
          <w:color w:val="333333"/>
          <w:sz w:val="20"/>
          <w:sz w:val="20"/>
          <w:szCs w:val="20"/>
          <w:rtl w:val="true"/>
        </w:rPr>
        <w:t xml:space="preserve">؛ عقد الجواهر الثمینة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651:2</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کانت الحضانة من باب التکلیف و الحکم فلا یصحّ و لا یجری فیها الإسقاط أبداً، و أمّا بناءً علی کونها من باب الاستحقاق فیمکن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لها إسقاط حقّها کما أنّ المعیار الأوّلی فی جمیع الحقوق ذلک إلاّ ما دلّ الدلیل خلافه، و بناءً علی ذلک إذا قلنا بأنّ هذا الحقّ کحقّ ولدیة الأب لا یصحّ فیه الإسقاط فهو، و أمّا إذا قلنا بإمکان الإسقاط فلا معنی للرجوع ثانیاً لاحتیاج الإعادة إلی الدلیل، و هو مفقود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 ف</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458:3</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w:t>
      </w:r>
      <w:r>
        <w:rPr>
          <w:rFonts w:eastAsia="IRNazanin" w:cs="IRNazanin"/>
          <w:b w:val="false"/>
          <w:bCs w:val="false"/>
          <w:i w:val="false"/>
          <w:iCs w:val="false"/>
          <w:color w:val="333333"/>
          <w:sz w:val="20"/>
          <w:szCs w:val="20"/>
        </w:rPr>
        <w:t>456:3</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445:9</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الجواهر الثمینة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یستفاد من کلمات القوم أنّ هذا لیس شرطاً لنفس الحضانة، بل بما أنّ الحضانة أمر و ولدیة الأب علی الولد أمر آخر و من شئونها أن لا یجوز السفر به إلاّ بإذن ولیّه، فما دام لم یأذن لا یجوز للحاضن أن یسافر بها، و أمّا إذا أجاز فلا مانع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إذا کان السفر موجباً للضرر علی المحضون فلا یجوز، و لکن هذا أیضاً أمر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 ف</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w:t>
      </w:r>
      <w:r>
        <w:rPr>
          <w:rFonts w:eastAsia="IRNazanin" w:cs="IRNazanin"/>
          <w:b w:val="false"/>
          <w:bCs w:val="false"/>
          <w:i w:val="false"/>
          <w:iCs w:val="false"/>
          <w:color w:val="333333"/>
          <w:sz w:val="20"/>
          <w:szCs w:val="20"/>
        </w:rPr>
        <w:t>396:1</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425:8</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289:31</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الظاهر أنّ 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یمنع</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الجواهر الثمینة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461:3</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w:t>
      </w:r>
      <w:r>
        <w:rPr>
          <w:rFonts w:eastAsia="IRNazanin" w:cs="IRNazanin"/>
          <w:b w:val="false"/>
          <w:bCs w:val="false"/>
          <w:i w:val="false"/>
          <w:iCs w:val="false"/>
          <w:color w:val="333333"/>
          <w:sz w:val="20"/>
          <w:szCs w:val="20"/>
        </w:rPr>
        <w:t>459:3</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304:9</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283:25</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424:8</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w:t>
      </w:r>
      <w:r>
        <w:rPr>
          <w:rFonts w:eastAsia="IRNazanin" w:cs="IRNazanin"/>
          <w:b w:val="false"/>
          <w:bCs w:val="false"/>
          <w:i w:val="false"/>
          <w:iCs w:val="false"/>
          <w:color w:val="333333"/>
          <w:sz w:val="20"/>
          <w:szCs w:val="20"/>
        </w:rPr>
        <w:t>396:1</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424:8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556:7</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289:31</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کتاب النکاح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الحجری</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93:25</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289:31</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w:t>
      </w:r>
      <w:r>
        <w:rPr>
          <w:rFonts w:eastAsia="IRNazanin" w:cs="IRNazanin"/>
          <w:b w:val="false"/>
          <w:bCs w:val="false"/>
          <w:i w:val="false"/>
          <w:iCs w:val="false"/>
          <w:color w:val="333333"/>
          <w:sz w:val="20"/>
          <w:szCs w:val="20"/>
        </w:rPr>
        <w:t>454:3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علی المذاهب الأربعة </w:t>
      </w:r>
      <w:r>
        <w:rPr>
          <w:rFonts w:eastAsia="IRNazanin" w:cs="IRNazanin"/>
          <w:b w:val="false"/>
          <w:bCs w:val="false"/>
          <w:i w:val="false"/>
          <w:iCs w:val="false"/>
          <w:color w:val="333333"/>
          <w:sz w:val="20"/>
          <w:szCs w:val="20"/>
        </w:rPr>
        <w:t>596:4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297:9</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الجواهر الثمینة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Pr>
        <w:t>226:2</w:t>
      </w:r>
      <w:r>
        <w:rPr>
          <w:rFonts w:ascii="IRNazanin" w:hAnsi="IRNazanin" w:eastAsia="IRNazanin"/>
          <w:b w:val="false"/>
          <w:b w:val="false"/>
          <w:bCs w:val="false"/>
          <w:i w:val="false"/>
          <w:i w:val="false"/>
          <w:iCs w:val="false"/>
          <w:color w:val="333333"/>
          <w:sz w:val="20"/>
          <w:sz w:val="20"/>
          <w:szCs w:val="20"/>
          <w:rtl w:val="true"/>
        </w:rPr>
        <w:t xml:space="preserve">؛ المصباح المنیر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164:1</w:t>
      </w:r>
      <w:r>
        <w:rPr>
          <w:rFonts w:ascii="IRNazanin" w:hAnsi="IRNazanin" w:eastAsia="IRNazanin"/>
          <w:b w:val="false"/>
          <w:b w:val="false"/>
          <w:bCs w:val="false"/>
          <w:i w:val="false"/>
          <w:i w:val="false"/>
          <w:iCs w:val="false"/>
          <w:color w:val="333333"/>
          <w:sz w:val="20"/>
          <w:sz w:val="20"/>
          <w:szCs w:val="20"/>
          <w:rtl w:val="true"/>
        </w:rPr>
        <w:t xml:space="preserve">؛ المعجم الوسیط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عون المعبود للعظیم‌آبادی </w:t>
      </w:r>
      <w:r>
        <w:rPr>
          <w:rFonts w:eastAsia="IRNazanin" w:cs="IRNazanin"/>
          <w:b w:val="false"/>
          <w:bCs w:val="false"/>
          <w:i w:val="false"/>
          <w:iCs w:val="false"/>
          <w:color w:val="333333"/>
          <w:sz w:val="20"/>
          <w:szCs w:val="20"/>
        </w:rPr>
        <w:t>129:10</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الفقهیّة الکویتیّة </w:t>
      </w:r>
      <w:r>
        <w:rPr>
          <w:rFonts w:eastAsia="IRNazanin" w:cs="IRNazanin"/>
          <w:b w:val="false"/>
          <w:bCs w:val="false"/>
          <w:i w:val="false"/>
          <w:iCs w:val="false"/>
          <w:color w:val="333333"/>
          <w:sz w:val="20"/>
          <w:szCs w:val="20"/>
        </w:rPr>
        <w:t>258:4</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الخمر و سائر المسکرات و المخدّرات لأحمد 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انظر المخدّرات فی الفقه الإسلامی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المسائل </w:t>
      </w:r>
      <w:r>
        <w:rPr>
          <w:rFonts w:eastAsia="IRNazanin" w:cs="IRNazanin"/>
          <w:b w:val="false"/>
          <w:bCs w:val="false"/>
          <w:i w:val="false"/>
          <w:iCs w:val="false"/>
          <w:color w:val="333333"/>
          <w:sz w:val="20"/>
          <w:szCs w:val="20"/>
        </w:rPr>
        <w:t>391:4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المسائل </w:t>
      </w:r>
      <w:r>
        <w:rPr>
          <w:rFonts w:eastAsia="IRNazanin" w:cs="IRNazanin"/>
          <w:b w:val="false"/>
          <w:bCs w:val="false"/>
          <w:i w:val="false"/>
          <w:iCs w:val="false"/>
          <w:color w:val="333333"/>
          <w:sz w:val="20"/>
          <w:szCs w:val="20"/>
        </w:rPr>
        <w:t>439:1</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439:2</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293:5</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254:7</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436:8</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إصباح الشیعة </w:t>
      </w:r>
      <w:r>
        <w:rPr>
          <w:rFonts w:eastAsia="IRNazanin" w:cs="IRNazanin"/>
          <w:b w:val="false"/>
          <w:bCs w:val="false"/>
          <w:i w:val="false"/>
          <w:iCs w:val="false"/>
          <w:color w:val="333333"/>
          <w:sz w:val="20"/>
          <w:szCs w:val="20"/>
        </w:rPr>
        <w:t>350:18</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301:31</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652:2</w:t>
      </w:r>
      <w:r>
        <w:rPr>
          <w:rFonts w:ascii="IRNazanin" w:hAnsi="IRNazanin" w:eastAsia="IRNazanin"/>
          <w:b w:val="false"/>
          <w:b w:val="false"/>
          <w:bCs w:val="false"/>
          <w:i w:val="false"/>
          <w:i w:val="false"/>
          <w:iCs w:val="false"/>
          <w:color w:val="333333"/>
          <w:sz w:val="20"/>
          <w:sz w:val="20"/>
          <w:szCs w:val="20"/>
          <w:rtl w:val="true"/>
        </w:rPr>
        <w:t xml:space="preserve">؛ قواعد الأحکام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 الحجری؛ کشف اللثام </w:t>
      </w:r>
      <w:r>
        <w:rPr>
          <w:rFonts w:eastAsia="IRNazanin" w:cs="IRNazanin"/>
          <w:b w:val="false"/>
          <w:bCs w:val="false"/>
          <w:i w:val="false"/>
          <w:iCs w:val="false"/>
          <w:color w:val="333333"/>
          <w:sz w:val="20"/>
          <w:szCs w:val="20"/>
        </w:rPr>
        <w:t>549:7</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254:7</w:t>
      </w:r>
      <w:r>
        <w:rPr>
          <w:rFonts w:ascii="IRNazanin" w:hAnsi="IRNazanin" w:eastAsia="IRNazanin"/>
          <w:b w:val="false"/>
          <w:b w:val="false"/>
          <w:bCs w:val="false"/>
          <w:i w:val="false"/>
          <w:i w:val="false"/>
          <w:iCs w:val="false"/>
          <w:color w:val="333333"/>
          <w:sz w:val="20"/>
          <w:sz w:val="20"/>
          <w:szCs w:val="20"/>
          <w:rtl w:val="true"/>
        </w:rPr>
        <w:t xml:space="preserve">؛ فقه الإمام الصادق علیه السلام </w:t>
      </w:r>
      <w:r>
        <w:rPr>
          <w:rFonts w:eastAsia="IRNazanin" w:cs="IRNazanin"/>
          <w:b w:val="false"/>
          <w:bCs w:val="false"/>
          <w:i w:val="false"/>
          <w:iCs w:val="false"/>
          <w:color w:val="333333"/>
          <w:sz w:val="20"/>
          <w:szCs w:val="20"/>
        </w:rPr>
        <w:t>314:5</w:t>
      </w:r>
      <w:r>
        <w:rPr>
          <w:rFonts w:ascii="IRNazanin" w:hAnsi="IRNazanin" w:eastAsia="IRNazanin"/>
          <w:b w:val="false"/>
          <w:b w:val="false"/>
          <w:bCs w:val="false"/>
          <w:i w:val="false"/>
          <w:i w:val="false"/>
          <w:iCs w:val="false"/>
          <w:color w:val="333333"/>
          <w:sz w:val="20"/>
          <w:sz w:val="20"/>
          <w:szCs w:val="20"/>
          <w:rtl w:val="true"/>
        </w:rPr>
        <w:t xml:space="preserve">؛ مهذّب الأحکام </w:t>
      </w:r>
      <w:r>
        <w:rPr>
          <w:rFonts w:eastAsia="IRNazanin" w:cs="IRNazanin"/>
          <w:b w:val="false"/>
          <w:bCs w:val="false"/>
          <w:i w:val="false"/>
          <w:iCs w:val="false"/>
          <w:color w:val="333333"/>
          <w:sz w:val="20"/>
          <w:szCs w:val="20"/>
        </w:rPr>
        <w:t>285:25</w:t>
      </w:r>
      <w:r>
        <w:rPr>
          <w:rFonts w:ascii="IRNazanin" w:hAnsi="IRNazanin" w:eastAsia="IRNazanin"/>
          <w:b w:val="false"/>
          <w:b w:val="false"/>
          <w:bCs w:val="false"/>
          <w:i w:val="false"/>
          <w:i w:val="false"/>
          <w:iCs w:val="false"/>
          <w:color w:val="333333"/>
          <w:sz w:val="20"/>
          <w:sz w:val="20"/>
          <w:szCs w:val="20"/>
          <w:rtl w:val="true"/>
        </w:rPr>
        <w:t>؛ تفصیل الشریعة، 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301:31</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607:2</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702:2</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الحجر،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و ج </w:t>
      </w:r>
      <w:r>
        <w:rPr>
          <w:rFonts w:eastAsia="IRNazanin" w:cs="IRNazanin"/>
          <w:b w:val="false"/>
          <w:bCs w:val="false"/>
          <w:i w:val="false"/>
          <w:iCs w:val="false"/>
          <w:color w:val="333333"/>
          <w:sz w:val="20"/>
          <w:szCs w:val="20"/>
        </w:rPr>
        <w:t>143:13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الحجر</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299:9</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 المحتار علی در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270:5</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الکبری </w:t>
      </w:r>
      <w:r>
        <w:rPr>
          <w:rFonts w:eastAsia="IRNazanin" w:cs="IRNazanin"/>
          <w:b w:val="false"/>
          <w:bCs w:val="false"/>
          <w:i w:val="false"/>
          <w:iCs w:val="false"/>
          <w:color w:val="333333"/>
          <w:sz w:val="20"/>
          <w:szCs w:val="20"/>
        </w:rPr>
        <w:t>356:2</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علی المذاهب الأربعة </w:t>
      </w:r>
      <w:r>
        <w:rPr>
          <w:rFonts w:eastAsia="IRNazanin" w:cs="IRNazanin"/>
          <w:b w:val="false"/>
          <w:bCs w:val="false"/>
          <w:i w:val="false"/>
          <w:iCs w:val="false"/>
          <w:color w:val="333333"/>
          <w:sz w:val="20"/>
          <w:szCs w:val="20"/>
        </w:rPr>
        <w:t>599:4</w:t>
      </w:r>
      <w:r>
        <w:rPr>
          <w:rFonts w:ascii="IRNazanin" w:hAnsi="IRNazanin" w:eastAsia="IRNazanin"/>
          <w:b w:val="false"/>
          <w:b w:val="false"/>
          <w:bCs w:val="false"/>
          <w:i w:val="false"/>
          <w:i w:val="false"/>
          <w:iCs w:val="false"/>
          <w:color w:val="333333"/>
          <w:sz w:val="20"/>
          <w:sz w:val="20"/>
          <w:szCs w:val="20"/>
          <w:rtl w:val="true"/>
        </w:rPr>
        <w:t xml:space="preserve">؛ رد المختار </w:t>
      </w:r>
      <w:r>
        <w:rPr>
          <w:rFonts w:eastAsia="IRNazanin" w:cs="IRNazanin"/>
          <w:b w:val="false"/>
          <w:bCs w:val="false"/>
          <w:i w:val="false"/>
          <w:iCs w:val="false"/>
          <w:color w:val="333333"/>
          <w:sz w:val="20"/>
          <w:szCs w:val="20"/>
        </w:rPr>
        <w:t>268:5</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المحتاج </w:t>
      </w:r>
      <w:r>
        <w:rPr>
          <w:rFonts w:eastAsia="IRNazanin" w:cs="IRNazanin"/>
          <w:b w:val="false"/>
          <w:bCs w:val="false"/>
          <w:i w:val="false"/>
          <w:iCs w:val="false"/>
          <w:color w:val="333333"/>
          <w:sz w:val="20"/>
          <w:szCs w:val="20"/>
        </w:rPr>
        <w:t>225:7</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المحتاج </w:t>
      </w:r>
      <w:r>
        <w:rPr>
          <w:rFonts w:eastAsia="IRNazanin" w:cs="IRNazanin"/>
          <w:b w:val="false"/>
          <w:bCs w:val="false"/>
          <w:i w:val="false"/>
          <w:iCs w:val="false"/>
          <w:color w:val="333333"/>
          <w:sz w:val="20"/>
          <w:szCs w:val="20"/>
        </w:rPr>
        <w:t>225:7</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ما قال المفید رحمه الله فی المقنعة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بأنّ الأمّ أحقّ بکفالة البنت حتّی تبلغ تسع سنین إلاّ أن تتزوّج</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المحتاج </w:t>
      </w:r>
      <w:r>
        <w:rPr>
          <w:rFonts w:eastAsia="IRNazanin" w:cs="IRNazanin"/>
          <w:b w:val="false"/>
          <w:bCs w:val="false"/>
          <w:i w:val="false"/>
          <w:iCs w:val="false"/>
          <w:color w:val="333333"/>
          <w:sz w:val="20"/>
          <w:szCs w:val="20"/>
        </w:rPr>
        <w:t>225:7</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92:4</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الفقهیّة للبجنوردی </w:t>
      </w:r>
      <w:r>
        <w:rPr>
          <w:rFonts w:eastAsia="IRNazanin" w:cs="IRNazanin"/>
          <w:b w:val="false"/>
          <w:bCs w:val="false"/>
          <w:i w:val="false"/>
          <w:iCs w:val="false"/>
          <w:color w:val="333333"/>
          <w:sz w:val="20"/>
          <w:szCs w:val="20"/>
        </w:rPr>
        <w:t>157:2</w:t>
      </w:r>
      <w:r>
        <w:rPr>
          <w:rFonts w:ascii="IRNazanin" w:hAnsi="IRNazanin" w:eastAsia="IRNazanin"/>
          <w:b w:val="false"/>
          <w:b w:val="false"/>
          <w:bCs w:val="false"/>
          <w:i w:val="false"/>
          <w:i w:val="false"/>
          <w:iCs w:val="false"/>
          <w:color w:val="333333"/>
          <w:sz w:val="20"/>
          <w:sz w:val="20"/>
          <w:szCs w:val="20"/>
          <w:rtl w:val="true"/>
        </w:rPr>
        <w:t>، المکاسب المحرّمة للشیخ الأعظم الأنصاری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القواعد الفقهیة للفاضل اللنکرانی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الفقیه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الفقیه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محمد آل بحر العلوم</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الفقیه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الفقهیّة للفاضل اللنکرانی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117:22</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 الشیخ الأعظم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المکاسب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المکاسب للسیّد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الفقهیّة للفاضل اللنکرانی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الفقهیّة للبجنوردی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القواعد الفقهیّة للبجنوردی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421:8</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الإمام جعفر الصادق علیه السلام </w:t>
      </w:r>
      <w:r>
        <w:rPr>
          <w:rFonts w:eastAsia="IRNazanin" w:cs="IRNazanin"/>
          <w:b w:val="false"/>
          <w:bCs w:val="false"/>
          <w:i w:val="false"/>
          <w:iCs w:val="false"/>
          <w:color w:val="333333"/>
          <w:sz w:val="20"/>
          <w:szCs w:val="20"/>
        </w:rPr>
        <w:t>315:5</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283:31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455:3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تصرف، رد المختار علی الدرّ المحتار </w:t>
      </w:r>
      <w:r>
        <w:rPr>
          <w:rFonts w:eastAsia="IRNazanin" w:cs="IRNazanin"/>
          <w:b w:val="false"/>
          <w:bCs w:val="false"/>
          <w:i w:val="false"/>
          <w:iCs w:val="false"/>
          <w:color w:val="333333"/>
          <w:sz w:val="20"/>
          <w:szCs w:val="20"/>
        </w:rPr>
        <w:t>562:3</w:t>
      </w:r>
      <w:r>
        <w:rPr>
          <w:rFonts w:ascii="IRNazanin" w:hAnsi="IRNazanin" w:eastAsia="IRNazanin"/>
          <w:b w:val="false"/>
          <w:b w:val="false"/>
          <w:bCs w:val="false"/>
          <w:i w:val="false"/>
          <w:i w:val="false"/>
          <w:iCs w:val="false"/>
          <w:color w:val="333333"/>
          <w:sz w:val="20"/>
          <w:sz w:val="20"/>
          <w:szCs w:val="20"/>
          <w:rtl w:val="true"/>
        </w:rPr>
        <w:t xml:space="preserve">، الفصل فی أحکام المرأة </w:t>
      </w:r>
      <w:r>
        <w:rPr>
          <w:rFonts w:eastAsia="IRNazanin" w:cs="IRNazanin"/>
          <w:b w:val="false"/>
          <w:bCs w:val="false"/>
          <w:i w:val="false"/>
          <w:iCs w:val="false"/>
          <w:color w:val="333333"/>
          <w:sz w:val="20"/>
          <w:szCs w:val="20"/>
        </w:rPr>
        <w:t>57:10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تبیین المسالک شرح تدریب السالک </w:t>
      </w:r>
      <w:r>
        <w:rPr>
          <w:rFonts w:eastAsia="IRNazanin" w:cs="IRNazanin"/>
          <w:b w:val="false"/>
          <w:bCs w:val="false"/>
          <w:i w:val="false"/>
          <w:iCs w:val="false"/>
          <w:color w:val="333333"/>
          <w:sz w:val="20"/>
          <w:szCs w:val="20"/>
        </w:rPr>
        <w:t>263:3</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الجواهر الثمینة </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فی معرفة الراجح من الخلاف </w:t>
      </w:r>
      <w:r>
        <w:rPr>
          <w:rFonts w:eastAsia="IRNazanin" w:cs="IRNazanin"/>
          <w:b w:val="false"/>
          <w:bCs w:val="false"/>
          <w:i w:val="false"/>
          <w:iCs w:val="false"/>
          <w:color w:val="333333"/>
          <w:sz w:val="20"/>
          <w:szCs w:val="20"/>
        </w:rPr>
        <w:t>435:9</w:t>
      </w:r>
      <w:r>
        <w:rPr>
          <w:rFonts w:ascii="IRNazanin" w:hAnsi="IRNazanin" w:eastAsia="IRNazanin"/>
          <w:b w:val="false"/>
          <w:b w:val="false"/>
          <w:bCs w:val="false"/>
          <w:i w:val="false"/>
          <w:i w:val="false"/>
          <w:iCs w:val="false"/>
          <w:color w:val="333333"/>
          <w:sz w:val="20"/>
          <w:sz w:val="20"/>
          <w:szCs w:val="20"/>
          <w:rtl w:val="true"/>
        </w:rPr>
        <w:t xml:space="preserve">؛ المبدع فی شرح المقنع </w:t>
      </w:r>
      <w:r>
        <w:rPr>
          <w:rFonts w:eastAsia="IRNazanin" w:cs="IRNazanin"/>
          <w:b w:val="false"/>
          <w:bCs w:val="false"/>
          <w:i w:val="false"/>
          <w:iCs w:val="false"/>
          <w:color w:val="333333"/>
          <w:sz w:val="20"/>
          <w:szCs w:val="20"/>
        </w:rPr>
        <w:t>181:7</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w:t>
      </w:r>
      <w:r>
        <w:rPr>
          <w:rFonts w:eastAsia="IRNazanin" w:cs="IRNazanin"/>
          <w:b w:val="false"/>
          <w:bCs w:val="false"/>
          <w:i w:val="false"/>
          <w:iCs w:val="false"/>
          <w:color w:val="333333"/>
          <w:sz w:val="20"/>
          <w:szCs w:val="20"/>
        </w:rPr>
        <w:t>452:3</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300:31</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86:25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652:2</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436:8</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547:7</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278:2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فی أحکام الولادة، مسألة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273:25</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المبحث الثالث، رفع التعارض بین الأخبار</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300:31</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284:31</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449:2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فی أحکام الولادة مسألة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192:15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191:15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للراغب الأصبهانی،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نفق</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Pr>
        <w:t>618:2</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235:6</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353:2</w:t>
      </w:r>
      <w:r>
        <w:rPr>
          <w:rFonts w:ascii="IRNazanin" w:hAnsi="IRNazanin" w:eastAsia="IRNazanin"/>
          <w:b w:val="false"/>
          <w:b w:val="false"/>
          <w:bCs w:val="false"/>
          <w:i w:val="false"/>
          <w:i w:val="false"/>
          <w:iCs w:val="false"/>
          <w:color w:val="333333"/>
          <w:sz w:val="20"/>
          <w:sz w:val="20"/>
          <w:szCs w:val="20"/>
          <w:rtl w:val="true"/>
        </w:rPr>
        <w:t>؛ مسالک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488/8</w:t>
      </w:r>
      <w:r>
        <w:rPr>
          <w:rFonts w:ascii="IRNazanin" w:hAnsi="IRNazanin" w:eastAsia="IRNazanin"/>
          <w:b w:val="false"/>
          <w:b w:val="false"/>
          <w:bCs w:val="false"/>
          <w:i w:val="false"/>
          <w:i w:val="false"/>
          <w:iCs w:val="false"/>
          <w:color w:val="333333"/>
          <w:sz w:val="20"/>
          <w:sz w:val="20"/>
          <w:szCs w:val="20"/>
          <w:rtl w:val="true"/>
        </w:rPr>
        <w:t xml:space="preserve">؛ جامع المدارک </w:t>
      </w:r>
      <w:r>
        <w:rPr>
          <w:rFonts w:eastAsia="IRNazanin" w:cs="IRNazanin"/>
          <w:b w:val="false"/>
          <w:bCs w:val="false"/>
          <w:i w:val="false"/>
          <w:iCs w:val="false"/>
          <w:color w:val="333333"/>
          <w:sz w:val="20"/>
          <w:szCs w:val="20"/>
        </w:rPr>
        <w:t>487:4</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483:8</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366:31</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المدارک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485:4</w:t>
      </w:r>
      <w:r>
        <w:rPr>
          <w:rFonts w:ascii="IRNazanin" w:hAnsi="IRNazanin" w:eastAsia="IRNazanin"/>
          <w:b w:val="false"/>
          <w:b w:val="false"/>
          <w:bCs w:val="false"/>
          <w:i w:val="false"/>
          <w:i w:val="false"/>
          <w:iCs w:val="false"/>
          <w:color w:val="333333"/>
          <w:sz w:val="20"/>
          <w:sz w:val="20"/>
          <w:szCs w:val="20"/>
          <w:rtl w:val="true"/>
        </w:rPr>
        <w:t xml:space="preserve">؛ مهذّب الأحکام </w:t>
      </w:r>
      <w:r>
        <w:rPr>
          <w:rFonts w:eastAsia="IRNazanin" w:cs="IRNazanin"/>
          <w:b w:val="false"/>
          <w:bCs w:val="false"/>
          <w:i w:val="false"/>
          <w:iCs w:val="false"/>
          <w:color w:val="333333"/>
          <w:sz w:val="20"/>
          <w:szCs w:val="20"/>
        </w:rPr>
        <w:t>315:25</w:t>
      </w:r>
      <w:r>
        <w:rPr>
          <w:rFonts w:ascii="IRNazanin" w:hAnsi="IRNazanin" w:eastAsia="IRNazanin"/>
          <w:b w:val="false"/>
          <w:b w:val="false"/>
          <w:bCs w:val="false"/>
          <w:i w:val="false"/>
          <w:i w:val="false"/>
          <w:iCs w:val="false"/>
          <w:color w:val="333333"/>
          <w:sz w:val="20"/>
          <w:sz w:val="20"/>
          <w:szCs w:val="20"/>
          <w:rtl w:val="true"/>
        </w:rPr>
        <w:t xml:space="preserve">؛ 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و الشرح الکبیر </w:t>
      </w:r>
      <w:r>
        <w:rPr>
          <w:rFonts w:eastAsia="IRNazanin" w:cs="IRNazanin"/>
          <w:b w:val="false"/>
          <w:bCs w:val="false"/>
          <w:i w:val="false"/>
          <w:iCs w:val="false"/>
          <w:color w:val="333333"/>
          <w:sz w:val="20"/>
          <w:szCs w:val="20"/>
        </w:rPr>
        <w:t>256:9</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76:15</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440:3</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بالآثار </w:t>
      </w:r>
      <w:r>
        <w:rPr>
          <w:rFonts w:eastAsia="IRNazanin" w:cs="IRNazanin"/>
          <w:b w:val="false"/>
          <w:bCs w:val="false"/>
          <w:i w:val="false"/>
          <w:iCs w:val="false"/>
          <w:color w:val="333333"/>
          <w:sz w:val="20"/>
          <w:szCs w:val="20"/>
        </w:rPr>
        <w:t>266:9</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الآیة</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للفخر الرازی </w:t>
      </w:r>
      <w:r>
        <w:rPr>
          <w:rFonts w:eastAsia="IRNazanin" w:cs="IRNazanin"/>
          <w:b w:val="false"/>
          <w:bCs w:val="false"/>
          <w:i w:val="false"/>
          <w:iCs w:val="false"/>
          <w:color w:val="333333"/>
          <w:sz w:val="20"/>
          <w:szCs w:val="20"/>
        </w:rPr>
        <w:t>37:30</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المفصّل فی أحکام المرأة </w:t>
      </w:r>
      <w:r>
        <w:rPr>
          <w:rFonts w:eastAsia="IRNazanin" w:cs="IRNazanin"/>
          <w:b w:val="false"/>
          <w:bCs w:val="false"/>
          <w:i w:val="false"/>
          <w:iCs w:val="false"/>
          <w:color w:val="333333"/>
          <w:sz w:val="20"/>
          <w:szCs w:val="20"/>
        </w:rPr>
        <w:t>158:10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بدائع الصنائع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المغنی </w:t>
      </w:r>
      <w:r>
        <w:rPr>
          <w:rFonts w:eastAsia="IRNazanin" w:cs="IRNazanin"/>
          <w:b w:val="false"/>
          <w:bCs w:val="false"/>
          <w:i w:val="false"/>
          <w:iCs w:val="false"/>
          <w:color w:val="333333"/>
          <w:sz w:val="20"/>
          <w:szCs w:val="20"/>
        </w:rPr>
        <w:t>582:7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الآیة</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الآیة</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Pr>
        <w:t>85:13</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237:15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293:6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813</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78:3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225:15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225:15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237:15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کلام الإمام الصادق علیه السلام فی وجوه إخراج الأموال و إنفاقها؛ وسائل الشیعة </w:t>
      </w:r>
      <w:r>
        <w:rPr>
          <w:rFonts w:eastAsia="IRNazanin" w:cs="IRNazanin"/>
          <w:b w:val="false"/>
          <w:bCs w:val="false"/>
          <w:i w:val="false"/>
          <w:iCs w:val="false"/>
          <w:color w:val="333333"/>
          <w:sz w:val="20"/>
          <w:szCs w:val="20"/>
        </w:rPr>
        <w:t>228:15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المفصّل فی أحکام المرأة و البیت المسلم </w:t>
      </w:r>
      <w:r>
        <w:rPr>
          <w:rFonts w:eastAsia="IRNazanin" w:cs="IRNazanin"/>
          <w:b w:val="false"/>
          <w:bCs w:val="false"/>
          <w:i w:val="false"/>
          <w:iCs w:val="false"/>
          <w:color w:val="333333"/>
          <w:sz w:val="20"/>
          <w:szCs w:val="20"/>
        </w:rPr>
        <w:t>158:10</w:t>
      </w:r>
      <w:r>
        <w:rPr>
          <w:rFonts w:ascii="IRNazanin" w:hAnsi="IRNazanin" w:eastAsia="IRNazanin"/>
          <w:b w:val="false"/>
          <w:b w:val="false"/>
          <w:bCs w:val="false"/>
          <w:i w:val="false"/>
          <w:i w:val="false"/>
          <w:iCs w:val="false"/>
          <w:color w:val="333333"/>
          <w:sz w:val="20"/>
          <w:sz w:val="20"/>
          <w:szCs w:val="20"/>
          <w:rtl w:val="true"/>
        </w:rPr>
        <w:t xml:space="preserve">؛ الفقه الإسلامی و أدلّته </w:t>
      </w:r>
      <w:r>
        <w:rPr>
          <w:rFonts w:eastAsia="IRNazanin" w:cs="IRNazanin"/>
          <w:b w:val="false"/>
          <w:bCs w:val="false"/>
          <w:i w:val="false"/>
          <w:iCs w:val="false"/>
          <w:color w:val="333333"/>
          <w:sz w:val="20"/>
          <w:szCs w:val="20"/>
        </w:rPr>
        <w:t>766:7</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352:2</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366:31</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483:8</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267:7</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132:25</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المرام </w:t>
      </w:r>
      <w:r>
        <w:rPr>
          <w:rFonts w:eastAsia="IRNazanin" w:cs="IRNazanin"/>
          <w:b w:val="false"/>
          <w:bCs w:val="false"/>
          <w:i w:val="false"/>
          <w:iCs w:val="false"/>
          <w:color w:val="333333"/>
          <w:sz w:val="20"/>
          <w:szCs w:val="20"/>
        </w:rPr>
        <w:t>484:1</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595:7</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256:9</w:t>
      </w:r>
      <w:r>
        <w:rPr>
          <w:rFonts w:ascii="IRNazanin" w:hAnsi="IRNazanin" w:eastAsia="IRNazanin"/>
          <w:b w:val="false"/>
          <w:b w:val="false"/>
          <w:bCs w:val="false"/>
          <w:i w:val="false"/>
          <w:i w:val="false"/>
          <w:iCs w:val="false"/>
          <w:color w:val="333333"/>
          <w:sz w:val="20"/>
          <w:sz w:val="20"/>
          <w:szCs w:val="20"/>
          <w:rtl w:val="true"/>
        </w:rPr>
        <w:t xml:space="preserve">؛ مغنی المحتاج </w:t>
      </w:r>
      <w:r>
        <w:rPr>
          <w:rFonts w:eastAsia="IRNazanin" w:cs="IRNazanin"/>
          <w:b w:val="false"/>
          <w:bCs w:val="false"/>
          <w:i w:val="false"/>
          <w:iCs w:val="false"/>
          <w:color w:val="333333"/>
          <w:sz w:val="20"/>
          <w:szCs w:val="20"/>
        </w:rPr>
        <w:t>446:3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بدائع الصنائع </w:t>
      </w:r>
      <w:r>
        <w:rPr>
          <w:rFonts w:eastAsia="IRNazanin" w:cs="IRNazanin"/>
          <w:b w:val="false"/>
          <w:bCs w:val="false"/>
          <w:i w:val="false"/>
          <w:iCs w:val="false"/>
          <w:color w:val="333333"/>
          <w:sz w:val="20"/>
          <w:szCs w:val="20"/>
        </w:rPr>
        <w:t>439:3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المفصّل فی أحکام المرأة و البیت المسلم </w:t>
      </w:r>
      <w:r>
        <w:rPr>
          <w:rFonts w:eastAsia="IRNazanin" w:cs="IRNazanin"/>
          <w:b w:val="false"/>
          <w:bCs w:val="false"/>
          <w:i w:val="false"/>
          <w:iCs w:val="false"/>
          <w:color w:val="333333"/>
          <w:sz w:val="20"/>
          <w:szCs w:val="20"/>
        </w:rPr>
        <w:t>158:10</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256:9</w:t>
      </w:r>
      <w:r>
        <w:rPr>
          <w:rFonts w:ascii="IRNazanin" w:hAnsi="IRNazanin" w:eastAsia="IRNazanin"/>
          <w:b w:val="false"/>
          <w:b w:val="false"/>
          <w:bCs w:val="false"/>
          <w:i w:val="false"/>
          <w:i w:val="false"/>
          <w:iCs w:val="false"/>
          <w:color w:val="333333"/>
          <w:sz w:val="20"/>
          <w:sz w:val="20"/>
          <w:szCs w:val="20"/>
          <w:rtl w:val="true"/>
        </w:rPr>
        <w:t xml:space="preserve">؛ بدائع الصنائع </w:t>
      </w:r>
      <w:r>
        <w:rPr>
          <w:rFonts w:eastAsia="IRNazanin" w:cs="IRNazanin"/>
          <w:b w:val="false"/>
          <w:bCs w:val="false"/>
          <w:i w:val="false"/>
          <w:iCs w:val="false"/>
          <w:color w:val="333333"/>
          <w:sz w:val="20"/>
          <w:szCs w:val="20"/>
        </w:rPr>
        <w:t>440:3</w:t>
      </w:r>
      <w:r>
        <w:rPr>
          <w:rFonts w:ascii="IRNazanin" w:hAnsi="IRNazanin" w:eastAsia="IRNazanin"/>
          <w:b w:val="false"/>
          <w:b w:val="false"/>
          <w:bCs w:val="false"/>
          <w:i w:val="false"/>
          <w:i w:val="false"/>
          <w:iCs w:val="false"/>
          <w:color w:val="333333"/>
          <w:sz w:val="20"/>
          <w:sz w:val="20"/>
          <w:szCs w:val="20"/>
          <w:rtl w:val="true"/>
        </w:rPr>
        <w:t>؛ المفصّل فی أحکام المرأة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فی أحکام المرأة </w:t>
      </w:r>
      <w:r>
        <w:rPr>
          <w:rFonts w:eastAsia="IRNazanin" w:cs="IRNazanin"/>
          <w:b w:val="false"/>
          <w:bCs w:val="false"/>
          <w:i w:val="false"/>
          <w:iCs w:val="false"/>
          <w:color w:val="333333"/>
          <w:sz w:val="20"/>
          <w:szCs w:val="20"/>
        </w:rPr>
        <w:t>159:10</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256:2</w:t>
      </w:r>
      <w:r>
        <w:rPr>
          <w:rFonts w:ascii="IRNazanin" w:hAnsi="IRNazanin" w:eastAsia="IRNazanin"/>
          <w:b w:val="false"/>
          <w:b w:val="false"/>
          <w:bCs w:val="false"/>
          <w:i w:val="false"/>
          <w:i w:val="false"/>
          <w:iCs w:val="false"/>
          <w:color w:val="333333"/>
          <w:sz w:val="20"/>
          <w:sz w:val="20"/>
          <w:szCs w:val="20"/>
          <w:rtl w:val="true"/>
        </w:rPr>
        <w:t>؛ 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قواعد الأحکام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 الحجری؛ الروضة البهیة </w:t>
      </w:r>
      <w:r>
        <w:rPr>
          <w:rFonts w:eastAsia="IRNazanin" w:cs="IRNazanin"/>
          <w:b w:val="false"/>
          <w:bCs w:val="false"/>
          <w:i w:val="false"/>
          <w:iCs w:val="false"/>
          <w:color w:val="333333"/>
          <w:sz w:val="20"/>
          <w:szCs w:val="20"/>
        </w:rPr>
        <w:t>473:5</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376:31</w:t>
      </w:r>
      <w:r>
        <w:rPr>
          <w:rFonts w:ascii="IRNazanin" w:hAnsi="IRNazanin" w:eastAsia="IRNazanin"/>
          <w:b w:val="false"/>
          <w:b w:val="false"/>
          <w:bCs w:val="false"/>
          <w:i w:val="false"/>
          <w:i w:val="false"/>
          <w:iCs w:val="false"/>
          <w:color w:val="333333"/>
          <w:sz w:val="20"/>
          <w:sz w:val="20"/>
          <w:szCs w:val="20"/>
          <w:rtl w:val="true"/>
        </w:rPr>
        <w:t xml:space="preserve">؛ 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441:3</w:t>
      </w:r>
      <w:r>
        <w:rPr>
          <w:rFonts w:ascii="IRNazanin" w:hAnsi="IRNazanin" w:eastAsia="IRNazanin"/>
          <w:b w:val="false"/>
          <w:b w:val="false"/>
          <w:bCs w:val="false"/>
          <w:i w:val="false"/>
          <w:i w:val="false"/>
          <w:iCs w:val="false"/>
          <w:color w:val="333333"/>
          <w:sz w:val="20"/>
          <w:sz w:val="20"/>
          <w:szCs w:val="20"/>
          <w:rtl w:val="true"/>
        </w:rPr>
        <w:t xml:space="preserve">؛ المغنی لابن قدامة </w:t>
      </w:r>
      <w:r>
        <w:rPr>
          <w:rFonts w:eastAsia="IRNazanin" w:cs="IRNazanin"/>
          <w:b w:val="false"/>
          <w:bCs w:val="false"/>
          <w:i w:val="false"/>
          <w:iCs w:val="false"/>
          <w:color w:val="333333"/>
          <w:sz w:val="20"/>
          <w:szCs w:val="20"/>
        </w:rPr>
        <w:t>257:9</w:t>
      </w:r>
      <w:r>
        <w:rPr>
          <w:rFonts w:ascii="IRNazanin" w:hAnsi="IRNazanin" w:eastAsia="IRNazanin"/>
          <w:b w:val="false"/>
          <w:b w:val="false"/>
          <w:bCs w:val="false"/>
          <w:i w:val="false"/>
          <w:i w:val="false"/>
          <w:iCs w:val="false"/>
          <w:color w:val="333333"/>
          <w:sz w:val="20"/>
          <w:sz w:val="20"/>
          <w:szCs w:val="20"/>
          <w:rtl w:val="true"/>
        </w:rPr>
        <w:t xml:space="preserve">؛ مغنی المحتاج </w:t>
      </w:r>
      <w:r>
        <w:rPr>
          <w:rFonts w:eastAsia="IRNazanin" w:cs="IRNazanin"/>
          <w:b w:val="false"/>
          <w:bCs w:val="false"/>
          <w:i w:val="false"/>
          <w:iCs w:val="false"/>
          <w:color w:val="333333"/>
          <w:sz w:val="20"/>
          <w:szCs w:val="20"/>
        </w:rPr>
        <w:t>447:3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المحلّی بالآثار </w:t>
      </w:r>
      <w:r>
        <w:rPr>
          <w:rFonts w:eastAsia="IRNazanin" w:cs="IRNazanin"/>
          <w:b w:val="false"/>
          <w:bCs w:val="false"/>
          <w:i w:val="false"/>
          <w:iCs w:val="false"/>
          <w:color w:val="333333"/>
          <w:sz w:val="20"/>
          <w:szCs w:val="20"/>
        </w:rPr>
        <w:t>266:9</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237:6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النفقات، ح </w:t>
      </w:r>
      <w:r>
        <w:rPr>
          <w:rFonts w:eastAsia="IRNazanin" w:cs="IRNazanin"/>
          <w:b w:val="false"/>
          <w:bCs w:val="false"/>
          <w:i w:val="false"/>
          <w:iCs w:val="false"/>
          <w:color w:val="333333"/>
          <w:sz w:val="20"/>
          <w:szCs w:val="20"/>
        </w:rPr>
        <w:t>5364</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فی أحکام المرأة و البیت المسلم </w:t>
      </w:r>
      <w:r>
        <w:rPr>
          <w:rFonts w:eastAsia="IRNazanin" w:cs="IRNazanin"/>
          <w:b w:val="false"/>
          <w:bCs w:val="false"/>
          <w:i w:val="false"/>
          <w:iCs w:val="false"/>
          <w:color w:val="333333"/>
          <w:sz w:val="20"/>
          <w:szCs w:val="20"/>
        </w:rPr>
        <w:t>159:10</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352:2</w:t>
      </w:r>
      <w:r>
        <w:rPr>
          <w:rFonts w:ascii="IRNazanin" w:hAnsi="IRNazanin" w:eastAsia="IRNazanin"/>
          <w:b w:val="false"/>
          <w:b w:val="false"/>
          <w:bCs w:val="false"/>
          <w:i w:val="false"/>
          <w:i w:val="false"/>
          <w:iCs w:val="false"/>
          <w:color w:val="333333"/>
          <w:sz w:val="20"/>
          <w:sz w:val="20"/>
          <w:szCs w:val="20"/>
          <w:rtl w:val="true"/>
        </w:rPr>
        <w:t>، 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المرام </w:t>
      </w:r>
      <w:r>
        <w:rPr>
          <w:rFonts w:eastAsia="IRNazanin" w:cs="IRNazanin"/>
          <w:b w:val="false"/>
          <w:bCs w:val="false"/>
          <w:i w:val="false"/>
          <w:iCs w:val="false"/>
          <w:color w:val="333333"/>
          <w:sz w:val="20"/>
          <w:szCs w:val="20"/>
        </w:rPr>
        <w:t>484:1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484:8</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132:25</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267:7</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المستحقین للزکاة،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367:31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Pr>
        <w:t>208:9</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Pr>
        <w:t>208:9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الفقه الإسلامی و أدلّته </w:t>
      </w:r>
      <w:r>
        <w:rPr>
          <w:rFonts w:eastAsia="IRNazanin" w:cs="IRNazanin"/>
          <w:b w:val="false"/>
          <w:bCs w:val="false"/>
          <w:i w:val="false"/>
          <w:iCs w:val="false"/>
          <w:color w:val="333333"/>
          <w:sz w:val="20"/>
          <w:szCs w:val="20"/>
        </w:rPr>
        <w:t>766:7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المصادر المتقدّمة</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الحجری</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352:2</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267:7</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368:31</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484:8</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المستحقّین للزکاة،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الکاشح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مضمر العداوة، انظر القاموس المحیط، مادّة کشح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238:15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238:15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المدارک </w:t>
      </w:r>
      <w:r>
        <w:rPr>
          <w:rFonts w:eastAsia="IRNazanin" w:cs="IRNazanin"/>
          <w:b w:val="false"/>
          <w:bCs w:val="false"/>
          <w:i w:val="false"/>
          <w:iCs w:val="false"/>
          <w:color w:val="333333"/>
          <w:sz w:val="20"/>
          <w:szCs w:val="20"/>
        </w:rPr>
        <w:t>486:4</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225:15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 الحجری؛ سلسلة الینابیع الفقهیة </w:t>
      </w:r>
      <w:r>
        <w:rPr>
          <w:rFonts w:eastAsia="IRNazanin" w:cs="IRNazanin"/>
          <w:b w:val="false"/>
          <w:bCs w:val="false"/>
          <w:i w:val="false"/>
          <w:iCs w:val="false"/>
          <w:color w:val="333333"/>
          <w:sz w:val="20"/>
          <w:szCs w:val="20"/>
        </w:rPr>
        <w:t>669:19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xml:space="preserve">؛ الروضة البهیّة </w:t>
      </w:r>
      <w:r>
        <w:rPr>
          <w:rFonts w:eastAsia="IRNazanin" w:cs="IRNazanin"/>
          <w:b w:val="false"/>
          <w:bCs w:val="false"/>
          <w:i w:val="false"/>
          <w:iCs w:val="false"/>
          <w:color w:val="333333"/>
          <w:sz w:val="20"/>
          <w:szCs w:val="20"/>
        </w:rPr>
        <w:t>473:5</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484:1</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237:15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النفقات،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352:2</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371:31</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368:31</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120:5</w:t>
      </w:r>
      <w:r>
        <w:rPr>
          <w:rFonts w:ascii="IRNazanin" w:hAnsi="IRNazanin" w:eastAsia="IRNazanin"/>
          <w:b w:val="false"/>
          <w:b w:val="false"/>
          <w:bCs w:val="false"/>
          <w:i w:val="false"/>
          <w:i w:val="false"/>
          <w:iCs w:val="false"/>
          <w:color w:val="333333"/>
          <w:sz w:val="20"/>
          <w:sz w:val="20"/>
          <w:szCs w:val="20"/>
          <w:rtl w:val="true"/>
        </w:rPr>
        <w:t xml:space="preserve">؛ إرشاد الأذهان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الروضة البهیّة </w:t>
      </w:r>
      <w:r>
        <w:rPr>
          <w:rFonts w:eastAsia="IRNazanin" w:cs="IRNazanin"/>
          <w:b w:val="false"/>
          <w:bCs w:val="false"/>
          <w:i w:val="false"/>
          <w:iCs w:val="false"/>
          <w:color w:val="333333"/>
          <w:sz w:val="20"/>
          <w:szCs w:val="20"/>
        </w:rPr>
        <w:t>477:5</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273:7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تفصیل الشریعة، 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353:2</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381:31</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134:25</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237:6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النفقات، ح </w:t>
      </w:r>
      <w:r>
        <w:rPr>
          <w:rFonts w:eastAsia="IRNazanin" w:cs="IRNazanin"/>
          <w:b w:val="false"/>
          <w:bCs w:val="false"/>
          <w:i w:val="false"/>
          <w:iCs w:val="false"/>
          <w:color w:val="333333"/>
          <w:sz w:val="20"/>
          <w:szCs w:val="20"/>
        </w:rPr>
        <w:t>5364</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236:15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134:25</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237:15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381:31</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الإنصاف أنّه لا وجه لهذا الاستظهار بل إطلاقه یشمل الجد، بل هو أنّه أظهر مصادیقه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 ف</w:t>
      </w:r>
    </w:p>
  </w:footnote>
  <w:footnote w:id="1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273:7</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یکفی فی ذلک ما ورد عن أمیر المؤمنین علیه السلام أی الخبر السابق فإنّ إطلاقه یشمل الأمّ قطعاً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 ف</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135:25</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237:6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5364</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الإسلامی و أدلّته </w:t>
      </w:r>
      <w:r>
        <w:rPr>
          <w:rFonts w:eastAsia="IRNazanin" w:cs="IRNazanin"/>
          <w:b w:val="false"/>
          <w:bCs w:val="false"/>
          <w:i w:val="false"/>
          <w:iCs w:val="false"/>
          <w:color w:val="333333"/>
          <w:sz w:val="20"/>
          <w:szCs w:val="20"/>
        </w:rPr>
        <w:t>775:7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المغنی </w:t>
      </w:r>
      <w:r>
        <w:rPr>
          <w:rFonts w:eastAsia="IRNazanin" w:cs="IRNazanin"/>
          <w:b w:val="false"/>
          <w:bCs w:val="false"/>
          <w:i w:val="false"/>
          <w:iCs w:val="false"/>
          <w:color w:val="333333"/>
          <w:sz w:val="20"/>
          <w:szCs w:val="20"/>
        </w:rPr>
        <w:t>256:9</w:t>
      </w:r>
      <w:r>
        <w:rPr>
          <w:rFonts w:ascii="IRNazanin" w:hAnsi="IRNazanin" w:eastAsia="IRNazanin"/>
          <w:b w:val="false"/>
          <w:b w:val="false"/>
          <w:bCs w:val="false"/>
          <w:i w:val="false"/>
          <w:i w:val="false"/>
          <w:iCs w:val="false"/>
          <w:color w:val="333333"/>
          <w:sz w:val="20"/>
          <w:sz w:val="20"/>
          <w:szCs w:val="20"/>
          <w:rtl w:val="true"/>
        </w:rPr>
        <w:t>؛ حاشیة ردّ المحتار علی الدرّ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6243</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349:2</w:t>
      </w:r>
      <w:r>
        <w:rPr>
          <w:rFonts w:ascii="IRNazanin" w:hAnsi="IRNazanin" w:eastAsia="IRNazanin"/>
          <w:b w:val="false"/>
          <w:b w:val="false"/>
          <w:bCs w:val="false"/>
          <w:i w:val="false"/>
          <w:i w:val="false"/>
          <w:iCs w:val="false"/>
          <w:color w:val="333333"/>
          <w:sz w:val="20"/>
          <w:sz w:val="20"/>
          <w:szCs w:val="20"/>
          <w:rtl w:val="true"/>
        </w:rPr>
        <w:t xml:space="preserve">؛ قواعد الأحکام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 الحجری؛ جواهر الکلام </w:t>
      </w:r>
      <w:r>
        <w:rPr>
          <w:rFonts w:eastAsia="IRNazanin" w:cs="IRNazanin"/>
          <w:b w:val="false"/>
          <w:bCs w:val="false"/>
          <w:i w:val="false"/>
          <w:iCs w:val="false"/>
          <w:color w:val="333333"/>
          <w:sz w:val="20"/>
          <w:szCs w:val="20"/>
        </w:rPr>
        <w:t>374:31</w:t>
      </w:r>
      <w:r>
        <w:rPr>
          <w:rFonts w:ascii="IRNazanin" w:hAnsi="IRNazanin" w:eastAsia="IRNazanin"/>
          <w:b w:val="false"/>
          <w:b w:val="false"/>
          <w:bCs w:val="false"/>
          <w:i w:val="false"/>
          <w:i w:val="false"/>
          <w:iCs w:val="false"/>
          <w:color w:val="333333"/>
          <w:sz w:val="20"/>
          <w:sz w:val="20"/>
          <w:szCs w:val="20"/>
          <w:rtl w:val="true"/>
        </w:rPr>
        <w:t xml:space="preserve">؛ 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w:t>
      </w:r>
      <w:r>
        <w:rPr>
          <w:rFonts w:eastAsia="IRNazanin" w:cs="IRNazanin"/>
          <w:b w:val="false"/>
          <w:bCs w:val="false"/>
          <w:i w:val="false"/>
          <w:iCs w:val="false"/>
          <w:color w:val="333333"/>
          <w:sz w:val="20"/>
          <w:szCs w:val="20"/>
        </w:rPr>
        <w:t>477:3</w:t>
      </w:r>
      <w:r>
        <w:rPr>
          <w:rFonts w:ascii="IRNazanin" w:hAnsi="IRNazanin" w:eastAsia="IRNazanin"/>
          <w:b w:val="false"/>
          <w:b w:val="false"/>
          <w:bCs w:val="false"/>
          <w:i w:val="false"/>
          <w:i w:val="false"/>
          <w:iCs w:val="false"/>
          <w:color w:val="333333"/>
          <w:sz w:val="20"/>
          <w:sz w:val="20"/>
          <w:szCs w:val="20"/>
          <w:rtl w:val="true"/>
        </w:rPr>
        <w:t xml:space="preserve">؛ المفصّل فی أحکام المرأة </w:t>
      </w:r>
      <w:r>
        <w:rPr>
          <w:rFonts w:eastAsia="IRNazanin" w:cs="IRNazanin"/>
          <w:b w:val="false"/>
          <w:bCs w:val="false"/>
          <w:i w:val="false"/>
          <w:iCs w:val="false"/>
          <w:color w:val="333333"/>
          <w:sz w:val="20"/>
          <w:szCs w:val="20"/>
        </w:rPr>
        <w:t>174:10</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596:7</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349:2</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485:8</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371:31</w:t>
      </w:r>
      <w:r>
        <w:rPr>
          <w:rFonts w:ascii="IRNazanin" w:hAnsi="IRNazanin" w:eastAsia="IRNazanin"/>
          <w:b w:val="false"/>
          <w:b w:val="false"/>
          <w:bCs w:val="false"/>
          <w:i w:val="false"/>
          <w:i w:val="false"/>
          <w:iCs w:val="false"/>
          <w:color w:val="333333"/>
          <w:sz w:val="20"/>
          <w:sz w:val="20"/>
          <w:szCs w:val="20"/>
          <w:rtl w:val="true"/>
        </w:rPr>
        <w:t>؛ تفصیل الشریعة، 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فی أحکام المرأة </w:t>
      </w:r>
      <w:r>
        <w:rPr>
          <w:rFonts w:eastAsia="IRNazanin" w:cs="IRNazanin"/>
          <w:b w:val="false"/>
          <w:bCs w:val="false"/>
          <w:i w:val="false"/>
          <w:iCs w:val="false"/>
          <w:color w:val="333333"/>
          <w:sz w:val="20"/>
          <w:szCs w:val="20"/>
        </w:rPr>
        <w:t>60:10</w:t>
      </w:r>
      <w:r>
        <w:rPr>
          <w:rFonts w:ascii="IRNazanin" w:hAnsi="IRNazanin" w:eastAsia="IRNazanin"/>
          <w:b w:val="false"/>
          <w:b w:val="false"/>
          <w:bCs w:val="false"/>
          <w:i w:val="false"/>
          <w:i w:val="false"/>
          <w:iCs w:val="false"/>
          <w:color w:val="333333"/>
          <w:sz w:val="20"/>
          <w:sz w:val="20"/>
          <w:szCs w:val="20"/>
          <w:rtl w:val="true"/>
        </w:rPr>
        <w:t xml:space="preserve">؛ المغنی لابن قدامة </w:t>
      </w:r>
      <w:r>
        <w:rPr>
          <w:rFonts w:eastAsia="IRNazanin" w:cs="IRNazanin"/>
          <w:b w:val="false"/>
          <w:bCs w:val="false"/>
          <w:i w:val="false"/>
          <w:iCs w:val="false"/>
          <w:color w:val="333333"/>
          <w:sz w:val="20"/>
          <w:szCs w:val="20"/>
        </w:rPr>
        <w:t>257:9</w:t>
      </w:r>
      <w:r>
        <w:rPr>
          <w:rFonts w:ascii="IRNazanin" w:hAnsi="IRNazanin" w:eastAsia="IRNazanin"/>
          <w:b w:val="false"/>
          <w:b w:val="false"/>
          <w:bCs w:val="false"/>
          <w:i w:val="false"/>
          <w:i w:val="false"/>
          <w:iCs w:val="false"/>
          <w:color w:val="333333"/>
          <w:sz w:val="20"/>
          <w:sz w:val="20"/>
          <w:szCs w:val="20"/>
          <w:rtl w:val="true"/>
        </w:rPr>
        <w:t xml:space="preserve">؛ مغنی المحتاج </w:t>
      </w:r>
      <w:r>
        <w:rPr>
          <w:rFonts w:eastAsia="IRNazanin" w:cs="IRNazanin"/>
          <w:b w:val="false"/>
          <w:bCs w:val="false"/>
          <w:i w:val="false"/>
          <w:iCs w:val="false"/>
          <w:color w:val="333333"/>
          <w:sz w:val="20"/>
          <w:szCs w:val="20"/>
        </w:rPr>
        <w:t>448:3</w:t>
      </w:r>
      <w:r>
        <w:rPr>
          <w:rFonts w:ascii="IRNazanin" w:hAnsi="IRNazanin" w:eastAsia="IRNazanin"/>
          <w:b w:val="false"/>
          <w:b w:val="false"/>
          <w:bCs w:val="false"/>
          <w:i w:val="false"/>
          <w:i w:val="false"/>
          <w:iCs w:val="false"/>
          <w:color w:val="333333"/>
          <w:sz w:val="20"/>
          <w:sz w:val="20"/>
          <w:szCs w:val="20"/>
          <w:rtl w:val="true"/>
        </w:rPr>
        <w:t xml:space="preserve">؛ المحلّی </w:t>
      </w:r>
      <w:r>
        <w:rPr>
          <w:rFonts w:eastAsia="IRNazanin" w:cs="IRNazanin"/>
          <w:b w:val="false"/>
          <w:bCs w:val="false"/>
          <w:i w:val="false"/>
          <w:iCs w:val="false"/>
          <w:color w:val="333333"/>
          <w:sz w:val="20"/>
          <w:szCs w:val="20"/>
        </w:rPr>
        <w:t>100:10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352:2</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598:7</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الطبع الحجری</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المستحقّین للزکاة،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371:31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485:8</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رجل معضوبٌ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زَمِنٌ لا حراک به، کأنّ الزَّمَانَةَ عَضَبَتْهُ وَ مَنَعَتْهُ الحرکة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بالآثار </w:t>
      </w:r>
      <w:r>
        <w:rPr>
          <w:rFonts w:eastAsia="IRNazanin" w:cs="IRNazanin"/>
          <w:b w:val="false"/>
          <w:bCs w:val="false"/>
          <w:i w:val="false"/>
          <w:iCs w:val="false"/>
          <w:color w:val="333333"/>
          <w:sz w:val="20"/>
          <w:szCs w:val="20"/>
        </w:rPr>
        <w:t>268:9</w:t>
      </w:r>
      <w:r>
        <w:rPr>
          <w:rFonts w:ascii="IRNazanin" w:hAnsi="IRNazanin" w:eastAsia="IRNazanin"/>
          <w:b w:val="false"/>
          <w:b w:val="false"/>
          <w:bCs w:val="false"/>
          <w:i w:val="false"/>
          <w:i w:val="false"/>
          <w:iCs w:val="false"/>
          <w:color w:val="333333"/>
          <w:sz w:val="20"/>
          <w:sz w:val="20"/>
          <w:szCs w:val="20"/>
          <w:rtl w:val="true"/>
        </w:rPr>
        <w:t xml:space="preserve">؛ بدائع الصنائع </w:t>
      </w:r>
      <w:r>
        <w:rPr>
          <w:rFonts w:eastAsia="IRNazanin" w:cs="IRNazanin"/>
          <w:b w:val="false"/>
          <w:bCs w:val="false"/>
          <w:i w:val="false"/>
          <w:iCs w:val="false"/>
          <w:color w:val="333333"/>
          <w:sz w:val="20"/>
          <w:szCs w:val="20"/>
        </w:rPr>
        <w:t>446:3</w:t>
      </w:r>
      <w:r>
        <w:rPr>
          <w:rFonts w:ascii="IRNazanin" w:hAnsi="IRNazanin" w:eastAsia="IRNazanin"/>
          <w:b w:val="false"/>
          <w:b w:val="false"/>
          <w:bCs w:val="false"/>
          <w:i w:val="false"/>
          <w:i w:val="false"/>
          <w:iCs w:val="false"/>
          <w:color w:val="333333"/>
          <w:sz w:val="20"/>
          <w:sz w:val="20"/>
          <w:szCs w:val="20"/>
          <w:rtl w:val="true"/>
        </w:rPr>
        <w:t xml:space="preserve">؛ المغنی و الشرح الکبیر </w:t>
      </w:r>
      <w:r>
        <w:rPr>
          <w:rFonts w:eastAsia="IRNazanin" w:cs="IRNazanin"/>
          <w:b w:val="false"/>
          <w:bCs w:val="false"/>
          <w:i w:val="false"/>
          <w:iCs w:val="false"/>
          <w:color w:val="333333"/>
          <w:sz w:val="20"/>
          <w:szCs w:val="20"/>
        </w:rPr>
        <w:t>261:9</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الإسلامی و أدلّته </w:t>
      </w:r>
      <w:r>
        <w:rPr>
          <w:rFonts w:eastAsia="IRNazanin" w:cs="IRNazanin"/>
          <w:b w:val="false"/>
          <w:bCs w:val="false"/>
          <w:i w:val="false"/>
          <w:iCs w:val="false"/>
          <w:color w:val="333333"/>
          <w:sz w:val="20"/>
          <w:szCs w:val="20"/>
        </w:rPr>
        <w:t>823:7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352:2</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372:31</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269:7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225:15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الإسلامی و أدلّته </w:t>
      </w:r>
      <w:r>
        <w:rPr>
          <w:rFonts w:eastAsia="IRNazanin" w:cs="IRNazanin"/>
          <w:b w:val="false"/>
          <w:bCs w:val="false"/>
          <w:i w:val="false"/>
          <w:iCs w:val="false"/>
          <w:color w:val="333333"/>
          <w:sz w:val="20"/>
          <w:szCs w:val="20"/>
        </w:rPr>
        <w:t>825:7</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سورة لقمان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270:7</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352:2</w:t>
      </w:r>
      <w:r>
        <w:rPr>
          <w:rFonts w:ascii="IRNazanin" w:hAnsi="IRNazanin" w:eastAsia="IRNazanin"/>
          <w:b w:val="false"/>
          <w:b w:val="false"/>
          <w:bCs w:val="false"/>
          <w:i w:val="false"/>
          <w:i w:val="false"/>
          <w:iCs w:val="false"/>
          <w:color w:val="333333"/>
          <w:sz w:val="20"/>
          <w:sz w:val="20"/>
          <w:szCs w:val="20"/>
          <w:rtl w:val="true"/>
        </w:rPr>
        <w:t xml:space="preserve">؛ الجواهر </w:t>
      </w:r>
      <w:r>
        <w:rPr>
          <w:rFonts w:eastAsia="IRNazanin" w:cs="IRNazanin"/>
          <w:b w:val="false"/>
          <w:bCs w:val="false"/>
          <w:i w:val="false"/>
          <w:iCs w:val="false"/>
          <w:color w:val="333333"/>
          <w:sz w:val="20"/>
          <w:szCs w:val="20"/>
        </w:rPr>
        <w:t>372:31</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596:7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374:31</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375:31</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النفقات</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179:15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597:7</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تحریر الأحکام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597:7</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375:31</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287:2</w:t>
      </w:r>
      <w:r>
        <w:rPr>
          <w:rFonts w:ascii="IRNazanin" w:hAnsi="IRNazanin" w:eastAsia="IRNazanin"/>
          <w:b w:val="false"/>
          <w:b w:val="false"/>
          <w:bCs w:val="false"/>
          <w:i w:val="false"/>
          <w:i w:val="false"/>
          <w:iCs w:val="false"/>
          <w:color w:val="333333"/>
          <w:sz w:val="20"/>
          <w:sz w:val="20"/>
          <w:szCs w:val="20"/>
          <w:rtl w:val="true"/>
        </w:rPr>
        <w:t>؛ تفصیل الشریعة، 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596:7</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448:3</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270:7</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372:31</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w:t>
      </w:r>
      <w:r>
        <w:rPr>
          <w:rFonts w:eastAsia="IRNazanin" w:cs="IRNazanin"/>
          <w:b w:val="false"/>
          <w:bCs w:val="false"/>
          <w:i w:val="false"/>
          <w:iCs w:val="false"/>
          <w:color w:val="333333"/>
          <w:sz w:val="20"/>
          <w:szCs w:val="20"/>
        </w:rPr>
        <w:t>448:3</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فتاوی الهندیة </w:t>
      </w:r>
      <w:r>
        <w:rPr>
          <w:rFonts w:eastAsia="IRNazanin" w:cs="IRNazanin"/>
          <w:b w:val="false"/>
          <w:bCs w:val="false"/>
          <w:i w:val="false"/>
          <w:iCs w:val="false"/>
          <w:color w:val="333333"/>
          <w:sz w:val="20"/>
          <w:szCs w:val="20"/>
        </w:rPr>
        <w:t>445:1</w:t>
      </w:r>
      <w:r>
        <w:rPr>
          <w:rFonts w:ascii="IRNazanin" w:hAnsi="IRNazanin" w:eastAsia="IRNazanin"/>
          <w:b w:val="false"/>
          <w:b w:val="false"/>
          <w:bCs w:val="false"/>
          <w:i w:val="false"/>
          <w:i w:val="false"/>
          <w:iCs w:val="false"/>
          <w:color w:val="333333"/>
          <w:sz w:val="20"/>
          <w:sz w:val="20"/>
          <w:szCs w:val="20"/>
          <w:rtl w:val="true"/>
        </w:rPr>
        <w:t xml:space="preserve">؛ شرح فتح القدیر </w:t>
      </w:r>
      <w:r>
        <w:rPr>
          <w:rFonts w:eastAsia="IRNazanin" w:cs="IRNazanin"/>
          <w:b w:val="false"/>
          <w:bCs w:val="false"/>
          <w:i w:val="false"/>
          <w:iCs w:val="false"/>
          <w:color w:val="333333"/>
          <w:sz w:val="20"/>
          <w:szCs w:val="20"/>
        </w:rPr>
        <w:t>244:4</w:t>
      </w:r>
      <w:r>
        <w:rPr>
          <w:rFonts w:ascii="IRNazanin" w:hAnsi="IRNazanin" w:eastAsia="IRNazanin"/>
          <w:b w:val="false"/>
          <w:b w:val="false"/>
          <w:bCs w:val="false"/>
          <w:i w:val="false"/>
          <w:i w:val="false"/>
          <w:iCs w:val="false"/>
          <w:color w:val="333333"/>
          <w:sz w:val="20"/>
          <w:sz w:val="20"/>
          <w:szCs w:val="20"/>
          <w:rtl w:val="true"/>
        </w:rPr>
        <w:t xml:space="preserve">؛ الفقه الإسلامی و أدلّته </w:t>
      </w:r>
      <w:r>
        <w:rPr>
          <w:rFonts w:eastAsia="IRNazanin" w:cs="IRNazanin"/>
          <w:b w:val="false"/>
          <w:bCs w:val="false"/>
          <w:i w:val="false"/>
          <w:iCs w:val="false"/>
          <w:color w:val="333333"/>
          <w:sz w:val="20"/>
          <w:szCs w:val="20"/>
        </w:rPr>
        <w:t>823:7</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270:7</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w:t>
      </w:r>
      <w:r>
        <w:rPr>
          <w:rFonts w:eastAsia="IRNazanin" w:cs="IRNazanin"/>
          <w:b w:val="false"/>
          <w:bCs w:val="false"/>
          <w:i w:val="false"/>
          <w:iCs w:val="false"/>
          <w:color w:val="333333"/>
          <w:sz w:val="20"/>
          <w:szCs w:val="20"/>
        </w:rPr>
        <w:t>448:3</w:t>
      </w:r>
      <w:r>
        <w:rPr>
          <w:rFonts w:ascii="IRNazanin" w:hAnsi="IRNazanin" w:eastAsia="IRNazanin"/>
          <w:b w:val="false"/>
          <w:b w:val="false"/>
          <w:bCs w:val="false"/>
          <w:i w:val="false"/>
          <w:i w:val="false"/>
          <w:iCs w:val="false"/>
          <w:color w:val="333333"/>
          <w:sz w:val="20"/>
          <w:sz w:val="20"/>
          <w:szCs w:val="20"/>
          <w:rtl w:val="true"/>
        </w:rPr>
        <w:t xml:space="preserve">؛ المفصّل فی أحکام المرأة و البیت المسلم </w:t>
      </w:r>
      <w:r>
        <w:rPr>
          <w:rFonts w:eastAsia="IRNazanin" w:cs="IRNazanin"/>
          <w:b w:val="false"/>
          <w:bCs w:val="false"/>
          <w:i w:val="false"/>
          <w:iCs w:val="false"/>
          <w:color w:val="333333"/>
          <w:sz w:val="20"/>
          <w:szCs w:val="20"/>
        </w:rPr>
        <w:t>163:10</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و أولیاء العقد،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496:11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16173</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16175</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600:7</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الإسلامی و أدلّته </w:t>
      </w:r>
      <w:r>
        <w:rPr>
          <w:rFonts w:eastAsia="IRNazanin" w:cs="IRNazanin"/>
          <w:b w:val="false"/>
          <w:bCs w:val="false"/>
          <w:i w:val="false"/>
          <w:iCs w:val="false"/>
          <w:color w:val="333333"/>
          <w:sz w:val="20"/>
          <w:szCs w:val="20"/>
        </w:rPr>
        <w:t>824:7</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شرائع الإسلام </w:t>
      </w:r>
      <w:r>
        <w:rPr>
          <w:rFonts w:eastAsia="IRNazanin" w:cs="IRNazanin"/>
          <w:b w:val="false"/>
          <w:bCs w:val="false"/>
          <w:i w:val="false"/>
          <w:iCs w:val="false"/>
          <w:color w:val="333333"/>
          <w:sz w:val="20"/>
          <w:szCs w:val="20"/>
        </w:rPr>
        <w:t>352:2</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372:31</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286:2</w:t>
      </w:r>
      <w:r>
        <w:rPr>
          <w:rFonts w:ascii="IRNazanin" w:hAnsi="IRNazanin" w:eastAsia="IRNazanin"/>
          <w:b w:val="false"/>
          <w:b w:val="false"/>
          <w:bCs w:val="false"/>
          <w:i w:val="false"/>
          <w:i w:val="false"/>
          <w:iCs w:val="false"/>
          <w:color w:val="333333"/>
          <w:sz w:val="20"/>
          <w:sz w:val="20"/>
          <w:szCs w:val="20"/>
          <w:rtl w:val="true"/>
        </w:rPr>
        <w:t xml:space="preserve">، القول فی نفقة الأقارب، 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594:1</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267:7</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تفصیل الشریعة، 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353:2</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271:7</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النفقات، ح </w:t>
      </w:r>
      <w:r>
        <w:rPr>
          <w:rFonts w:eastAsia="IRNazanin" w:cs="IRNazanin"/>
          <w:b w:val="false"/>
          <w:bCs w:val="false"/>
          <w:i w:val="false"/>
          <w:iCs w:val="false"/>
          <w:color w:val="333333"/>
          <w:sz w:val="20"/>
          <w:szCs w:val="20"/>
        </w:rPr>
        <w:t>5364</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376:31</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451:3</w:t>
      </w:r>
      <w:r>
        <w:rPr>
          <w:rFonts w:ascii="IRNazanin" w:hAnsi="IRNazanin" w:eastAsia="IRNazanin"/>
          <w:b w:val="false"/>
          <w:b w:val="false"/>
          <w:bCs w:val="false"/>
          <w:i w:val="false"/>
          <w:i w:val="false"/>
          <w:iCs w:val="false"/>
          <w:color w:val="333333"/>
          <w:sz w:val="20"/>
          <w:sz w:val="20"/>
          <w:szCs w:val="20"/>
          <w:rtl w:val="true"/>
        </w:rPr>
        <w:t xml:space="preserve">؛ مغنی المحتاج </w:t>
      </w:r>
      <w:r>
        <w:rPr>
          <w:rFonts w:eastAsia="IRNazanin" w:cs="IRNazanin"/>
          <w:b w:val="false"/>
          <w:bCs w:val="false"/>
          <w:i w:val="false"/>
          <w:iCs w:val="false"/>
          <w:color w:val="333333"/>
          <w:sz w:val="20"/>
          <w:szCs w:val="20"/>
        </w:rPr>
        <w:t>448:3</w:t>
      </w:r>
      <w:r>
        <w:rPr>
          <w:rFonts w:ascii="IRNazanin" w:hAnsi="IRNazanin" w:eastAsia="IRNazanin"/>
          <w:b w:val="false"/>
          <w:b w:val="false"/>
          <w:bCs w:val="false"/>
          <w:i w:val="false"/>
          <w:i w:val="false"/>
          <w:iCs w:val="false"/>
          <w:color w:val="333333"/>
          <w:sz w:val="20"/>
          <w:sz w:val="20"/>
          <w:szCs w:val="20"/>
          <w:rtl w:val="true"/>
        </w:rPr>
        <w:t xml:space="preserve">؛ المغنی </w:t>
      </w:r>
      <w:r>
        <w:rPr>
          <w:rFonts w:eastAsia="IRNazanin" w:cs="IRNazanin"/>
          <w:b w:val="false"/>
          <w:bCs w:val="false"/>
          <w:i w:val="false"/>
          <w:iCs w:val="false"/>
          <w:color w:val="333333"/>
          <w:sz w:val="20"/>
          <w:szCs w:val="20"/>
        </w:rPr>
        <w:t>231:9</w:t>
      </w:r>
      <w:r>
        <w:rPr>
          <w:rFonts w:ascii="IRNazanin" w:hAnsi="IRNazanin" w:eastAsia="IRNazanin"/>
          <w:b w:val="false"/>
          <w:b w:val="false"/>
          <w:bCs w:val="false"/>
          <w:i w:val="false"/>
          <w:i w:val="false"/>
          <w:iCs w:val="false"/>
          <w:color w:val="333333"/>
          <w:sz w:val="20"/>
          <w:sz w:val="20"/>
          <w:szCs w:val="20"/>
          <w:rtl w:val="true"/>
        </w:rPr>
        <w:t xml:space="preserve">؛ حاشیة رد المحتار علی الدرّ المختار </w:t>
      </w:r>
      <w:r>
        <w:rPr>
          <w:rFonts w:eastAsia="IRNazanin" w:cs="IRNazanin"/>
          <w:b w:val="false"/>
          <w:bCs w:val="false"/>
          <w:i w:val="false"/>
          <w:iCs w:val="false"/>
          <w:color w:val="333333"/>
          <w:sz w:val="20"/>
          <w:szCs w:val="20"/>
        </w:rPr>
        <w:t>612:3</w:t>
      </w:r>
      <w:r>
        <w:rPr>
          <w:rFonts w:ascii="IRNazanin" w:hAnsi="IRNazanin" w:eastAsia="IRNazanin"/>
          <w:b w:val="false"/>
          <w:b w:val="false"/>
          <w:bCs w:val="false"/>
          <w:i w:val="false"/>
          <w:i w:val="false"/>
          <w:iCs w:val="false"/>
          <w:color w:val="333333"/>
          <w:sz w:val="20"/>
          <w:sz w:val="20"/>
          <w:szCs w:val="20"/>
          <w:rtl w:val="true"/>
        </w:rPr>
        <w:t xml:space="preserve">؛ الفقه الإسلامی و أدلّته </w:t>
      </w:r>
      <w:r>
        <w:rPr>
          <w:rFonts w:eastAsia="IRNazanin" w:cs="IRNazanin"/>
          <w:b w:val="false"/>
          <w:bCs w:val="false"/>
          <w:i w:val="false"/>
          <w:iCs w:val="false"/>
          <w:color w:val="333333"/>
          <w:sz w:val="20"/>
          <w:szCs w:val="20"/>
        </w:rPr>
        <w:t>769:7</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352:2</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365:31</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654:2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 یسیر</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الطبع الحجری</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491:8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601:7</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266:7</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286:2</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130:25</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المدارک </w:t>
      </w:r>
      <w:r>
        <w:rPr>
          <w:rFonts w:eastAsia="IRNazanin" w:cs="IRNazanin"/>
          <w:b w:val="false"/>
          <w:bCs w:val="false"/>
          <w:i w:val="false"/>
          <w:iCs w:val="false"/>
          <w:color w:val="333333"/>
          <w:sz w:val="20"/>
          <w:szCs w:val="20"/>
        </w:rPr>
        <w:t>483:4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یخفی أنّ قوام الدین متوقّف علی اشتغال الذمّة حتّی مع عدم القدرة علی الأداء، و قد مرّ أنّ أصل وجوب النفقة مشروط بالقدرة علی الأداء فبینهما فرق واضح؛ و لذا قال فی المسالک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النفقة فی ذلک، أی فی أصل وجوب الأداء کالدین و لکن تختلف عنه بحسب الماهیة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 ف</w:t>
      </w:r>
    </w:p>
  </w:footnote>
  <w:footnote w:id="1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497:8</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354:2</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388:31</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237:15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الإنصاف أنّه لا یستفاد من الروایة تساوی الأصناف الثلاثة، بل الروایة إنّما هی بصدد بیان المنفق علیه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 ف</w:t>
      </w:r>
    </w:p>
  </w:footnote>
  <w:footnote w:id="1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237:15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الروایة لا تدلّ علی الترتیب بحسب الحکم التکلیفی، بل تدلّ علی الترتیب من جهة الأفضلیّة، و لا منافاة بین کون النفقة علی الوالدین أفضل من الإنفاق علی الزوجة و إن کان واجباً،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 ف</w:t>
      </w:r>
    </w:p>
  </w:footnote>
  <w:footnote w:id="1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احتجاج الإمام الصادق علیه السلام علی الصوفیة؛ الکافی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Pr>
        <w:t>475:11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16118</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التحقیق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المقام لیس من باب الدوران و التزاحم حتّی یقدّم الأرجح، بل مصبّ البحث إنّما هو فی أنّ نفقة الأقارب هل هی فی طول نفقة الزوجة أم لا؟و الصحیح ما ذکره الشیخ فی المبسوط و تبعه صاحب الجواهر أنّ نفقة الزوجة إنّما هی لأجل المعاوضة؛ و لذا تکون الذمّة مشغولة و إن کان معسراً بخلاف نفقة الأقارب، فهی من جهة البرّ و المواساة، و لا ریب أنّ هذا العنوان لا یعادل عنوان المعاوضة، فالنتیجة أنّها فی طولها،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 ف</w:t>
      </w:r>
    </w:p>
  </w:footnote>
  <w:footnote w:id="1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135:25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386:31</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172:4</w:t>
      </w:r>
      <w:r>
        <w:rPr>
          <w:rFonts w:ascii="IRNazanin" w:hAnsi="IRNazanin" w:eastAsia="IRNazanin"/>
          <w:b w:val="false"/>
          <w:b w:val="false"/>
          <w:bCs w:val="false"/>
          <w:i w:val="false"/>
          <w:i w:val="false"/>
          <w:iCs w:val="false"/>
          <w:color w:val="333333"/>
          <w:sz w:val="20"/>
          <w:sz w:val="20"/>
          <w:szCs w:val="20"/>
          <w:rtl w:val="true"/>
        </w:rPr>
        <w:t xml:space="preserve">، کتاب العتق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270:9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20048</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220:5</w:t>
      </w:r>
      <w:r>
        <w:rPr>
          <w:rFonts w:ascii="IRNazanin" w:hAnsi="IRNazanin" w:eastAsia="IRNazanin"/>
          <w:b w:val="false"/>
          <w:b w:val="false"/>
          <w:bCs w:val="false"/>
          <w:i w:val="false"/>
          <w:i w:val="false"/>
          <w:iCs w:val="false"/>
          <w:color w:val="333333"/>
          <w:sz w:val="20"/>
          <w:sz w:val="20"/>
          <w:szCs w:val="20"/>
          <w:rtl w:val="true"/>
        </w:rPr>
        <w:t xml:space="preserve">، کتاب الأدب، ب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5139</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309:4</w:t>
      </w:r>
      <w:r>
        <w:rPr>
          <w:rFonts w:ascii="IRNazanin" w:hAnsi="IRNazanin" w:eastAsia="IRNazanin"/>
          <w:b w:val="false"/>
          <w:b w:val="false"/>
          <w:bCs w:val="false"/>
          <w:i w:val="false"/>
          <w:i w:val="false"/>
          <w:iCs w:val="false"/>
          <w:color w:val="333333"/>
          <w:sz w:val="20"/>
          <w:sz w:val="20"/>
          <w:szCs w:val="20"/>
          <w:rtl w:val="true"/>
        </w:rPr>
        <w:t xml:space="preserve">، کتاب البرّ و الصلة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ردّ المحتار علی الدرّ المختار </w:t>
      </w:r>
      <w:r>
        <w:rPr>
          <w:rFonts w:eastAsia="IRNazanin" w:cs="IRNazanin"/>
          <w:b w:val="false"/>
          <w:bCs w:val="false"/>
          <w:i w:val="false"/>
          <w:iCs w:val="false"/>
          <w:color w:val="333333"/>
          <w:sz w:val="20"/>
          <w:szCs w:val="20"/>
        </w:rPr>
        <w:t>616:3</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89:15</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فی أحکام المرأة </w:t>
      </w:r>
      <w:r>
        <w:rPr>
          <w:rFonts w:eastAsia="IRNazanin" w:cs="IRNazanin"/>
          <w:b w:val="false"/>
          <w:bCs w:val="false"/>
          <w:i w:val="false"/>
          <w:iCs w:val="false"/>
          <w:color w:val="333333"/>
          <w:sz w:val="20"/>
          <w:szCs w:val="20"/>
        </w:rPr>
        <w:t>228:10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حاشیة الدسوقی </w:t>
      </w:r>
      <w:r>
        <w:rPr>
          <w:rFonts w:eastAsia="IRNazanin" w:cs="IRNazanin"/>
          <w:b w:val="false"/>
          <w:bCs w:val="false"/>
          <w:i w:val="false"/>
          <w:iCs w:val="false"/>
          <w:color w:val="333333"/>
          <w:sz w:val="20"/>
          <w:szCs w:val="20"/>
        </w:rPr>
        <w:t>523:2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النفقة</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الحجری</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353:2</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388:31</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327:25</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قواعد الأحکام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 الحجری؛ کشف اللثام </w:t>
      </w:r>
      <w:r>
        <w:rPr>
          <w:rFonts w:eastAsia="IRNazanin" w:cs="IRNazanin"/>
          <w:b w:val="false"/>
          <w:bCs w:val="false"/>
          <w:i w:val="false"/>
          <w:iCs w:val="false"/>
          <w:color w:val="333333"/>
          <w:sz w:val="20"/>
          <w:szCs w:val="20"/>
        </w:rPr>
        <w:t>600:7</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275:7</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138:25</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289:2</w:t>
      </w:r>
      <w:r>
        <w:rPr>
          <w:rFonts w:ascii="IRNazanin" w:hAnsi="IRNazanin" w:eastAsia="IRNazanin"/>
          <w:b w:val="false"/>
          <w:b w:val="false"/>
          <w:bCs w:val="false"/>
          <w:i w:val="false"/>
          <w:i w:val="false"/>
          <w:iCs w:val="false"/>
          <w:color w:val="333333"/>
          <w:sz w:val="20"/>
          <w:sz w:val="20"/>
          <w:szCs w:val="20"/>
          <w:rtl w:val="true"/>
        </w:rPr>
        <w:t xml:space="preserve">، القول فی نفقة الأقارب، مسألة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تفصیل الشریعة، 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415:2</w:t>
      </w:r>
      <w:r>
        <w:rPr>
          <w:rFonts w:ascii="IRNazanin" w:hAnsi="IRNazanin" w:eastAsia="IRNazanin"/>
          <w:b w:val="false"/>
          <w:b w:val="false"/>
          <w:bCs w:val="false"/>
          <w:i w:val="false"/>
          <w:i w:val="false"/>
          <w:iCs w:val="false"/>
          <w:color w:val="333333"/>
          <w:sz w:val="20"/>
          <w:sz w:val="20"/>
          <w:szCs w:val="20"/>
          <w:rtl w:val="true"/>
        </w:rPr>
        <w:t xml:space="preserve">، الطبع الحجری؛ جواهر الکلام </w:t>
      </w:r>
      <w:r>
        <w:rPr>
          <w:rFonts w:eastAsia="IRNazanin" w:cs="IRNazanin"/>
          <w:b w:val="false"/>
          <w:bCs w:val="false"/>
          <w:i w:val="false"/>
          <w:iCs w:val="false"/>
          <w:color w:val="333333"/>
          <w:sz w:val="20"/>
          <w:szCs w:val="20"/>
        </w:rPr>
        <w:t>448:41</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497:8</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388:2</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388:31</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191:6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90:13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الدین و القرض،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رواه فی مستدرک الوسائل </w:t>
      </w:r>
      <w:r>
        <w:rPr>
          <w:rFonts w:eastAsia="IRNazanin" w:cs="IRNazanin"/>
          <w:b w:val="false"/>
          <w:bCs w:val="false"/>
          <w:i w:val="false"/>
          <w:iCs w:val="false"/>
          <w:color w:val="333333"/>
          <w:sz w:val="20"/>
          <w:szCs w:val="20"/>
        </w:rPr>
        <w:t>397:13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عوالی اللآلئ </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177:17</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656:2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 الحجری؛ قواعد الأحکام </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 الحجری؛ القواعد و الفوائد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القاعدة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289:2</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مبانی تکملة المنهاج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مجمع المسائل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388:2</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388:31</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430:2</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452:3</w:t>
      </w:r>
      <w:r>
        <w:rPr>
          <w:rFonts w:ascii="IRNazanin" w:hAnsi="IRNazanin" w:eastAsia="IRNazanin"/>
          <w:b w:val="false"/>
          <w:b w:val="false"/>
          <w:bCs w:val="false"/>
          <w:i w:val="false"/>
          <w:i w:val="false"/>
          <w:iCs w:val="false"/>
          <w:color w:val="333333"/>
          <w:sz w:val="20"/>
          <w:sz w:val="20"/>
          <w:szCs w:val="20"/>
          <w:rtl w:val="true"/>
        </w:rPr>
        <w:t xml:space="preserve">؛ حاشیة ردّ المحتار علی الدرّ المختار </w:t>
      </w:r>
      <w:r>
        <w:rPr>
          <w:rFonts w:eastAsia="IRNazanin" w:cs="IRNazanin"/>
          <w:b w:val="false"/>
          <w:bCs w:val="false"/>
          <w:i w:val="false"/>
          <w:iCs w:val="false"/>
          <w:color w:val="333333"/>
          <w:sz w:val="20"/>
          <w:szCs w:val="20"/>
        </w:rPr>
        <w:t>634:3</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96:15</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بالآثار </w:t>
      </w:r>
      <w:r>
        <w:rPr>
          <w:rFonts w:eastAsia="IRNazanin" w:cs="IRNazanin"/>
          <w:b w:val="false"/>
          <w:bCs w:val="false"/>
          <w:i w:val="false"/>
          <w:iCs w:val="false"/>
          <w:color w:val="333333"/>
          <w:sz w:val="20"/>
          <w:szCs w:val="20"/>
        </w:rPr>
        <w:t>267:9</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256:9</w:t>
      </w:r>
      <w:r>
        <w:rPr>
          <w:rFonts w:ascii="IRNazanin" w:hAnsi="IRNazanin" w:eastAsia="IRNazanin"/>
          <w:b w:val="false"/>
          <w:b w:val="false"/>
          <w:bCs w:val="false"/>
          <w:i w:val="false"/>
          <w:i w:val="false"/>
          <w:iCs w:val="false"/>
          <w:color w:val="333333"/>
          <w:sz w:val="20"/>
          <w:sz w:val="20"/>
          <w:szCs w:val="20"/>
          <w:rtl w:val="true"/>
        </w:rPr>
        <w:t xml:space="preserve">؛ شرح الزرکشی فی الفقه الحنبلی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597:7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266:7</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482:8</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365:31</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124:25</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365:31</w:t>
      </w:r>
      <w:r>
        <w:rPr>
          <w:rFonts w:ascii="IRNazanin" w:hAnsi="IRNazanin" w:eastAsia="IRNazanin"/>
          <w:b w:val="false"/>
          <w:b w:val="false"/>
          <w:bCs w:val="false"/>
          <w:i w:val="false"/>
          <w:i w:val="false"/>
          <w:iCs w:val="false"/>
          <w:color w:val="333333"/>
          <w:sz w:val="20"/>
          <w:sz w:val="20"/>
          <w:szCs w:val="20"/>
          <w:rtl w:val="true"/>
        </w:rPr>
        <w:t xml:space="preserve">؛ المغنی لابن قدامة </w:t>
      </w:r>
      <w:r>
        <w:rPr>
          <w:rFonts w:eastAsia="IRNazanin" w:cs="IRNazanin"/>
          <w:b w:val="false"/>
          <w:bCs w:val="false"/>
          <w:i w:val="false"/>
          <w:iCs w:val="false"/>
          <w:color w:val="333333"/>
          <w:sz w:val="20"/>
          <w:szCs w:val="20"/>
        </w:rPr>
        <w:t>249:9</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 الحجری؛ قواعد الأحکام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 الحجری؛ الحدائق الناضرة </w:t>
      </w:r>
      <w:r>
        <w:rPr>
          <w:rFonts w:eastAsia="IRNazanin" w:cs="IRNazanin"/>
          <w:b w:val="false"/>
          <w:bCs w:val="false"/>
          <w:i w:val="false"/>
          <w:iCs w:val="false"/>
          <w:color w:val="333333"/>
          <w:sz w:val="20"/>
          <w:szCs w:val="20"/>
        </w:rPr>
        <w:t>25:25</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342:31</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226:15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لازم ذلک أنّ لهم حقّ الانتفاع بها، و لیس لهم إعطاؤها إلی الغیر و الالتزام بذلک بعید جدّاً، و قد یؤیّد الملکیة اقتران نفقة الأقارب بنفقة الزوجة فی الروایات، مثل ما ورد عن محمّد بن مسلم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یلزم الرجل من قرابته ممّن ینفق علیه؟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الوالدان و الولد و الزوجة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قرینة السیاق شاهدة علی الملکیّة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إلاّ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الروایة بصدد بیان المنفق علیهم و لیست بصدد أمور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 ف</w:t>
      </w:r>
    </w:p>
  </w:footnote>
  <w:footnote w:id="1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500:8</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271:7</w:t>
      </w:r>
      <w:r>
        <w:rPr>
          <w:rFonts w:ascii="IRNazanin" w:hAnsi="IRNazanin" w:eastAsia="IRNazanin"/>
          <w:b w:val="false"/>
          <w:b w:val="false"/>
          <w:bCs w:val="false"/>
          <w:i w:val="false"/>
          <w:i w:val="false"/>
          <w:iCs w:val="false"/>
          <w:color w:val="333333"/>
          <w:sz w:val="20"/>
          <w:sz w:val="20"/>
          <w:szCs w:val="20"/>
          <w:rtl w:val="true"/>
        </w:rPr>
        <w:t xml:space="preserve">؛ مهذّب الأحکام </w:t>
      </w:r>
      <w:r>
        <w:rPr>
          <w:rFonts w:eastAsia="IRNazanin" w:cs="IRNazanin"/>
          <w:b w:val="false"/>
          <w:bCs w:val="false"/>
          <w:i w:val="false"/>
          <w:iCs w:val="false"/>
          <w:color w:val="333333"/>
          <w:sz w:val="20"/>
          <w:szCs w:val="20"/>
        </w:rPr>
        <w:t>328:25</w:t>
      </w:r>
      <w:r>
        <w:rPr>
          <w:rFonts w:ascii="IRNazanin" w:hAnsi="IRNazanin" w:eastAsia="IRNazanin"/>
          <w:b w:val="false"/>
          <w:b w:val="false"/>
          <w:bCs w:val="false"/>
          <w:i w:val="false"/>
          <w:i w:val="false"/>
          <w:iCs w:val="false"/>
          <w:color w:val="333333"/>
          <w:sz w:val="20"/>
          <w:sz w:val="20"/>
          <w:szCs w:val="20"/>
          <w:rtl w:val="true"/>
        </w:rPr>
        <w:t>؛ تفصیل الشریعة، 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الموارد </w:t>
      </w:r>
      <w:r>
        <w:rPr>
          <w:rFonts w:eastAsia="IRNazanin" w:cs="IRNazanin"/>
          <w:b w:val="false"/>
          <w:bCs w:val="false"/>
          <w:i w:val="false"/>
          <w:iCs w:val="false"/>
          <w:color w:val="333333"/>
          <w:sz w:val="20"/>
          <w:szCs w:val="20"/>
        </w:rPr>
        <w:t>1496:2</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1145:2</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937:1</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190:4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237:4</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مختلف الشیعة </w:t>
      </w:r>
      <w:r>
        <w:rPr>
          <w:rFonts w:eastAsia="IRNazanin" w:cs="IRNazanin"/>
          <w:b w:val="false"/>
          <w:bCs w:val="false"/>
          <w:i w:val="false"/>
          <w:iCs w:val="false"/>
          <w:color w:val="333333"/>
          <w:sz w:val="20"/>
          <w:szCs w:val="20"/>
        </w:rPr>
        <w:t>75:3</w:t>
      </w:r>
      <w:r>
        <w:rPr>
          <w:rFonts w:ascii="IRNazanin" w:hAnsi="IRNazanin" w:eastAsia="IRNazanin"/>
          <w:b w:val="false"/>
          <w:b w:val="false"/>
          <w:bCs w:val="false"/>
          <w:i w:val="false"/>
          <w:i w:val="false"/>
          <w:iCs w:val="false"/>
          <w:color w:val="333333"/>
          <w:sz w:val="20"/>
          <w:sz w:val="20"/>
          <w:szCs w:val="20"/>
          <w:rtl w:val="true"/>
        </w:rPr>
        <w:t xml:space="preserve">؛ إرشاد الأذهان </w:t>
      </w:r>
      <w:r>
        <w:rPr>
          <w:rFonts w:eastAsia="IRNazanin" w:cs="IRNazanin"/>
          <w:b w:val="false"/>
          <w:bCs w:val="false"/>
          <w:i w:val="false"/>
          <w:iCs w:val="false"/>
          <w:color w:val="333333"/>
          <w:sz w:val="20"/>
          <w:szCs w:val="20"/>
        </w:rPr>
        <w:t>286:1</w:t>
      </w:r>
      <w:r>
        <w:rPr>
          <w:rFonts w:ascii="IRNazanin" w:hAnsi="IRNazanin" w:eastAsia="IRNazanin"/>
          <w:b w:val="false"/>
          <w:b w:val="false"/>
          <w:bCs w:val="false"/>
          <w:i w:val="false"/>
          <w:i w:val="false"/>
          <w:iCs w:val="false"/>
          <w:color w:val="333333"/>
          <w:sz w:val="20"/>
          <w:sz w:val="20"/>
          <w:szCs w:val="20"/>
          <w:rtl w:val="true"/>
        </w:rPr>
        <w:t>؛ تبصرة المتعلّمین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240:1</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225:3</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297:15</w:t>
      </w:r>
      <w:r>
        <w:rPr>
          <w:rFonts w:ascii="IRNazanin" w:hAnsi="IRNazanin" w:eastAsia="IRNazanin"/>
          <w:b w:val="false"/>
          <w:b w:val="false"/>
          <w:bCs w:val="false"/>
          <w:i w:val="false"/>
          <w:i w:val="false"/>
          <w:iCs w:val="false"/>
          <w:color w:val="333333"/>
          <w:sz w:val="20"/>
          <w:sz w:val="20"/>
          <w:szCs w:val="20"/>
          <w:rtl w:val="true"/>
        </w:rPr>
        <w:t xml:space="preserve">؛ مستمسک العروة الوثقی </w:t>
      </w:r>
      <w:r>
        <w:rPr>
          <w:rFonts w:eastAsia="IRNazanin" w:cs="IRNazanin"/>
          <w:b w:val="false"/>
          <w:bCs w:val="false"/>
          <w:i w:val="false"/>
          <w:iCs w:val="false"/>
          <w:color w:val="333333"/>
          <w:sz w:val="20"/>
          <w:szCs w:val="20"/>
        </w:rPr>
        <w:t>211:9</w:t>
      </w:r>
      <w:r>
        <w:rPr>
          <w:rFonts w:ascii="IRNazanin" w:hAnsi="IRNazanin" w:eastAsia="IRNazanin"/>
          <w:b w:val="false"/>
          <w:b w:val="false"/>
          <w:bCs w:val="false"/>
          <w:i w:val="false"/>
          <w:i w:val="false"/>
          <w:iCs w:val="false"/>
          <w:color w:val="333333"/>
          <w:sz w:val="20"/>
          <w:sz w:val="20"/>
          <w:szCs w:val="20"/>
          <w:rtl w:val="true"/>
        </w:rPr>
        <w:t xml:space="preserve">؛ جامع المدارک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مقابل قول المشهور 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الفقیر أسوأ حالاً من المسکین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فی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الفقراء إذا أطلق دخل فیه المسکین و کذلک لفظة المسکین إذا أطلق دخل فیه الفقیر؛ لأنّهما متقاربان فی المعنی، فأمّا إذا جمع بینهما کآیة الصدقة و غیرها ففیه خلاف بین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قوم و هو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الفقیر هو الذی لا شیء له و لا معه، و المسکین هو الذی له بُلغة من العیش لا تکفیه</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104:4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المستحقّین للزکاة،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المستحقّین للزکاة،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الزکاة إنّما وضعت قوتاً للفقراء،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tl w:val="true"/>
        </w:rPr>
        <w:t xml:space="preserve">؛ التبیان </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آیات الأحکام علی إشراف محمد علی السائس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المستحقّین للزکاة،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صحیحة أبی بصیر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یأخذ الزکاة صاحب السبعمائة إذا لم یجد غیره،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صاحب السبعمائة تجب علیه الزکاة؟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زکاته صدقة علی عیاله، و لا یأخذها إلاّ أن یکون إذا اعتمد علی السبعمائة أنفدها فی أقل من سنة، فهذا یأخذها، و لا تحلّ الزکاة لمن کان محترفاً و عنده ما تجب فیه الزکاة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المستحقّین للزکاة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السبعمائة الواردة فی الروایة إشارة بأنّ صاحبها مع أنّه کان فی یده هذا المقدار من الدراهم أو الدینار و لکن لأجل أنّه لا تکفی لمئونة سنته یجوز له أخذ الزکاة، و 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زکاته صدقة علی عیاله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معناها أی یتوسّع بها علیهم فی طعامهم و شرابهم، کما ذکر فی الروایة التالیة من هذا الباب</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المستحقّین للزکاة،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538:15</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283:3</w:t>
      </w:r>
      <w:r>
        <w:rPr>
          <w:rFonts w:ascii="IRNazanin" w:hAnsi="IRNazanin" w:eastAsia="IRNazanin"/>
          <w:b w:val="false"/>
          <w:b w:val="false"/>
          <w:bCs w:val="false"/>
          <w:i w:val="false"/>
          <w:i w:val="false"/>
          <w:iCs w:val="false"/>
          <w:color w:val="333333"/>
          <w:sz w:val="20"/>
          <w:sz w:val="20"/>
          <w:szCs w:val="20"/>
          <w:rtl w:val="true"/>
        </w:rPr>
        <w:t xml:space="preserve">؛ جامع المدارک </w:t>
      </w:r>
      <w:r>
        <w:rPr>
          <w:rFonts w:eastAsia="IRNazanin" w:cs="IRNazanin"/>
          <w:b w:val="false"/>
          <w:bCs w:val="false"/>
          <w:i w:val="false"/>
          <w:iCs w:val="false"/>
          <w:color w:val="333333"/>
          <w:sz w:val="20"/>
          <w:szCs w:val="20"/>
        </w:rPr>
        <w:t>99:2</w:t>
      </w:r>
      <w:r>
        <w:rPr>
          <w:rFonts w:ascii="IRNazanin" w:hAnsi="IRNazanin" w:eastAsia="IRNazanin"/>
          <w:b w:val="false"/>
          <w:b w:val="false"/>
          <w:bCs w:val="false"/>
          <w:i w:val="false"/>
          <w:i w:val="false"/>
          <w:iCs w:val="false"/>
          <w:color w:val="333333"/>
          <w:sz w:val="20"/>
          <w:sz w:val="20"/>
          <w:szCs w:val="20"/>
          <w:rtl w:val="true"/>
        </w:rPr>
        <w:t xml:space="preserve">؛ مستمسک العروة الوثقی </w:t>
      </w:r>
      <w:r>
        <w:rPr>
          <w:rFonts w:eastAsia="IRNazanin" w:cs="IRNazanin"/>
          <w:b w:val="false"/>
          <w:bCs w:val="false"/>
          <w:i w:val="false"/>
          <w:iCs w:val="false"/>
          <w:color w:val="333333"/>
          <w:sz w:val="20"/>
          <w:szCs w:val="20"/>
        </w:rPr>
        <w:t>435:9</w:t>
      </w:r>
      <w:r>
        <w:rPr>
          <w:rFonts w:ascii="IRNazanin" w:hAnsi="IRNazanin" w:eastAsia="IRNazanin"/>
          <w:b w:val="false"/>
          <w:b w:val="false"/>
          <w:bCs w:val="false"/>
          <w:i w:val="false"/>
          <w:i w:val="false"/>
          <w:iCs w:val="false"/>
          <w:color w:val="333333"/>
          <w:sz w:val="20"/>
          <w:sz w:val="20"/>
          <w:szCs w:val="20"/>
          <w:rtl w:val="true"/>
        </w:rPr>
        <w:t xml:space="preserve">؛ العروة الوثقی مع تعلیقات الفقیه المعاصر آیة اللّه العظمی الفاضل اللنکرانی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541:1</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353:5</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زکاة الفطرة،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قال صاحب الوسائل فی ذیل الروایة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و أمثاله محمول علی التقیة، لما دلّ علی حکم عثمان و معاویة بذلک</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زکاة الفطرة،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زکاة الفطرة،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زکاة الفطرة، ح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زکاة الفطرة،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المدارک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بالآثار </w:t>
      </w:r>
      <w:r>
        <w:rPr>
          <w:rFonts w:eastAsia="IRNazanin" w:cs="IRNazanin"/>
          <w:b w:val="false"/>
          <w:bCs w:val="false"/>
          <w:i w:val="false"/>
          <w:iCs w:val="false"/>
          <w:color w:val="333333"/>
          <w:sz w:val="20"/>
          <w:szCs w:val="20"/>
        </w:rPr>
        <w:t>267:4</w:t>
      </w:r>
      <w:r>
        <w:rPr>
          <w:rFonts w:ascii="IRNazanin" w:hAnsi="IRNazanin" w:eastAsia="IRNazanin"/>
          <w:b w:val="false"/>
          <w:b w:val="false"/>
          <w:bCs w:val="false"/>
          <w:i w:val="false"/>
          <w:i w:val="false"/>
          <w:iCs w:val="false"/>
          <w:color w:val="333333"/>
          <w:sz w:val="20"/>
          <w:sz w:val="20"/>
          <w:szCs w:val="20"/>
          <w:rtl w:val="true"/>
        </w:rPr>
        <w:t xml:space="preserve">؛ حاشیة ردّ المحتار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عابدین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فتح القدیر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xml:space="preserve">؛ المجموع شرح المهذّب </w:t>
      </w:r>
      <w:r>
        <w:rPr>
          <w:rFonts w:eastAsia="IRNazanin" w:cs="IRNazanin"/>
          <w:b w:val="false"/>
          <w:bCs w:val="false"/>
          <w:i w:val="false"/>
          <w:iCs w:val="false"/>
          <w:color w:val="333333"/>
          <w:sz w:val="20"/>
          <w:szCs w:val="20"/>
        </w:rPr>
        <w:t>172:6</w:t>
      </w:r>
      <w:r>
        <w:rPr>
          <w:rFonts w:ascii="IRNazanin" w:hAnsi="IRNazanin" w:eastAsia="IRNazanin"/>
          <w:b w:val="false"/>
          <w:b w:val="false"/>
          <w:bCs w:val="false"/>
          <w:i w:val="false"/>
          <w:i w:val="false"/>
          <w:iCs w:val="false"/>
          <w:color w:val="333333"/>
          <w:sz w:val="20"/>
          <w:sz w:val="20"/>
          <w:szCs w:val="20"/>
          <w:rtl w:val="true"/>
        </w:rPr>
        <w:t xml:space="preserve">؛ المدوّنة الکبری </w:t>
      </w:r>
      <w:r>
        <w:rPr>
          <w:rFonts w:eastAsia="IRNazanin" w:cs="IRNazanin"/>
          <w:b w:val="false"/>
          <w:bCs w:val="false"/>
          <w:i w:val="false"/>
          <w:iCs w:val="false"/>
          <w:color w:val="333333"/>
          <w:sz w:val="20"/>
          <w:szCs w:val="20"/>
        </w:rPr>
        <w:t>259:1</w:t>
      </w:r>
      <w:r>
        <w:rPr>
          <w:rFonts w:ascii="IRNazanin" w:hAnsi="IRNazanin" w:eastAsia="IRNazanin"/>
          <w:b w:val="false"/>
          <w:b w:val="false"/>
          <w:bCs w:val="false"/>
          <w:i w:val="false"/>
          <w:i w:val="false"/>
          <w:iCs w:val="false"/>
          <w:color w:val="333333"/>
          <w:sz w:val="20"/>
          <w:sz w:val="20"/>
          <w:szCs w:val="20"/>
          <w:rtl w:val="true"/>
        </w:rPr>
        <w:t xml:space="preserve">؛ کتاب الأمّ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الکفارة فی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مأخوذةٌ من الکفر و هو الستر؛ لأنّها تغطّی الذنب و تستره، فهی اسم من کفّر اللّه عنه الذنب أی محاه، و سمّیت الکفاراتُ کفاراتٍ لأنّها تکفِّر الذنوب، أی تسترها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418:5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الشرع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العبادة المخصوصة، و عرّفت بأنّها طاعةٌ مخصوصةٌ مسقطة للعقوبة أو مخفّقةٌ غالباً، و قیّد بالأغلبیّة لتدخل کفّارة قتل الخطأ فیها، فإنّها لیست عقوبةٌ، مسالک الأفهام </w:t>
      </w:r>
      <w:r>
        <w:rPr>
          <w:rFonts w:eastAsia="IRNazanin" w:cs="IRNazanin"/>
          <w:b w:val="false"/>
          <w:bCs w:val="false"/>
          <w:i w:val="false"/>
          <w:iCs w:val="false"/>
          <w:color w:val="333333"/>
          <w:sz w:val="20"/>
          <w:szCs w:val="20"/>
        </w:rPr>
        <w:t>7:10</w:t>
      </w:r>
      <w:r>
        <w:rPr>
          <w:rFonts w:ascii="IRNazanin" w:hAnsi="IRNazanin" w:eastAsia="IRNazanin"/>
          <w:b w:val="false"/>
          <w:b w:val="false"/>
          <w:bCs w:val="false"/>
          <w:i w:val="false"/>
          <w:i w:val="false"/>
          <w:iCs w:val="false"/>
          <w:color w:val="333333"/>
          <w:sz w:val="20"/>
          <w:sz w:val="20"/>
          <w:szCs w:val="20"/>
          <w:rtl w:val="true"/>
        </w:rPr>
        <w:t xml:space="preserve">، و لا یبعد أن تکون باقیةً فی عرف الشرع علی معناها اللغوی، حیث إنّ الفعل المخصوص یکون ساتراً، فتارةً تسقط به العقوبة و أخری تخفّف به، جامع المدارک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من المرتّبة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یجب علی المکلّف ابتداءً عتق الرقبة، فإن عجز فصوم شهرین متتابعین، فإن عجز فإطعام ستّین مسکیناً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المخیّرة بمعنی أنّ المکلّف مختار فی إتیان کلّ واحد من المصادیق، و لیس الترتیب واجباً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المقصود من الثالث أنّ فیها ترتیباً من جهة و تخییراً من جهة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کفّارة الجمع یجب فیها إتیان کلّ المصادیق</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ظاهر، مأخوذٌ من الظهر؛ لأنّ صورته الأصلیة أن یقول الرجل لزوجته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علیّ کظهر أمّی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خصّ الظهر لأنّه موضع الرکوب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المرأة مرکوبة وقت الغشیان، فرکوب الأمّ مستعار من رکوب الدابة، ثمّ شبّه رکوب الزوجة برکوب الأمّ، الذی هو ممتنع و هو استعارة لطیفة، و کان طلاقاً فی الجاهلیة محرّماً أبداً و حرم فی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96:33</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559:15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الکفّارات،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278:4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238:8</w:t>
      </w:r>
      <w:r>
        <w:rPr>
          <w:rFonts w:ascii="IRNazanin" w:hAnsi="IRNazanin" w:eastAsia="IRNazanin"/>
          <w:b w:val="false"/>
          <w:b w:val="false"/>
          <w:bCs w:val="false"/>
          <w:i w:val="false"/>
          <w:i w:val="false"/>
          <w:iCs w:val="false"/>
          <w:color w:val="333333"/>
          <w:sz w:val="20"/>
          <w:sz w:val="20"/>
          <w:szCs w:val="20"/>
          <w:rtl w:val="true"/>
        </w:rPr>
        <w:t xml:space="preserve">؛ جامع المدارک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101:4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575:15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الکفارات،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484:7</w:t>
      </w:r>
      <w:r>
        <w:rPr>
          <w:rFonts w:ascii="IRNazanin" w:hAnsi="IRNazanin" w:eastAsia="IRNazanin"/>
          <w:b w:val="false"/>
          <w:b w:val="false"/>
          <w:bCs w:val="false"/>
          <w:i w:val="false"/>
          <w:i w:val="false"/>
          <w:iCs w:val="false"/>
          <w:color w:val="333333"/>
          <w:sz w:val="20"/>
          <w:sz w:val="20"/>
          <w:szCs w:val="20"/>
          <w:rtl w:val="true"/>
        </w:rPr>
        <w:t xml:space="preserve">؛ مختلف الشیعة </w:t>
      </w:r>
      <w:r>
        <w:rPr>
          <w:rFonts w:eastAsia="IRNazanin" w:cs="IRNazanin"/>
          <w:b w:val="false"/>
          <w:bCs w:val="false"/>
          <w:i w:val="false"/>
          <w:iCs w:val="false"/>
          <w:color w:val="333333"/>
          <w:sz w:val="20"/>
          <w:szCs w:val="20"/>
        </w:rPr>
        <w:t>234:8</w:t>
      </w:r>
      <w:r>
        <w:rPr>
          <w:rFonts w:ascii="IRNazanin" w:hAnsi="IRNazanin" w:eastAsia="IRNazanin"/>
          <w:b w:val="false"/>
          <w:b w:val="false"/>
          <w:bCs w:val="false"/>
          <w:i w:val="false"/>
          <w:i w:val="false"/>
          <w:iCs w:val="false"/>
          <w:color w:val="333333"/>
          <w:sz w:val="20"/>
          <w:sz w:val="20"/>
          <w:szCs w:val="20"/>
          <w:rtl w:val="true"/>
        </w:rPr>
        <w:t xml:space="preserve">؛ الجواهر </w:t>
      </w:r>
      <w:r>
        <w:rPr>
          <w:rFonts w:eastAsia="IRNazanin" w:cs="IRNazanin"/>
          <w:b w:val="false"/>
          <w:bCs w:val="false"/>
          <w:i w:val="false"/>
          <w:iCs w:val="false"/>
          <w:color w:val="333333"/>
          <w:sz w:val="20"/>
          <w:szCs w:val="20"/>
        </w:rPr>
        <w:t>175:33</w:t>
      </w:r>
      <w:r>
        <w:rPr>
          <w:rFonts w:ascii="IRNazanin" w:hAnsi="IRNazanin" w:eastAsia="IRNazanin"/>
          <w:b w:val="false"/>
          <w:b w:val="false"/>
          <w:bCs w:val="false"/>
          <w:i w:val="false"/>
          <w:i w:val="false"/>
          <w:iCs w:val="false"/>
          <w:color w:val="333333"/>
          <w:sz w:val="20"/>
          <w:sz w:val="20"/>
          <w:szCs w:val="20"/>
          <w:rtl w:val="true"/>
        </w:rPr>
        <w:t xml:space="preserve">؛ جامع المدارک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الکفارات،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479:7</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الاعتکاف،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الکفّارات</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207:6</w:t>
      </w:r>
      <w:r>
        <w:rPr>
          <w:rFonts w:ascii="IRNazanin" w:hAnsi="IRNazanin" w:eastAsia="IRNazanin"/>
          <w:b w:val="false"/>
          <w:b w:val="false"/>
          <w:bCs w:val="false"/>
          <w:i w:val="false"/>
          <w:i w:val="false"/>
          <w:iCs w:val="false"/>
          <w:color w:val="333333"/>
          <w:sz w:val="20"/>
          <w:sz w:val="20"/>
          <w:szCs w:val="20"/>
          <w:rtl w:val="true"/>
        </w:rPr>
        <w:t>؛ غنیة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إیضاح الفوائد </w:t>
      </w:r>
      <w:r>
        <w:rPr>
          <w:rFonts w:eastAsia="IRNazanin" w:cs="IRNazanin"/>
          <w:b w:val="false"/>
          <w:bCs w:val="false"/>
          <w:i w:val="false"/>
          <w:iCs w:val="false"/>
          <w:color w:val="333333"/>
          <w:sz w:val="20"/>
          <w:szCs w:val="20"/>
        </w:rPr>
        <w:t>78:4</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13:10</w:t>
      </w:r>
      <w:r>
        <w:rPr>
          <w:rFonts w:ascii="IRNazanin" w:hAnsi="IRNazanin" w:eastAsia="IRNazanin"/>
          <w:b w:val="false"/>
          <w:b w:val="false"/>
          <w:bCs w:val="false"/>
          <w:i w:val="false"/>
          <w:i w:val="false"/>
          <w:iCs w:val="false"/>
          <w:color w:val="333333"/>
          <w:sz w:val="20"/>
          <w:sz w:val="20"/>
          <w:szCs w:val="20"/>
          <w:rtl w:val="true"/>
        </w:rPr>
        <w:t xml:space="preserve">، و ما بعده جواهر الکلام </w:t>
      </w:r>
      <w:r>
        <w:rPr>
          <w:rFonts w:eastAsia="IRNazanin" w:cs="IRNazanin"/>
          <w:b w:val="false"/>
          <w:bCs w:val="false"/>
          <w:i w:val="false"/>
          <w:iCs w:val="false"/>
          <w:color w:val="333333"/>
          <w:sz w:val="20"/>
          <w:szCs w:val="20"/>
        </w:rPr>
        <w:t>175:33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433:35</w:t>
      </w:r>
      <w:r>
        <w:rPr>
          <w:rFonts w:ascii="IRNazanin" w:hAnsi="IRNazanin" w:eastAsia="IRNazanin"/>
          <w:b w:val="false"/>
          <w:b w:val="false"/>
          <w:bCs w:val="false"/>
          <w:i w:val="false"/>
          <w:i w:val="false"/>
          <w:iCs w:val="false"/>
          <w:color w:val="333333"/>
          <w:sz w:val="20"/>
          <w:sz w:val="20"/>
          <w:szCs w:val="20"/>
          <w:rtl w:val="true"/>
        </w:rPr>
        <w:t xml:space="preserve">؛ جامع المدارک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هکذا المهذّب البارع </w:t>
      </w:r>
      <w:r>
        <w:rPr>
          <w:rFonts w:eastAsia="IRNazanin" w:cs="IRNazanin"/>
          <w:b w:val="false"/>
          <w:bCs w:val="false"/>
          <w:i w:val="false"/>
          <w:iCs w:val="false"/>
          <w:color w:val="333333"/>
          <w:sz w:val="20"/>
          <w:szCs w:val="20"/>
        </w:rPr>
        <w:t>553:3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 و کشف الرموز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 علی اختلاف فی بعضها</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451:7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الإیلاء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حلف الزوج علی ترک وط‌ء زوجته الدائمة المدخول بها قبلاً أو مطلقاً أو مقیّداً بالزیادة علی أربعة أشهر للإضرار بها</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276:7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225:1</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267:1</w:t>
      </w:r>
      <w:r>
        <w:rPr>
          <w:rFonts w:ascii="IRNazanin" w:hAnsi="IRNazanin" w:eastAsia="IRNazanin"/>
          <w:b w:val="false"/>
          <w:b w:val="false"/>
          <w:bCs w:val="false"/>
          <w:i w:val="false"/>
          <w:i w:val="false"/>
          <w:iCs w:val="false"/>
          <w:color w:val="333333"/>
          <w:sz w:val="20"/>
          <w:sz w:val="20"/>
          <w:szCs w:val="20"/>
          <w:rtl w:val="true"/>
        </w:rPr>
        <w:t xml:space="preserve">؛ مدارک الأحکام </w:t>
      </w:r>
      <w:r>
        <w:rPr>
          <w:rFonts w:eastAsia="IRNazanin" w:cs="IRNazanin"/>
          <w:b w:val="false"/>
          <w:bCs w:val="false"/>
          <w:i w:val="false"/>
          <w:iCs w:val="false"/>
          <w:color w:val="333333"/>
          <w:sz w:val="20"/>
          <w:szCs w:val="20"/>
        </w:rPr>
        <w:t>353:1</w:t>
      </w:r>
      <w:r>
        <w:rPr>
          <w:rFonts w:ascii="IRNazanin" w:hAnsi="IRNazanin" w:eastAsia="IRNazanin"/>
          <w:b w:val="false"/>
          <w:b w:val="false"/>
          <w:bCs w:val="false"/>
          <w:i w:val="false"/>
          <w:i w:val="false"/>
          <w:iCs w:val="false"/>
          <w:color w:val="333333"/>
          <w:sz w:val="20"/>
          <w:sz w:val="20"/>
          <w:szCs w:val="20"/>
          <w:rtl w:val="true"/>
        </w:rPr>
        <w:t xml:space="preserve">؛ جامع المدارک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المرام </w:t>
      </w:r>
      <w:r>
        <w:rPr>
          <w:rFonts w:eastAsia="IRNazanin" w:cs="IRNazanin"/>
          <w:b w:val="false"/>
          <w:bCs w:val="false"/>
          <w:i w:val="false"/>
          <w:iCs w:val="false"/>
          <w:color w:val="333333"/>
          <w:sz w:val="20"/>
          <w:szCs w:val="20"/>
        </w:rPr>
        <w:t>195:2</w:t>
      </w:r>
      <w:r>
        <w:rPr>
          <w:rFonts w:ascii="IRNazanin" w:hAnsi="IRNazanin" w:eastAsia="IRNazanin"/>
          <w:b w:val="false"/>
          <w:b w:val="false"/>
          <w:bCs w:val="false"/>
          <w:i w:val="false"/>
          <w:i w:val="false"/>
          <w:iCs w:val="false"/>
          <w:color w:val="333333"/>
          <w:sz w:val="20"/>
          <w:sz w:val="20"/>
          <w:szCs w:val="20"/>
          <w:rtl w:val="true"/>
        </w:rPr>
        <w:t xml:space="preserve">؛ المهذّب البارع </w:t>
      </w:r>
      <w:r>
        <w:rPr>
          <w:rFonts w:eastAsia="IRNazanin" w:cs="IRNazanin"/>
          <w:b w:val="false"/>
          <w:bCs w:val="false"/>
          <w:i w:val="false"/>
          <w:iCs w:val="false"/>
          <w:color w:val="333333"/>
          <w:sz w:val="20"/>
          <w:szCs w:val="20"/>
        </w:rPr>
        <w:t>557:2</w:t>
      </w:r>
      <w:r>
        <w:rPr>
          <w:rFonts w:ascii="IRNazanin" w:hAnsi="IRNazanin" w:eastAsia="IRNazanin"/>
          <w:b w:val="false"/>
          <w:b w:val="false"/>
          <w:bCs w:val="false"/>
          <w:i w:val="false"/>
          <w:i w:val="false"/>
          <w:iCs w:val="false"/>
          <w:color w:val="333333"/>
          <w:sz w:val="20"/>
          <w:sz w:val="20"/>
          <w:szCs w:val="20"/>
          <w:rtl w:val="true"/>
        </w:rPr>
        <w:t>؛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495:7</w:t>
      </w:r>
      <w:r>
        <w:rPr>
          <w:rFonts w:ascii="IRNazanin" w:hAnsi="IRNazanin" w:eastAsia="IRNazanin"/>
          <w:b w:val="false"/>
          <w:b w:val="false"/>
          <w:bCs w:val="false"/>
          <w:i w:val="false"/>
          <w:i w:val="false"/>
          <w:iCs w:val="false"/>
          <w:color w:val="333333"/>
          <w:sz w:val="20"/>
          <w:sz w:val="20"/>
          <w:szCs w:val="20"/>
          <w:rtl w:val="true"/>
        </w:rPr>
        <w:t xml:space="preserve">؛ الجواهر </w:t>
      </w:r>
      <w:r>
        <w:rPr>
          <w:rFonts w:eastAsia="IRNazanin" w:cs="IRNazanin"/>
          <w:b w:val="false"/>
          <w:bCs w:val="false"/>
          <w:i w:val="false"/>
          <w:iCs w:val="false"/>
          <w:color w:val="333333"/>
          <w:sz w:val="20"/>
          <w:szCs w:val="20"/>
        </w:rPr>
        <w:t>186:33</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207:6</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557:1</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399:7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235:8</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304:3</w:t>
      </w:r>
      <w:r>
        <w:rPr>
          <w:rFonts w:ascii="IRNazanin" w:hAnsi="IRNazanin" w:eastAsia="IRNazanin"/>
          <w:b w:val="false"/>
          <w:b w:val="false"/>
          <w:bCs w:val="false"/>
          <w:i w:val="false"/>
          <w:i w:val="false"/>
          <w:iCs w:val="false"/>
          <w:color w:val="333333"/>
          <w:sz w:val="20"/>
          <w:sz w:val="20"/>
          <w:szCs w:val="20"/>
          <w:rtl w:val="true"/>
        </w:rPr>
        <w:t xml:space="preserve">؛ مدارک الأحکام </w:t>
      </w:r>
      <w:r>
        <w:rPr>
          <w:rFonts w:eastAsia="IRNazanin" w:cs="IRNazanin"/>
          <w:b w:val="false"/>
          <w:bCs w:val="false"/>
          <w:i w:val="false"/>
          <w:iCs w:val="false"/>
          <w:color w:val="333333"/>
          <w:sz w:val="20"/>
          <w:szCs w:val="20"/>
        </w:rPr>
        <w:t>312:8</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165:20</w:t>
      </w:r>
      <w:r>
        <w:rPr>
          <w:rFonts w:ascii="IRNazanin" w:hAnsi="IRNazanin" w:eastAsia="IRNazanin"/>
          <w:b w:val="false"/>
          <w:b w:val="false"/>
          <w:bCs w:val="false"/>
          <w:i w:val="false"/>
          <w:i w:val="false"/>
          <w:iCs w:val="false"/>
          <w:color w:val="333333"/>
          <w:sz w:val="20"/>
          <w:sz w:val="20"/>
          <w:szCs w:val="20"/>
          <w:rtl w:val="true"/>
        </w:rPr>
        <w:t xml:space="preserve">؛ جامع المدارک </w:t>
      </w:r>
      <w:r>
        <w:rPr>
          <w:rFonts w:eastAsia="IRNazanin" w:cs="IRNazanin"/>
          <w:b w:val="false"/>
          <w:bCs w:val="false"/>
          <w:i w:val="false"/>
          <w:iCs w:val="false"/>
          <w:color w:val="333333"/>
          <w:sz w:val="20"/>
          <w:szCs w:val="20"/>
        </w:rPr>
        <w:t>572:2</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262:4</w:t>
      </w:r>
      <w:r>
        <w:rPr>
          <w:rFonts w:ascii="IRNazanin" w:hAnsi="IRNazanin" w:eastAsia="IRNazanin"/>
          <w:b w:val="false"/>
          <w:b w:val="false"/>
          <w:bCs w:val="false"/>
          <w:i w:val="false"/>
          <w:i w:val="false"/>
          <w:iCs w:val="false"/>
          <w:color w:val="333333"/>
          <w:sz w:val="20"/>
          <w:sz w:val="20"/>
          <w:szCs w:val="20"/>
          <w:rtl w:val="true"/>
        </w:rPr>
        <w:t xml:space="preserve">؛ المبسوط للسرخسی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151:8</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267:4</w:t>
      </w:r>
      <w:r>
        <w:rPr>
          <w:rFonts w:ascii="IRNazanin" w:hAnsi="IRNazanin" w:eastAsia="IRNazanin"/>
          <w:b w:val="false"/>
          <w:b w:val="false"/>
          <w:bCs w:val="false"/>
          <w:i w:val="false"/>
          <w:i w:val="false"/>
          <w:iCs w:val="false"/>
          <w:color w:val="333333"/>
          <w:sz w:val="20"/>
          <w:sz w:val="20"/>
          <w:szCs w:val="20"/>
          <w:rtl w:val="true"/>
        </w:rPr>
        <w:t xml:space="preserve">؛ المبسوط للسرخسی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151:8</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الجلیل </w:t>
      </w:r>
      <w:r>
        <w:rPr>
          <w:rFonts w:eastAsia="IRNazanin" w:cs="IRNazanin"/>
          <w:b w:val="false"/>
          <w:bCs w:val="false"/>
          <w:i w:val="false"/>
          <w:iCs w:val="false"/>
          <w:color w:val="333333"/>
          <w:sz w:val="20"/>
          <w:szCs w:val="20"/>
        </w:rPr>
        <w:t>450:5</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بدایة المجتهد </w:t>
      </w:r>
      <w:r>
        <w:rPr>
          <w:rFonts w:eastAsia="IRNazanin" w:cs="IRNazanin"/>
          <w:b w:val="false"/>
          <w:bCs w:val="false"/>
          <w:i w:val="false"/>
          <w:iCs w:val="false"/>
          <w:color w:val="333333"/>
          <w:sz w:val="20"/>
          <w:szCs w:val="20"/>
        </w:rPr>
        <w:t>419:1</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الدسوقی </w:t>
      </w:r>
      <w:r>
        <w:rPr>
          <w:rFonts w:eastAsia="IRNazanin" w:cs="IRNazanin"/>
          <w:b w:val="false"/>
          <w:bCs w:val="false"/>
          <w:i w:val="false"/>
          <w:iCs w:val="false"/>
          <w:color w:val="333333"/>
          <w:sz w:val="20"/>
          <w:szCs w:val="20"/>
        </w:rPr>
        <w:t>454:2</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250:11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فی فقه الإمام الشافعی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96:10</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178:5</w:t>
      </w:r>
      <w:r>
        <w:rPr>
          <w:rFonts w:ascii="IRNazanin" w:hAnsi="IRNazanin" w:eastAsia="IRNazanin"/>
          <w:b w:val="false"/>
          <w:b w:val="false"/>
          <w:bCs w:val="false"/>
          <w:i w:val="false"/>
          <w:i w:val="false"/>
          <w:iCs w:val="false"/>
          <w:color w:val="333333"/>
          <w:sz w:val="20"/>
          <w:sz w:val="20"/>
          <w:szCs w:val="20"/>
          <w:rtl w:val="true"/>
        </w:rPr>
        <w:t xml:space="preserve">؛ مختلف الشیعة </w:t>
      </w:r>
      <w:r>
        <w:rPr>
          <w:rFonts w:eastAsia="IRNazanin" w:cs="IRNazanin"/>
          <w:b w:val="false"/>
          <w:bCs w:val="false"/>
          <w:i w:val="false"/>
          <w:iCs w:val="false"/>
          <w:color w:val="333333"/>
          <w:sz w:val="20"/>
          <w:szCs w:val="20"/>
        </w:rPr>
        <w:t>256:8</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الکفّارات</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521:7</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570:15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الکفّارات،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268:33</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الصغیر محجور عن التصرّف المعاملی فی المال، و لکنّه إذا أُعطی النفقة من قبیل الطعام و الکساء فلیس بمحجور له و یجوز التصرّف، فلا فرق بین التسلیم و الإشباع من هذه الجهة، هذا مضافاً إلی أنّ الکلام لیس فی صدق الإعطاء علی الإشباع و عدمه حتّی یُقال بمنع عدم الصدق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 ف</w:t>
      </w:r>
    </w:p>
  </w:footnote>
  <w:footnote w:id="1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575:3</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91:10</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516:7</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258:33</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246:8</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516:7</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564:15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الکفّارات،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559:15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الکفّارات،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451:7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560:15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الکفّارات،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92:10</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287:33</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115:10</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208:6</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المستحقّین للزکاة،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287:33</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78:2</w:t>
      </w:r>
      <w:r>
        <w:rPr>
          <w:rFonts w:ascii="IRNazanin" w:hAnsi="IRNazanin" w:eastAsia="IRNazanin"/>
          <w:b w:val="false"/>
          <w:b w:val="false"/>
          <w:bCs w:val="false"/>
          <w:i w:val="false"/>
          <w:i w:val="false"/>
          <w:iCs w:val="false"/>
          <w:color w:val="333333"/>
          <w:sz w:val="20"/>
          <w:sz w:val="20"/>
          <w:szCs w:val="20"/>
          <w:rtl w:val="true"/>
        </w:rPr>
        <w:t xml:space="preserve">؛ مدارک الأحکام </w:t>
      </w:r>
      <w:r>
        <w:rPr>
          <w:rFonts w:eastAsia="IRNazanin" w:cs="IRNazanin"/>
          <w:b w:val="false"/>
          <w:bCs w:val="false"/>
          <w:i w:val="false"/>
          <w:iCs w:val="false"/>
          <w:color w:val="333333"/>
          <w:sz w:val="20"/>
          <w:szCs w:val="20"/>
        </w:rPr>
        <w:t>393:5</w:t>
      </w:r>
      <w:r>
        <w:rPr>
          <w:rFonts w:ascii="IRNazanin" w:hAnsi="IRNazanin" w:eastAsia="IRNazanin"/>
          <w:b w:val="false"/>
          <w:b w:val="false"/>
          <w:bCs w:val="false"/>
          <w:i w:val="false"/>
          <w:i w:val="false"/>
          <w:iCs w:val="false"/>
          <w:color w:val="333333"/>
          <w:sz w:val="20"/>
          <w:sz w:val="20"/>
          <w:szCs w:val="20"/>
          <w:rtl w:val="true"/>
        </w:rPr>
        <w:t xml:space="preserve">؛ مستند الشیعة </w:t>
      </w:r>
      <w:r>
        <w:rPr>
          <w:rFonts w:eastAsia="IRNazanin" w:cs="IRNazanin"/>
          <w:b w:val="false"/>
          <w:bCs w:val="false"/>
          <w:i w:val="false"/>
          <w:iCs w:val="false"/>
          <w:color w:val="333333"/>
          <w:sz w:val="20"/>
          <w:szCs w:val="20"/>
        </w:rPr>
        <w:t>83:10</w:t>
      </w:r>
      <w:r>
        <w:rPr>
          <w:rFonts w:ascii="IRNazanin" w:hAnsi="IRNazanin" w:eastAsia="IRNazanin"/>
          <w:b w:val="false"/>
          <w:b w:val="false"/>
          <w:bCs w:val="false"/>
          <w:i w:val="false"/>
          <w:i w:val="false"/>
          <w:iCs w:val="false"/>
          <w:color w:val="333333"/>
          <w:sz w:val="20"/>
          <w:sz w:val="20"/>
          <w:szCs w:val="20"/>
          <w:rtl w:val="true"/>
        </w:rPr>
        <w:t xml:space="preserve">؛ مجمع الفائدة و البرهان </w:t>
      </w:r>
      <w:r>
        <w:rPr>
          <w:rFonts w:eastAsia="IRNazanin" w:cs="IRNazanin"/>
          <w:b w:val="false"/>
          <w:bCs w:val="false"/>
          <w:i w:val="false"/>
          <w:iCs w:val="false"/>
          <w:color w:val="333333"/>
          <w:sz w:val="20"/>
          <w:szCs w:val="20"/>
        </w:rPr>
        <w:t>326:4</w:t>
      </w:r>
      <w:r>
        <w:rPr>
          <w:rFonts w:ascii="IRNazanin" w:hAnsi="IRNazanin" w:eastAsia="IRNazanin"/>
          <w:b w:val="false"/>
          <w:b w:val="false"/>
          <w:bCs w:val="false"/>
          <w:i w:val="false"/>
          <w:i w:val="false"/>
          <w:iCs w:val="false"/>
          <w:color w:val="333333"/>
          <w:sz w:val="20"/>
          <w:sz w:val="20"/>
          <w:szCs w:val="20"/>
          <w:rtl w:val="true"/>
        </w:rPr>
        <w:t xml:space="preserve">؛ تراث الشیخ الأعظم الأنصاری </w:t>
      </w:r>
      <w:r>
        <w:rPr>
          <w:rFonts w:eastAsia="IRNazanin" w:cs="IRNazanin"/>
          <w:b w:val="false"/>
          <w:bCs w:val="false"/>
          <w:i w:val="false"/>
          <w:iCs w:val="false"/>
          <w:color w:val="333333"/>
          <w:sz w:val="20"/>
          <w:szCs w:val="20"/>
        </w:rPr>
        <w:t>286:11</w:t>
      </w:r>
      <w:r>
        <w:rPr>
          <w:rFonts w:ascii="IRNazanin" w:hAnsi="IRNazanin" w:eastAsia="IRNazanin"/>
          <w:b w:val="false"/>
          <w:b w:val="false"/>
          <w:bCs w:val="false"/>
          <w:i w:val="false"/>
          <w:i w:val="false"/>
          <w:iCs w:val="false"/>
          <w:color w:val="333333"/>
          <w:sz w:val="20"/>
          <w:sz w:val="20"/>
          <w:szCs w:val="20"/>
          <w:rtl w:val="true"/>
        </w:rPr>
        <w:t xml:space="preserve">؛ العروة الوثقی مع تعلیقات فقیه العصر آیة اللّه العظمی الفاضل اللنکرانی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431:5</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w:t>
      </w:r>
      <w:r>
        <w:rPr>
          <w:rFonts w:eastAsia="IRNazanin" w:cs="IRNazanin"/>
          <w:b w:val="false"/>
          <w:bCs w:val="false"/>
          <w:i w:val="false"/>
          <w:iCs w:val="false"/>
          <w:color w:val="333333"/>
          <w:sz w:val="20"/>
          <w:szCs w:val="20"/>
        </w:rPr>
        <w:t>200:14</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کشف الرموز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قسمة الخمس،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قسمة الخمس،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قسمة الخمس،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قسمة الخمس،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 ثلاثة فصاعداً، من قومٍ فصاعداً و الجمع قُبل بضمّتین، 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489:1</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630:2</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400:5</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w:t>
      </w:r>
      <w:r>
        <w:rPr>
          <w:rFonts w:eastAsia="IRNazanin" w:cs="IRNazanin"/>
          <w:b w:val="false"/>
          <w:bCs w:val="false"/>
          <w:i w:val="false"/>
          <w:iCs w:val="false"/>
          <w:color w:val="333333"/>
          <w:sz w:val="20"/>
          <w:szCs w:val="20"/>
        </w:rPr>
        <w:t>162:21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القرآن للجصّاص </w:t>
      </w:r>
      <w:r>
        <w:rPr>
          <w:rFonts w:eastAsia="IRNazanin" w:cs="IRNazanin"/>
          <w:b w:val="false"/>
          <w:bCs w:val="false"/>
          <w:i w:val="false"/>
          <w:iCs w:val="false"/>
          <w:color w:val="333333"/>
          <w:sz w:val="20"/>
          <w:szCs w:val="20"/>
        </w:rPr>
        <w:t>243:4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الکبیر، المطبوع فی ذیل المغنی </w:t>
      </w:r>
      <w:r>
        <w:rPr>
          <w:rFonts w:eastAsia="IRNazanin" w:cs="IRNazanin"/>
          <w:b w:val="false"/>
          <w:bCs w:val="false"/>
          <w:i w:val="false"/>
          <w:iCs w:val="false"/>
          <w:color w:val="333333"/>
          <w:sz w:val="20"/>
          <w:szCs w:val="20"/>
        </w:rPr>
        <w:t>493:10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بدایة المجتهد </w:t>
      </w:r>
      <w:r>
        <w:rPr>
          <w:rFonts w:eastAsia="IRNazanin" w:cs="IRNazanin"/>
          <w:b w:val="false"/>
          <w:bCs w:val="false"/>
          <w:i w:val="false"/>
          <w:iCs w:val="false"/>
          <w:color w:val="333333"/>
          <w:sz w:val="20"/>
          <w:szCs w:val="20"/>
        </w:rPr>
        <w:t>407:1</w:t>
      </w:r>
      <w:r>
        <w:rPr>
          <w:rFonts w:ascii="IRNazanin" w:hAnsi="IRNazanin" w:eastAsia="IRNazanin"/>
          <w:b w:val="false"/>
          <w:b w:val="false"/>
          <w:bCs w:val="false"/>
          <w:i w:val="false"/>
          <w:i w:val="false"/>
          <w:iCs w:val="false"/>
          <w:color w:val="333333"/>
          <w:sz w:val="20"/>
          <w:sz w:val="20"/>
          <w:szCs w:val="20"/>
          <w:rtl w:val="true"/>
        </w:rPr>
        <w:t xml:space="preserve">؛ تبیین المسالک </w:t>
      </w:r>
      <w:r>
        <w:rPr>
          <w:rFonts w:eastAsia="IRNazanin" w:cs="IRNazanin"/>
          <w:b w:val="false"/>
          <w:bCs w:val="false"/>
          <w:i w:val="false"/>
          <w:iCs w:val="false"/>
          <w:color w:val="333333"/>
          <w:sz w:val="20"/>
          <w:szCs w:val="20"/>
        </w:rPr>
        <w:t>454:2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مع تصرّفٍ یسیر؛ الموسوعة الفقهیة، الکویت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18:20</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525:1</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179:4</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618:2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المستحقّین للزکاة،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المستحقّین للزکاة،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526:1</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المستحقّین للزکاة،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252:5</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المستحقّین للزکاة،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المستحقّین للزکاة،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المستحقّین للزکاة،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المستحقّین للزکاة،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270:5</w:t>
      </w:r>
      <w:r>
        <w:rPr>
          <w:rFonts w:ascii="IRNazanin" w:hAnsi="IRNazanin" w:eastAsia="IRNazanin"/>
          <w:b w:val="false"/>
          <w:b w:val="false"/>
          <w:bCs w:val="false"/>
          <w:i w:val="false"/>
          <w:i w:val="false"/>
          <w:iCs w:val="false"/>
          <w:color w:val="333333"/>
          <w:sz w:val="20"/>
          <w:sz w:val="20"/>
          <w:szCs w:val="20"/>
          <w:rtl w:val="true"/>
        </w:rPr>
        <w:t xml:space="preserve">، مدارک الاحکام </w:t>
      </w:r>
      <w:r>
        <w:rPr>
          <w:rFonts w:eastAsia="IRNazanin" w:cs="IRNazanin"/>
          <w:b w:val="false"/>
          <w:bCs w:val="false"/>
          <w:i w:val="false"/>
          <w:iCs w:val="false"/>
          <w:color w:val="333333"/>
          <w:sz w:val="20"/>
          <w:szCs w:val="20"/>
        </w:rPr>
        <w:t>255:5</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525:1</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التهذیب، و لکن فی کلا طبعتی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ما</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المستحقّین للزکاة،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المستحقّین للزکاة،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المستحقّین للزکاة،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237:1</w:t>
      </w:r>
      <w:r>
        <w:rPr>
          <w:rFonts w:ascii="IRNazanin" w:hAnsi="IRNazanin" w:eastAsia="IRNazanin"/>
          <w:b w:val="false"/>
          <w:b w:val="false"/>
          <w:bCs w:val="false"/>
          <w:i w:val="false"/>
          <w:i w:val="false"/>
          <w:iCs w:val="false"/>
          <w:color w:val="333333"/>
          <w:sz w:val="20"/>
          <w:sz w:val="20"/>
          <w:szCs w:val="20"/>
          <w:rtl w:val="true"/>
        </w:rPr>
        <w:t xml:space="preserve">؛ مدارک الأحکام </w:t>
      </w:r>
      <w:r>
        <w:rPr>
          <w:rFonts w:eastAsia="IRNazanin" w:cs="IRNazanin"/>
          <w:b w:val="false"/>
          <w:bCs w:val="false"/>
          <w:i w:val="false"/>
          <w:iCs w:val="false"/>
          <w:color w:val="333333"/>
          <w:sz w:val="20"/>
          <w:szCs w:val="20"/>
        </w:rPr>
        <w:t>360:5</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409:5</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جامع المدارک </w:t>
      </w:r>
      <w:r>
        <w:rPr>
          <w:rFonts w:eastAsia="IRNazanin" w:cs="IRNazanin"/>
          <w:b w:val="false"/>
          <w:bCs w:val="false"/>
          <w:i w:val="false"/>
          <w:iCs w:val="false"/>
          <w:color w:val="333333"/>
          <w:sz w:val="20"/>
          <w:szCs w:val="20"/>
        </w:rPr>
        <w:t>102:2</w:t>
      </w:r>
      <w:r>
        <w:rPr>
          <w:rFonts w:ascii="IRNazanin" w:hAnsi="IRNazanin" w:eastAsia="IRNazanin"/>
          <w:b w:val="false"/>
          <w:b w:val="false"/>
          <w:bCs w:val="false"/>
          <w:i w:val="false"/>
          <w:i w:val="false"/>
          <w:iCs w:val="false"/>
          <w:color w:val="333333"/>
          <w:sz w:val="20"/>
          <w:sz w:val="20"/>
          <w:szCs w:val="20"/>
          <w:rtl w:val="true"/>
        </w:rPr>
        <w:t xml:space="preserve">؛ العروة الوثقی مع تعلیقات فقیه العصر آیة اللّه العظمی الفاضل اللنکرانی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582:2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413:5</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الکبری </w:t>
      </w:r>
      <w:r>
        <w:rPr>
          <w:rFonts w:eastAsia="IRNazanin" w:cs="IRNazanin"/>
          <w:b w:val="false"/>
          <w:bCs w:val="false"/>
          <w:i w:val="false"/>
          <w:iCs w:val="false"/>
          <w:color w:val="333333"/>
          <w:sz w:val="20"/>
          <w:szCs w:val="20"/>
        </w:rPr>
        <w:t>290:1</w:t>
      </w:r>
      <w:r>
        <w:rPr>
          <w:rFonts w:ascii="IRNazanin" w:hAnsi="IRNazanin" w:eastAsia="IRNazanin"/>
          <w:b w:val="false"/>
          <w:b w:val="false"/>
          <w:bCs w:val="false"/>
          <w:i w:val="false"/>
          <w:i w:val="false"/>
          <w:iCs w:val="false"/>
          <w:color w:val="333333"/>
          <w:sz w:val="20"/>
          <w:sz w:val="20"/>
          <w:szCs w:val="20"/>
          <w:rtl w:val="true"/>
        </w:rPr>
        <w:t xml:space="preserve">، المغنی </w:t>
      </w:r>
      <w:r>
        <w:rPr>
          <w:rFonts w:eastAsia="IRNazanin" w:cs="IRNazanin"/>
          <w:b w:val="false"/>
          <w:bCs w:val="false"/>
          <w:i w:val="false"/>
          <w:iCs w:val="false"/>
          <w:color w:val="333333"/>
          <w:sz w:val="20"/>
          <w:szCs w:val="20"/>
        </w:rPr>
        <w:t>588:2</w:t>
      </w:r>
      <w:r>
        <w:rPr>
          <w:rFonts w:ascii="IRNazanin" w:hAnsi="IRNazanin" w:eastAsia="IRNazanin"/>
          <w:b w:val="false"/>
          <w:b w:val="false"/>
          <w:bCs w:val="false"/>
          <w:i w:val="false"/>
          <w:i w:val="false"/>
          <w:iCs w:val="false"/>
          <w:color w:val="333333"/>
          <w:sz w:val="20"/>
          <w:sz w:val="20"/>
          <w:szCs w:val="20"/>
          <w:rtl w:val="true"/>
        </w:rPr>
        <w:t xml:space="preserve">، المجموع شرح المهذّب </w:t>
      </w:r>
      <w:r>
        <w:rPr>
          <w:rFonts w:eastAsia="IRNazanin" w:cs="IRNazanin"/>
          <w:b w:val="false"/>
          <w:bCs w:val="false"/>
          <w:i w:val="false"/>
          <w:iCs w:val="false"/>
          <w:color w:val="333333"/>
          <w:sz w:val="20"/>
          <w:szCs w:val="20"/>
        </w:rPr>
        <w:t>74:6</w:t>
      </w:r>
      <w:r>
        <w:rPr>
          <w:rFonts w:ascii="IRNazanin" w:hAnsi="IRNazanin" w:eastAsia="IRNazanin"/>
          <w:b w:val="false"/>
          <w:b w:val="false"/>
          <w:bCs w:val="false"/>
          <w:i w:val="false"/>
          <w:i w:val="false"/>
          <w:iCs w:val="false"/>
          <w:color w:val="333333"/>
          <w:sz w:val="20"/>
          <w:sz w:val="20"/>
          <w:szCs w:val="20"/>
          <w:rtl w:val="true"/>
        </w:rPr>
        <w:t xml:space="preserve">، حلیة العلماء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شرح فتح القدیر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الأمّ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المبسوط للسرخسی </w:t>
      </w:r>
      <w:r>
        <w:rPr>
          <w:rFonts w:eastAsia="IRNazanin" w:cs="IRNazanin"/>
          <w:b w:val="false"/>
          <w:bCs w:val="false"/>
          <w:i w:val="false"/>
          <w:iCs w:val="false"/>
          <w:color w:val="333333"/>
          <w:sz w:val="20"/>
          <w:szCs w:val="20"/>
        </w:rPr>
        <w:t>212:2</w:t>
      </w:r>
      <w:r>
        <w:rPr>
          <w:rFonts w:ascii="IRNazanin" w:hAnsi="IRNazanin" w:eastAsia="IRNazanin"/>
          <w:b w:val="false"/>
          <w:b w:val="false"/>
          <w:bCs w:val="false"/>
          <w:i w:val="false"/>
          <w:i w:val="false"/>
          <w:iCs w:val="false"/>
          <w:color w:val="333333"/>
          <w:sz w:val="20"/>
          <w:sz w:val="20"/>
          <w:szCs w:val="20"/>
          <w:rtl w:val="true"/>
        </w:rPr>
        <w:t xml:space="preserve">؛ المدونة الکبری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620:2</w:t>
      </w:r>
      <w:r>
        <w:rPr>
          <w:rFonts w:ascii="IRNazanin" w:hAnsi="IRNazanin" w:eastAsia="IRNazanin"/>
          <w:b w:val="false"/>
          <w:b w:val="false"/>
          <w:bCs w:val="false"/>
          <w:i w:val="false"/>
          <w:i w:val="false"/>
          <w:iCs w:val="false"/>
          <w:color w:val="333333"/>
          <w:sz w:val="20"/>
          <w:sz w:val="20"/>
          <w:szCs w:val="20"/>
          <w:rtl w:val="true"/>
        </w:rPr>
        <w:t xml:space="preserve">؛ الشرح الکبیر </w:t>
      </w:r>
      <w:r>
        <w:rPr>
          <w:rFonts w:eastAsia="IRNazanin" w:cs="IRNazanin"/>
          <w:b w:val="false"/>
          <w:bCs w:val="false"/>
          <w:i w:val="false"/>
          <w:iCs w:val="false"/>
          <w:color w:val="333333"/>
          <w:sz w:val="20"/>
          <w:szCs w:val="20"/>
        </w:rPr>
        <w:t>587:2</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للسرخسی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قسمة الخمس،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115:16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116:16</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263:1</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439:5</w:t>
      </w:r>
      <w:r>
        <w:rPr>
          <w:rFonts w:ascii="IRNazanin" w:hAnsi="IRNazanin" w:eastAsia="IRNazanin"/>
          <w:b w:val="false"/>
          <w:b w:val="false"/>
          <w:bCs w:val="false"/>
          <w:i w:val="false"/>
          <w:i w:val="false"/>
          <w:iCs w:val="false"/>
          <w:color w:val="333333"/>
          <w:sz w:val="20"/>
          <w:sz w:val="20"/>
          <w:szCs w:val="20"/>
          <w:rtl w:val="true"/>
        </w:rPr>
        <w:t xml:space="preserve">؛ مدارک الأحکام </w:t>
      </w:r>
      <w:r>
        <w:rPr>
          <w:rFonts w:eastAsia="IRNazanin" w:cs="IRNazanin"/>
          <w:b w:val="false"/>
          <w:bCs w:val="false"/>
          <w:i w:val="false"/>
          <w:iCs w:val="false"/>
          <w:color w:val="333333"/>
          <w:sz w:val="20"/>
          <w:szCs w:val="20"/>
        </w:rPr>
        <w:t>413:5</w:t>
      </w:r>
      <w:r>
        <w:rPr>
          <w:rFonts w:ascii="IRNazanin" w:hAnsi="IRNazanin" w:eastAsia="IRNazanin"/>
          <w:b w:val="false"/>
          <w:b w:val="false"/>
          <w:bCs w:val="false"/>
          <w:i w:val="false"/>
          <w:i w:val="false"/>
          <w:iCs w:val="false"/>
          <w:color w:val="333333"/>
          <w:sz w:val="20"/>
          <w:sz w:val="20"/>
          <w:szCs w:val="20"/>
          <w:rtl w:val="true"/>
        </w:rPr>
        <w:t xml:space="preserve">؛ مجمع الفائدة و البرهان </w:t>
      </w:r>
      <w:r>
        <w:rPr>
          <w:rFonts w:eastAsia="IRNazanin" w:cs="IRNazanin"/>
          <w:b w:val="false"/>
          <w:bCs w:val="false"/>
          <w:i w:val="false"/>
          <w:iCs w:val="false"/>
          <w:color w:val="333333"/>
          <w:sz w:val="20"/>
          <w:szCs w:val="20"/>
        </w:rPr>
        <w:t>334:4</w:t>
      </w:r>
      <w:r>
        <w:rPr>
          <w:rFonts w:ascii="IRNazanin" w:hAnsi="IRNazanin" w:eastAsia="IRNazanin"/>
          <w:b w:val="false"/>
          <w:b w:val="false"/>
          <w:bCs w:val="false"/>
          <w:i w:val="false"/>
          <w:i w:val="false"/>
          <w:iCs w:val="false"/>
          <w:color w:val="333333"/>
          <w:sz w:val="20"/>
          <w:sz w:val="20"/>
          <w:szCs w:val="20"/>
          <w:rtl w:val="true"/>
        </w:rPr>
        <w:t xml:space="preserve">؛ مستند الشیعة </w:t>
      </w:r>
      <w:r>
        <w:rPr>
          <w:rFonts w:eastAsia="IRNazanin" w:cs="IRNazanin"/>
          <w:b w:val="false"/>
          <w:bCs w:val="false"/>
          <w:i w:val="false"/>
          <w:iCs w:val="false"/>
          <w:color w:val="333333"/>
          <w:sz w:val="20"/>
          <w:szCs w:val="20"/>
        </w:rPr>
        <w:t>139:10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116:16</w:t>
      </w:r>
      <w:r>
        <w:rPr>
          <w:rFonts w:ascii="IRNazanin" w:hAnsi="IRNazanin" w:eastAsia="IRNazanin"/>
          <w:b w:val="false"/>
          <w:b w:val="false"/>
          <w:bCs w:val="false"/>
          <w:i w:val="false"/>
          <w:i w:val="false"/>
          <w:iCs w:val="false"/>
          <w:color w:val="333333"/>
          <w:sz w:val="20"/>
          <w:sz w:val="20"/>
          <w:szCs w:val="20"/>
          <w:rtl w:val="true"/>
        </w:rPr>
        <w:t xml:space="preserve">؛ جامع المدارک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271:3</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و ما یختصّ بالإمام،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و ما یختصّ الإمام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الأرض کلّها للإمام علیه السلام،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553:1</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547:17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ولاء ضمان الجریرة،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مات و لیس له وارث،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فی المعتبر </w:t>
      </w:r>
      <w:r>
        <w:rPr>
          <w:rFonts w:eastAsia="IRNazanin" w:cs="IRNazanin"/>
          <w:b w:val="false"/>
          <w:bCs w:val="false"/>
          <w:i w:val="false"/>
          <w:iCs w:val="false"/>
          <w:color w:val="333333"/>
          <w:sz w:val="20"/>
          <w:szCs w:val="20"/>
        </w:rPr>
        <w:t>635:2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المرتضی؛ المهذّب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418:5</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389:40</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184:1</w:t>
      </w:r>
      <w:r>
        <w:rPr>
          <w:rFonts w:ascii="IRNazanin" w:hAnsi="IRNazanin" w:eastAsia="IRNazanin"/>
          <w:b w:val="false"/>
          <w:b w:val="false"/>
          <w:bCs w:val="false"/>
          <w:i w:val="false"/>
          <w:i w:val="false"/>
          <w:iCs w:val="false"/>
          <w:color w:val="333333"/>
          <w:sz w:val="20"/>
          <w:sz w:val="20"/>
          <w:szCs w:val="20"/>
          <w:rtl w:val="true"/>
        </w:rPr>
        <w:t>؛ 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قواعد الأحکام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 الحجری؛ الروضة البهیّة </w:t>
      </w:r>
      <w:r>
        <w:rPr>
          <w:rFonts w:eastAsia="IRNazanin" w:cs="IRNazanin"/>
          <w:b w:val="false"/>
          <w:bCs w:val="false"/>
          <w:i w:val="false"/>
          <w:iCs w:val="false"/>
          <w:color w:val="333333"/>
          <w:sz w:val="20"/>
          <w:szCs w:val="20"/>
        </w:rPr>
        <w:t>84:2</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134:16</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442:5</w:t>
      </w:r>
      <w:r>
        <w:rPr>
          <w:rFonts w:ascii="IRNazanin" w:hAnsi="IRNazanin" w:eastAsia="IRNazanin"/>
          <w:b w:val="false"/>
          <w:b w:val="false"/>
          <w:bCs w:val="false"/>
          <w:i w:val="false"/>
          <w:i w:val="false"/>
          <w:iCs w:val="false"/>
          <w:color w:val="333333"/>
          <w:sz w:val="20"/>
          <w:sz w:val="20"/>
          <w:szCs w:val="20"/>
          <w:rtl w:val="true"/>
        </w:rPr>
        <w:t xml:space="preserve">؛ مدارک الأحکام </w:t>
      </w:r>
      <w:r>
        <w:rPr>
          <w:rFonts w:eastAsia="IRNazanin" w:cs="IRNazanin"/>
          <w:b w:val="false"/>
          <w:bCs w:val="false"/>
          <w:i w:val="false"/>
          <w:iCs w:val="false"/>
          <w:color w:val="333333"/>
          <w:sz w:val="20"/>
          <w:szCs w:val="20"/>
        </w:rPr>
        <w:t>419:5</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جامع المدارک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474:1</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یجب من حقّ الإمام علی الرعیة،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387:9</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181:4</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297:7</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297:7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الأموال للحافظ أبو عبید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القرآن للجصاص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للقرطبی </w:t>
      </w:r>
      <w:r>
        <w:rPr>
          <w:rFonts w:eastAsia="IRNazanin" w:cs="IRNazanin"/>
          <w:b w:val="false"/>
          <w:bCs w:val="false"/>
          <w:i w:val="false"/>
          <w:iCs w:val="false"/>
          <w:color w:val="333333"/>
          <w:sz w:val="20"/>
          <w:szCs w:val="20"/>
        </w:rPr>
        <w:t>15:18</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للقرطبی </w:t>
      </w:r>
      <w:r>
        <w:rPr>
          <w:rFonts w:eastAsia="IRNazanin" w:cs="IRNazanin"/>
          <w:b w:val="false"/>
          <w:bCs w:val="false"/>
          <w:i w:val="false"/>
          <w:iCs w:val="false"/>
          <w:color w:val="333333"/>
          <w:sz w:val="20"/>
          <w:szCs w:val="20"/>
        </w:rPr>
        <w:t>362:7</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408:10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اللغة بمعنی خراج الأرض و ما یؤخذ من الذمّی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314:4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الراغب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الجزیة ما یؤخذ من أهل الذمة و تسمیتها بذلک للاجتزاء بها فی حقن دمهم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فی غریب القرآن کلمة جزاء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المعنی هو المقصود فی اصطلاح الفقهاء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الجزیة ما یؤخذ من أهل الکتاب الیهود و النصاری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بعض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الجزیة وزنها فعلة من جزی یجزی إذا کافأ عمّا أسدی إلیه، فکأنّهم أعطوها جزاء ما منحوا من الأمن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للقرطبی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قَاتِلُوا الَّذِینَ لا یُؤْمِنُونَ بِاللّهِ وَ لاَ بِالْیَوْمِ الْآخِرِ وَ لاَ یُحَرِّمُونَ مَا حَرَّمَ اللّهُ وَ رَسُولُهُ وَ لاَ یَدِینُونَ دِینَ الْحَقِّ مِنَ الَّذِینَ أُوتُوا الْکِتَابَ حَتَّی یُعْطُوا الْجِزْیَةَ عَنْ یَدٍ وَ هُمْ صَاغِرُونَ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السنة فالروایات کثیرة جمعها فی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و ما یناسبه، من أرادها فلیطلبها</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و ما یناسبه،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474:1</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الحجری</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519:7</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ردّ المحتار علی الدُّر المختار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بدایة المجتهد </w:t>
      </w:r>
      <w:r>
        <w:rPr>
          <w:rFonts w:eastAsia="IRNazanin" w:cs="IRNazanin"/>
          <w:b w:val="false"/>
          <w:bCs w:val="false"/>
          <w:i w:val="false"/>
          <w:iCs w:val="false"/>
          <w:color w:val="333333"/>
          <w:sz w:val="20"/>
          <w:szCs w:val="20"/>
        </w:rPr>
        <w:t>425:1</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الأحکام السلطانیة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الخرج و الخراج بفتح المعجمة فیهما ما یحصل من غلّة الأرض،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یقع اسم الخراج علی الضریبة و الفیء و الجزیة و الغلة، و منه خراج العراقین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501:1</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المحقّق الکرکی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477:1</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935:2</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470:7</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200:22</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85:11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406:1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الأموال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بدایة المجتهد </w:t>
      </w:r>
      <w:r>
        <w:rPr>
          <w:rFonts w:eastAsia="IRNazanin" w:cs="IRNazanin"/>
          <w:b w:val="false"/>
          <w:bCs w:val="false"/>
          <w:i w:val="false"/>
          <w:iCs w:val="false"/>
          <w:color w:val="333333"/>
          <w:sz w:val="20"/>
          <w:szCs w:val="20"/>
        </w:rPr>
        <w:t>420:1</w:t>
      </w:r>
      <w:r>
        <w:rPr>
          <w:rFonts w:ascii="IRNazanin" w:hAnsi="IRNazanin" w:eastAsia="IRNazanin"/>
          <w:b w:val="false"/>
          <w:b w:val="false"/>
          <w:bCs w:val="false"/>
          <w:i w:val="false"/>
          <w:i w:val="false"/>
          <w:iCs w:val="false"/>
          <w:color w:val="333333"/>
          <w:sz w:val="20"/>
          <w:sz w:val="20"/>
          <w:szCs w:val="20"/>
          <w:rtl w:val="true"/>
        </w:rPr>
        <w:t xml:space="preserve">؛ المغنی </w:t>
      </w:r>
      <w:r>
        <w:rPr>
          <w:rFonts w:eastAsia="IRNazanin" w:cs="IRNazanin"/>
          <w:b w:val="false"/>
          <w:bCs w:val="false"/>
          <w:i w:val="false"/>
          <w:iCs w:val="false"/>
          <w:color w:val="333333"/>
          <w:sz w:val="20"/>
          <w:szCs w:val="20"/>
        </w:rPr>
        <w:t>583:2</w:t>
      </w:r>
      <w:r>
        <w:rPr>
          <w:rFonts w:ascii="IRNazanin" w:hAnsi="IRNazanin" w:eastAsia="IRNazanin"/>
          <w:b w:val="false"/>
          <w:b w:val="false"/>
          <w:bCs w:val="false"/>
          <w:i w:val="false"/>
          <w:i w:val="false"/>
          <w:iCs w:val="false"/>
          <w:color w:val="333333"/>
          <w:sz w:val="20"/>
          <w:sz w:val="20"/>
          <w:szCs w:val="20"/>
          <w:rtl w:val="true"/>
        </w:rPr>
        <w:t xml:space="preserve">؛ التهذیب فی فقه الإمام الشافعی </w:t>
      </w:r>
      <w:r>
        <w:rPr>
          <w:rFonts w:eastAsia="IRNazanin" w:cs="IRNazanin"/>
          <w:b w:val="false"/>
          <w:bCs w:val="false"/>
          <w:i w:val="false"/>
          <w:iCs w:val="false"/>
          <w:color w:val="333333"/>
          <w:sz w:val="20"/>
          <w:szCs w:val="20"/>
        </w:rPr>
        <w:t>131:5</w:t>
      </w:r>
      <w:r>
        <w:rPr>
          <w:rFonts w:ascii="IRNazanin" w:hAnsi="IRNazanin" w:eastAsia="IRNazanin"/>
          <w:b w:val="false"/>
          <w:b w:val="false"/>
          <w:bCs w:val="false"/>
          <w:i w:val="false"/>
          <w:i w:val="false"/>
          <w:iCs w:val="false"/>
          <w:color w:val="333333"/>
          <w:sz w:val="20"/>
          <w:sz w:val="20"/>
          <w:szCs w:val="20"/>
          <w:rtl w:val="true"/>
        </w:rPr>
        <w:t xml:space="preserve">؛ تبیین المسالک للمالکیة </w:t>
      </w:r>
      <w:r>
        <w:rPr>
          <w:rFonts w:eastAsia="IRNazanin" w:cs="IRNazanin"/>
          <w:b w:val="false"/>
          <w:bCs w:val="false"/>
          <w:i w:val="false"/>
          <w:iCs w:val="false"/>
          <w:color w:val="333333"/>
          <w:sz w:val="20"/>
          <w:szCs w:val="20"/>
        </w:rPr>
        <w:t>454:2</w:t>
      </w:r>
      <w:r>
        <w:rPr>
          <w:rFonts w:ascii="IRNazanin" w:hAnsi="IRNazanin" w:eastAsia="IRNazanin"/>
          <w:b w:val="false"/>
          <w:b w:val="false"/>
          <w:bCs w:val="false"/>
          <w:i w:val="false"/>
          <w:i w:val="false"/>
          <w:iCs w:val="false"/>
          <w:color w:val="333333"/>
          <w:sz w:val="20"/>
          <w:sz w:val="20"/>
          <w:szCs w:val="20"/>
          <w:rtl w:val="true"/>
        </w:rPr>
        <w:t xml:space="preserve">؛ حاشیة ردّ المحتار علی دُرّ المختار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الصدقة ما یتصدّق به المرء عن نفسه و 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مقاییس اللغة </w:t>
      </w:r>
      <w:r>
        <w:rPr>
          <w:rFonts w:eastAsia="IRNazanin" w:cs="IRNazanin"/>
          <w:b w:val="false"/>
          <w:bCs w:val="false"/>
          <w:i w:val="false"/>
          <w:iCs w:val="false"/>
          <w:color w:val="333333"/>
          <w:sz w:val="20"/>
          <w:szCs w:val="20"/>
        </w:rPr>
        <w:t>339:3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المبسوط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قصد الثواب و التقرّب بالهبة إلی اللّه عزّ و جلّ سمّیت صدقة، المبسوط </w:t>
      </w:r>
      <w:r>
        <w:rPr>
          <w:rFonts w:eastAsia="IRNazanin" w:cs="IRNazanin"/>
          <w:b w:val="false"/>
          <w:bCs w:val="false"/>
          <w:i w:val="false"/>
          <w:iCs w:val="false"/>
          <w:color w:val="333333"/>
          <w:sz w:val="20"/>
          <w:szCs w:val="20"/>
        </w:rPr>
        <w:t>303:3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الصدقة ما یعطی للّه سبحانه، و الهبة و النحلة ما یعطی لأغراض 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الکاشانی، الوافی </w:t>
      </w:r>
      <w:r>
        <w:rPr>
          <w:rFonts w:eastAsia="IRNazanin" w:cs="IRNazanin"/>
          <w:b w:val="false"/>
          <w:bCs w:val="false"/>
          <w:i w:val="false"/>
          <w:iCs w:val="false"/>
          <w:color w:val="333333"/>
          <w:sz w:val="20"/>
          <w:szCs w:val="20"/>
        </w:rPr>
        <w:t>514:10</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الوصایا،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زقّ زقاً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الطائر أطعمه بمنقاره، انظر أقرب الموارد </w:t>
      </w:r>
      <w:r>
        <w:rPr>
          <w:rFonts w:eastAsia="IRNazanin" w:cs="IRNazanin"/>
          <w:b w:val="false"/>
          <w:bCs w:val="false"/>
          <w:i w:val="false"/>
          <w:iCs w:val="false"/>
          <w:color w:val="333333"/>
          <w:sz w:val="20"/>
          <w:szCs w:val="20"/>
        </w:rPr>
        <w:t>468:2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لَعقَ العسل و غیرَه لعقاً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لحسه، أی أکله بإصبعه أو بلسانه، انظر أقرب الموارد </w:t>
      </w:r>
      <w:r>
        <w:rPr>
          <w:rFonts w:eastAsia="IRNazanin" w:cs="IRNazanin"/>
          <w:b w:val="false"/>
          <w:bCs w:val="false"/>
          <w:i w:val="false"/>
          <w:iCs w:val="false"/>
          <w:color w:val="333333"/>
          <w:sz w:val="20"/>
          <w:szCs w:val="20"/>
        </w:rPr>
        <w:t>1147:2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406:1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وقفت الدابّة تقف وقفاً و وقوفاً سکنت، و وقفت الدار وقفاً حبستها، المصباح المنیر </w:t>
      </w:r>
      <w:r>
        <w:rPr>
          <w:rFonts w:eastAsia="IRNazanin" w:cs="IRNazanin"/>
          <w:b w:val="false"/>
          <w:bCs w:val="false"/>
          <w:i w:val="false"/>
          <w:iCs w:val="false"/>
          <w:color w:val="333333"/>
          <w:sz w:val="20"/>
          <w:szCs w:val="20"/>
        </w:rPr>
        <w:t>669:2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المقصود من الوقف عند الفقهاء تحبیس الأصل و تسبیل المنفعة، و الظاهر أنّ هذا التعریف اقتبس من الحدیث النبویّ، حیث قال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حبّس الأصل و سبّل الثمرة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اللآلئ </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سنن ابن ماجة کتاب الصدقات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وسائل الشیعة </w:t>
      </w:r>
      <w:r>
        <w:rPr>
          <w:rFonts w:eastAsia="IRNazanin" w:cs="IRNazanin"/>
          <w:b w:val="false"/>
          <w:bCs w:val="false"/>
          <w:i w:val="false"/>
          <w:iCs w:val="false"/>
          <w:color w:val="333333"/>
          <w:sz w:val="20"/>
          <w:szCs w:val="20"/>
        </w:rPr>
        <w:t>47:14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کتاب الوقوف و الصدقات،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کتاب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الوقوف و الصدقات،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295:3</w:t>
      </w:r>
      <w:r>
        <w:rPr>
          <w:rFonts w:ascii="IRNazanin" w:hAnsi="IRNazanin" w:eastAsia="IRNazanin"/>
          <w:b w:val="false"/>
          <w:b w:val="false"/>
          <w:bCs w:val="false"/>
          <w:i w:val="false"/>
          <w:i w:val="false"/>
          <w:iCs w:val="false"/>
          <w:color w:val="333333"/>
          <w:sz w:val="20"/>
          <w:sz w:val="20"/>
          <w:szCs w:val="20"/>
          <w:rtl w:val="true"/>
        </w:rPr>
        <w:t>؛ غنیة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ردّ المختار </w:t>
      </w:r>
      <w:r>
        <w:rPr>
          <w:rFonts w:eastAsia="IRNazanin" w:cs="IRNazanin"/>
          <w:b w:val="false"/>
          <w:bCs w:val="false"/>
          <w:i w:val="false"/>
          <w:iCs w:val="false"/>
          <w:color w:val="333333"/>
          <w:sz w:val="20"/>
          <w:szCs w:val="20"/>
        </w:rPr>
        <w:t>338:4</w:t>
      </w:r>
      <w:r>
        <w:rPr>
          <w:rFonts w:ascii="IRNazanin" w:hAnsi="IRNazanin" w:eastAsia="IRNazanin"/>
          <w:b w:val="false"/>
          <w:b w:val="false"/>
          <w:bCs w:val="false"/>
          <w:i w:val="false"/>
          <w:i w:val="false"/>
          <w:iCs w:val="false"/>
          <w:color w:val="333333"/>
          <w:sz w:val="20"/>
          <w:sz w:val="20"/>
          <w:szCs w:val="20"/>
          <w:rtl w:val="true"/>
        </w:rPr>
        <w:t xml:space="preserve">؛ حاشیة الدسوقی علی الشرح الکبیر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401:2</w:t>
      </w:r>
      <w:r>
        <w:rPr>
          <w:rFonts w:ascii="IRNazanin" w:hAnsi="IRNazanin" w:eastAsia="IRNazanin"/>
          <w:b w:val="false"/>
          <w:b w:val="false"/>
          <w:bCs w:val="false"/>
          <w:i w:val="false"/>
          <w:i w:val="false"/>
          <w:iCs w:val="false"/>
          <w:color w:val="333333"/>
          <w:sz w:val="20"/>
          <w:sz w:val="20"/>
          <w:szCs w:val="20"/>
          <w:rtl w:val="true"/>
        </w:rPr>
        <w:t xml:space="preserve">؛ شرائع الإسلام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 قواعد الأحکام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 الحجری؛ الروضة البهیّة </w:t>
      </w:r>
      <w:r>
        <w:rPr>
          <w:rFonts w:eastAsia="IRNazanin" w:cs="IRNazanin"/>
          <w:b w:val="false"/>
          <w:bCs w:val="false"/>
          <w:i w:val="false"/>
          <w:iCs w:val="false"/>
          <w:color w:val="333333"/>
          <w:sz w:val="20"/>
          <w:szCs w:val="20"/>
        </w:rPr>
        <w:t>202:4</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304:26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مکان المصلّی،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البیهقی </w:t>
      </w:r>
      <w:r>
        <w:rPr>
          <w:rFonts w:eastAsia="IRNazanin" w:cs="IRNazanin"/>
          <w:b w:val="false"/>
          <w:bCs w:val="false"/>
          <w:i w:val="false"/>
          <w:iCs w:val="false"/>
          <w:color w:val="333333"/>
          <w:sz w:val="20"/>
          <w:szCs w:val="20"/>
        </w:rPr>
        <w:t>383:14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20200</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480:2</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139:6</w:t>
      </w:r>
      <w:r>
        <w:rPr>
          <w:rFonts w:ascii="IRNazanin" w:hAnsi="IRNazanin" w:eastAsia="IRNazanin"/>
          <w:b w:val="false"/>
          <w:b w:val="false"/>
          <w:bCs w:val="false"/>
          <w:i w:val="false"/>
          <w:i w:val="false"/>
          <w:iCs w:val="false"/>
          <w:color w:val="333333"/>
          <w:sz w:val="20"/>
          <w:sz w:val="20"/>
          <w:szCs w:val="20"/>
          <w:rtl w:val="true"/>
        </w:rPr>
        <w:t xml:space="preserve">؛ المبسوط للسرخسی </w:t>
      </w:r>
      <w:r>
        <w:rPr>
          <w:rFonts w:eastAsia="IRNazanin" w:cs="IRNazanin"/>
          <w:b w:val="false"/>
          <w:bCs w:val="false"/>
          <w:i w:val="false"/>
          <w:iCs w:val="false"/>
          <w:color w:val="333333"/>
          <w:sz w:val="20"/>
          <w:szCs w:val="20"/>
        </w:rPr>
        <w:t>49:11</w:t>
      </w:r>
      <w:r>
        <w:rPr>
          <w:rFonts w:ascii="IRNazanin" w:hAnsi="IRNazanin" w:eastAsia="IRNazanin"/>
          <w:b w:val="false"/>
          <w:b w:val="false"/>
          <w:bCs w:val="false"/>
          <w:i w:val="false"/>
          <w:i w:val="false"/>
          <w:iCs w:val="false"/>
          <w:color w:val="333333"/>
          <w:sz w:val="20"/>
          <w:sz w:val="20"/>
          <w:szCs w:val="20"/>
          <w:rtl w:val="true"/>
        </w:rPr>
        <w:t xml:space="preserve">؛ تبیین المسالک </w:t>
      </w:r>
      <w:r>
        <w:rPr>
          <w:rFonts w:eastAsia="IRNazanin" w:cs="IRNazanin"/>
          <w:b w:val="false"/>
          <w:bCs w:val="false"/>
          <w:i w:val="false"/>
          <w:iCs w:val="false"/>
          <w:color w:val="333333"/>
          <w:sz w:val="20"/>
          <w:szCs w:val="20"/>
        </w:rPr>
        <w:t>117:4</w:t>
      </w:r>
      <w:r>
        <w:rPr>
          <w:rFonts w:ascii="IRNazanin" w:hAnsi="IRNazanin" w:eastAsia="IRNazanin"/>
          <w:b w:val="false"/>
          <w:b w:val="false"/>
          <w:bCs w:val="false"/>
          <w:i w:val="false"/>
          <w:i w:val="false"/>
          <w:iCs w:val="false"/>
          <w:color w:val="333333"/>
          <w:sz w:val="20"/>
          <w:sz w:val="20"/>
          <w:szCs w:val="20"/>
          <w:rtl w:val="true"/>
        </w:rPr>
        <w:t xml:space="preserve">؛ المغنی و الشرح الکبیر </w:t>
      </w:r>
      <w:r>
        <w:rPr>
          <w:rFonts w:eastAsia="IRNazanin" w:cs="IRNazanin"/>
          <w:b w:val="false"/>
          <w:bCs w:val="false"/>
          <w:i w:val="false"/>
          <w:iCs w:val="false"/>
          <w:color w:val="333333"/>
          <w:sz w:val="20"/>
          <w:szCs w:val="20"/>
        </w:rPr>
        <w:t>375:5</w:t>
      </w:r>
      <w:r>
        <w:rPr>
          <w:rFonts w:ascii="IRNazanin" w:hAnsi="IRNazanin" w:eastAsia="IRNazanin"/>
          <w:b w:val="false"/>
          <w:b w:val="false"/>
          <w:bCs w:val="false"/>
          <w:i w:val="false"/>
          <w:i w:val="false"/>
          <w:iCs w:val="false"/>
          <w:color w:val="333333"/>
          <w:sz w:val="20"/>
          <w:sz w:val="20"/>
          <w:szCs w:val="20"/>
          <w:rtl w:val="true"/>
        </w:rPr>
        <w:t xml:space="preserve">؛ الکافی فی فقه الإمام أحمد </w:t>
      </w:r>
      <w:r>
        <w:rPr>
          <w:rFonts w:eastAsia="IRNazanin" w:cs="IRNazanin"/>
          <w:b w:val="false"/>
          <w:bCs w:val="false"/>
          <w:i w:val="false"/>
          <w:iCs w:val="false"/>
          <w:color w:val="333333"/>
          <w:sz w:val="20"/>
          <w:szCs w:val="20"/>
        </w:rPr>
        <w:t>227:2</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367:1</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رد المختار </w:t>
      </w:r>
      <w:r>
        <w:rPr>
          <w:rFonts w:eastAsia="IRNazanin" w:cs="IRNazanin"/>
          <w:b w:val="false"/>
          <w:bCs w:val="false"/>
          <w:i w:val="false"/>
          <w:iCs w:val="false"/>
          <w:color w:val="333333"/>
          <w:sz w:val="20"/>
          <w:szCs w:val="20"/>
        </w:rPr>
        <w:t>300:4</w:t>
      </w:r>
      <w:r>
        <w:rPr>
          <w:rFonts w:ascii="IRNazanin" w:hAnsi="IRNazanin" w:eastAsia="IRNazanin"/>
          <w:b w:val="false"/>
          <w:b w:val="false"/>
          <w:bCs w:val="false"/>
          <w:i w:val="false"/>
          <w:i w:val="false"/>
          <w:iCs w:val="false"/>
          <w:color w:val="333333"/>
          <w:sz w:val="20"/>
          <w:sz w:val="20"/>
          <w:szCs w:val="20"/>
          <w:rtl w:val="true"/>
        </w:rPr>
        <w:t xml:space="preserve">؛ بدایة المجتهد </w:t>
      </w:r>
      <w:r>
        <w:rPr>
          <w:rFonts w:eastAsia="IRNazanin" w:cs="IRNazanin"/>
          <w:b w:val="false"/>
          <w:bCs w:val="false"/>
          <w:i w:val="false"/>
          <w:iCs w:val="false"/>
          <w:color w:val="333333"/>
          <w:sz w:val="20"/>
          <w:szCs w:val="20"/>
        </w:rPr>
        <w:t>255:2</w:t>
      </w:r>
      <w:r>
        <w:rPr>
          <w:rFonts w:ascii="IRNazanin" w:hAnsi="IRNazanin" w:eastAsia="IRNazanin"/>
          <w:b w:val="false"/>
          <w:b w:val="false"/>
          <w:bCs w:val="false"/>
          <w:i w:val="false"/>
          <w:i w:val="false"/>
          <w:iCs w:val="false"/>
          <w:color w:val="333333"/>
          <w:sz w:val="20"/>
          <w:sz w:val="20"/>
          <w:szCs w:val="20"/>
          <w:rtl w:val="true"/>
        </w:rPr>
        <w:t xml:space="preserve">؛ المغنی لابن قدامة </w:t>
      </w:r>
      <w:r>
        <w:rPr>
          <w:rFonts w:eastAsia="IRNazanin" w:cs="IRNazanin"/>
          <w:b w:val="false"/>
          <w:bCs w:val="false"/>
          <w:i w:val="false"/>
          <w:iCs w:val="false"/>
          <w:color w:val="333333"/>
          <w:sz w:val="20"/>
          <w:szCs w:val="20"/>
        </w:rPr>
        <w:t>129:5</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399:2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المستمسک </w:t>
      </w:r>
      <w:r>
        <w:rPr>
          <w:rFonts w:eastAsia="IRNazanin" w:cs="IRNazanin"/>
          <w:b w:val="false"/>
          <w:bCs w:val="false"/>
          <w:i w:val="false"/>
          <w:iCs w:val="false"/>
          <w:color w:val="333333"/>
          <w:sz w:val="20"/>
          <w:szCs w:val="20"/>
        </w:rPr>
        <w:t>556:9</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العروة الوثقی، کتاب الخمس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الحجری</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326:4</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104:16</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 الشیخ الأعظم </w:t>
      </w:r>
      <w:r>
        <w:rPr>
          <w:rFonts w:eastAsia="IRNazanin" w:cs="IRNazanin"/>
          <w:b w:val="false"/>
          <w:bCs w:val="false"/>
          <w:i w:val="false"/>
          <w:iCs w:val="false"/>
          <w:color w:val="333333"/>
          <w:sz w:val="20"/>
          <w:szCs w:val="20"/>
        </w:rPr>
        <w:t>279:11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الخمس</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العروة الوثقی، کتاب الخمس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399:2</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یجب فیه الخمس،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و ما تختص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العروة الوثقی، کتاب الخمس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الحجری</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395:15</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المستمسک </w:t>
      </w:r>
      <w:r>
        <w:rPr>
          <w:rFonts w:eastAsia="IRNazanin" w:cs="IRNazanin"/>
          <w:b w:val="false"/>
          <w:bCs w:val="false"/>
          <w:i w:val="false"/>
          <w:iCs w:val="false"/>
          <w:color w:val="333333"/>
          <w:sz w:val="20"/>
          <w:szCs w:val="20"/>
        </w:rPr>
        <w:t>286:9</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المستحقّین للزکاة،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المستحقّین للزکاة،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المستحقّین للزکاة،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المستحقّین للزکاة،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المستحقّین للزکاة،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178:4</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523:1</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إعطاء الزکاة للولد و القرابة،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396:15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للسرخسی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بدائع الصنائع </w:t>
      </w:r>
      <w:r>
        <w:rPr>
          <w:rFonts w:eastAsia="IRNazanin" w:cs="IRNazanin"/>
          <w:b w:val="false"/>
          <w:bCs w:val="false"/>
          <w:i w:val="false"/>
          <w:iCs w:val="false"/>
          <w:color w:val="333333"/>
          <w:sz w:val="20"/>
          <w:szCs w:val="20"/>
        </w:rPr>
        <w:t>162:2</w:t>
      </w:r>
      <w:r>
        <w:rPr>
          <w:rFonts w:ascii="IRNazanin" w:hAnsi="IRNazanin" w:eastAsia="IRNazanin"/>
          <w:b w:val="false"/>
          <w:b w:val="false"/>
          <w:bCs w:val="false"/>
          <w:i w:val="false"/>
          <w:i w:val="false"/>
          <w:iCs w:val="false"/>
          <w:color w:val="333333"/>
          <w:sz w:val="20"/>
          <w:sz w:val="20"/>
          <w:szCs w:val="20"/>
          <w:rtl w:val="true"/>
        </w:rPr>
        <w:t xml:space="preserve">؛ الهدایة </w:t>
      </w:r>
      <w:r>
        <w:rPr>
          <w:rFonts w:eastAsia="IRNazanin" w:cs="IRNazanin"/>
          <w:b w:val="false"/>
          <w:bCs w:val="false"/>
          <w:i w:val="false"/>
          <w:iCs w:val="false"/>
          <w:color w:val="333333"/>
          <w:sz w:val="20"/>
          <w:szCs w:val="20"/>
        </w:rPr>
        <w:t>113:1</w:t>
      </w:r>
      <w:r>
        <w:rPr>
          <w:rFonts w:ascii="IRNazanin" w:hAnsi="IRNazanin" w:eastAsia="IRNazanin"/>
          <w:b w:val="false"/>
          <w:b w:val="false"/>
          <w:bCs w:val="false"/>
          <w:i w:val="false"/>
          <w:i w:val="false"/>
          <w:iCs w:val="false"/>
          <w:color w:val="333333"/>
          <w:sz w:val="20"/>
          <w:sz w:val="20"/>
          <w:szCs w:val="20"/>
          <w:rtl w:val="true"/>
        </w:rPr>
        <w:t xml:space="preserve">؛ مجمع الأنهر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تبیین المسالک </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 xml:space="preserve">؛ المغنی لابن قدامة </w:t>
      </w:r>
      <w:r>
        <w:rPr>
          <w:rFonts w:eastAsia="IRNazanin" w:cs="IRNazanin"/>
          <w:b w:val="false"/>
          <w:bCs w:val="false"/>
          <w:i w:val="false"/>
          <w:iCs w:val="false"/>
          <w:color w:val="333333"/>
          <w:sz w:val="20"/>
          <w:szCs w:val="20"/>
        </w:rPr>
        <w:t>511:2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433:2</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271:2</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283:11</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الشرائع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وسائل الشیعة </w:t>
      </w:r>
      <w:r>
        <w:rPr>
          <w:rFonts w:eastAsia="IRNazanin" w:cs="IRNazanin"/>
          <w:b w:val="false"/>
          <w:bCs w:val="false"/>
          <w:i w:val="false"/>
          <w:iCs w:val="false"/>
          <w:color w:val="333333"/>
          <w:sz w:val="20"/>
          <w:szCs w:val="20"/>
        </w:rPr>
        <w:t>51:17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أحکام النجاسات</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المستمسک </w:t>
      </w:r>
      <w:r>
        <w:rPr>
          <w:rFonts w:eastAsia="IRNazanin" w:cs="IRNazanin"/>
          <w:b w:val="false"/>
          <w:bCs w:val="false"/>
          <w:i w:val="false"/>
          <w:iCs w:val="false"/>
          <w:color w:val="333333"/>
          <w:sz w:val="20"/>
          <w:szCs w:val="20"/>
        </w:rPr>
        <w:t>524:1</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514:1</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دلیل العروة الوثقی </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العرفان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الوثقی </w:t>
      </w:r>
      <w:r>
        <w:rPr>
          <w:rFonts w:eastAsia="IRNazanin" w:cs="IRNazanin"/>
          <w:b w:val="false"/>
          <w:bCs w:val="false"/>
          <w:i w:val="false"/>
          <w:iCs w:val="false"/>
          <w:color w:val="333333"/>
          <w:sz w:val="20"/>
          <w:szCs w:val="20"/>
        </w:rPr>
        <w:t>351:4</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245:17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الاشربة المحرّمة،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الاشربة المحرمة، مستدرک وسائل الشیعة </w:t>
      </w:r>
      <w:r>
        <w:rPr>
          <w:rFonts w:eastAsia="IRNazanin" w:cs="IRNazanin"/>
          <w:b w:val="false"/>
          <w:bCs w:val="false"/>
          <w:i w:val="false"/>
          <w:iCs w:val="false"/>
          <w:color w:val="333333"/>
          <w:sz w:val="20"/>
          <w:szCs w:val="20"/>
        </w:rPr>
        <w:t>51:17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للسرخسی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نهایة المحتاج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جامع الأحکام الفقهیّة فی الفقه المالکی </w:t>
      </w:r>
      <w:r>
        <w:rPr>
          <w:rFonts w:eastAsia="IRNazanin" w:cs="IRNazanin"/>
          <w:b w:val="false"/>
          <w:bCs w:val="false"/>
          <w:i w:val="false"/>
          <w:iCs w:val="false"/>
          <w:color w:val="333333"/>
          <w:sz w:val="20"/>
          <w:szCs w:val="20"/>
        </w:rPr>
        <w:t>281:3</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الأشباه و النظائر لابن نجیم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و الشرح الکبیر </w:t>
      </w:r>
      <w:r>
        <w:rPr>
          <w:rFonts w:eastAsia="IRNazanin" w:cs="IRNazanin"/>
          <w:b w:val="false"/>
          <w:bCs w:val="false"/>
          <w:i w:val="false"/>
          <w:iCs w:val="false"/>
          <w:color w:val="333333"/>
          <w:sz w:val="20"/>
          <w:szCs w:val="20"/>
        </w:rPr>
        <w:t>325/10</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المیاه و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أحکام النجاسات و ص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مسألة القضاء</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المستمسک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فی فقه الشیعة للمحقّق الخوئی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الوثقی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القسم الأوّل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دلیل العروة الوثقی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الوثقی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374:16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الماء المطلق،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 نوافلها،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185:15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375:14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القرآن للجصّاص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و الشرح الکبیر </w:t>
      </w:r>
      <w:r>
        <w:rPr>
          <w:rFonts w:eastAsia="IRNazanin" w:cs="IRNazanin"/>
          <w:b w:val="false"/>
          <w:bCs w:val="false"/>
          <w:i w:val="false"/>
          <w:iCs w:val="false"/>
          <w:color w:val="333333"/>
          <w:sz w:val="20"/>
          <w:szCs w:val="20"/>
        </w:rPr>
        <w:t>86:11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بدایة المجتهد </w:t>
      </w:r>
      <w:r>
        <w:rPr>
          <w:rFonts w:eastAsia="IRNazanin" w:cs="IRNazanin"/>
          <w:b w:val="false"/>
          <w:bCs w:val="false"/>
          <w:i w:val="false"/>
          <w:iCs w:val="false"/>
          <w:color w:val="333333"/>
          <w:sz w:val="20"/>
          <w:szCs w:val="20"/>
        </w:rPr>
        <w:t>486:1</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الأشباه و النظائر لابن نُجیم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المستمسک </w:t>
      </w:r>
      <w:r>
        <w:rPr>
          <w:rFonts w:eastAsia="IRNazanin" w:cs="IRNazanin"/>
          <w:b w:val="false"/>
          <w:bCs w:val="false"/>
          <w:i w:val="false"/>
          <w:iCs w:val="false"/>
          <w:color w:val="333333"/>
          <w:sz w:val="20"/>
          <w:szCs w:val="20"/>
        </w:rPr>
        <w:t>525:1</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دلیل العروة الوثقی </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742:1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صلاة القضاء</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المستمسک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کتاب الصلاة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العروة الوثقی </w:t>
      </w:r>
      <w:r>
        <w:rPr>
          <w:rFonts w:eastAsia="IRNazanin" w:cs="IRNazanin"/>
          <w:b w:val="false"/>
          <w:bCs w:val="false"/>
          <w:i w:val="false"/>
          <w:iCs w:val="false"/>
          <w:color w:val="333333"/>
          <w:sz w:val="20"/>
          <w:szCs w:val="20"/>
        </w:rPr>
        <w:t>358:4</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للقرطبی </w:t>
      </w:r>
      <w:r>
        <w:rPr>
          <w:rFonts w:eastAsia="IRNazanin" w:cs="IRNazanin"/>
          <w:b w:val="false"/>
          <w:bCs w:val="false"/>
          <w:i w:val="false"/>
          <w:iCs w:val="false"/>
          <w:color w:val="333333"/>
          <w:sz w:val="20"/>
          <w:szCs w:val="20"/>
        </w:rPr>
        <w:t>167:3</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364:12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لا ضرر لشیخ الشریعة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المباحة،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الأشباه و النظائر لابن نجیم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و للسیوطی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المسند للإمام أحمد بن حنبل </w:t>
      </w:r>
      <w:r>
        <w:rPr>
          <w:rFonts w:eastAsia="IRNazanin" w:cs="IRNazanin"/>
          <w:b w:val="false"/>
          <w:bCs w:val="false"/>
          <w:i w:val="false"/>
          <w:iCs w:val="false"/>
          <w:color w:val="333333"/>
          <w:sz w:val="20"/>
          <w:szCs w:val="20"/>
        </w:rPr>
        <w:t>672:1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2866</w:t>
      </w:r>
      <w:r>
        <w:rPr>
          <w:rFonts w:ascii="IRNazanin" w:hAnsi="IRNazanin" w:eastAsia="IRNazanin"/>
          <w:b w:val="false"/>
          <w:b w:val="false"/>
          <w:bCs w:val="false"/>
          <w:i w:val="false"/>
          <w:i w:val="false"/>
          <w:iCs w:val="false"/>
          <w:color w:val="333333"/>
          <w:sz w:val="20"/>
          <w:sz w:val="20"/>
          <w:szCs w:val="20"/>
          <w:rtl w:val="true"/>
        </w:rPr>
        <w:t>؛ الموطّأ للإمام مالک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1540</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469:36</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402:16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402:16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321:6</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338:8</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82:4</w:t>
      </w:r>
      <w:r>
        <w:rPr>
          <w:rFonts w:ascii="IRNazanin" w:hAnsi="IRNazanin" w:eastAsia="IRNazanin"/>
          <w:b w:val="false"/>
          <w:b w:val="false"/>
          <w:bCs w:val="false"/>
          <w:i w:val="false"/>
          <w:i w:val="false"/>
          <w:iCs w:val="false"/>
          <w:color w:val="333333"/>
          <w:sz w:val="20"/>
          <w:sz w:val="20"/>
          <w:szCs w:val="20"/>
          <w:rtl w:val="true"/>
        </w:rPr>
        <w:t xml:space="preserve">، کتاب الأطعمة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3741</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تبیین المسالک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404:4</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Pr>
        <w:t>310:20</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490:6</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2530:6</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صادر؛ تاج العروس </w:t>
      </w:r>
      <w:r>
        <w:rPr>
          <w:rFonts w:eastAsia="IRNazanin" w:cs="IRNazanin"/>
          <w:b w:val="false"/>
          <w:bCs w:val="false"/>
          <w:i w:val="false"/>
          <w:iCs w:val="false"/>
          <w:color w:val="333333"/>
          <w:sz w:val="20"/>
          <w:szCs w:val="20"/>
        </w:rPr>
        <w:t>315:20</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یقوم بکفالته</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311:20</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Pr>
        <w:t>315:20</w:t>
      </w:r>
      <w:r>
        <w:rPr>
          <w:rFonts w:ascii="IRNazanin" w:hAnsi="IRNazanin" w:eastAsia="IRNazanin"/>
          <w:b w:val="false"/>
          <w:b w:val="false"/>
          <w:bCs w:val="false"/>
          <w:i w:val="false"/>
          <w:i w:val="false"/>
          <w:iCs w:val="false"/>
          <w:color w:val="333333"/>
          <w:sz w:val="20"/>
          <w:sz w:val="20"/>
          <w:szCs w:val="20"/>
          <w:rtl w:val="true"/>
        </w:rPr>
        <w:t>، و اعلم أنّه قد ذکر فی اللغة للولیّ معانٍ کثیرة خارجة عن موضوع کلامنا هذا، مثل المحبّ، الصدیق، النصیر، المطیع، التابع، ابن العم، الجار، المعتق،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للمولی مواضع فی کلام العرب، المالک، العبد، الصاحب، القریب، و الحلیف، و الناصر، و الرَّب جلّ و علا، و السیّد، و العقید،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315:20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سعدی أبو حبیب؛ القاموس الفقهی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المفید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المولی ینقسم فی اللغة علی عشرة أوجه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أولی بکم، مالک الرقّ، المعتق، و الحلیف، الإمام و السیّد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سلسلة مؤلّفات الشیخ المفید، رسالة فی أقسام المولی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ردّ المحتار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فی أحکام المرأة </w:t>
      </w:r>
      <w:r>
        <w:rPr>
          <w:rFonts w:eastAsia="IRNazanin" w:cs="IRNazanin"/>
          <w:b w:val="false"/>
          <w:bCs w:val="false"/>
          <w:i w:val="false"/>
          <w:iCs w:val="false"/>
          <w:color w:val="333333"/>
          <w:sz w:val="20"/>
          <w:szCs w:val="20"/>
        </w:rPr>
        <w:t>339:6</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الإسلامی و أدلته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المکاسب و البیع للنائینی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المکاسب للمحقّق الأصفهانی </w:t>
      </w:r>
      <w:r>
        <w:rPr>
          <w:rFonts w:eastAsia="IRNazanin" w:cs="IRNazanin"/>
          <w:b w:val="false"/>
          <w:bCs w:val="false"/>
          <w:i w:val="false"/>
          <w:iCs w:val="false"/>
          <w:color w:val="333333"/>
          <w:sz w:val="20"/>
          <w:szCs w:val="20"/>
        </w:rPr>
        <w:t>379:2</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586:2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الحجری</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بلغة الفقیه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 من المصادر الفقهیّة</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الفقیه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الناصریات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 إلی نیل الفضیلة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276:2</w:t>
      </w:r>
      <w:r>
        <w:rPr>
          <w:rFonts w:ascii="IRNazanin" w:hAnsi="IRNazanin" w:eastAsia="IRNazanin"/>
          <w:b w:val="false"/>
          <w:b w:val="false"/>
          <w:bCs w:val="false"/>
          <w:i w:val="false"/>
          <w:i w:val="false"/>
          <w:iCs w:val="false"/>
          <w:color w:val="333333"/>
          <w:sz w:val="20"/>
          <w:sz w:val="20"/>
          <w:szCs w:val="20"/>
          <w:rtl w:val="true"/>
        </w:rPr>
        <w:t>؛ 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قواعد الأحکام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إرشاد الأذهان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مختلف الشیعة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203:23</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92:12</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387:6</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172:29</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النکاح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تراث الشیخ الأعظم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107:20</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مع تعلیقات عدّة من الفقهاء العظام </w:t>
      </w:r>
      <w:r>
        <w:rPr>
          <w:rFonts w:eastAsia="IRNazanin" w:cs="IRNazanin"/>
          <w:b w:val="false"/>
          <w:bCs w:val="false"/>
          <w:i w:val="false"/>
          <w:iCs w:val="false"/>
          <w:color w:val="333333"/>
          <w:sz w:val="20"/>
          <w:szCs w:val="20"/>
        </w:rPr>
        <w:t>623:5</w:t>
      </w:r>
      <w:r>
        <w:rPr>
          <w:rFonts w:ascii="IRNazanin" w:hAnsi="IRNazanin" w:eastAsia="IRNazanin"/>
          <w:b w:val="false"/>
          <w:b w:val="false"/>
          <w:bCs w:val="false"/>
          <w:i w:val="false"/>
          <w:i w:val="false"/>
          <w:iCs w:val="false"/>
          <w:color w:val="333333"/>
          <w:sz w:val="20"/>
          <w:sz w:val="20"/>
          <w:szCs w:val="20"/>
          <w:rtl w:val="true"/>
        </w:rPr>
        <w:t>؛ تفصیل الشریعة، 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560:2</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586:2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الناصریات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92:12</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385:6</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عدم دلالة الآیة الشریفة علی کون الأب و الجدّ ولی أمرها، بل الآیة تدلّ علی أنّ الذی بیده عقدة النکاح له العفو، و الروایة تفسّرها بولیّ الأمر مع أنّ الکلام فی أنّ الأب و الجدّ هل هما ولیّان أم لا؟ فتأمّل 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 ف</w:t>
      </w:r>
    </w:p>
  </w:footnote>
  <w:footnote w:id="2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شمول الآیة للصغیرة تأمّل جدّاً، سیما بقرینة نسائکم و هی لا تشمل الصغیرة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 ف</w:t>
      </w:r>
    </w:p>
  </w:footnote>
  <w:footnote w:id="2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207:14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528:17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الأزواج،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527:17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الأزواج،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561:2</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587:2</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92:12</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385:6</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560:2</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385:6</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205:14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205:14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197:29</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بالآثار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نیل الأوطار </w:t>
      </w:r>
      <w:r>
        <w:rPr>
          <w:rFonts w:eastAsia="IRNazanin" w:cs="IRNazanin"/>
          <w:b w:val="false"/>
          <w:bCs w:val="false"/>
          <w:i w:val="false"/>
          <w:iCs w:val="false"/>
          <w:color w:val="333333"/>
          <w:sz w:val="20"/>
          <w:szCs w:val="20"/>
        </w:rPr>
        <w:t>120:6</w:t>
      </w:r>
      <w:r>
        <w:rPr>
          <w:rFonts w:ascii="IRNazanin" w:hAnsi="IRNazanin" w:eastAsia="IRNazanin"/>
          <w:b w:val="false"/>
          <w:b w:val="false"/>
          <w:bCs w:val="false"/>
          <w:i w:val="false"/>
          <w:i w:val="false"/>
          <w:iCs w:val="false"/>
          <w:color w:val="333333"/>
          <w:sz w:val="20"/>
          <w:sz w:val="20"/>
          <w:szCs w:val="20"/>
          <w:rtl w:val="true"/>
        </w:rPr>
        <w:t xml:space="preserve">؛ بدائع الصنائع </w:t>
      </w:r>
      <w:r>
        <w:rPr>
          <w:rFonts w:eastAsia="IRNazanin" w:cs="IRNazanin"/>
          <w:b w:val="false"/>
          <w:bCs w:val="false"/>
          <w:i w:val="false"/>
          <w:iCs w:val="false"/>
          <w:color w:val="333333"/>
          <w:sz w:val="20"/>
          <w:szCs w:val="20"/>
        </w:rPr>
        <w:t>502:2</w:t>
      </w:r>
      <w:r>
        <w:rPr>
          <w:rFonts w:ascii="IRNazanin" w:hAnsi="IRNazanin" w:eastAsia="IRNazanin"/>
          <w:b w:val="false"/>
          <w:b w:val="false"/>
          <w:bCs w:val="false"/>
          <w:i w:val="false"/>
          <w:i w:val="false"/>
          <w:iCs w:val="false"/>
          <w:color w:val="333333"/>
          <w:sz w:val="20"/>
          <w:sz w:val="20"/>
          <w:szCs w:val="20"/>
          <w:rtl w:val="true"/>
        </w:rPr>
        <w:t>؛ المبسوط للسرخسی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212:4</w:t>
      </w:r>
      <w:r>
        <w:rPr>
          <w:rFonts w:ascii="IRNazanin" w:hAnsi="IRNazanin" w:eastAsia="IRNazanin"/>
          <w:b w:val="false"/>
          <w:b w:val="false"/>
          <w:bCs w:val="false"/>
          <w:i w:val="false"/>
          <w:i w:val="false"/>
          <w:iCs w:val="false"/>
          <w:color w:val="333333"/>
          <w:sz w:val="20"/>
          <w:sz w:val="20"/>
          <w:szCs w:val="20"/>
          <w:rtl w:val="true"/>
        </w:rPr>
        <w:t xml:space="preserve">، عثمان بتّی، و هو عثمان بن مسلم البتّی و کان ثقة، له أحادیث، و کان و صاحب رأی وفقه، تهذیب الکمال </w:t>
      </w:r>
      <w:r>
        <w:rPr>
          <w:rFonts w:eastAsia="IRNazanin" w:cs="IRNazanin"/>
          <w:b w:val="false"/>
          <w:bCs w:val="false"/>
          <w:i w:val="false"/>
          <w:iCs w:val="false"/>
          <w:color w:val="333333"/>
          <w:sz w:val="20"/>
          <w:szCs w:val="20"/>
        </w:rPr>
        <w:t>481:12</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للسرخسی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2704</w:t>
      </w:r>
      <w:r>
        <w:rPr>
          <w:rFonts w:ascii="IRNazanin" w:hAnsi="IRNazanin" w:eastAsia="IRNazanin"/>
          <w:b w:val="false"/>
          <w:b w:val="false"/>
          <w:bCs w:val="false"/>
          <w:i w:val="false"/>
          <w:i w:val="false"/>
          <w:iCs w:val="false"/>
          <w:color w:val="333333"/>
          <w:sz w:val="20"/>
          <w:sz w:val="20"/>
          <w:szCs w:val="20"/>
          <w:rtl w:val="true"/>
        </w:rPr>
        <w:t xml:space="preserve">؛ صحیح البخاری </w:t>
      </w:r>
      <w:r>
        <w:rPr>
          <w:rFonts w:eastAsia="IRNazanin" w:cs="IRNazanin"/>
          <w:b w:val="false"/>
          <w:bCs w:val="false"/>
          <w:i w:val="false"/>
          <w:iCs w:val="false"/>
          <w:color w:val="333333"/>
          <w:sz w:val="20"/>
          <w:szCs w:val="20"/>
        </w:rPr>
        <w:t>303:4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3894</w:t>
      </w:r>
      <w:r>
        <w:rPr>
          <w:rFonts w:ascii="IRNazanin" w:hAnsi="IRNazanin" w:eastAsia="IRNazanin"/>
          <w:b w:val="false"/>
          <w:b w:val="false"/>
          <w:bCs w:val="false"/>
          <w:i w:val="false"/>
          <w:i w:val="false"/>
          <w:iCs w:val="false"/>
          <w:color w:val="333333"/>
          <w:sz w:val="20"/>
          <w:sz w:val="20"/>
          <w:szCs w:val="20"/>
          <w:rtl w:val="true"/>
        </w:rPr>
        <w:t>؛ السنن الکبری للبیهقی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14049</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للسرخسی </w:t>
      </w:r>
      <w:r>
        <w:rPr>
          <w:rFonts w:eastAsia="IRNazanin" w:cs="IRNazanin"/>
          <w:b w:val="false"/>
          <w:bCs w:val="false"/>
          <w:i w:val="false"/>
          <w:iCs w:val="false"/>
          <w:color w:val="333333"/>
          <w:sz w:val="20"/>
          <w:szCs w:val="20"/>
        </w:rPr>
        <w:t>213:4</w:t>
      </w:r>
      <w:r>
        <w:rPr>
          <w:rFonts w:ascii="IRNazanin" w:hAnsi="IRNazanin" w:eastAsia="IRNazanin"/>
          <w:b w:val="false"/>
          <w:b w:val="false"/>
          <w:bCs w:val="false"/>
          <w:i w:val="false"/>
          <w:i w:val="false"/>
          <w:iCs w:val="false"/>
          <w:color w:val="333333"/>
          <w:sz w:val="20"/>
          <w:sz w:val="20"/>
          <w:szCs w:val="20"/>
          <w:rtl w:val="true"/>
        </w:rPr>
        <w:t xml:space="preserve">؛ المصنَّف لعبد الرزاق </w:t>
      </w:r>
      <w:r>
        <w:rPr>
          <w:rFonts w:eastAsia="IRNazanin" w:cs="IRNazanin"/>
          <w:b w:val="false"/>
          <w:bCs w:val="false"/>
          <w:i w:val="false"/>
          <w:iCs w:val="false"/>
          <w:color w:val="333333"/>
          <w:sz w:val="20"/>
          <w:szCs w:val="20"/>
        </w:rPr>
        <w:t>164:6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للبیهقی </w:t>
      </w:r>
      <w:r>
        <w:rPr>
          <w:rFonts w:eastAsia="IRNazanin" w:cs="IRNazanin"/>
          <w:b w:val="false"/>
          <w:bCs w:val="false"/>
          <w:i w:val="false"/>
          <w:iCs w:val="false"/>
          <w:color w:val="333333"/>
          <w:sz w:val="20"/>
          <w:szCs w:val="20"/>
        </w:rPr>
        <w:t>365:10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14123</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بالآثار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379:7</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فقه الإمام أحمد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الکبری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البنایة فی شرح الهدایة </w:t>
      </w:r>
      <w:r>
        <w:rPr>
          <w:rFonts w:eastAsia="IRNazanin" w:cs="IRNazanin"/>
          <w:b w:val="false"/>
          <w:bCs w:val="false"/>
          <w:i w:val="false"/>
          <w:iCs w:val="false"/>
          <w:color w:val="333333"/>
          <w:sz w:val="20"/>
          <w:szCs w:val="20"/>
        </w:rPr>
        <w:t>598:4</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تهذیب الکمال فی أسماء الرجال </w:t>
      </w:r>
      <w:r>
        <w:rPr>
          <w:rFonts w:eastAsia="IRNazanin" w:cs="IRNazanin"/>
          <w:b w:val="false"/>
          <w:bCs w:val="false"/>
          <w:i w:val="false"/>
          <w:iCs w:val="false"/>
          <w:color w:val="333333"/>
          <w:sz w:val="20"/>
          <w:szCs w:val="20"/>
        </w:rPr>
        <w:t>148:19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نعیم النحّام</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w:t>
      </w:r>
      <w:r>
        <w:rPr>
          <w:rFonts w:eastAsia="IRNazanin" w:cs="IRNazanin"/>
          <w:b w:val="false"/>
          <w:bCs w:val="false"/>
          <w:i w:val="false"/>
          <w:iCs w:val="false"/>
          <w:color w:val="333333"/>
          <w:sz w:val="20"/>
          <w:szCs w:val="20"/>
        </w:rPr>
        <w:t>311:10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13962</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397:2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2095</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209:14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بیان لمفهوم الوصف، فإنّ مفهوم الشرط من هذه الروایة أنّه لو لم یزوّجهما أبواهما فلیس بجائز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ح ف</w:t>
      </w:r>
    </w:p>
  </w:footnote>
  <w:footnote w:id="2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220:14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211:14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الواضح أنّ الخبر غیر دالّ علی حکم الصغیر أو الصغیرة، فإنّ کلمة رجل غیر شاملة للصغیر، هذا مضافاً إلی أنّ مورده هو کون الرجل غائباً،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مجال للاستدلال بترک الاستفصال فتبیّن من جمیع ذلک أنّه لا دلیل علی عدم ولایة الاُمّ إلاّ الإجماع، و هو کما 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 ف</w:t>
      </w:r>
    </w:p>
  </w:footnote>
  <w:footnote w:id="2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218:14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217:14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218:14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218:14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386:7</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326:15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213:14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171:29</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w:t>
      </w:r>
      <w:r>
        <w:rPr>
          <w:rFonts w:eastAsia="IRNazanin" w:cs="IRNazanin"/>
          <w:b w:val="false"/>
          <w:bCs w:val="false"/>
          <w:i w:val="false"/>
          <w:iCs w:val="false"/>
          <w:color w:val="333333"/>
          <w:sz w:val="20"/>
          <w:szCs w:val="20"/>
        </w:rPr>
        <w:t>437:14</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الشیعة </w:t>
      </w:r>
      <w:r>
        <w:rPr>
          <w:rFonts w:eastAsia="IRNazanin" w:cs="IRNazanin"/>
          <w:b w:val="false"/>
          <w:bCs w:val="false"/>
          <w:i w:val="false"/>
          <w:iCs w:val="false"/>
          <w:color w:val="333333"/>
          <w:sz w:val="20"/>
          <w:szCs w:val="20"/>
        </w:rPr>
        <w:t>62:15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القرابة الذکور الذین یُدلون بالذکور و هو جمع عاصب، مثل کَفَرة جمع کافر، و قد استعمل الفقهاء العصبة فی الواحد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المحرّر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219:4</w:t>
      </w:r>
      <w:r>
        <w:rPr>
          <w:rFonts w:ascii="IRNazanin" w:hAnsi="IRNazanin" w:eastAsia="IRNazanin"/>
          <w:b w:val="false"/>
          <w:b w:val="false"/>
          <w:bCs w:val="false"/>
          <w:i w:val="false"/>
          <w:i w:val="false"/>
          <w:iCs w:val="false"/>
          <w:color w:val="333333"/>
          <w:sz w:val="20"/>
          <w:sz w:val="20"/>
          <w:szCs w:val="20"/>
          <w:rtl w:val="true"/>
        </w:rPr>
        <w:t xml:space="preserve">، الإقناع </w:t>
      </w:r>
      <w:r>
        <w:rPr>
          <w:rFonts w:eastAsia="IRNazanin" w:cs="IRNazanin"/>
          <w:b w:val="false"/>
          <w:bCs w:val="false"/>
          <w:i w:val="false"/>
          <w:iCs w:val="false"/>
          <w:color w:val="333333"/>
          <w:sz w:val="20"/>
          <w:szCs w:val="20"/>
        </w:rPr>
        <w:t>173:3</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170:29</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385:6</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تحریر الأحکام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92:12</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385:6</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171:29</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للسرخسی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للسرخسی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بالآثار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الإقناع </w:t>
      </w:r>
      <w:r>
        <w:rPr>
          <w:rFonts w:eastAsia="IRNazanin" w:cs="IRNazanin"/>
          <w:b w:val="false"/>
          <w:bCs w:val="false"/>
          <w:i w:val="false"/>
          <w:iCs w:val="false"/>
          <w:color w:val="333333"/>
          <w:sz w:val="20"/>
          <w:szCs w:val="20"/>
        </w:rPr>
        <w:t>171:3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الناصریات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561:2</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الرموز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276:2</w:t>
      </w:r>
      <w:r>
        <w:rPr>
          <w:rFonts w:ascii="IRNazanin" w:hAnsi="IRNazanin" w:eastAsia="IRNazanin"/>
          <w:b w:val="false"/>
          <w:b w:val="false"/>
          <w:bCs w:val="false"/>
          <w:i w:val="false"/>
          <w:i w:val="false"/>
          <w:iCs w:val="false"/>
          <w:color w:val="333333"/>
          <w:sz w:val="20"/>
          <w:sz w:val="20"/>
          <w:szCs w:val="20"/>
          <w:rtl w:val="true"/>
        </w:rPr>
        <w:t xml:space="preserve">؛ قواعد الأحکام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إرشاد الأذهان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93:12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المرام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171:29</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865:2</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أکثر التعلیقات لأعلام العصر کالسادة العظام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الأصبهانی و البروجردی و عبد الهادی الشیرازی و الخوئی و الخمینی و الکلبایکانی، تفصیل الشریعة، 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204:23</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388:6</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388:6</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213:14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388:6</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171:29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217:14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218:14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219:14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218:14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219:14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w:t>
      </w:r>
      <w:r>
        <w:rPr>
          <w:rFonts w:eastAsia="IRNazanin" w:cs="IRNazanin"/>
          <w:b w:val="false"/>
          <w:bCs w:val="false"/>
          <w:i w:val="false"/>
          <w:iCs w:val="false"/>
          <w:color w:val="333333"/>
          <w:sz w:val="20"/>
          <w:szCs w:val="20"/>
        </w:rPr>
        <w:t>286:3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265:4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164:4</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390:7</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مختلف الشیعة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فقه القرآن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غنیة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195:2</w:t>
      </w:r>
      <w:r>
        <w:rPr>
          <w:rFonts w:ascii="IRNazanin" w:hAnsi="IRNazanin" w:eastAsia="IRNazanin"/>
          <w:b w:val="false"/>
          <w:b w:val="false"/>
          <w:bCs w:val="false"/>
          <w:i w:val="false"/>
          <w:i w:val="false"/>
          <w:iCs w:val="false"/>
          <w:color w:val="333333"/>
          <w:sz w:val="20"/>
          <w:sz w:val="20"/>
          <w:szCs w:val="20"/>
          <w:rtl w:val="true"/>
        </w:rPr>
        <w:t>؛ إصباح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218:14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الحقّ أنّه من باب مفهوم الشرط، و 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أبوها حیّاً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بمنزلة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أبوها حیّاً و أیضاً 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کان الجدّ مرضیّاً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بمنزلة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الجدّ مرضیّاً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کیف کان لا مجال للقول بأنّ الشرطیّة هنا لتحقیق الموضوع؛ فإنّه و إن سلّمنا کونه کذلک لکنّه لا یخرجه عن مفهوم الشرط و لا یدخله فی مفهوم الوصف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بعبارة اخری کون الشرط بتحقیق الموضوع إنّما یکون سبباً لعدم دلالته علی المفهوم و لا یکون سبباً لخروجه عن مفهوم الشرط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 ف</w:t>
      </w:r>
    </w:p>
  </w:footnote>
  <w:footnote w:id="2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171:29</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المرام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Pr>
        <w:t>296:1</w:t>
      </w:r>
      <w:r>
        <w:rPr>
          <w:rFonts w:ascii="IRNazanin" w:hAnsi="IRNazanin" w:eastAsia="IRNazanin"/>
          <w:b w:val="false"/>
          <w:b w:val="false"/>
          <w:bCs w:val="false"/>
          <w:i w:val="false"/>
          <w:i w:val="false"/>
          <w:iCs w:val="false"/>
          <w:color w:val="333333"/>
          <w:sz w:val="20"/>
          <w:sz w:val="20"/>
          <w:szCs w:val="20"/>
          <w:rtl w:val="true"/>
        </w:rPr>
        <w:t xml:space="preserve">، فوائد الأصول للنائینی </w:t>
      </w:r>
      <w:r>
        <w:rPr>
          <w:rFonts w:eastAsia="IRNazanin" w:cs="IRNazanin"/>
          <w:b w:val="false"/>
          <w:bCs w:val="false"/>
          <w:i w:val="false"/>
          <w:iCs w:val="false"/>
          <w:color w:val="333333"/>
          <w:sz w:val="20"/>
          <w:szCs w:val="20"/>
        </w:rPr>
        <w:t>483:2</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المکاسب للشیخ محمّد حسین الغروی الأصفهانی </w:t>
      </w:r>
      <w:r>
        <w:rPr>
          <w:rFonts w:eastAsia="IRNazanin" w:cs="IRNazanin"/>
          <w:b w:val="false"/>
          <w:bCs w:val="false"/>
          <w:i w:val="false"/>
          <w:iCs w:val="false"/>
          <w:color w:val="333333"/>
          <w:sz w:val="20"/>
          <w:szCs w:val="20"/>
        </w:rPr>
        <w:t>377:2</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w:t>
      </w:r>
      <w:r>
        <w:rPr>
          <w:rFonts w:eastAsia="IRNazanin" w:cs="IRNazanin"/>
          <w:b w:val="false"/>
          <w:bCs w:val="false"/>
          <w:i w:val="false"/>
          <w:iCs w:val="false"/>
          <w:color w:val="333333"/>
          <w:sz w:val="20"/>
          <w:szCs w:val="20"/>
        </w:rPr>
        <w:t>312:17</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العصبات قرابة الشخص الذکور من جهة الأب، کالأخ و العمّ و ابن العمّ، عصبة الرجل فی اللغة أبوه و بنوه و قرابته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سمّوا عصبةً لأنّهم عصبوا بنسبه، أی أحاطوا به حمایةً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الإسلامی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ج </w:t>
      </w:r>
      <w:r>
        <w:rPr>
          <w:rFonts w:eastAsia="IRNazanin" w:cs="IRNazanin"/>
          <w:b w:val="false"/>
          <w:bCs w:val="false"/>
          <w:i w:val="false"/>
          <w:iCs w:val="false"/>
          <w:color w:val="333333"/>
          <w:sz w:val="20"/>
          <w:szCs w:val="20"/>
        </w:rPr>
        <w:t>307:4</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الأمّ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للسرخسی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المزنی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المرام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الشرائع </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144:12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381:7</w:t>
      </w:r>
      <w:r>
        <w:rPr>
          <w:rFonts w:ascii="IRNazanin" w:hAnsi="IRNazanin" w:eastAsia="IRNazanin"/>
          <w:b w:val="false"/>
          <w:b w:val="false"/>
          <w:bCs w:val="false"/>
          <w:i w:val="false"/>
          <w:i w:val="false"/>
          <w:iCs w:val="false"/>
          <w:color w:val="333333"/>
          <w:sz w:val="20"/>
          <w:sz w:val="20"/>
          <w:szCs w:val="20"/>
          <w:rtl w:val="true"/>
        </w:rPr>
        <w:t xml:space="preserve">؛ مغنی المحتاج </w:t>
      </w:r>
      <w:r>
        <w:rPr>
          <w:rFonts w:eastAsia="IRNazanin" w:cs="IRNazanin"/>
          <w:b w:val="false"/>
          <w:bCs w:val="false"/>
          <w:i w:val="false"/>
          <w:iCs w:val="false"/>
          <w:color w:val="333333"/>
          <w:sz w:val="20"/>
          <w:szCs w:val="20"/>
        </w:rPr>
        <w:t>149:3</w:t>
      </w:r>
      <w:r>
        <w:rPr>
          <w:rFonts w:ascii="IRNazanin" w:hAnsi="IRNazanin" w:eastAsia="IRNazanin"/>
          <w:b w:val="false"/>
          <w:b w:val="false"/>
          <w:bCs w:val="false"/>
          <w:i w:val="false"/>
          <w:i w:val="false"/>
          <w:iCs w:val="false"/>
          <w:color w:val="333333"/>
          <w:sz w:val="20"/>
          <w:sz w:val="20"/>
          <w:szCs w:val="20"/>
          <w:rtl w:val="true"/>
        </w:rPr>
        <w:t xml:space="preserve">؛ المجموع شرح المهذّب </w:t>
      </w:r>
      <w:r>
        <w:rPr>
          <w:rFonts w:eastAsia="IRNazanin" w:cs="IRNazanin"/>
          <w:b w:val="false"/>
          <w:bCs w:val="false"/>
          <w:i w:val="false"/>
          <w:iCs w:val="false"/>
          <w:color w:val="333333"/>
          <w:sz w:val="20"/>
          <w:szCs w:val="20"/>
        </w:rPr>
        <w:t>354:17</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510:2</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180:2</w:t>
      </w:r>
      <w:r>
        <w:rPr>
          <w:rFonts w:ascii="IRNazanin" w:hAnsi="IRNazanin" w:eastAsia="IRNazanin"/>
          <w:b w:val="false"/>
          <w:b w:val="false"/>
          <w:bCs w:val="false"/>
          <w:i w:val="false"/>
          <w:i w:val="false"/>
          <w:iCs w:val="false"/>
          <w:color w:val="333333"/>
          <w:sz w:val="20"/>
          <w:sz w:val="20"/>
          <w:szCs w:val="20"/>
          <w:rtl w:val="true"/>
        </w:rPr>
        <w:t>، الطبع الحجری</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المستمسک </w:t>
      </w:r>
      <w:r>
        <w:rPr>
          <w:rFonts w:eastAsia="IRNazanin" w:cs="IRNazanin"/>
          <w:b w:val="false"/>
          <w:bCs w:val="false"/>
          <w:i w:val="false"/>
          <w:iCs w:val="false"/>
          <w:color w:val="333333"/>
          <w:sz w:val="20"/>
          <w:szCs w:val="20"/>
        </w:rPr>
        <w:t>456:14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بشیء من التصرف</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155:7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198:29</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 الشیخ الأعظم، کتاب النکاح </w:t>
      </w:r>
      <w:r>
        <w:rPr>
          <w:rFonts w:eastAsia="IRNazanin" w:cs="IRNazanin"/>
          <w:b w:val="false"/>
          <w:bCs w:val="false"/>
          <w:i w:val="false"/>
          <w:iCs w:val="false"/>
          <w:color w:val="333333"/>
          <w:sz w:val="20"/>
          <w:szCs w:val="20"/>
        </w:rPr>
        <w:t>168:20</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167:16</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866:2</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167:16</w:t>
      </w:r>
      <w:r>
        <w:rPr>
          <w:rFonts w:ascii="IRNazanin" w:hAnsi="IRNazanin" w:eastAsia="IRNazanin"/>
          <w:b w:val="false"/>
          <w:b w:val="false"/>
          <w:bCs w:val="false"/>
          <w:i w:val="false"/>
          <w:i w:val="false"/>
          <w:iCs w:val="false"/>
          <w:color w:val="333333"/>
          <w:sz w:val="20"/>
          <w:sz w:val="20"/>
          <w:szCs w:val="20"/>
          <w:rtl w:val="true"/>
        </w:rPr>
        <w:t xml:space="preserve">؛ مستند العروة، کتاب النکاح </w:t>
      </w:r>
      <w:r>
        <w:rPr>
          <w:rFonts w:eastAsia="IRNazanin" w:cs="IRNazanin"/>
          <w:b w:val="false"/>
          <w:bCs w:val="false"/>
          <w:i w:val="false"/>
          <w:iCs w:val="false"/>
          <w:color w:val="333333"/>
          <w:sz w:val="20"/>
          <w:szCs w:val="20"/>
        </w:rPr>
        <w:t>281:2</w:t>
      </w:r>
      <w:r>
        <w:rPr>
          <w:rFonts w:ascii="IRNazanin" w:hAnsi="IRNazanin" w:eastAsia="IRNazanin"/>
          <w:b w:val="false"/>
          <w:b w:val="false"/>
          <w:bCs w:val="false"/>
          <w:i w:val="false"/>
          <w:i w:val="false"/>
          <w:iCs w:val="false"/>
          <w:color w:val="333333"/>
          <w:sz w:val="20"/>
          <w:sz w:val="20"/>
          <w:szCs w:val="20"/>
          <w:rtl w:val="true"/>
        </w:rPr>
        <w:t xml:space="preserve">؛ المستمسک </w:t>
      </w:r>
      <w:r>
        <w:rPr>
          <w:rFonts w:eastAsia="IRNazanin" w:cs="IRNazanin"/>
          <w:b w:val="false"/>
          <w:bCs w:val="false"/>
          <w:i w:val="false"/>
          <w:iCs w:val="false"/>
          <w:color w:val="333333"/>
          <w:sz w:val="20"/>
          <w:szCs w:val="20"/>
        </w:rPr>
        <w:t>455:14</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268:24</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218:14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کتاب النکاح </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بتوضیح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سیاق هذه الروایة و التی وردت فی بیان تزویج بنت الأخ و الأخت علی العمّة و الخالة من حیث رضایتهما به واحد، فإنّه ورد فی حدیث علیّ بن جعفر، عن أخیه موسی بن جعفر علیهما السلام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تزوّج بنت الأخ و الأخت علی العمّة و الخالة إلاّ برضاء منهما، فمن فعل ذلک فنکاحه 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375:14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218:14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866:2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فی أولیاء العقد مسألة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الأمّ للشافعی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381:7</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510:2</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أوجز المسالک </w:t>
      </w:r>
      <w:r>
        <w:rPr>
          <w:rFonts w:eastAsia="IRNazanin" w:cs="IRNazanin"/>
          <w:b w:val="false"/>
          <w:bCs w:val="false"/>
          <w:i w:val="false"/>
          <w:iCs w:val="false"/>
          <w:color w:val="333333"/>
          <w:sz w:val="20"/>
          <w:szCs w:val="20"/>
        </w:rPr>
        <w:t>283:9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لم یبق موضوع لصحّة نکاح الآخر</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561:2</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278:2</w:t>
      </w:r>
      <w:r>
        <w:rPr>
          <w:rFonts w:ascii="IRNazanin" w:hAnsi="IRNazanin" w:eastAsia="IRNazanin"/>
          <w:b w:val="false"/>
          <w:b w:val="false"/>
          <w:bCs w:val="false"/>
          <w:i w:val="false"/>
          <w:i w:val="false"/>
          <w:iCs w:val="false"/>
          <w:color w:val="333333"/>
          <w:sz w:val="20"/>
          <w:sz w:val="20"/>
          <w:szCs w:val="20"/>
          <w:rtl w:val="true"/>
        </w:rPr>
        <w:t>؛ 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قواعد الأحکام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قدیمة</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الدمشقیة </w:t>
      </w:r>
      <w:r>
        <w:rPr>
          <w:rFonts w:eastAsia="IRNazanin" w:cs="IRNazanin"/>
          <w:b w:val="false"/>
          <w:bCs w:val="false"/>
          <w:i w:val="false"/>
          <w:iCs w:val="false"/>
          <w:color w:val="333333"/>
          <w:sz w:val="20"/>
          <w:szCs w:val="20"/>
        </w:rPr>
        <w:t>150:5</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169:7</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208:29</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103:12</w:t>
      </w:r>
      <w:r>
        <w:rPr>
          <w:rFonts w:ascii="IRNazanin" w:hAnsi="IRNazanin" w:eastAsia="IRNazanin"/>
          <w:b w:val="false"/>
          <w:b w:val="false"/>
          <w:bCs w:val="false"/>
          <w:i w:val="false"/>
          <w:i w:val="false"/>
          <w:iCs w:val="false"/>
          <w:color w:val="333333"/>
          <w:sz w:val="20"/>
          <w:sz w:val="20"/>
          <w:szCs w:val="20"/>
          <w:rtl w:val="true"/>
        </w:rPr>
        <w:t xml:space="preserve">؛ الریاض </w:t>
      </w:r>
      <w:r>
        <w:rPr>
          <w:rFonts w:eastAsia="IRNazanin" w:cs="IRNazanin"/>
          <w:b w:val="false"/>
          <w:bCs w:val="false"/>
          <w:i w:val="false"/>
          <w:iCs w:val="false"/>
          <w:color w:val="333333"/>
          <w:sz w:val="20"/>
          <w:szCs w:val="20"/>
        </w:rPr>
        <w:t>391:6</w:t>
      </w:r>
      <w:r>
        <w:rPr>
          <w:rFonts w:ascii="IRNazanin" w:hAnsi="IRNazanin" w:eastAsia="IRNazanin"/>
          <w:b w:val="false"/>
          <w:b w:val="false"/>
          <w:bCs w:val="false"/>
          <w:i w:val="false"/>
          <w:i w:val="false"/>
          <w:iCs w:val="false"/>
          <w:color w:val="333333"/>
          <w:sz w:val="20"/>
          <w:sz w:val="20"/>
          <w:szCs w:val="20"/>
          <w:rtl w:val="true"/>
        </w:rPr>
        <w:t>؛ تراث الشیخ الأعظم، 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العروة الوثقی و التعلیقات علیها </w:t>
      </w:r>
      <w:r>
        <w:rPr>
          <w:rFonts w:eastAsia="IRNazanin" w:cs="IRNazanin"/>
          <w:b w:val="false"/>
          <w:bCs w:val="false"/>
          <w:i w:val="false"/>
          <w:iCs w:val="false"/>
          <w:color w:val="333333"/>
          <w:sz w:val="20"/>
          <w:szCs w:val="20"/>
        </w:rPr>
        <w:t>867:2</w:t>
      </w:r>
      <w:r>
        <w:rPr>
          <w:rFonts w:ascii="IRNazanin" w:hAnsi="IRNazanin" w:eastAsia="IRNazanin"/>
          <w:b w:val="false"/>
          <w:b w:val="false"/>
          <w:bCs w:val="false"/>
          <w:i w:val="false"/>
          <w:i w:val="false"/>
          <w:iCs w:val="false"/>
          <w:color w:val="333333"/>
          <w:sz w:val="20"/>
          <w:sz w:val="20"/>
          <w:szCs w:val="20"/>
          <w:rtl w:val="true"/>
        </w:rPr>
        <w:t xml:space="preserve">؛ 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561:2</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229:4</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561:2</w:t>
      </w:r>
      <w:r>
        <w:rPr>
          <w:rFonts w:ascii="IRNazanin" w:hAnsi="IRNazanin" w:eastAsia="IRNazanin"/>
          <w:b w:val="false"/>
          <w:b w:val="false"/>
          <w:bCs w:val="false"/>
          <w:i w:val="false"/>
          <w:i w:val="false"/>
          <w:iCs w:val="false"/>
          <w:color w:val="333333"/>
          <w:sz w:val="20"/>
          <w:sz w:val="20"/>
          <w:szCs w:val="20"/>
          <w:rtl w:val="true"/>
        </w:rPr>
        <w:t xml:space="preserve">؛ التذکرة </w:t>
      </w:r>
      <w:r>
        <w:rPr>
          <w:rFonts w:eastAsia="IRNazanin" w:cs="IRNazanin"/>
          <w:b w:val="false"/>
          <w:bCs w:val="false"/>
          <w:i w:val="false"/>
          <w:iCs w:val="false"/>
          <w:color w:val="333333"/>
          <w:sz w:val="20"/>
          <w:szCs w:val="20"/>
        </w:rPr>
        <w:t>596:2</w:t>
      </w:r>
      <w:r>
        <w:rPr>
          <w:rFonts w:ascii="IRNazanin" w:hAnsi="IRNazanin" w:eastAsia="IRNazanin"/>
          <w:b w:val="false"/>
          <w:b w:val="false"/>
          <w:bCs w:val="false"/>
          <w:i w:val="false"/>
          <w:i w:val="false"/>
          <w:iCs w:val="false"/>
          <w:color w:val="333333"/>
          <w:sz w:val="20"/>
          <w:sz w:val="20"/>
          <w:szCs w:val="20"/>
          <w:rtl w:val="true"/>
        </w:rPr>
        <w:t>؛ الغنیة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209:29</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218:14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395:5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للنائینی </w:t>
      </w:r>
      <w:r>
        <w:rPr>
          <w:rFonts w:eastAsia="IRNazanin" w:cs="IRNazanin"/>
          <w:b w:val="false"/>
          <w:bCs w:val="false"/>
          <w:i w:val="false"/>
          <w:iCs w:val="false"/>
          <w:color w:val="333333"/>
          <w:sz w:val="20"/>
          <w:szCs w:val="20"/>
        </w:rPr>
        <w:t>510:4</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211:29</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867:2</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ط مؤسسة آل البیت علیهم السلام</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Pr>
        <w:t>480:2</w:t>
      </w:r>
      <w:r>
        <w:rPr>
          <w:rFonts w:ascii="IRNazanin" w:hAnsi="IRNazanin" w:eastAsia="IRNazanin"/>
          <w:b w:val="false"/>
          <w:b w:val="false"/>
          <w:bCs w:val="false"/>
          <w:i w:val="false"/>
          <w:i w:val="false"/>
          <w:iCs w:val="false"/>
          <w:color w:val="333333"/>
          <w:sz w:val="20"/>
          <w:sz w:val="20"/>
          <w:szCs w:val="20"/>
          <w:rtl w:val="true"/>
        </w:rPr>
        <w:t xml:space="preserve">؛ فرائد الأصول </w:t>
      </w:r>
      <w:r>
        <w:rPr>
          <w:rFonts w:eastAsia="IRNazanin" w:cs="IRNazanin"/>
          <w:b w:val="false"/>
          <w:bCs w:val="false"/>
          <w:i w:val="false"/>
          <w:iCs w:val="false"/>
          <w:color w:val="333333"/>
          <w:sz w:val="20"/>
          <w:szCs w:val="20"/>
        </w:rPr>
        <w:t>667:2</w:t>
      </w:r>
      <w:r>
        <w:rPr>
          <w:rFonts w:ascii="IRNazanin" w:hAnsi="IRNazanin" w:eastAsia="IRNazanin"/>
          <w:b w:val="false"/>
          <w:b w:val="false"/>
          <w:bCs w:val="false"/>
          <w:i w:val="false"/>
          <w:i w:val="false"/>
          <w:iCs w:val="false"/>
          <w:color w:val="333333"/>
          <w:sz w:val="20"/>
          <w:sz w:val="20"/>
          <w:szCs w:val="20"/>
          <w:rtl w:val="true"/>
        </w:rPr>
        <w:t xml:space="preserve">؛ فوائد الأصول للنائینی </w:t>
      </w:r>
      <w:r>
        <w:rPr>
          <w:rFonts w:eastAsia="IRNazanin" w:cs="IRNazanin"/>
          <w:b w:val="false"/>
          <w:bCs w:val="false"/>
          <w:i w:val="false"/>
          <w:iCs w:val="false"/>
          <w:color w:val="333333"/>
          <w:sz w:val="20"/>
          <w:szCs w:val="20"/>
        </w:rPr>
        <w:t>509:4</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النکاح</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867:2</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218:14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المستمسک </w:t>
      </w:r>
      <w:r>
        <w:rPr>
          <w:rFonts w:eastAsia="IRNazanin" w:cs="IRNazanin"/>
          <w:b w:val="false"/>
          <w:bCs w:val="false"/>
          <w:i w:val="false"/>
          <w:iCs w:val="false"/>
          <w:color w:val="333333"/>
          <w:sz w:val="20"/>
          <w:szCs w:val="20"/>
        </w:rPr>
        <w:t>465:14</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867:2</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المستمسک </w:t>
      </w:r>
      <w:r>
        <w:rPr>
          <w:rFonts w:eastAsia="IRNazanin" w:cs="IRNazanin"/>
          <w:b w:val="false"/>
          <w:bCs w:val="false"/>
          <w:i w:val="false"/>
          <w:iCs w:val="false"/>
          <w:color w:val="333333"/>
          <w:sz w:val="20"/>
          <w:szCs w:val="20"/>
        </w:rPr>
        <w:t>465:14</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211:29</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المستمسک </w:t>
      </w:r>
      <w:r>
        <w:rPr>
          <w:rFonts w:eastAsia="IRNazanin" w:cs="IRNazanin"/>
          <w:b w:val="false"/>
          <w:bCs w:val="false"/>
          <w:i w:val="false"/>
          <w:iCs w:val="false"/>
          <w:color w:val="333333"/>
          <w:sz w:val="20"/>
          <w:szCs w:val="20"/>
        </w:rPr>
        <w:t>465:14</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و أحکام الدعوی،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173:12</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المرام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419:6</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مقاییس اللغة </w:t>
      </w:r>
      <w:r>
        <w:rPr>
          <w:rFonts w:eastAsia="IRNazanin" w:cs="IRNazanin"/>
          <w:b w:val="false"/>
          <w:bCs w:val="false"/>
          <w:i w:val="false"/>
          <w:iCs w:val="false"/>
          <w:color w:val="333333"/>
          <w:sz w:val="20"/>
          <w:szCs w:val="20"/>
        </w:rPr>
        <w:t>178:3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شحّ</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269:4</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176:4</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561:2</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594:2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269:4</w:t>
      </w:r>
      <w:r>
        <w:rPr>
          <w:rFonts w:ascii="IRNazanin" w:hAnsi="IRNazanin" w:eastAsia="IRNazanin"/>
          <w:b w:val="false"/>
          <w:b w:val="false"/>
          <w:bCs w:val="false"/>
          <w:i w:val="false"/>
          <w:i w:val="false"/>
          <w:iCs w:val="false"/>
          <w:color w:val="333333"/>
          <w:sz w:val="20"/>
          <w:sz w:val="20"/>
          <w:szCs w:val="20"/>
          <w:rtl w:val="true"/>
        </w:rPr>
        <w:t>؛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الغنیة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195:2</w:t>
      </w:r>
      <w:r>
        <w:rPr>
          <w:rFonts w:ascii="IRNazanin" w:hAnsi="IRNazanin" w:eastAsia="IRNazanin"/>
          <w:b w:val="false"/>
          <w:b w:val="false"/>
          <w:bCs w:val="false"/>
          <w:i w:val="false"/>
          <w:i w:val="false"/>
          <w:iCs w:val="false"/>
          <w:color w:val="333333"/>
          <w:sz w:val="20"/>
          <w:sz w:val="20"/>
          <w:szCs w:val="20"/>
          <w:rtl w:val="true"/>
        </w:rPr>
        <w:t>؛ 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إصباح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278:2</w:t>
      </w:r>
      <w:r>
        <w:rPr>
          <w:rFonts w:ascii="IRNazanin" w:hAnsi="IRNazanin" w:eastAsia="IRNazanin"/>
          <w:b w:val="false"/>
          <w:b w:val="false"/>
          <w:bCs w:val="false"/>
          <w:i w:val="false"/>
          <w:i w:val="false"/>
          <w:iCs w:val="false"/>
          <w:color w:val="333333"/>
          <w:sz w:val="20"/>
          <w:sz w:val="20"/>
          <w:szCs w:val="20"/>
          <w:rtl w:val="true"/>
        </w:rPr>
        <w:t xml:space="preserve">؛ قواعد الأحکام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إرشاد الأذهان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391:6</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169:7</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103:12</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206:16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209:29</w:t>
      </w:r>
      <w:r>
        <w:rPr>
          <w:rFonts w:ascii="IRNazanin" w:hAnsi="IRNazanin" w:eastAsia="IRNazanin"/>
          <w:b w:val="false"/>
          <w:b w:val="false"/>
          <w:bCs w:val="false"/>
          <w:i w:val="false"/>
          <w:i w:val="false"/>
          <w:iCs w:val="false"/>
          <w:color w:val="333333"/>
          <w:sz w:val="20"/>
          <w:sz w:val="20"/>
          <w:szCs w:val="20"/>
          <w:rtl w:val="true"/>
        </w:rPr>
        <w:t xml:space="preserve">؛ العروة الوثقی </w:t>
      </w:r>
      <w:r>
        <w:rPr>
          <w:rFonts w:eastAsia="IRNazanin" w:cs="IRNazanin"/>
          <w:b w:val="false"/>
          <w:bCs w:val="false"/>
          <w:i w:val="false"/>
          <w:iCs w:val="false"/>
          <w:color w:val="333333"/>
          <w:sz w:val="20"/>
          <w:szCs w:val="20"/>
        </w:rPr>
        <w:t>867:2</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الهوی مقصور، مصدر هویته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تعب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أحْبَبْتَهُ و عَلِقْتَ به، ثمّ أطلق علی میل النفس و انحرافها نحو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Pr>
        <w:t>643:2</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217:14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218:14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278:2</w:t>
      </w:r>
      <w:r>
        <w:rPr>
          <w:rFonts w:eastAsia="IRNazanin" w:cs="IRNazanin"/>
          <w:b w:val="false"/>
          <w:bCs w:val="false"/>
          <w:i w:val="false"/>
          <w:iCs w:val="false"/>
          <w:color w:val="333333"/>
          <w:sz w:val="20"/>
          <w:szCs w:val="20"/>
          <w:rtl w:val="true"/>
        </w:rPr>
        <w:t>.</w:t>
      </w:r>
    </w:p>
  </w:footnote>
  <w:footnote w:id="2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209:29</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کتاب النکاح </w:t>
      </w:r>
      <w:r>
        <w:rPr>
          <w:rFonts w:eastAsia="IRNazanin" w:cs="IRNazanin"/>
          <w:b w:val="false"/>
          <w:bCs w:val="false"/>
          <w:i w:val="false"/>
          <w:iCs w:val="false"/>
          <w:color w:val="333333"/>
          <w:sz w:val="20"/>
          <w:szCs w:val="20"/>
        </w:rPr>
        <w:t>293:2</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المستمسک </w:t>
      </w:r>
      <w:r>
        <w:rPr>
          <w:rFonts w:eastAsia="IRNazanin" w:cs="IRNazanin"/>
          <w:b w:val="false"/>
          <w:bCs w:val="false"/>
          <w:i w:val="false"/>
          <w:iCs w:val="false"/>
          <w:color w:val="333333"/>
          <w:sz w:val="20"/>
          <w:szCs w:val="20"/>
        </w:rPr>
        <w:t>466:14</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561:2</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2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169:7</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217:14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217:14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218:4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و أولیاء العقد،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209:29</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561:2</w:t>
      </w:r>
      <w:r>
        <w:rPr>
          <w:rFonts w:ascii="IRNazanin" w:hAnsi="IRNazanin" w:eastAsia="IRNazanin"/>
          <w:b w:val="false"/>
          <w:b w:val="false"/>
          <w:bCs w:val="false"/>
          <w:i w:val="false"/>
          <w:i w:val="false"/>
          <w:iCs w:val="false"/>
          <w:color w:val="333333"/>
          <w:sz w:val="20"/>
          <w:sz w:val="20"/>
          <w:szCs w:val="20"/>
          <w:rtl w:val="true"/>
        </w:rPr>
        <w:t>؛ الغنیة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للسرخسی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الدسوقی علی الشرح الکبیر </w:t>
      </w:r>
      <w:r>
        <w:rPr>
          <w:rFonts w:eastAsia="IRNazanin" w:cs="IRNazanin"/>
          <w:b w:val="false"/>
          <w:bCs w:val="false"/>
          <w:i w:val="false"/>
          <w:iCs w:val="false"/>
          <w:color w:val="333333"/>
          <w:sz w:val="20"/>
          <w:szCs w:val="20"/>
        </w:rPr>
        <w:t>225:2</w:t>
      </w:r>
      <w:r>
        <w:rPr>
          <w:rFonts w:ascii="IRNazanin" w:hAnsi="IRNazanin" w:eastAsia="IRNazanin"/>
          <w:b w:val="false"/>
          <w:b w:val="false"/>
          <w:bCs w:val="false"/>
          <w:i w:val="false"/>
          <w:i w:val="false"/>
          <w:iCs w:val="false"/>
          <w:color w:val="333333"/>
          <w:sz w:val="20"/>
          <w:sz w:val="20"/>
          <w:szCs w:val="20"/>
          <w:rtl w:val="true"/>
        </w:rPr>
        <w:t xml:space="preserve">، عقد الجواهر الثمینة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w:t>
      </w:r>
      <w:r>
        <w:rPr>
          <w:rFonts w:eastAsia="IRNazanin" w:cs="IRNazanin"/>
          <w:b w:val="false"/>
          <w:bCs w:val="false"/>
          <w:i w:val="false"/>
          <w:iCs w:val="false"/>
          <w:color w:val="333333"/>
          <w:sz w:val="20"/>
          <w:szCs w:val="20"/>
        </w:rPr>
        <w:t>151:3</w:t>
      </w:r>
      <w:r>
        <w:rPr>
          <w:rFonts w:ascii="IRNazanin" w:hAnsi="IRNazanin" w:eastAsia="IRNazanin"/>
          <w:b w:val="false"/>
          <w:b w:val="false"/>
          <w:bCs w:val="false"/>
          <w:i w:val="false"/>
          <w:i w:val="false"/>
          <w:iCs w:val="false"/>
          <w:color w:val="333333"/>
          <w:sz w:val="20"/>
          <w:sz w:val="20"/>
          <w:szCs w:val="20"/>
          <w:rtl w:val="true"/>
        </w:rPr>
        <w:t xml:space="preserve">؛ نهایة المحتاج </w:t>
      </w:r>
      <w:r>
        <w:rPr>
          <w:rFonts w:eastAsia="IRNazanin" w:cs="IRNazanin"/>
          <w:b w:val="false"/>
          <w:bCs w:val="false"/>
          <w:i w:val="false"/>
          <w:iCs w:val="false"/>
          <w:color w:val="333333"/>
          <w:sz w:val="20"/>
          <w:szCs w:val="20"/>
        </w:rPr>
        <w:t>231:6</w:t>
      </w:r>
      <w:r>
        <w:rPr>
          <w:rFonts w:ascii="IRNazanin" w:hAnsi="IRNazanin" w:eastAsia="IRNazanin"/>
          <w:b w:val="false"/>
          <w:b w:val="false"/>
          <w:bCs w:val="false"/>
          <w:i w:val="false"/>
          <w:i w:val="false"/>
          <w:iCs w:val="false"/>
          <w:color w:val="333333"/>
          <w:sz w:val="20"/>
          <w:sz w:val="20"/>
          <w:szCs w:val="20"/>
          <w:rtl w:val="true"/>
        </w:rPr>
        <w:t xml:space="preserve">؛ المجموع شرح المهذّب </w:t>
      </w:r>
      <w:r>
        <w:rPr>
          <w:rFonts w:eastAsia="IRNazanin" w:cs="IRNazanin"/>
          <w:b w:val="false"/>
          <w:bCs w:val="false"/>
          <w:i w:val="false"/>
          <w:iCs w:val="false"/>
          <w:color w:val="333333"/>
          <w:sz w:val="20"/>
          <w:szCs w:val="20"/>
        </w:rPr>
        <w:t>313:17</w:t>
      </w:r>
      <w:r>
        <w:rPr>
          <w:rFonts w:ascii="IRNazanin" w:hAnsi="IRNazanin" w:eastAsia="IRNazanin"/>
          <w:b w:val="false"/>
          <w:b w:val="false"/>
          <w:bCs w:val="false"/>
          <w:i w:val="false"/>
          <w:i w:val="false"/>
          <w:iCs w:val="false"/>
          <w:color w:val="333333"/>
          <w:sz w:val="20"/>
          <w:sz w:val="20"/>
          <w:szCs w:val="20"/>
          <w:rtl w:val="true"/>
        </w:rPr>
        <w:t xml:space="preserve">؛ روضة الطالبین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الإمام حنبل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المغنی و الشرح الکبیر </w:t>
      </w:r>
      <w:r>
        <w:rPr>
          <w:rFonts w:eastAsia="IRNazanin" w:cs="IRNazanin"/>
          <w:b w:val="false"/>
          <w:bCs w:val="false"/>
          <w:i w:val="false"/>
          <w:iCs w:val="false"/>
          <w:color w:val="333333"/>
          <w:sz w:val="20"/>
          <w:szCs w:val="20"/>
        </w:rPr>
        <w:t>347:7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للسرخسی </w:t>
      </w:r>
      <w:r>
        <w:rPr>
          <w:rFonts w:eastAsia="IRNazanin" w:cs="IRNazanin"/>
          <w:b w:val="false"/>
          <w:bCs w:val="false"/>
          <w:i w:val="false"/>
          <w:iCs w:val="false"/>
          <w:color w:val="333333"/>
          <w:sz w:val="20"/>
          <w:szCs w:val="20"/>
        </w:rPr>
        <w:t>218:4</w:t>
      </w:r>
      <w:r>
        <w:rPr>
          <w:rFonts w:ascii="IRNazanin" w:hAnsi="IRNazanin" w:eastAsia="IRNazanin"/>
          <w:b w:val="false"/>
          <w:b w:val="false"/>
          <w:bCs w:val="false"/>
          <w:i w:val="false"/>
          <w:i w:val="false"/>
          <w:iCs w:val="false"/>
          <w:color w:val="333333"/>
          <w:sz w:val="20"/>
          <w:sz w:val="20"/>
          <w:szCs w:val="20"/>
          <w:rtl w:val="true"/>
        </w:rPr>
        <w:t>؛ جامع أحکام الصغار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521:2</w:t>
      </w:r>
      <w:r>
        <w:rPr>
          <w:rFonts w:eastAsia="IRNazanin" w:cs="IRNazanin"/>
          <w:b w:val="false"/>
          <w:bCs w:val="false"/>
          <w:i w:val="false"/>
          <w:iCs w:val="false"/>
          <w:color w:val="333333"/>
          <w:sz w:val="20"/>
          <w:szCs w:val="20"/>
          <w:rtl w:val="true"/>
        </w:rPr>
        <w:t>.</w:t>
      </w:r>
    </w:p>
  </w:footnote>
  <w:footnote w:id="2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فقه الإمام أحمد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و الشرح الکبیر </w:t>
      </w:r>
      <w:r>
        <w:rPr>
          <w:rFonts w:eastAsia="IRNazanin" w:cs="IRNazanin"/>
          <w:b w:val="false"/>
          <w:bCs w:val="false"/>
          <w:i w:val="false"/>
          <w:iCs w:val="false"/>
          <w:color w:val="333333"/>
          <w:sz w:val="20"/>
          <w:szCs w:val="20"/>
        </w:rPr>
        <w:t>405:7</w:t>
      </w:r>
      <w:r>
        <w:rPr>
          <w:rFonts w:eastAsia="IRNazanin" w:cs="IRNazanin"/>
          <w:b w:val="false"/>
          <w:bCs w:val="false"/>
          <w:i w:val="false"/>
          <w:iCs w:val="false"/>
          <w:color w:val="333333"/>
          <w:sz w:val="20"/>
          <w:szCs w:val="20"/>
          <w:rtl w:val="true"/>
        </w:rPr>
        <w:t>.</w:t>
      </w:r>
    </w:p>
  </w:footnote>
  <w:footnote w:id="2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w:t>
      </w:r>
      <w:r>
        <w:rPr>
          <w:rFonts w:eastAsia="IRNazanin" w:cs="IRNazanin"/>
          <w:b w:val="false"/>
          <w:bCs w:val="false"/>
          <w:i w:val="false"/>
          <w:iCs w:val="false"/>
          <w:color w:val="333333"/>
          <w:sz w:val="20"/>
          <w:szCs w:val="20"/>
        </w:rPr>
        <w:t>160:3</w:t>
      </w:r>
      <w:r>
        <w:rPr>
          <w:rFonts w:ascii="IRNazanin" w:hAnsi="IRNazanin" w:eastAsia="IRNazanin"/>
          <w:b w:val="false"/>
          <w:b w:val="false"/>
          <w:bCs w:val="false"/>
          <w:i w:val="false"/>
          <w:i w:val="false"/>
          <w:iCs w:val="false"/>
          <w:color w:val="333333"/>
          <w:sz w:val="20"/>
          <w:sz w:val="20"/>
          <w:szCs w:val="20"/>
          <w:rtl w:val="true"/>
        </w:rPr>
        <w:t xml:space="preserve">؛ المجموع شرح المهذّب </w:t>
      </w:r>
      <w:r>
        <w:rPr>
          <w:rFonts w:eastAsia="IRNazanin" w:cs="IRNazanin"/>
          <w:b w:val="false"/>
          <w:bCs w:val="false"/>
          <w:i w:val="false"/>
          <w:iCs w:val="false"/>
          <w:color w:val="333333"/>
          <w:sz w:val="20"/>
          <w:szCs w:val="20"/>
        </w:rPr>
        <w:t>315:17</w:t>
      </w:r>
      <w:r>
        <w:rPr>
          <w:rFonts w:eastAsia="IRNazanin" w:cs="IRNazanin"/>
          <w:b w:val="false"/>
          <w:bCs w:val="false"/>
          <w:i w:val="false"/>
          <w:iCs w:val="false"/>
          <w:color w:val="333333"/>
          <w:sz w:val="20"/>
          <w:szCs w:val="20"/>
          <w:rtl w:val="true"/>
        </w:rPr>
        <w:t>.</w:t>
      </w:r>
    </w:p>
  </w:footnote>
  <w:footnote w:id="2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الأقرب إلی الأب الأکبر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Pr>
        <w:t>510:2</w:t>
      </w:r>
      <w:r>
        <w:rPr>
          <w:rFonts w:eastAsia="IRNazanin" w:cs="IRNazanin"/>
          <w:b w:val="false"/>
          <w:bCs w:val="false"/>
          <w:i w:val="false"/>
          <w:iCs w:val="false"/>
          <w:color w:val="333333"/>
          <w:sz w:val="20"/>
          <w:szCs w:val="20"/>
          <w:rtl w:val="true"/>
        </w:rPr>
        <w:t>.</w:t>
      </w:r>
    </w:p>
  </w:footnote>
  <w:footnote w:id="2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الجواهر الثمینة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521:2</w:t>
      </w:r>
      <w:r>
        <w:rPr>
          <w:rFonts w:ascii="IRNazanin" w:hAnsi="IRNazanin" w:eastAsia="IRNazanin"/>
          <w:b w:val="false"/>
          <w:b w:val="false"/>
          <w:bCs w:val="false"/>
          <w:i w:val="false"/>
          <w:i w:val="false"/>
          <w:iCs w:val="false"/>
          <w:color w:val="333333"/>
          <w:sz w:val="20"/>
          <w:sz w:val="20"/>
          <w:szCs w:val="20"/>
          <w:rtl w:val="true"/>
        </w:rPr>
        <w:t xml:space="preserve">؛ عقد الجواهر الثمینة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الکافی فی فقه الإمام أحمد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مغنی المحتاج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w:t>
      </w:r>
    </w:p>
  </w:footnote>
  <w:footnote w:id="2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406:7</w:t>
      </w:r>
      <w:r>
        <w:rPr>
          <w:rFonts w:ascii="IRNazanin" w:hAnsi="IRNazanin" w:eastAsia="IRNazanin"/>
          <w:b w:val="false"/>
          <w:b w:val="false"/>
          <w:bCs w:val="false"/>
          <w:i w:val="false"/>
          <w:i w:val="false"/>
          <w:iCs w:val="false"/>
          <w:color w:val="333333"/>
          <w:sz w:val="20"/>
          <w:sz w:val="20"/>
          <w:szCs w:val="20"/>
          <w:rtl w:val="true"/>
        </w:rPr>
        <w:t xml:space="preserve">؛ الشرح الکبیر </w:t>
      </w:r>
      <w:r>
        <w:rPr>
          <w:rFonts w:eastAsia="IRNazanin" w:cs="IRNazanin"/>
          <w:b w:val="false"/>
          <w:bCs w:val="false"/>
          <w:i w:val="false"/>
          <w:iCs w:val="false"/>
          <w:color w:val="333333"/>
          <w:sz w:val="20"/>
          <w:szCs w:val="20"/>
        </w:rPr>
        <w:t>445:7</w:t>
      </w:r>
      <w:r>
        <w:rPr>
          <w:rFonts w:eastAsia="IRNazanin" w:cs="IRNazanin"/>
          <w:b w:val="false"/>
          <w:bCs w:val="false"/>
          <w:i w:val="false"/>
          <w:iCs w:val="false"/>
          <w:color w:val="333333"/>
          <w:sz w:val="20"/>
          <w:szCs w:val="20"/>
          <w:rtl w:val="true"/>
        </w:rPr>
        <w:t>.</w:t>
      </w:r>
    </w:p>
  </w:footnote>
  <w:footnote w:id="2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فقه الإمام أحمد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المغنی لابن قدامة </w:t>
      </w:r>
      <w:r>
        <w:rPr>
          <w:rFonts w:eastAsia="IRNazanin" w:cs="IRNazanin"/>
          <w:b w:val="false"/>
          <w:bCs w:val="false"/>
          <w:i w:val="false"/>
          <w:iCs w:val="false"/>
          <w:color w:val="333333"/>
          <w:sz w:val="20"/>
          <w:szCs w:val="20"/>
        </w:rPr>
        <w:t>406:7</w:t>
      </w:r>
      <w:r>
        <w:rPr>
          <w:rFonts w:ascii="IRNazanin" w:hAnsi="IRNazanin" w:eastAsia="IRNazanin"/>
          <w:b w:val="false"/>
          <w:b w:val="false"/>
          <w:bCs w:val="false"/>
          <w:i w:val="false"/>
          <w:i w:val="false"/>
          <w:iCs w:val="false"/>
          <w:color w:val="333333"/>
          <w:sz w:val="20"/>
          <w:sz w:val="20"/>
          <w:szCs w:val="20"/>
          <w:rtl w:val="true"/>
        </w:rPr>
        <w:t>؛ الشرح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445:7</w:t>
      </w:r>
      <w:r>
        <w:rPr>
          <w:rFonts w:eastAsia="IRNazanin" w:cs="IRNazanin"/>
          <w:b w:val="false"/>
          <w:bCs w:val="false"/>
          <w:i w:val="false"/>
          <w:iCs w:val="false"/>
          <w:color w:val="333333"/>
          <w:sz w:val="20"/>
          <w:szCs w:val="20"/>
          <w:rtl w:val="true"/>
        </w:rPr>
        <w:t>.</w:t>
      </w:r>
    </w:p>
  </w:footnote>
  <w:footnote w:id="2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w:t>
      </w:r>
    </w:p>
  </w:footnote>
  <w:footnote w:id="2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404:7</w:t>
      </w:r>
      <w:r>
        <w:rPr>
          <w:rFonts w:ascii="IRNazanin" w:hAnsi="IRNazanin" w:eastAsia="IRNazanin"/>
          <w:b w:val="false"/>
          <w:b w:val="false"/>
          <w:bCs w:val="false"/>
          <w:i w:val="false"/>
          <w:i w:val="false"/>
          <w:iCs w:val="false"/>
          <w:color w:val="333333"/>
          <w:sz w:val="20"/>
          <w:sz w:val="20"/>
          <w:szCs w:val="20"/>
          <w:rtl w:val="true"/>
        </w:rPr>
        <w:t xml:space="preserve">؛ الشرح الکبیر </w:t>
      </w:r>
      <w:r>
        <w:rPr>
          <w:rFonts w:eastAsia="IRNazanin" w:cs="IRNazanin"/>
          <w:b w:val="false"/>
          <w:bCs w:val="false"/>
          <w:i w:val="false"/>
          <w:iCs w:val="false"/>
          <w:color w:val="333333"/>
          <w:sz w:val="20"/>
          <w:szCs w:val="20"/>
        </w:rPr>
        <w:t>443:7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2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w:t>
      </w:r>
    </w:p>
  </w:footnote>
  <w:footnote w:id="2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2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w:t>
      </w:r>
    </w:p>
  </w:footnote>
  <w:footnote w:id="2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172:29</w:t>
      </w:r>
      <w:r>
        <w:rPr>
          <w:rFonts w:eastAsia="IRNazanin" w:cs="IRNazanin"/>
          <w:b w:val="false"/>
          <w:bCs w:val="false"/>
          <w:i w:val="false"/>
          <w:iCs w:val="false"/>
          <w:color w:val="333333"/>
          <w:sz w:val="20"/>
          <w:szCs w:val="20"/>
          <w:rtl w:val="true"/>
        </w:rPr>
        <w:t>.</w:t>
      </w:r>
    </w:p>
  </w:footnote>
  <w:footnote w:id="2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للراوندی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المدارک </w:t>
      </w:r>
      <w:r>
        <w:rPr>
          <w:rFonts w:eastAsia="IRNazanin" w:cs="IRNazanin"/>
          <w:b w:val="false"/>
          <w:bCs w:val="false"/>
          <w:i w:val="false"/>
          <w:iCs w:val="false"/>
          <w:color w:val="333333"/>
          <w:sz w:val="20"/>
          <w:szCs w:val="20"/>
        </w:rPr>
        <w:t>153:4</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204:23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267:24</w:t>
      </w:r>
      <w:r>
        <w:rPr>
          <w:rFonts w:eastAsia="IRNazanin" w:cs="IRNazanin"/>
          <w:b w:val="false"/>
          <w:bCs w:val="false"/>
          <w:i w:val="false"/>
          <w:iCs w:val="false"/>
          <w:color w:val="333333"/>
          <w:sz w:val="20"/>
          <w:szCs w:val="20"/>
          <w:rtl w:val="true"/>
        </w:rPr>
        <w:t>.</w:t>
      </w:r>
    </w:p>
  </w:footnote>
  <w:footnote w:id="2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للسرخسی </w:t>
      </w:r>
      <w:r>
        <w:rPr>
          <w:rFonts w:eastAsia="IRNazanin" w:cs="IRNazanin"/>
          <w:b w:val="false"/>
          <w:bCs w:val="false"/>
          <w:i w:val="false"/>
          <w:iCs w:val="false"/>
          <w:color w:val="333333"/>
          <w:sz w:val="20"/>
          <w:szCs w:val="20"/>
        </w:rPr>
        <w:t>213:4</w:t>
      </w:r>
      <w:r>
        <w:rPr>
          <w:rFonts w:ascii="IRNazanin" w:hAnsi="IRNazanin" w:eastAsia="IRNazanin"/>
          <w:b w:val="false"/>
          <w:b w:val="false"/>
          <w:bCs w:val="false"/>
          <w:i w:val="false"/>
          <w:i w:val="false"/>
          <w:iCs w:val="false"/>
          <w:color w:val="333333"/>
          <w:sz w:val="20"/>
          <w:sz w:val="20"/>
          <w:szCs w:val="20"/>
          <w:rtl w:val="true"/>
        </w:rPr>
        <w:t xml:space="preserve">؛ بدائع الصنائع </w:t>
      </w:r>
      <w:r>
        <w:rPr>
          <w:rFonts w:eastAsia="IRNazanin" w:cs="IRNazanin"/>
          <w:b w:val="false"/>
          <w:bCs w:val="false"/>
          <w:i w:val="false"/>
          <w:iCs w:val="false"/>
          <w:color w:val="333333"/>
          <w:sz w:val="20"/>
          <w:szCs w:val="20"/>
        </w:rPr>
        <w:t>621:2</w:t>
      </w:r>
      <w:r>
        <w:rPr>
          <w:rFonts w:ascii="IRNazanin" w:hAnsi="IRNazanin" w:eastAsia="IRNazanin"/>
          <w:b w:val="false"/>
          <w:b w:val="false"/>
          <w:bCs w:val="false"/>
          <w:i w:val="false"/>
          <w:i w:val="false"/>
          <w:iCs w:val="false"/>
          <w:color w:val="333333"/>
          <w:sz w:val="20"/>
          <w:sz w:val="20"/>
          <w:szCs w:val="20"/>
          <w:rtl w:val="true"/>
        </w:rPr>
        <w:t xml:space="preserve">؛ حاشیة الخرشی المالکی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w:t>
      </w:r>
    </w:p>
  </w:footnote>
  <w:footnote w:id="2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ذیل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204:23</w:t>
      </w:r>
      <w:r>
        <w:rPr>
          <w:rFonts w:eastAsia="IRNazanin" w:cs="IRNazanin"/>
          <w:b w:val="false"/>
          <w:bCs w:val="false"/>
          <w:i w:val="false"/>
          <w:iCs w:val="false"/>
          <w:color w:val="333333"/>
          <w:sz w:val="20"/>
          <w:szCs w:val="20"/>
          <w:rtl w:val="true"/>
        </w:rPr>
        <w:t>.</w:t>
      </w:r>
    </w:p>
  </w:footnote>
  <w:footnote w:id="2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تراث الشیخ الأعظم، 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130:16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389:6</w:t>
      </w:r>
      <w:r>
        <w:rPr>
          <w:rFonts w:eastAsia="IRNazanin" w:cs="IRNazanin"/>
          <w:b w:val="false"/>
          <w:bCs w:val="false"/>
          <w:i w:val="false"/>
          <w:iCs w:val="false"/>
          <w:color w:val="333333"/>
          <w:sz w:val="20"/>
          <w:szCs w:val="20"/>
          <w:rtl w:val="true"/>
        </w:rPr>
        <w:t>.</w:t>
      </w:r>
    </w:p>
  </w:footnote>
  <w:footnote w:id="2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p>
  </w:footnote>
  <w:footnote w:id="2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207:14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من أبواب عقد النکاح،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527:17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الأزواج،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216:14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195:14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عنون الکلینی فی الکافی باباً بأنّ المرأة یزوّجها ولیّان غیر الأب و الجدّ؛ الکافی </w:t>
      </w:r>
      <w:r>
        <w:rPr>
          <w:rFonts w:eastAsia="IRNazanin" w:cs="IRNazanin"/>
          <w:b w:val="false"/>
          <w:bCs w:val="false"/>
          <w:i w:val="false"/>
          <w:iCs w:val="false"/>
          <w:color w:val="333333"/>
          <w:sz w:val="20"/>
          <w:szCs w:val="20"/>
        </w:rPr>
        <w:t>396:5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الشیخ فی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 للمرأة ولیّ یحلّ له نکاحها؛ الخلاف </w:t>
      </w:r>
      <w:r>
        <w:rPr>
          <w:rFonts w:eastAsia="IRNazanin" w:cs="IRNazanin"/>
          <w:b w:val="false"/>
          <w:bCs w:val="false"/>
          <w:i w:val="false"/>
          <w:iCs w:val="false"/>
          <w:color w:val="333333"/>
          <w:sz w:val="20"/>
          <w:szCs w:val="20"/>
        </w:rPr>
        <w:t>283:4</w:t>
      </w:r>
      <w:r>
        <w:rPr>
          <w:rFonts w:eastAsia="IRNazanin" w:cs="IRNazanin"/>
          <w:b w:val="false"/>
          <w:bCs w:val="false"/>
          <w:i w:val="false"/>
          <w:iCs w:val="false"/>
          <w:color w:val="333333"/>
          <w:sz w:val="20"/>
          <w:szCs w:val="20"/>
          <w:rtl w:val="true"/>
        </w:rPr>
        <w:t>.</w:t>
      </w:r>
    </w:p>
  </w:footnote>
  <w:footnote w:id="2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183:4</w:t>
      </w:r>
      <w:r>
        <w:rPr>
          <w:rFonts w:eastAsia="IRNazanin" w:cs="IRNazanin"/>
          <w:b w:val="false"/>
          <w:bCs w:val="false"/>
          <w:i w:val="false"/>
          <w:iCs w:val="false"/>
          <w:color w:val="333333"/>
          <w:sz w:val="20"/>
          <w:szCs w:val="20"/>
          <w:rtl w:val="true"/>
        </w:rPr>
        <w:t>.</w:t>
      </w:r>
    </w:p>
  </w:footnote>
  <w:footnote w:id="2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w:t>
      </w:r>
    </w:p>
  </w:footnote>
  <w:footnote w:id="2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179:7</w:t>
      </w:r>
      <w:r>
        <w:rPr>
          <w:rFonts w:eastAsia="IRNazanin" w:cs="IRNazanin"/>
          <w:b w:val="false"/>
          <w:bCs w:val="false"/>
          <w:i w:val="false"/>
          <w:iCs w:val="false"/>
          <w:color w:val="333333"/>
          <w:sz w:val="20"/>
          <w:szCs w:val="20"/>
          <w:rtl w:val="true"/>
        </w:rPr>
        <w:t>.</w:t>
      </w:r>
    </w:p>
  </w:footnote>
  <w:footnote w:id="2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154:12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المرام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210:23</w:t>
      </w:r>
      <w:r>
        <w:rPr>
          <w:rFonts w:eastAsia="IRNazanin" w:cs="IRNazanin"/>
          <w:b w:val="false"/>
          <w:bCs w:val="false"/>
          <w:i w:val="false"/>
          <w:iCs w:val="false"/>
          <w:color w:val="333333"/>
          <w:sz w:val="20"/>
          <w:szCs w:val="20"/>
          <w:rtl w:val="true"/>
        </w:rPr>
        <w:t>.</w:t>
      </w:r>
    </w:p>
  </w:footnote>
  <w:footnote w:id="2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414:6</w:t>
      </w:r>
      <w:r>
        <w:rPr>
          <w:rFonts w:eastAsia="IRNazanin" w:cs="IRNazanin"/>
          <w:b w:val="false"/>
          <w:bCs w:val="false"/>
          <w:i w:val="false"/>
          <w:iCs w:val="false"/>
          <w:color w:val="333333"/>
          <w:sz w:val="20"/>
          <w:szCs w:val="20"/>
          <w:rtl w:val="true"/>
        </w:rPr>
        <w:t>.</w:t>
      </w:r>
    </w:p>
  </w:footnote>
  <w:footnote w:id="2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219:29</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w:t>
      </w:r>
    </w:p>
  </w:footnote>
  <w:footnote w:id="2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فی الوافی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یزوّجها أبوها أَ لها أمرٌ إذا بلغت، الوافی </w:t>
      </w:r>
      <w:r>
        <w:rPr>
          <w:rFonts w:eastAsia="IRNazanin" w:cs="IRNazanin"/>
          <w:b w:val="false"/>
          <w:bCs w:val="false"/>
          <w:i w:val="false"/>
          <w:iCs w:val="false"/>
          <w:color w:val="333333"/>
          <w:sz w:val="20"/>
          <w:szCs w:val="20"/>
        </w:rPr>
        <w:t>413:21</w:t>
      </w:r>
      <w:r>
        <w:rPr>
          <w:rFonts w:eastAsia="IRNazanin" w:cs="IRNazanin"/>
          <w:b w:val="false"/>
          <w:bCs w:val="false"/>
          <w:i w:val="false"/>
          <w:iCs w:val="false"/>
          <w:color w:val="333333"/>
          <w:sz w:val="20"/>
          <w:szCs w:val="20"/>
          <w:rtl w:val="true"/>
        </w:rPr>
        <w:t>.</w:t>
      </w:r>
    </w:p>
  </w:footnote>
  <w:footnote w:id="2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394:5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381:7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1540</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236:3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207:14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172:29</w:t>
      </w:r>
      <w:r>
        <w:rPr>
          <w:rFonts w:eastAsia="IRNazanin" w:cs="IRNazanin"/>
          <w:b w:val="false"/>
          <w:bCs w:val="false"/>
          <w:i w:val="false"/>
          <w:iCs w:val="false"/>
          <w:color w:val="333333"/>
          <w:sz w:val="20"/>
          <w:szCs w:val="20"/>
          <w:rtl w:val="true"/>
        </w:rPr>
        <w:t>.</w:t>
      </w:r>
    </w:p>
  </w:footnote>
  <w:footnote w:id="2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586:2</w:t>
      </w:r>
      <w:r>
        <w:rPr>
          <w:rFonts w:ascii="IRNazanin" w:hAnsi="IRNazanin" w:eastAsia="IRNazanin"/>
          <w:b w:val="false"/>
          <w:b w:val="false"/>
          <w:bCs w:val="false"/>
          <w:i w:val="false"/>
          <w:i w:val="false"/>
          <w:iCs w:val="false"/>
          <w:color w:val="333333"/>
          <w:sz w:val="20"/>
          <w:sz w:val="20"/>
          <w:szCs w:val="20"/>
          <w:rtl w:val="true"/>
        </w:rPr>
        <w:t>، الطبع الحجری</w:t>
      </w:r>
      <w:r>
        <w:rPr>
          <w:rFonts w:eastAsia="IRNazanin" w:cs="IRNazanin"/>
          <w:b w:val="false"/>
          <w:bCs w:val="false"/>
          <w:i w:val="false"/>
          <w:iCs w:val="false"/>
          <w:color w:val="333333"/>
          <w:sz w:val="20"/>
          <w:szCs w:val="20"/>
          <w:rtl w:val="true"/>
        </w:rPr>
        <w:t>.</w:t>
      </w:r>
    </w:p>
  </w:footnote>
  <w:footnote w:id="2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ما لا یخفی من عدم وجود المنافاة بین النفوذ و بین الخیار بعد البلوغ، بمعنی أنّ النفوذ مقیّد بعدم الفسخ،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 ف</w:t>
      </w:r>
    </w:p>
  </w:footnote>
  <w:footnote w:id="2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209:14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267:24</w:t>
      </w:r>
      <w:r>
        <w:rPr>
          <w:rFonts w:eastAsia="IRNazanin" w:cs="IRNazanin"/>
          <w:b w:val="false"/>
          <w:bCs w:val="false"/>
          <w:i w:val="false"/>
          <w:iCs w:val="false"/>
          <w:color w:val="333333"/>
          <w:sz w:val="20"/>
          <w:szCs w:val="20"/>
          <w:rtl w:val="true"/>
        </w:rPr>
        <w:t>.</w:t>
      </w:r>
    </w:p>
  </w:footnote>
  <w:footnote w:id="2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382:7</w:t>
      </w:r>
      <w:r>
        <w:rPr>
          <w:rFonts w:eastAsia="IRNazanin" w:cs="IRNazanin"/>
          <w:b w:val="false"/>
          <w:bCs w:val="false"/>
          <w:i w:val="false"/>
          <w:iCs w:val="false"/>
          <w:color w:val="333333"/>
          <w:sz w:val="20"/>
          <w:szCs w:val="20"/>
          <w:rtl w:val="true"/>
        </w:rPr>
        <w:t>.</w:t>
      </w:r>
    </w:p>
  </w:footnote>
  <w:footnote w:id="2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 الشیخ الأعظم، کتاب النکاح </w:t>
      </w:r>
      <w:r>
        <w:rPr>
          <w:rFonts w:eastAsia="IRNazanin" w:cs="IRNazanin"/>
          <w:b w:val="false"/>
          <w:bCs w:val="false"/>
          <w:i w:val="false"/>
          <w:iCs w:val="false"/>
          <w:color w:val="333333"/>
          <w:sz w:val="20"/>
          <w:szCs w:val="20"/>
        </w:rPr>
        <w:t>110:20</w:t>
      </w:r>
      <w:r>
        <w:rPr>
          <w:rFonts w:eastAsia="IRNazanin" w:cs="IRNazanin"/>
          <w:b w:val="false"/>
          <w:bCs w:val="false"/>
          <w:i w:val="false"/>
          <w:iCs w:val="false"/>
          <w:color w:val="333333"/>
          <w:sz w:val="20"/>
          <w:szCs w:val="20"/>
          <w:rtl w:val="true"/>
        </w:rPr>
        <w:t>.</w:t>
      </w:r>
    </w:p>
  </w:footnote>
  <w:footnote w:id="2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587:2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2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کتاب النکاح </w:t>
      </w:r>
      <w:r>
        <w:rPr>
          <w:rFonts w:eastAsia="IRNazanin" w:cs="IRNazanin"/>
          <w:b w:val="false"/>
          <w:bCs w:val="false"/>
          <w:i w:val="false"/>
          <w:iCs w:val="false"/>
          <w:color w:val="333333"/>
          <w:sz w:val="20"/>
          <w:szCs w:val="20"/>
        </w:rPr>
        <w:t>278:2</w:t>
      </w:r>
      <w:r>
        <w:rPr>
          <w:rFonts w:eastAsia="IRNazanin" w:cs="IRNazanin"/>
          <w:b w:val="false"/>
          <w:bCs w:val="false"/>
          <w:i w:val="false"/>
          <w:iCs w:val="false"/>
          <w:color w:val="333333"/>
          <w:sz w:val="20"/>
          <w:szCs w:val="20"/>
          <w:rtl w:val="true"/>
        </w:rPr>
        <w:t>.</w:t>
      </w:r>
    </w:p>
  </w:footnote>
  <w:footnote w:id="2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865:2</w:t>
      </w:r>
      <w:r>
        <w:rPr>
          <w:rFonts w:ascii="IRNazanin" w:hAnsi="IRNazanin" w:eastAsia="IRNazanin"/>
          <w:b w:val="false"/>
          <w:b w:val="false"/>
          <w:bCs w:val="false"/>
          <w:i w:val="false"/>
          <w:i w:val="false"/>
          <w:iCs w:val="false"/>
          <w:color w:val="333333"/>
          <w:sz w:val="20"/>
          <w:sz w:val="20"/>
          <w:szCs w:val="20"/>
          <w:rtl w:val="true"/>
        </w:rPr>
        <w:t xml:space="preserve">، فصل فی أولیاء العقد مسألة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w:t>
      </w:r>
    </w:p>
  </w:footnote>
  <w:footnote w:id="2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المرام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2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w:t>
      </w:r>
    </w:p>
  </w:footnote>
  <w:footnote w:id="2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197:29</w:t>
      </w:r>
      <w:r>
        <w:rPr>
          <w:rFonts w:eastAsia="IRNazanin" w:cs="IRNazanin"/>
          <w:b w:val="false"/>
          <w:bCs w:val="false"/>
          <w:i w:val="false"/>
          <w:iCs w:val="false"/>
          <w:color w:val="333333"/>
          <w:sz w:val="20"/>
          <w:szCs w:val="20"/>
          <w:rtl w:val="true"/>
        </w:rPr>
        <w:t>.</w:t>
      </w:r>
    </w:p>
  </w:footnote>
  <w:footnote w:id="2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231:23</w:t>
      </w:r>
      <w:r>
        <w:rPr>
          <w:rFonts w:eastAsia="IRNazanin" w:cs="IRNazanin"/>
          <w:b w:val="false"/>
          <w:bCs w:val="false"/>
          <w:i w:val="false"/>
          <w:iCs w:val="false"/>
          <w:color w:val="333333"/>
          <w:sz w:val="20"/>
          <w:szCs w:val="20"/>
          <w:rtl w:val="true"/>
        </w:rPr>
        <w:t>.</w:t>
      </w:r>
    </w:p>
  </w:footnote>
  <w:footnote w:id="2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276:2</w:t>
      </w:r>
      <w:r>
        <w:rPr>
          <w:rFonts w:eastAsia="IRNazanin" w:cs="IRNazanin"/>
          <w:b w:val="false"/>
          <w:bCs w:val="false"/>
          <w:i w:val="false"/>
          <w:iCs w:val="false"/>
          <w:color w:val="333333"/>
          <w:sz w:val="20"/>
          <w:szCs w:val="20"/>
          <w:rtl w:val="true"/>
        </w:rPr>
        <w:t>.</w:t>
      </w:r>
    </w:p>
  </w:footnote>
  <w:footnote w:id="2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130:16</w:t>
      </w:r>
      <w:r>
        <w:rPr>
          <w:rFonts w:eastAsia="IRNazanin" w:cs="IRNazanin"/>
          <w:b w:val="false"/>
          <w:bCs w:val="false"/>
          <w:i w:val="false"/>
          <w:iCs w:val="false"/>
          <w:color w:val="333333"/>
          <w:sz w:val="20"/>
          <w:szCs w:val="20"/>
          <w:rtl w:val="true"/>
        </w:rPr>
        <w:t>.</w:t>
      </w:r>
    </w:p>
  </w:footnote>
  <w:footnote w:id="2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 الشیخ الأعظم، کتاب النکاح </w:t>
      </w:r>
      <w:r>
        <w:rPr>
          <w:rFonts w:eastAsia="IRNazanin" w:cs="IRNazanin"/>
          <w:b w:val="false"/>
          <w:bCs w:val="false"/>
          <w:i w:val="false"/>
          <w:iCs w:val="false"/>
          <w:color w:val="333333"/>
          <w:sz w:val="20"/>
          <w:szCs w:val="20"/>
        </w:rPr>
        <w:t>110:20</w:t>
      </w:r>
      <w:r>
        <w:rPr>
          <w:rFonts w:eastAsia="IRNazanin" w:cs="IRNazanin"/>
          <w:b w:val="false"/>
          <w:bCs w:val="false"/>
          <w:i w:val="false"/>
          <w:iCs w:val="false"/>
          <w:color w:val="333333"/>
          <w:sz w:val="20"/>
          <w:szCs w:val="20"/>
          <w:rtl w:val="true"/>
        </w:rPr>
        <w:t>.</w:t>
      </w:r>
    </w:p>
  </w:footnote>
  <w:footnote w:id="2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المرام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2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w:t>
      </w:r>
    </w:p>
  </w:footnote>
  <w:footnote w:id="2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یخفی أنّ الآیة الشریفة دالّة علی لزوم الوفاء بالعقد بالنسبة إلی العاقدین، و الصبیّ لیس العاقد فی ما نحن فیه، و بهذا البیان یظهر فساد الاستدلال بالحدیث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 ف</w:t>
      </w:r>
    </w:p>
  </w:footnote>
  <w:footnote w:id="2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میراث الغلام و الجاریة،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528:17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الأزواج،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206:23</w:t>
      </w:r>
      <w:r>
        <w:rPr>
          <w:rFonts w:eastAsia="IRNazanin" w:cs="IRNazanin"/>
          <w:b w:val="false"/>
          <w:bCs w:val="false"/>
          <w:i w:val="false"/>
          <w:iCs w:val="false"/>
          <w:color w:val="333333"/>
          <w:sz w:val="20"/>
          <w:szCs w:val="20"/>
          <w:rtl w:val="true"/>
        </w:rPr>
        <w:t>.</w:t>
      </w:r>
    </w:p>
  </w:footnote>
  <w:footnote w:id="2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528:17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الأزواج،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الأزواج،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w:t>
      </w:r>
      <w:r>
        <w:rPr>
          <w:rFonts w:eastAsia="IRNazanin" w:cs="IRNazanin"/>
          <w:b w:val="false"/>
          <w:bCs w:val="false"/>
          <w:i w:val="false"/>
          <w:iCs w:val="false"/>
          <w:color w:val="333333"/>
          <w:sz w:val="20"/>
          <w:szCs w:val="20"/>
        </w:rPr>
        <w:t>454:14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2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279:2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النکاح</w:t>
      </w:r>
      <w:r>
        <w:rPr>
          <w:rFonts w:eastAsia="IRNazanin" w:cs="IRNazanin"/>
          <w:b w:val="false"/>
          <w:bCs w:val="false"/>
          <w:i w:val="false"/>
          <w:iCs w:val="false"/>
          <w:color w:val="333333"/>
          <w:sz w:val="20"/>
          <w:szCs w:val="20"/>
          <w:rtl w:val="true"/>
        </w:rPr>
        <w:t>.</w:t>
      </w:r>
    </w:p>
  </w:footnote>
  <w:footnote w:id="2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568:2</w:t>
      </w:r>
      <w:r>
        <w:rPr>
          <w:rFonts w:eastAsia="IRNazanin" w:cs="IRNazanin"/>
          <w:b w:val="false"/>
          <w:bCs w:val="false"/>
          <w:i w:val="false"/>
          <w:iCs w:val="false"/>
          <w:color w:val="333333"/>
          <w:sz w:val="20"/>
          <w:szCs w:val="20"/>
          <w:rtl w:val="true"/>
        </w:rPr>
        <w:t>.</w:t>
      </w:r>
    </w:p>
  </w:footnote>
  <w:footnote w:id="2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w:t>
      </w:r>
    </w:p>
  </w:footnote>
  <w:footnote w:id="2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221:14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208:14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میراث الغلام،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382:7</w:t>
      </w:r>
      <w:r>
        <w:rPr>
          <w:rFonts w:eastAsia="IRNazanin" w:cs="IRNazanin"/>
          <w:b w:val="false"/>
          <w:bCs w:val="false"/>
          <w:i w:val="false"/>
          <w:iCs w:val="false"/>
          <w:color w:val="333333"/>
          <w:sz w:val="20"/>
          <w:szCs w:val="20"/>
          <w:rtl w:val="true"/>
        </w:rPr>
        <w:t>.</w:t>
      </w:r>
    </w:p>
  </w:footnote>
  <w:footnote w:id="2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207:23</w:t>
      </w:r>
      <w:r>
        <w:rPr>
          <w:rFonts w:eastAsia="IRNazanin" w:cs="IRNazanin"/>
          <w:b w:val="false"/>
          <w:bCs w:val="false"/>
          <w:i w:val="false"/>
          <w:iCs w:val="false"/>
          <w:color w:val="333333"/>
          <w:sz w:val="20"/>
          <w:szCs w:val="20"/>
          <w:rtl w:val="true"/>
        </w:rPr>
        <w:t>.</w:t>
      </w:r>
    </w:p>
  </w:footnote>
  <w:footnote w:id="2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للسرخسی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فتح القدیر </w:t>
      </w:r>
      <w:r>
        <w:rPr>
          <w:rFonts w:eastAsia="IRNazanin" w:cs="IRNazanin"/>
          <w:b w:val="false"/>
          <w:bCs w:val="false"/>
          <w:i w:val="false"/>
          <w:iCs w:val="false"/>
          <w:color w:val="333333"/>
          <w:sz w:val="20"/>
          <w:szCs w:val="20"/>
        </w:rPr>
        <w:t>157:3</w:t>
      </w:r>
      <w:r>
        <w:rPr>
          <w:rFonts w:eastAsia="IRNazanin" w:cs="IRNazanin"/>
          <w:b w:val="false"/>
          <w:bCs w:val="false"/>
          <w:i w:val="false"/>
          <w:iCs w:val="false"/>
          <w:color w:val="333333"/>
          <w:sz w:val="20"/>
          <w:szCs w:val="20"/>
          <w:rtl w:val="true"/>
        </w:rPr>
        <w:t>.</w:t>
      </w:r>
    </w:p>
  </w:footnote>
  <w:footnote w:id="2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621:2</w:t>
      </w:r>
      <w:r>
        <w:rPr>
          <w:rFonts w:eastAsia="IRNazanin" w:cs="IRNazanin"/>
          <w:b w:val="false"/>
          <w:bCs w:val="false"/>
          <w:i w:val="false"/>
          <w:iCs w:val="false"/>
          <w:color w:val="333333"/>
          <w:sz w:val="20"/>
          <w:szCs w:val="20"/>
          <w:rtl w:val="true"/>
        </w:rPr>
        <w:t>.</w:t>
      </w:r>
    </w:p>
  </w:footnote>
  <w:footnote w:id="2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w:t>
      </w:r>
      <w:r>
        <w:rPr>
          <w:rFonts w:eastAsia="IRNazanin" w:cs="IRNazanin"/>
          <w:b w:val="false"/>
          <w:bCs w:val="false"/>
          <w:i w:val="false"/>
          <w:iCs w:val="false"/>
          <w:color w:val="333333"/>
          <w:sz w:val="20"/>
          <w:szCs w:val="20"/>
        </w:rPr>
        <w:t>327:17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379:7</w:t>
      </w:r>
      <w:r>
        <w:rPr>
          <w:rFonts w:eastAsia="IRNazanin" w:cs="IRNazanin"/>
          <w:b w:val="false"/>
          <w:bCs w:val="false"/>
          <w:i w:val="false"/>
          <w:iCs w:val="false"/>
          <w:color w:val="333333"/>
          <w:sz w:val="20"/>
          <w:szCs w:val="20"/>
          <w:rtl w:val="true"/>
        </w:rPr>
        <w:t>.</w:t>
      </w:r>
    </w:p>
  </w:footnote>
  <w:footnote w:id="2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404:13</w:t>
      </w:r>
      <w:r>
        <w:rPr>
          <w:rFonts w:eastAsia="IRNazanin" w:cs="IRNazanin"/>
          <w:b w:val="false"/>
          <w:bCs w:val="false"/>
          <w:i w:val="false"/>
          <w:iCs w:val="false"/>
          <w:color w:val="333333"/>
          <w:sz w:val="20"/>
          <w:szCs w:val="20"/>
          <w:rtl w:val="true"/>
        </w:rPr>
        <w:t>.</w:t>
      </w:r>
    </w:p>
  </w:footnote>
  <w:footnote w:id="2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866:2</w:t>
      </w:r>
      <w:r>
        <w:rPr>
          <w:rFonts w:ascii="IRNazanin" w:hAnsi="IRNazanin" w:eastAsia="IRNazanin"/>
          <w:b w:val="false"/>
          <w:b w:val="false"/>
          <w:bCs w:val="false"/>
          <w:i w:val="false"/>
          <w:i w:val="false"/>
          <w:iCs w:val="false"/>
          <w:color w:val="333333"/>
          <w:sz w:val="20"/>
          <w:sz w:val="20"/>
          <w:szCs w:val="20"/>
          <w:rtl w:val="true"/>
        </w:rPr>
        <w:t>؛ و التعلیقات علیها للسادة العظام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الحکیم، الخوئی، و غیرهما</w:t>
      </w:r>
      <w:r>
        <w:rPr>
          <w:rFonts w:eastAsia="IRNazanin" w:cs="IRNazanin"/>
          <w:b w:val="false"/>
          <w:bCs w:val="false"/>
          <w:i w:val="false"/>
          <w:iCs w:val="false"/>
          <w:color w:val="333333"/>
          <w:sz w:val="20"/>
          <w:szCs w:val="20"/>
          <w:rtl w:val="true"/>
        </w:rPr>
        <w:t>.</w:t>
      </w:r>
    </w:p>
  </w:footnote>
  <w:footnote w:id="2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w:t>
      </w:r>
      <w:r>
        <w:rPr>
          <w:rFonts w:eastAsia="IRNazanin" w:cs="IRNazanin"/>
          <w:b w:val="false"/>
          <w:bCs w:val="false"/>
          <w:i w:val="false"/>
          <w:iCs w:val="false"/>
          <w:color w:val="333333"/>
          <w:sz w:val="20"/>
          <w:szCs w:val="20"/>
        </w:rPr>
        <w:t>457:14</w:t>
      </w:r>
      <w:r>
        <w:rPr>
          <w:rFonts w:eastAsia="IRNazanin" w:cs="IRNazanin"/>
          <w:b w:val="false"/>
          <w:bCs w:val="false"/>
          <w:i w:val="false"/>
          <w:iCs w:val="false"/>
          <w:color w:val="333333"/>
          <w:sz w:val="20"/>
          <w:szCs w:val="20"/>
          <w:rtl w:val="true"/>
        </w:rPr>
        <w:t>.</w:t>
      </w:r>
    </w:p>
  </w:footnote>
  <w:footnote w:id="2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النکاح</w:t>
      </w:r>
      <w:r>
        <w:rPr>
          <w:rFonts w:eastAsia="IRNazanin" w:cs="IRNazanin"/>
          <w:b w:val="false"/>
          <w:bCs w:val="false"/>
          <w:i w:val="false"/>
          <w:iCs w:val="false"/>
          <w:color w:val="333333"/>
          <w:sz w:val="20"/>
          <w:szCs w:val="20"/>
          <w:rtl w:val="true"/>
        </w:rPr>
        <w:t>.</w:t>
      </w:r>
    </w:p>
  </w:footnote>
  <w:footnote w:id="2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 الشیخ الأعظم، کتاب النکاح </w:t>
      </w:r>
      <w:r>
        <w:rPr>
          <w:rFonts w:eastAsia="IRNazanin" w:cs="IRNazanin"/>
          <w:b w:val="false"/>
          <w:bCs w:val="false"/>
          <w:i w:val="false"/>
          <w:iCs w:val="false"/>
          <w:color w:val="333333"/>
          <w:sz w:val="20"/>
          <w:szCs w:val="20"/>
        </w:rPr>
        <w:t>169:20</w:t>
      </w:r>
      <w:r>
        <w:rPr>
          <w:rFonts w:eastAsia="IRNazanin" w:cs="IRNazanin"/>
          <w:b w:val="false"/>
          <w:bCs w:val="false"/>
          <w:i w:val="false"/>
          <w:iCs w:val="false"/>
          <w:color w:val="333333"/>
          <w:sz w:val="20"/>
          <w:szCs w:val="20"/>
          <w:rtl w:val="true"/>
        </w:rPr>
        <w:t>.</w:t>
      </w:r>
    </w:p>
  </w:footnote>
  <w:footnote w:id="2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155:7</w:t>
      </w:r>
      <w:r>
        <w:rPr>
          <w:rFonts w:eastAsia="IRNazanin" w:cs="IRNazanin"/>
          <w:b w:val="false"/>
          <w:bCs w:val="false"/>
          <w:i w:val="false"/>
          <w:iCs w:val="false"/>
          <w:color w:val="333333"/>
          <w:sz w:val="20"/>
          <w:szCs w:val="20"/>
          <w:rtl w:val="true"/>
        </w:rPr>
        <w:t>.</w:t>
      </w:r>
    </w:p>
  </w:footnote>
  <w:footnote w:id="2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 الشیخ الأعظم، کتاب النکاح </w:t>
      </w:r>
      <w:r>
        <w:rPr>
          <w:rFonts w:eastAsia="IRNazanin" w:cs="IRNazanin"/>
          <w:b w:val="false"/>
          <w:bCs w:val="false"/>
          <w:i w:val="false"/>
          <w:iCs w:val="false"/>
          <w:color w:val="333333"/>
          <w:sz w:val="20"/>
          <w:szCs w:val="20"/>
        </w:rPr>
        <w:t>169:20</w:t>
      </w:r>
      <w:r>
        <w:rPr>
          <w:rFonts w:eastAsia="IRNazanin" w:cs="IRNazanin"/>
          <w:b w:val="false"/>
          <w:bCs w:val="false"/>
          <w:i w:val="false"/>
          <w:iCs w:val="false"/>
          <w:color w:val="333333"/>
          <w:sz w:val="20"/>
          <w:szCs w:val="20"/>
          <w:rtl w:val="true"/>
        </w:rPr>
        <w:t>.</w:t>
      </w:r>
    </w:p>
  </w:footnote>
  <w:footnote w:id="2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الأمّ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2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للسرخسی </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w:t>
      </w:r>
    </w:p>
  </w:footnote>
  <w:footnote w:id="2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278:2</w:t>
      </w:r>
      <w:r>
        <w:rPr>
          <w:rFonts w:eastAsia="IRNazanin" w:cs="IRNazanin"/>
          <w:b w:val="false"/>
          <w:bCs w:val="false"/>
          <w:i w:val="false"/>
          <w:iCs w:val="false"/>
          <w:color w:val="333333"/>
          <w:sz w:val="20"/>
          <w:szCs w:val="20"/>
          <w:rtl w:val="true"/>
        </w:rPr>
        <w:t>.</w:t>
      </w:r>
    </w:p>
  </w:footnote>
  <w:footnote w:id="2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155:7</w:t>
      </w:r>
      <w:r>
        <w:rPr>
          <w:rFonts w:eastAsia="IRNazanin" w:cs="IRNazanin"/>
          <w:b w:val="false"/>
          <w:bCs w:val="false"/>
          <w:i w:val="false"/>
          <w:iCs w:val="false"/>
          <w:color w:val="333333"/>
          <w:sz w:val="20"/>
          <w:szCs w:val="20"/>
          <w:rtl w:val="true"/>
        </w:rPr>
        <w:t>.</w:t>
      </w:r>
    </w:p>
  </w:footnote>
  <w:footnote w:id="2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866:2</w:t>
      </w:r>
      <w:r>
        <w:rPr>
          <w:rFonts w:eastAsia="IRNazanin" w:cs="IRNazanin"/>
          <w:b w:val="false"/>
          <w:bCs w:val="false"/>
          <w:i w:val="false"/>
          <w:iCs w:val="false"/>
          <w:color w:val="333333"/>
          <w:sz w:val="20"/>
          <w:szCs w:val="20"/>
          <w:rtl w:val="true"/>
        </w:rPr>
        <w:t>.</w:t>
      </w:r>
    </w:p>
  </w:footnote>
  <w:footnote w:id="2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156:7</w:t>
      </w:r>
      <w:r>
        <w:rPr>
          <w:rFonts w:eastAsia="IRNazanin" w:cs="IRNazanin"/>
          <w:b w:val="false"/>
          <w:bCs w:val="false"/>
          <w:i w:val="false"/>
          <w:iCs w:val="false"/>
          <w:color w:val="333333"/>
          <w:sz w:val="20"/>
          <w:szCs w:val="20"/>
          <w:rtl w:val="true"/>
        </w:rPr>
        <w:t>.</w:t>
      </w:r>
    </w:p>
  </w:footnote>
  <w:footnote w:id="2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219:14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 الشیخ الأعظم، کتاب النکاح </w:t>
      </w:r>
      <w:r>
        <w:rPr>
          <w:rFonts w:eastAsia="IRNazanin" w:cs="IRNazanin"/>
          <w:b w:val="false"/>
          <w:bCs w:val="false"/>
          <w:i w:val="false"/>
          <w:iCs w:val="false"/>
          <w:color w:val="333333"/>
          <w:sz w:val="20"/>
          <w:szCs w:val="20"/>
        </w:rPr>
        <w:t>172:20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التصرّف</w:t>
      </w:r>
      <w:r>
        <w:rPr>
          <w:rFonts w:eastAsia="IRNazanin" w:cs="IRNazanin"/>
          <w:b w:val="false"/>
          <w:bCs w:val="false"/>
          <w:i w:val="false"/>
          <w:iCs w:val="false"/>
          <w:color w:val="333333"/>
          <w:sz w:val="20"/>
          <w:szCs w:val="20"/>
          <w:rtl w:val="true"/>
        </w:rPr>
        <w:t>.</w:t>
      </w:r>
    </w:p>
  </w:footnote>
  <w:footnote w:id="2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w:t>
      </w:r>
      <w:r>
        <w:rPr>
          <w:rFonts w:eastAsia="IRNazanin" w:cs="IRNazanin"/>
          <w:b w:val="false"/>
          <w:bCs w:val="false"/>
          <w:i w:val="false"/>
          <w:iCs w:val="false"/>
          <w:color w:val="333333"/>
          <w:sz w:val="20"/>
          <w:szCs w:val="20"/>
        </w:rPr>
        <w:t>458:14</w:t>
      </w:r>
      <w:r>
        <w:rPr>
          <w:rFonts w:eastAsia="IRNazanin" w:cs="IRNazanin"/>
          <w:b w:val="false"/>
          <w:bCs w:val="false"/>
          <w:i w:val="false"/>
          <w:iCs w:val="false"/>
          <w:color w:val="333333"/>
          <w:sz w:val="20"/>
          <w:szCs w:val="20"/>
          <w:rtl w:val="true"/>
        </w:rPr>
        <w:t>.</w:t>
      </w:r>
    </w:p>
  </w:footnote>
  <w:footnote w:id="2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198:29</w:t>
      </w:r>
      <w:r>
        <w:rPr>
          <w:rFonts w:eastAsia="IRNazanin" w:cs="IRNazanin"/>
          <w:b w:val="false"/>
          <w:bCs w:val="false"/>
          <w:i w:val="false"/>
          <w:iCs w:val="false"/>
          <w:color w:val="333333"/>
          <w:sz w:val="20"/>
          <w:szCs w:val="20"/>
          <w:rtl w:val="true"/>
        </w:rPr>
        <w:t>.</w:t>
      </w:r>
    </w:p>
  </w:footnote>
  <w:footnote w:id="2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w:t>
      </w:r>
    </w:p>
  </w:footnote>
  <w:footnote w:id="2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 الشیخ الأعظم، کتاب النکاح </w:t>
      </w:r>
      <w:r>
        <w:rPr>
          <w:rFonts w:eastAsia="IRNazanin" w:cs="IRNazanin"/>
          <w:b w:val="false"/>
          <w:bCs w:val="false"/>
          <w:i w:val="false"/>
          <w:iCs w:val="false"/>
          <w:color w:val="333333"/>
          <w:sz w:val="20"/>
          <w:szCs w:val="20"/>
        </w:rPr>
        <w:t>175:20</w:t>
      </w:r>
      <w:r>
        <w:rPr>
          <w:rFonts w:eastAsia="IRNazanin" w:cs="IRNazanin"/>
          <w:b w:val="false"/>
          <w:bCs w:val="false"/>
          <w:i w:val="false"/>
          <w:iCs w:val="false"/>
          <w:color w:val="333333"/>
          <w:sz w:val="20"/>
          <w:szCs w:val="20"/>
          <w:rtl w:val="true"/>
        </w:rPr>
        <w:t>.</w:t>
      </w:r>
    </w:p>
  </w:footnote>
  <w:footnote w:id="2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الخلاف </w:t>
      </w:r>
      <w:r>
        <w:rPr>
          <w:rFonts w:eastAsia="IRNazanin" w:cs="IRNazanin"/>
          <w:b w:val="false"/>
          <w:bCs w:val="false"/>
          <w:i w:val="false"/>
          <w:iCs w:val="false"/>
          <w:color w:val="333333"/>
          <w:sz w:val="20"/>
          <w:szCs w:val="20"/>
        </w:rPr>
        <w:t>392:4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311:4</w:t>
      </w:r>
      <w:r>
        <w:rPr>
          <w:rFonts w:eastAsia="IRNazanin" w:cs="IRNazanin"/>
          <w:b w:val="false"/>
          <w:bCs w:val="false"/>
          <w:i w:val="false"/>
          <w:iCs w:val="false"/>
          <w:color w:val="333333"/>
          <w:sz w:val="20"/>
          <w:szCs w:val="20"/>
          <w:rtl w:val="true"/>
        </w:rPr>
        <w:t>.</w:t>
      </w:r>
    </w:p>
  </w:footnote>
  <w:footnote w:id="2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Pr>
        <w:t>239:7</w:t>
      </w:r>
      <w:r>
        <w:rPr>
          <w:rFonts w:eastAsia="IRNazanin" w:cs="IRNazanin"/>
          <w:b w:val="false"/>
          <w:bCs w:val="false"/>
          <w:i w:val="false"/>
          <w:iCs w:val="false"/>
          <w:color w:val="333333"/>
          <w:sz w:val="20"/>
          <w:szCs w:val="20"/>
          <w:rtl w:val="true"/>
        </w:rPr>
        <w:t>.</w:t>
      </w:r>
    </w:p>
  </w:footnote>
  <w:footnote w:id="2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الخلاف </w:t>
      </w:r>
      <w:r>
        <w:rPr>
          <w:rFonts w:eastAsia="IRNazanin" w:cs="IRNazanin"/>
          <w:b w:val="false"/>
          <w:bCs w:val="false"/>
          <w:i w:val="false"/>
          <w:iCs w:val="false"/>
          <w:color w:val="333333"/>
          <w:sz w:val="20"/>
          <w:szCs w:val="20"/>
        </w:rPr>
        <w:t>392:4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149:12</w:t>
      </w:r>
      <w:r>
        <w:rPr>
          <w:rFonts w:eastAsia="IRNazanin" w:cs="IRNazanin"/>
          <w:b w:val="false"/>
          <w:bCs w:val="false"/>
          <w:i w:val="false"/>
          <w:iCs w:val="false"/>
          <w:color w:val="333333"/>
          <w:sz w:val="20"/>
          <w:szCs w:val="20"/>
          <w:rtl w:val="true"/>
        </w:rPr>
        <w:t>.</w:t>
      </w:r>
    </w:p>
  </w:footnote>
  <w:footnote w:id="2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198:29</w:t>
      </w:r>
      <w:r>
        <w:rPr>
          <w:rFonts w:eastAsia="IRNazanin" w:cs="IRNazanin"/>
          <w:b w:val="false"/>
          <w:bCs w:val="false"/>
          <w:i w:val="false"/>
          <w:iCs w:val="false"/>
          <w:color w:val="333333"/>
          <w:sz w:val="20"/>
          <w:szCs w:val="20"/>
          <w:rtl w:val="true"/>
        </w:rPr>
        <w:t>.</w:t>
      </w:r>
    </w:p>
  </w:footnote>
  <w:footnote w:id="2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867:2</w:t>
      </w:r>
      <w:r>
        <w:rPr>
          <w:rFonts w:eastAsia="IRNazanin" w:cs="IRNazanin"/>
          <w:b w:val="false"/>
          <w:bCs w:val="false"/>
          <w:i w:val="false"/>
          <w:iCs w:val="false"/>
          <w:color w:val="333333"/>
          <w:sz w:val="20"/>
          <w:szCs w:val="20"/>
          <w:rtl w:val="true"/>
        </w:rPr>
        <w:t>.</w:t>
      </w:r>
    </w:p>
  </w:footnote>
  <w:footnote w:id="2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 الشیخ الأعظم، کتاب النکاح </w:t>
      </w:r>
      <w:r>
        <w:rPr>
          <w:rFonts w:eastAsia="IRNazanin" w:cs="IRNazanin"/>
          <w:b w:val="false"/>
          <w:bCs w:val="false"/>
          <w:i w:val="false"/>
          <w:iCs w:val="false"/>
          <w:color w:val="333333"/>
          <w:sz w:val="20"/>
          <w:szCs w:val="20"/>
        </w:rPr>
        <w:t>170:20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w:t>
      </w:r>
      <w:r>
        <w:rPr>
          <w:rFonts w:eastAsia="IRNazanin" w:cs="IRNazanin"/>
          <w:b w:val="false"/>
          <w:bCs w:val="false"/>
          <w:i w:val="false"/>
          <w:iCs w:val="false"/>
          <w:color w:val="333333"/>
          <w:sz w:val="20"/>
          <w:szCs w:val="20"/>
          <w:rtl w:val="true"/>
        </w:rPr>
        <w:t>.</w:t>
      </w:r>
    </w:p>
  </w:footnote>
  <w:footnote w:id="2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w:t>
      </w:r>
      <w:r>
        <w:rPr>
          <w:rFonts w:eastAsia="IRNazanin" w:cs="IRNazanin"/>
          <w:b w:val="false"/>
          <w:bCs w:val="false"/>
          <w:i w:val="false"/>
          <w:iCs w:val="false"/>
          <w:color w:val="333333"/>
          <w:sz w:val="20"/>
          <w:szCs w:val="20"/>
          <w:rtl w:val="true"/>
        </w:rPr>
        <w:t>.</w:t>
      </w:r>
    </w:p>
  </w:footnote>
  <w:footnote w:id="2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511:2</w:t>
      </w:r>
      <w:r>
        <w:rPr>
          <w:rFonts w:ascii="IRNazanin" w:hAnsi="IRNazanin" w:eastAsia="IRNazanin"/>
          <w:b w:val="false"/>
          <w:b w:val="false"/>
          <w:bCs w:val="false"/>
          <w:i w:val="false"/>
          <w:i w:val="false"/>
          <w:iCs w:val="false"/>
          <w:color w:val="333333"/>
          <w:sz w:val="20"/>
          <w:sz w:val="20"/>
          <w:szCs w:val="20"/>
          <w:rtl w:val="true"/>
        </w:rPr>
        <w:t xml:space="preserve">؛ الهدایة شرح بدایة المبتدئ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220:2</w:t>
      </w:r>
      <w:r>
        <w:rPr>
          <w:rFonts w:ascii="IRNazanin" w:hAnsi="IRNazanin" w:eastAsia="IRNazanin"/>
          <w:b w:val="false"/>
          <w:b w:val="false"/>
          <w:bCs w:val="false"/>
          <w:i w:val="false"/>
          <w:i w:val="false"/>
          <w:iCs w:val="false"/>
          <w:color w:val="333333"/>
          <w:sz w:val="20"/>
          <w:sz w:val="20"/>
          <w:szCs w:val="20"/>
          <w:rtl w:val="true"/>
        </w:rPr>
        <w:t xml:space="preserve">؛ المبسوط للسرخسی </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w:t>
      </w:r>
    </w:p>
  </w:footnote>
  <w:footnote w:id="2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391:7</w:t>
      </w:r>
      <w:r>
        <w:rPr>
          <w:rFonts w:eastAsia="IRNazanin" w:cs="IRNazanin"/>
          <w:b w:val="false"/>
          <w:bCs w:val="false"/>
          <w:i w:val="false"/>
          <w:iCs w:val="false"/>
          <w:color w:val="333333"/>
          <w:sz w:val="20"/>
          <w:szCs w:val="20"/>
          <w:rtl w:val="true"/>
        </w:rPr>
        <w:t>.</w:t>
      </w:r>
    </w:p>
  </w:footnote>
  <w:footnote w:id="2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الأمّ </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xml:space="preserve">؛ نهایة المحتاج </w:t>
      </w:r>
      <w:r>
        <w:rPr>
          <w:rFonts w:eastAsia="IRNazanin" w:cs="IRNazanin"/>
          <w:b w:val="false"/>
          <w:bCs w:val="false"/>
          <w:i w:val="false"/>
          <w:iCs w:val="false"/>
          <w:color w:val="333333"/>
          <w:sz w:val="20"/>
          <w:szCs w:val="20"/>
        </w:rPr>
        <w:t>345:6</w:t>
      </w:r>
      <w:r>
        <w:rPr>
          <w:rFonts w:ascii="IRNazanin" w:hAnsi="IRNazanin" w:eastAsia="IRNazanin"/>
          <w:b w:val="false"/>
          <w:b w:val="false"/>
          <w:bCs w:val="false"/>
          <w:i w:val="false"/>
          <w:i w:val="false"/>
          <w:iCs w:val="false"/>
          <w:color w:val="333333"/>
          <w:sz w:val="20"/>
          <w:sz w:val="20"/>
          <w:szCs w:val="20"/>
          <w:rtl w:val="true"/>
        </w:rPr>
        <w:t xml:space="preserve">؛ إعانة الطالبین </w:t>
      </w:r>
      <w:r>
        <w:rPr>
          <w:rFonts w:eastAsia="IRNazanin" w:cs="IRNazanin"/>
          <w:b w:val="false"/>
          <w:bCs w:val="false"/>
          <w:i w:val="false"/>
          <w:iCs w:val="false"/>
          <w:color w:val="333333"/>
          <w:sz w:val="20"/>
          <w:szCs w:val="20"/>
        </w:rPr>
        <w:t>351:3</w:t>
      </w:r>
      <w:r>
        <w:rPr>
          <w:rFonts w:ascii="IRNazanin" w:hAnsi="IRNazanin" w:eastAsia="IRNazanin"/>
          <w:b w:val="false"/>
          <w:b w:val="false"/>
          <w:bCs w:val="false"/>
          <w:i w:val="false"/>
          <w:i w:val="false"/>
          <w:iCs w:val="false"/>
          <w:color w:val="333333"/>
          <w:sz w:val="20"/>
          <w:sz w:val="20"/>
          <w:szCs w:val="20"/>
          <w:rtl w:val="true"/>
        </w:rPr>
        <w:t xml:space="preserve">؛ المغنی لابن قدامة </w:t>
      </w:r>
      <w:r>
        <w:rPr>
          <w:rFonts w:eastAsia="IRNazanin" w:cs="IRNazanin"/>
          <w:b w:val="false"/>
          <w:bCs w:val="false"/>
          <w:i w:val="false"/>
          <w:iCs w:val="false"/>
          <w:color w:val="333333"/>
          <w:sz w:val="20"/>
          <w:szCs w:val="20"/>
        </w:rPr>
        <w:t>391:7</w:t>
      </w:r>
      <w:r>
        <w:rPr>
          <w:rFonts w:eastAsia="IRNazanin" w:cs="IRNazanin"/>
          <w:b w:val="false"/>
          <w:bCs w:val="false"/>
          <w:i w:val="false"/>
          <w:iCs w:val="false"/>
          <w:color w:val="333333"/>
          <w:sz w:val="20"/>
          <w:szCs w:val="20"/>
          <w:rtl w:val="true"/>
        </w:rPr>
        <w:t>.</w:t>
      </w:r>
    </w:p>
  </w:footnote>
  <w:footnote w:id="2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بالآثار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2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المحقّق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العیوب الموجبة للفسخ فی الرجل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الجنون، و الخصاء، و العنن، و فی المرأة سبعة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الجنون، و الجذام، و البرص، و القرن، و الإفضاء، و العرج، و العمی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الشهید الأوّل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فی الرجل خمسة و زاد الجبّ، و الجذام، و فی المرأة تسعة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العفل و الرتق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و ذکر الخِرقی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العیوب التی توجب الفسخ ثمانیة، ثلاثة یشترک فیها الزوجان، و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الجنون، و الجذام، و البرص و اثنان تختصان بالرجل، و 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 و العنّة، و ثلاثة تختصّ بالمرأة و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الفتق، و القرن، و العَفَل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580:7</w:t>
      </w:r>
      <w:r>
        <w:rPr>
          <w:rFonts w:eastAsia="IRNazanin" w:cs="IRNazanin"/>
          <w:b w:val="false"/>
          <w:bCs w:val="false"/>
          <w:i w:val="false"/>
          <w:iCs w:val="false"/>
          <w:color w:val="333333"/>
          <w:sz w:val="20"/>
          <w:szCs w:val="20"/>
          <w:rtl w:val="true"/>
        </w:rPr>
        <w:t>.</w:t>
      </w:r>
    </w:p>
  </w:footnote>
  <w:footnote w:id="2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278:2</w:t>
      </w:r>
      <w:r>
        <w:rPr>
          <w:rFonts w:ascii="IRNazanin" w:hAnsi="IRNazanin" w:eastAsia="IRNazanin"/>
          <w:b w:val="false"/>
          <w:b w:val="false"/>
          <w:bCs w:val="false"/>
          <w:i w:val="false"/>
          <w:i w:val="false"/>
          <w:iCs w:val="false"/>
          <w:color w:val="333333"/>
          <w:sz w:val="20"/>
          <w:sz w:val="20"/>
          <w:szCs w:val="20"/>
          <w:rtl w:val="true"/>
        </w:rPr>
        <w:t xml:space="preserve">؛ إرشاد الأذهان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171:7</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275:23</w:t>
      </w:r>
      <w:r>
        <w:rPr>
          <w:rFonts w:ascii="IRNazanin" w:hAnsi="IRNazanin" w:eastAsia="IRNazanin"/>
          <w:b w:val="false"/>
          <w:b w:val="false"/>
          <w:bCs w:val="false"/>
          <w:i w:val="false"/>
          <w:i w:val="false"/>
          <w:iCs w:val="false"/>
          <w:color w:val="333333"/>
          <w:sz w:val="20"/>
          <w:sz w:val="20"/>
          <w:szCs w:val="20"/>
          <w:rtl w:val="true"/>
        </w:rPr>
        <w:t xml:space="preserve">؛ العروة و التعلیقات علیها </w:t>
      </w:r>
      <w:r>
        <w:rPr>
          <w:rFonts w:eastAsia="IRNazanin" w:cs="IRNazanin"/>
          <w:b w:val="false"/>
          <w:bCs w:val="false"/>
          <w:i w:val="false"/>
          <w:iCs w:val="false"/>
          <w:color w:val="333333"/>
          <w:sz w:val="20"/>
          <w:szCs w:val="20"/>
        </w:rPr>
        <w:t>868:2</w:t>
      </w:r>
      <w:r>
        <w:rPr>
          <w:rFonts w:ascii="IRNazanin" w:hAnsi="IRNazanin" w:eastAsia="IRNazanin"/>
          <w:b w:val="false"/>
          <w:b w:val="false"/>
          <w:bCs w:val="false"/>
          <w:i w:val="false"/>
          <w:i w:val="false"/>
          <w:iCs w:val="false"/>
          <w:color w:val="333333"/>
          <w:sz w:val="20"/>
          <w:sz w:val="20"/>
          <w:szCs w:val="20"/>
          <w:rtl w:val="true"/>
        </w:rPr>
        <w:t>؛ تفصیل الشریعة، 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171:7</w:t>
      </w:r>
      <w:r>
        <w:rPr>
          <w:rFonts w:eastAsia="IRNazanin" w:cs="IRNazanin"/>
          <w:b w:val="false"/>
          <w:bCs w:val="false"/>
          <w:i w:val="false"/>
          <w:iCs w:val="false"/>
          <w:color w:val="333333"/>
          <w:sz w:val="20"/>
          <w:szCs w:val="20"/>
          <w:rtl w:val="true"/>
        </w:rPr>
        <w:t>.</w:t>
      </w:r>
    </w:p>
  </w:footnote>
  <w:footnote w:id="2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275:23</w:t>
      </w:r>
      <w:r>
        <w:rPr>
          <w:rFonts w:eastAsia="IRNazanin" w:cs="IRNazanin"/>
          <w:b w:val="false"/>
          <w:bCs w:val="false"/>
          <w:i w:val="false"/>
          <w:iCs w:val="false"/>
          <w:color w:val="333333"/>
          <w:sz w:val="20"/>
          <w:szCs w:val="20"/>
          <w:rtl w:val="true"/>
        </w:rPr>
        <w:t>.</w:t>
      </w:r>
    </w:p>
  </w:footnote>
  <w:footnote w:id="2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212:29</w:t>
      </w:r>
      <w:r>
        <w:rPr>
          <w:rFonts w:eastAsia="IRNazanin" w:cs="IRNazanin"/>
          <w:b w:val="false"/>
          <w:bCs w:val="false"/>
          <w:i w:val="false"/>
          <w:iCs w:val="false"/>
          <w:color w:val="333333"/>
          <w:sz w:val="20"/>
          <w:szCs w:val="20"/>
          <w:rtl w:val="true"/>
        </w:rPr>
        <w:t>.</w:t>
      </w:r>
    </w:p>
  </w:footnote>
  <w:footnote w:id="2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284:4</w:t>
      </w:r>
      <w:r>
        <w:rPr>
          <w:rFonts w:eastAsia="IRNazanin" w:cs="IRNazanin"/>
          <w:b w:val="false"/>
          <w:bCs w:val="false"/>
          <w:i w:val="false"/>
          <w:iCs w:val="false"/>
          <w:color w:val="333333"/>
          <w:sz w:val="20"/>
          <w:szCs w:val="20"/>
          <w:rtl w:val="true"/>
        </w:rPr>
        <w:t>.</w:t>
      </w:r>
    </w:p>
  </w:footnote>
  <w:footnote w:id="2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278:2</w:t>
      </w:r>
      <w:r>
        <w:rPr>
          <w:rFonts w:eastAsia="IRNazanin" w:cs="IRNazanin"/>
          <w:b w:val="false"/>
          <w:bCs w:val="false"/>
          <w:i w:val="false"/>
          <w:iCs w:val="false"/>
          <w:color w:val="333333"/>
          <w:sz w:val="20"/>
          <w:szCs w:val="20"/>
          <w:rtl w:val="true"/>
        </w:rPr>
        <w:t>.</w:t>
      </w:r>
    </w:p>
  </w:footnote>
  <w:footnote w:id="2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143:2</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275:23</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212:29</w:t>
      </w:r>
      <w:r>
        <w:rPr>
          <w:rFonts w:eastAsia="IRNazanin" w:cs="IRNazanin"/>
          <w:b w:val="false"/>
          <w:bCs w:val="false"/>
          <w:i w:val="false"/>
          <w:iCs w:val="false"/>
          <w:color w:val="333333"/>
          <w:sz w:val="20"/>
          <w:szCs w:val="20"/>
          <w:rtl w:val="true"/>
        </w:rPr>
        <w:t>.</w:t>
      </w:r>
    </w:p>
  </w:footnote>
  <w:footnote w:id="2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172:7</w:t>
      </w:r>
      <w:r>
        <w:rPr>
          <w:rFonts w:eastAsia="IRNazanin" w:cs="IRNazanin"/>
          <w:b w:val="false"/>
          <w:bCs w:val="false"/>
          <w:i w:val="false"/>
          <w:iCs w:val="false"/>
          <w:color w:val="333333"/>
          <w:sz w:val="20"/>
          <w:szCs w:val="20"/>
          <w:rtl w:val="true"/>
        </w:rPr>
        <w:t>.</w:t>
      </w:r>
    </w:p>
  </w:footnote>
  <w:footnote w:id="2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العیوب و التدلیس،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هکذا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ففی موثّقة سماعة، عن الصادق علیه السلام أنّ خصیّاً دلّس نفسه لامرأةٍ،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یفرّق بینهما و تأخذ منه صداقها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و غیرها من الروایات</w:t>
      </w:r>
      <w:r>
        <w:rPr>
          <w:rFonts w:eastAsia="IRNazanin" w:cs="IRNazanin"/>
          <w:b w:val="false"/>
          <w:bCs w:val="false"/>
          <w:i w:val="false"/>
          <w:iCs w:val="false"/>
          <w:color w:val="333333"/>
          <w:sz w:val="20"/>
          <w:szCs w:val="20"/>
          <w:rtl w:val="true"/>
        </w:rPr>
        <w:t>.</w:t>
      </w:r>
    </w:p>
  </w:footnote>
  <w:footnote w:id="2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868:2</w:t>
      </w:r>
      <w:r>
        <w:rPr>
          <w:rFonts w:eastAsia="IRNazanin" w:cs="IRNazanin"/>
          <w:b w:val="false"/>
          <w:bCs w:val="false"/>
          <w:i w:val="false"/>
          <w:iCs w:val="false"/>
          <w:color w:val="333333"/>
          <w:sz w:val="20"/>
          <w:szCs w:val="20"/>
          <w:rtl w:val="true"/>
        </w:rPr>
        <w:t>.</w:t>
      </w:r>
    </w:p>
  </w:footnote>
  <w:footnote w:id="2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w:t>
      </w:r>
      <w:r>
        <w:rPr>
          <w:rFonts w:eastAsia="IRNazanin" w:cs="IRNazanin"/>
          <w:b w:val="false"/>
          <w:bCs w:val="false"/>
          <w:i w:val="false"/>
          <w:iCs w:val="false"/>
          <w:color w:val="333333"/>
          <w:sz w:val="20"/>
          <w:szCs w:val="20"/>
        </w:rPr>
        <w:t>468:14</w:t>
      </w:r>
      <w:r>
        <w:rPr>
          <w:rFonts w:eastAsia="IRNazanin" w:cs="IRNazanin"/>
          <w:b w:val="false"/>
          <w:bCs w:val="false"/>
          <w:i w:val="false"/>
          <w:iCs w:val="false"/>
          <w:color w:val="333333"/>
          <w:sz w:val="20"/>
          <w:szCs w:val="20"/>
          <w:rtl w:val="true"/>
        </w:rPr>
        <w:t>.</w:t>
      </w:r>
    </w:p>
  </w:footnote>
  <w:footnote w:id="2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296:2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النکاح</w:t>
      </w:r>
      <w:r>
        <w:rPr>
          <w:rFonts w:eastAsia="IRNazanin" w:cs="IRNazanin"/>
          <w:b w:val="false"/>
          <w:bCs w:val="false"/>
          <w:i w:val="false"/>
          <w:iCs w:val="false"/>
          <w:color w:val="333333"/>
          <w:sz w:val="20"/>
          <w:szCs w:val="20"/>
          <w:rtl w:val="true"/>
        </w:rPr>
        <w:t>.</w:t>
      </w:r>
    </w:p>
  </w:footnote>
  <w:footnote w:id="2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 الشیخ الأعظم، کتاب النکاح </w:t>
      </w:r>
      <w:r>
        <w:rPr>
          <w:rFonts w:eastAsia="IRNazanin" w:cs="IRNazanin"/>
          <w:b w:val="false"/>
          <w:bCs w:val="false"/>
          <w:i w:val="false"/>
          <w:iCs w:val="false"/>
          <w:color w:val="333333"/>
          <w:sz w:val="20"/>
          <w:szCs w:val="20"/>
        </w:rPr>
        <w:t>175:20</w:t>
      </w:r>
      <w:r>
        <w:rPr>
          <w:rFonts w:eastAsia="IRNazanin" w:cs="IRNazanin"/>
          <w:b w:val="false"/>
          <w:bCs w:val="false"/>
          <w:i w:val="false"/>
          <w:iCs w:val="false"/>
          <w:color w:val="333333"/>
          <w:sz w:val="20"/>
          <w:szCs w:val="20"/>
          <w:rtl w:val="true"/>
        </w:rPr>
        <w:t>.</w:t>
      </w:r>
    </w:p>
  </w:footnote>
  <w:footnote w:id="2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171:7</w:t>
      </w:r>
      <w:r>
        <w:rPr>
          <w:rFonts w:eastAsia="IRNazanin" w:cs="IRNazanin"/>
          <w:b w:val="false"/>
          <w:bCs w:val="false"/>
          <w:i w:val="false"/>
          <w:iCs w:val="false"/>
          <w:color w:val="333333"/>
          <w:sz w:val="20"/>
          <w:szCs w:val="20"/>
          <w:rtl w:val="true"/>
        </w:rPr>
        <w:t>.</w:t>
      </w:r>
    </w:p>
  </w:footnote>
  <w:footnote w:id="2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278:29</w:t>
      </w:r>
      <w:r>
        <w:rPr>
          <w:rFonts w:eastAsia="IRNazanin" w:cs="IRNazanin"/>
          <w:b w:val="false"/>
          <w:bCs w:val="false"/>
          <w:i w:val="false"/>
          <w:iCs w:val="false"/>
          <w:color w:val="333333"/>
          <w:sz w:val="20"/>
          <w:szCs w:val="20"/>
          <w:rtl w:val="true"/>
        </w:rPr>
        <w:t>.</w:t>
      </w:r>
    </w:p>
  </w:footnote>
  <w:footnote w:id="2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w:t>
      </w:r>
    </w:p>
  </w:footnote>
  <w:footnote w:id="2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867:2</w:t>
      </w:r>
      <w:r>
        <w:rPr>
          <w:rFonts w:eastAsia="IRNazanin" w:cs="IRNazanin"/>
          <w:b w:val="false"/>
          <w:bCs w:val="false"/>
          <w:i w:val="false"/>
          <w:iCs w:val="false"/>
          <w:color w:val="333333"/>
          <w:sz w:val="20"/>
          <w:szCs w:val="20"/>
          <w:rtl w:val="true"/>
        </w:rPr>
        <w:t>.</w:t>
      </w:r>
    </w:p>
  </w:footnote>
  <w:footnote w:id="2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الأمّ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مختصر المزنی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و الشرح الکبیر </w:t>
      </w:r>
      <w:r>
        <w:rPr>
          <w:rFonts w:eastAsia="IRNazanin" w:cs="IRNazanin"/>
          <w:b w:val="false"/>
          <w:bCs w:val="false"/>
          <w:i w:val="false"/>
          <w:iCs w:val="false"/>
          <w:color w:val="333333"/>
          <w:sz w:val="20"/>
          <w:szCs w:val="20"/>
        </w:rPr>
        <w:t>589:7</w:t>
      </w:r>
      <w:r>
        <w:rPr>
          <w:rFonts w:ascii="IRNazanin" w:hAnsi="IRNazanin" w:eastAsia="IRNazanin"/>
          <w:b w:val="false"/>
          <w:b w:val="false"/>
          <w:bCs w:val="false"/>
          <w:i w:val="false"/>
          <w:i w:val="false"/>
          <w:iCs w:val="false"/>
          <w:color w:val="333333"/>
          <w:sz w:val="20"/>
          <w:sz w:val="20"/>
          <w:szCs w:val="20"/>
          <w:rtl w:val="true"/>
        </w:rPr>
        <w:t xml:space="preserve">؛ الکافی فی فقه الإمام أحمد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للسرخسی </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w:t>
      </w:r>
    </w:p>
  </w:footnote>
  <w:footnote w:id="2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ردّ المختار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p>
  </w:footnote>
  <w:footnote w:id="2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المزنی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187:11</w:t>
      </w:r>
      <w:r>
        <w:rPr>
          <w:rFonts w:eastAsia="IRNazanin" w:cs="IRNazanin"/>
          <w:b w:val="false"/>
          <w:bCs w:val="false"/>
          <w:i w:val="false"/>
          <w:iCs w:val="false"/>
          <w:color w:val="333333"/>
          <w:sz w:val="20"/>
          <w:szCs w:val="20"/>
          <w:rtl w:val="true"/>
        </w:rPr>
        <w:t>.</w:t>
      </w:r>
    </w:p>
  </w:footnote>
  <w:footnote w:id="2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w:t>
      </w:r>
      <w:r>
        <w:rPr>
          <w:rFonts w:eastAsia="IRNazanin" w:cs="IRNazanin"/>
          <w:b w:val="false"/>
          <w:bCs w:val="false"/>
          <w:i w:val="false"/>
          <w:iCs w:val="false"/>
          <w:color w:val="333333"/>
          <w:sz w:val="20"/>
          <w:szCs w:val="20"/>
        </w:rPr>
        <w:t>443:17</w:t>
      </w:r>
      <w:r>
        <w:rPr>
          <w:rFonts w:eastAsia="IRNazanin" w:cs="IRNazanin"/>
          <w:b w:val="false"/>
          <w:bCs w:val="false"/>
          <w:i w:val="false"/>
          <w:iCs w:val="false"/>
          <w:color w:val="333333"/>
          <w:sz w:val="20"/>
          <w:szCs w:val="20"/>
          <w:rtl w:val="true"/>
        </w:rPr>
        <w:t>.</w:t>
      </w:r>
    </w:p>
  </w:footnote>
  <w:footnote w:id="2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188:11</w:t>
      </w:r>
      <w:r>
        <w:rPr>
          <w:rFonts w:eastAsia="IRNazanin" w:cs="IRNazanin"/>
          <w:b w:val="false"/>
          <w:bCs w:val="false"/>
          <w:i w:val="false"/>
          <w:iCs w:val="false"/>
          <w:color w:val="333333"/>
          <w:sz w:val="20"/>
          <w:szCs w:val="20"/>
          <w:rtl w:val="true"/>
        </w:rPr>
        <w:t>.</w:t>
      </w:r>
    </w:p>
  </w:footnote>
  <w:footnote w:id="2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w:t>
      </w:r>
    </w:p>
  </w:footnote>
  <w:footnote w:id="2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الجواهر الثمینة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267:4</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277:2</w:t>
      </w:r>
      <w:r>
        <w:rPr>
          <w:rFonts w:ascii="IRNazanin" w:hAnsi="IRNazanin" w:eastAsia="IRNazanin"/>
          <w:b w:val="false"/>
          <w:b w:val="false"/>
          <w:bCs w:val="false"/>
          <w:i w:val="false"/>
          <w:i w:val="false"/>
          <w:iCs w:val="false"/>
          <w:color w:val="333333"/>
          <w:sz w:val="20"/>
          <w:sz w:val="20"/>
          <w:szCs w:val="20"/>
          <w:rtl w:val="true"/>
        </w:rPr>
        <w:t>؛ 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المهذّب البارع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w:t>
      </w:r>
    </w:p>
  </w:footnote>
  <w:footnote w:id="2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401:7</w:t>
      </w:r>
      <w:r>
        <w:rPr>
          <w:rFonts w:ascii="IRNazanin" w:hAnsi="IRNazanin" w:eastAsia="IRNazanin"/>
          <w:b w:val="false"/>
          <w:b w:val="false"/>
          <w:bCs w:val="false"/>
          <w:i w:val="false"/>
          <w:i w:val="false"/>
          <w:iCs w:val="false"/>
          <w:color w:val="333333"/>
          <w:sz w:val="20"/>
          <w:sz w:val="20"/>
          <w:szCs w:val="20"/>
          <w:rtl w:val="true"/>
        </w:rPr>
        <w:t xml:space="preserve">؛ المبسوط للسرخسی </w:t>
      </w:r>
      <w:r>
        <w:rPr>
          <w:rFonts w:eastAsia="IRNazanin" w:cs="IRNazanin"/>
          <w:b w:val="false"/>
          <w:bCs w:val="false"/>
          <w:i w:val="false"/>
          <w:iCs w:val="false"/>
          <w:color w:val="333333"/>
          <w:sz w:val="20"/>
          <w:szCs w:val="20"/>
        </w:rPr>
        <w:t>113:5</w:t>
      </w:r>
      <w:r>
        <w:rPr>
          <w:rFonts w:ascii="IRNazanin" w:hAnsi="IRNazanin" w:eastAsia="IRNazanin"/>
          <w:b w:val="false"/>
          <w:b w:val="false"/>
          <w:bCs w:val="false"/>
          <w:i w:val="false"/>
          <w:i w:val="false"/>
          <w:iCs w:val="false"/>
          <w:color w:val="333333"/>
          <w:sz w:val="20"/>
          <w:sz w:val="20"/>
          <w:szCs w:val="20"/>
          <w:rtl w:val="true"/>
        </w:rPr>
        <w:t xml:space="preserve">؛ الأمّ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145:7</w:t>
      </w:r>
      <w:r>
        <w:rPr>
          <w:rFonts w:ascii="IRNazanin" w:hAnsi="IRNazanin" w:eastAsia="IRNazanin"/>
          <w:b w:val="false"/>
          <w:b w:val="false"/>
          <w:bCs w:val="false"/>
          <w:i w:val="false"/>
          <w:i w:val="false"/>
          <w:iCs w:val="false"/>
          <w:color w:val="333333"/>
          <w:sz w:val="20"/>
          <w:sz w:val="20"/>
          <w:szCs w:val="20"/>
          <w:rtl w:val="true"/>
        </w:rPr>
        <w:t xml:space="preserve">؛ الروضة البهیّة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95:12</w:t>
      </w:r>
      <w:r>
        <w:rPr>
          <w:rFonts w:eastAsia="IRNazanin" w:cs="IRNazanin"/>
          <w:b w:val="false"/>
          <w:bCs w:val="false"/>
          <w:i w:val="false"/>
          <w:iCs w:val="false"/>
          <w:color w:val="333333"/>
          <w:sz w:val="20"/>
          <w:szCs w:val="20"/>
          <w:rtl w:val="true"/>
        </w:rPr>
        <w:t>.</w:t>
      </w:r>
    </w:p>
  </w:footnote>
  <w:footnote w:id="2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215:29</w:t>
      </w:r>
      <w:r>
        <w:rPr>
          <w:rFonts w:eastAsia="IRNazanin" w:cs="IRNazanin"/>
          <w:b w:val="false"/>
          <w:bCs w:val="false"/>
          <w:i w:val="false"/>
          <w:iCs w:val="false"/>
          <w:color w:val="333333"/>
          <w:sz w:val="20"/>
          <w:szCs w:val="20"/>
          <w:rtl w:val="true"/>
        </w:rPr>
        <w:t>.</w:t>
      </w:r>
    </w:p>
  </w:footnote>
  <w:footnote w:id="2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95:12</w:t>
      </w:r>
      <w:r>
        <w:rPr>
          <w:rFonts w:ascii="IRNazanin" w:hAnsi="IRNazanin" w:eastAsia="IRNazanin"/>
          <w:b w:val="false"/>
          <w:b w:val="false"/>
          <w:bCs w:val="false"/>
          <w:i w:val="false"/>
          <w:i w:val="false"/>
          <w:iCs w:val="false"/>
          <w:color w:val="333333"/>
          <w:sz w:val="20"/>
          <w:sz w:val="20"/>
          <w:szCs w:val="20"/>
          <w:rtl w:val="true"/>
        </w:rPr>
        <w:t xml:space="preserve">؛ مستند العروة، کتاب النکاح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223:14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522:14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 الإماء،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2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کتاب النکاح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398:7</w:t>
      </w:r>
      <w:r>
        <w:rPr>
          <w:rFonts w:eastAsia="IRNazanin" w:cs="IRNazanin"/>
          <w:b w:val="false"/>
          <w:bCs w:val="false"/>
          <w:i w:val="false"/>
          <w:iCs w:val="false"/>
          <w:color w:val="333333"/>
          <w:sz w:val="20"/>
          <w:szCs w:val="20"/>
          <w:rtl w:val="true"/>
        </w:rPr>
        <w:t>.</w:t>
      </w:r>
    </w:p>
  </w:footnote>
  <w:footnote w:id="2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للسرخسی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2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النتف فی الفتاوی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w:t>
      </w:r>
      <w:r>
        <w:rPr>
          <w:rFonts w:eastAsia="IRNazanin" w:cs="IRNazanin"/>
          <w:b w:val="false"/>
          <w:bCs w:val="false"/>
          <w:i w:val="false"/>
          <w:iCs w:val="false"/>
          <w:color w:val="333333"/>
          <w:sz w:val="20"/>
          <w:szCs w:val="20"/>
        </w:rPr>
        <w:t>356:17</w:t>
      </w:r>
      <w:r>
        <w:rPr>
          <w:rFonts w:ascii="IRNazanin" w:hAnsi="IRNazanin" w:eastAsia="IRNazanin"/>
          <w:b w:val="false"/>
          <w:b w:val="false"/>
          <w:bCs w:val="false"/>
          <w:i w:val="false"/>
          <w:i w:val="false"/>
          <w:iCs w:val="false"/>
          <w:color w:val="333333"/>
          <w:sz w:val="20"/>
          <w:sz w:val="20"/>
          <w:szCs w:val="20"/>
          <w:rtl w:val="true"/>
        </w:rPr>
        <w:t xml:space="preserve">؛ مغنی المحتاج </w:t>
      </w:r>
      <w:r>
        <w:rPr>
          <w:rFonts w:eastAsia="IRNazanin" w:cs="IRNazanin"/>
          <w:b w:val="false"/>
          <w:bCs w:val="false"/>
          <w:i w:val="false"/>
          <w:iCs w:val="false"/>
          <w:color w:val="333333"/>
          <w:sz w:val="20"/>
          <w:szCs w:val="20"/>
        </w:rPr>
        <w:t>172:3</w:t>
      </w:r>
      <w:r>
        <w:rPr>
          <w:rFonts w:ascii="IRNazanin" w:hAnsi="IRNazanin" w:eastAsia="IRNazanin"/>
          <w:b w:val="false"/>
          <w:b w:val="false"/>
          <w:bCs w:val="false"/>
          <w:i w:val="false"/>
          <w:i w:val="false"/>
          <w:iCs w:val="false"/>
          <w:color w:val="333333"/>
          <w:sz w:val="20"/>
          <w:sz w:val="20"/>
          <w:szCs w:val="20"/>
          <w:rtl w:val="true"/>
        </w:rPr>
        <w:t xml:space="preserve">؛ روضة الطالبین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2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الکبری </w:t>
      </w:r>
      <w:r>
        <w:rPr>
          <w:rFonts w:eastAsia="IRNazanin" w:cs="IRNazanin"/>
          <w:b w:val="false"/>
          <w:bCs w:val="false"/>
          <w:i w:val="false"/>
          <w:iCs w:val="false"/>
          <w:color w:val="333333"/>
          <w:sz w:val="20"/>
          <w:szCs w:val="20"/>
        </w:rPr>
        <w:t>188:2</w:t>
      </w:r>
      <w:r>
        <w:rPr>
          <w:rFonts w:ascii="IRNazanin" w:hAnsi="IRNazanin" w:eastAsia="IRNazanin"/>
          <w:b w:val="false"/>
          <w:b w:val="false"/>
          <w:bCs w:val="false"/>
          <w:i w:val="false"/>
          <w:i w:val="false"/>
          <w:iCs w:val="false"/>
          <w:color w:val="333333"/>
          <w:sz w:val="20"/>
          <w:sz w:val="20"/>
          <w:szCs w:val="20"/>
          <w:rtl w:val="true"/>
        </w:rPr>
        <w:t xml:space="preserve">؛ عقد الجواهر الثمینة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2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w:t>
      </w:r>
    </w:p>
  </w:footnote>
  <w:footnote w:id="2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w:t>
      </w:r>
    </w:p>
  </w:footnote>
  <w:footnote w:id="2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المرام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2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242:23</w:t>
      </w:r>
      <w:r>
        <w:rPr>
          <w:rFonts w:eastAsia="IRNazanin" w:cs="IRNazanin"/>
          <w:b w:val="false"/>
          <w:bCs w:val="false"/>
          <w:i w:val="false"/>
          <w:iCs w:val="false"/>
          <w:color w:val="333333"/>
          <w:sz w:val="20"/>
          <w:szCs w:val="20"/>
          <w:rtl w:val="true"/>
        </w:rPr>
        <w:t>.</w:t>
      </w:r>
    </w:p>
  </w:footnote>
  <w:footnote w:id="2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327:2</w:t>
      </w:r>
      <w:r>
        <w:rPr>
          <w:rFonts w:eastAsia="IRNazanin" w:cs="IRNazanin"/>
          <w:b w:val="false"/>
          <w:bCs w:val="false"/>
          <w:i w:val="false"/>
          <w:iCs w:val="false"/>
          <w:color w:val="333333"/>
          <w:sz w:val="20"/>
          <w:szCs w:val="20"/>
          <w:rtl w:val="true"/>
        </w:rPr>
        <w:t>.</w:t>
      </w:r>
    </w:p>
  </w:footnote>
  <w:footnote w:id="2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p>
  </w:footnote>
  <w:footnote w:id="2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مختلف الشیعة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نعثر علی ذلک فی المبسوط</w:t>
      </w:r>
      <w:r>
        <w:rPr>
          <w:rFonts w:eastAsia="IRNazanin" w:cs="IRNazanin"/>
          <w:b w:val="false"/>
          <w:bCs w:val="false"/>
          <w:i w:val="false"/>
          <w:iCs w:val="false"/>
          <w:color w:val="333333"/>
          <w:sz w:val="20"/>
          <w:szCs w:val="20"/>
          <w:rtl w:val="true"/>
        </w:rPr>
        <w:t>.</w:t>
      </w:r>
    </w:p>
  </w:footnote>
  <w:footnote w:id="2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99:12</w:t>
      </w:r>
      <w:r>
        <w:rPr>
          <w:rFonts w:eastAsia="IRNazanin" w:cs="IRNazanin"/>
          <w:b w:val="false"/>
          <w:bCs w:val="false"/>
          <w:i w:val="false"/>
          <w:iCs w:val="false"/>
          <w:color w:val="333333"/>
          <w:sz w:val="20"/>
          <w:szCs w:val="20"/>
          <w:rtl w:val="true"/>
        </w:rPr>
        <w:t>.</w:t>
      </w:r>
    </w:p>
  </w:footnote>
  <w:footnote w:id="2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106:6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373:3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62:15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یتّجر،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فتجیز</w:t>
      </w:r>
      <w:r>
        <w:rPr>
          <w:rFonts w:eastAsia="IRNazanin" w:cs="IRNazanin"/>
          <w:b w:val="false"/>
          <w:bCs w:val="false"/>
          <w:i w:val="false"/>
          <w:iCs w:val="false"/>
          <w:color w:val="333333"/>
          <w:sz w:val="20"/>
          <w:szCs w:val="20"/>
          <w:rtl w:val="true"/>
        </w:rPr>
        <w:t>».</w:t>
      </w:r>
    </w:p>
  </w:footnote>
  <w:footnote w:id="2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241:23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141:16</w:t>
      </w:r>
      <w:r>
        <w:rPr>
          <w:rFonts w:eastAsia="IRNazanin" w:cs="IRNazanin"/>
          <w:b w:val="false"/>
          <w:bCs w:val="false"/>
          <w:i w:val="false"/>
          <w:iCs w:val="false"/>
          <w:color w:val="333333"/>
          <w:sz w:val="20"/>
          <w:szCs w:val="20"/>
          <w:rtl w:val="true"/>
        </w:rPr>
        <w:t>.</w:t>
      </w:r>
    </w:p>
  </w:footnote>
  <w:footnote w:id="2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148:7</w:t>
      </w:r>
      <w:r>
        <w:rPr>
          <w:rFonts w:eastAsia="IRNazanin" w:cs="IRNazanin"/>
          <w:b w:val="false"/>
          <w:bCs w:val="false"/>
          <w:i w:val="false"/>
          <w:iCs w:val="false"/>
          <w:color w:val="333333"/>
          <w:sz w:val="20"/>
          <w:szCs w:val="20"/>
          <w:rtl w:val="true"/>
        </w:rPr>
        <w:t>.</w:t>
      </w:r>
    </w:p>
  </w:footnote>
  <w:footnote w:id="2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99:12</w:t>
      </w:r>
      <w:r>
        <w:rPr>
          <w:rFonts w:eastAsia="IRNazanin" w:cs="IRNazanin"/>
          <w:b w:val="false"/>
          <w:bCs w:val="false"/>
          <w:i w:val="false"/>
          <w:iCs w:val="false"/>
          <w:color w:val="333333"/>
          <w:sz w:val="20"/>
          <w:szCs w:val="20"/>
          <w:rtl w:val="true"/>
        </w:rPr>
        <w:t>.</w:t>
      </w:r>
    </w:p>
  </w:footnote>
  <w:footnote w:id="2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المرام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2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245:23</w:t>
      </w:r>
      <w:r>
        <w:rPr>
          <w:rFonts w:eastAsia="IRNazanin" w:cs="IRNazanin"/>
          <w:b w:val="false"/>
          <w:bCs w:val="false"/>
          <w:i w:val="false"/>
          <w:iCs w:val="false"/>
          <w:color w:val="333333"/>
          <w:sz w:val="20"/>
          <w:szCs w:val="20"/>
          <w:rtl w:val="true"/>
        </w:rPr>
        <w:t>.</w:t>
      </w:r>
    </w:p>
  </w:footnote>
  <w:footnote w:id="2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2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w:t>
      </w:r>
    </w:p>
  </w:footnote>
  <w:footnote w:id="2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592:2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2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148:7</w:t>
      </w:r>
      <w:r>
        <w:rPr>
          <w:rFonts w:eastAsia="IRNazanin" w:cs="IRNazanin"/>
          <w:b w:val="false"/>
          <w:bCs w:val="false"/>
          <w:i w:val="false"/>
          <w:iCs w:val="false"/>
          <w:color w:val="333333"/>
          <w:sz w:val="20"/>
          <w:szCs w:val="20"/>
          <w:rtl w:val="true"/>
        </w:rPr>
        <w:t>.</w:t>
      </w:r>
    </w:p>
  </w:footnote>
  <w:footnote w:id="2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p>
  </w:footnote>
  <w:footnote w:id="2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138:16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403:6</w:t>
      </w:r>
      <w:r>
        <w:rPr>
          <w:rFonts w:eastAsia="IRNazanin" w:cs="IRNazanin"/>
          <w:b w:val="false"/>
          <w:bCs w:val="false"/>
          <w:i w:val="false"/>
          <w:iCs w:val="false"/>
          <w:color w:val="333333"/>
          <w:sz w:val="20"/>
          <w:szCs w:val="20"/>
          <w:rtl w:val="true"/>
        </w:rPr>
        <w:t>.</w:t>
      </w:r>
    </w:p>
  </w:footnote>
  <w:footnote w:id="2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المدارک </w:t>
      </w:r>
      <w:r>
        <w:rPr>
          <w:rFonts w:eastAsia="IRNazanin" w:cs="IRNazanin"/>
          <w:b w:val="false"/>
          <w:bCs w:val="false"/>
          <w:i w:val="false"/>
          <w:iCs w:val="false"/>
          <w:color w:val="333333"/>
          <w:sz w:val="20"/>
          <w:szCs w:val="20"/>
        </w:rPr>
        <w:t>165:4</w:t>
      </w:r>
      <w:r>
        <w:rPr>
          <w:rFonts w:eastAsia="IRNazanin" w:cs="IRNazanin"/>
          <w:b w:val="false"/>
          <w:bCs w:val="false"/>
          <w:i w:val="false"/>
          <w:iCs w:val="false"/>
          <w:color w:val="333333"/>
          <w:sz w:val="20"/>
          <w:szCs w:val="20"/>
          <w:rtl w:val="true"/>
        </w:rPr>
        <w:t>.</w:t>
      </w:r>
    </w:p>
  </w:footnote>
  <w:footnote w:id="2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277:24</w:t>
      </w:r>
      <w:r>
        <w:rPr>
          <w:rFonts w:eastAsia="IRNazanin" w:cs="IRNazanin"/>
          <w:b w:val="false"/>
          <w:bCs w:val="false"/>
          <w:i w:val="false"/>
          <w:iCs w:val="false"/>
          <w:color w:val="333333"/>
          <w:sz w:val="20"/>
          <w:szCs w:val="20"/>
          <w:rtl w:val="true"/>
        </w:rPr>
        <w:t>.</w:t>
      </w:r>
    </w:p>
  </w:footnote>
  <w:footnote w:id="2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868:2</w:t>
      </w:r>
      <w:r>
        <w:rPr>
          <w:rFonts w:eastAsia="IRNazanin" w:cs="IRNazanin"/>
          <w:b w:val="false"/>
          <w:bCs w:val="false"/>
          <w:i w:val="false"/>
          <w:iCs w:val="false"/>
          <w:color w:val="333333"/>
          <w:sz w:val="20"/>
          <w:szCs w:val="20"/>
          <w:rtl w:val="true"/>
        </w:rPr>
        <w:t>.</w:t>
      </w:r>
    </w:p>
  </w:footnote>
  <w:footnote w:id="2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229:2</w:t>
      </w:r>
      <w:r>
        <w:rPr>
          <w:rFonts w:ascii="IRNazanin" w:hAnsi="IRNazanin" w:eastAsia="IRNazanin"/>
          <w:b w:val="false"/>
          <w:b w:val="false"/>
          <w:bCs w:val="false"/>
          <w:i w:val="false"/>
          <w:i w:val="false"/>
          <w:iCs w:val="false"/>
          <w:color w:val="333333"/>
          <w:sz w:val="20"/>
          <w:sz w:val="20"/>
          <w:szCs w:val="20"/>
          <w:rtl w:val="true"/>
        </w:rPr>
        <w:t xml:space="preserve">، فصل فی أولیاء العقد مسألة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w:t>
      </w:r>
      <w:r>
        <w:rPr>
          <w:rFonts w:eastAsia="IRNazanin" w:cs="IRNazanin"/>
          <w:b w:val="false"/>
          <w:bCs w:val="false"/>
          <w:i w:val="false"/>
          <w:iCs w:val="false"/>
          <w:color w:val="333333"/>
          <w:sz w:val="20"/>
          <w:szCs w:val="20"/>
        </w:rPr>
        <w:t>476:14</w:t>
      </w:r>
      <w:r>
        <w:rPr>
          <w:rFonts w:ascii="IRNazanin" w:hAnsi="IRNazanin" w:eastAsia="IRNazanin"/>
          <w:b w:val="false"/>
          <w:b w:val="false"/>
          <w:bCs w:val="false"/>
          <w:i w:val="false"/>
          <w:i w:val="false"/>
          <w:iCs w:val="false"/>
          <w:color w:val="333333"/>
          <w:sz w:val="20"/>
          <w:sz w:val="20"/>
          <w:szCs w:val="20"/>
          <w:rtl w:val="true"/>
        </w:rPr>
        <w:t>؛ تفصیل الشریعة، 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139:16</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403:6</w:t>
      </w:r>
      <w:r>
        <w:rPr>
          <w:rFonts w:ascii="IRNazanin" w:hAnsi="IRNazanin" w:eastAsia="IRNazanin"/>
          <w:b w:val="false"/>
          <w:b w:val="false"/>
          <w:bCs w:val="false"/>
          <w:i w:val="false"/>
          <w:i w:val="false"/>
          <w:iCs w:val="false"/>
          <w:color w:val="333333"/>
          <w:sz w:val="20"/>
          <w:sz w:val="20"/>
          <w:szCs w:val="20"/>
          <w:rtl w:val="true"/>
        </w:rPr>
        <w:t xml:space="preserve">؛ کتاب النکاح </w:t>
      </w:r>
      <w:r>
        <w:rPr>
          <w:rFonts w:eastAsia="IRNazanin" w:cs="IRNazanin"/>
          <w:b w:val="false"/>
          <w:bCs w:val="false"/>
          <w:i w:val="false"/>
          <w:iCs w:val="false"/>
          <w:color w:val="333333"/>
          <w:sz w:val="20"/>
          <w:szCs w:val="20"/>
        </w:rPr>
        <w:t>142:20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تراث الشیخ الأعظم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مهذّب الأحکام </w:t>
      </w:r>
      <w:r>
        <w:rPr>
          <w:rFonts w:eastAsia="IRNazanin" w:cs="IRNazanin"/>
          <w:b w:val="false"/>
          <w:bCs w:val="false"/>
          <w:i w:val="false"/>
          <w:iCs w:val="false"/>
          <w:color w:val="333333"/>
          <w:sz w:val="20"/>
          <w:szCs w:val="20"/>
        </w:rPr>
        <w:t>277:24</w:t>
      </w:r>
      <w:r>
        <w:rPr>
          <w:rFonts w:eastAsia="IRNazanin" w:cs="IRNazanin"/>
          <w:b w:val="false"/>
          <w:bCs w:val="false"/>
          <w:i w:val="false"/>
          <w:iCs w:val="false"/>
          <w:color w:val="333333"/>
          <w:sz w:val="20"/>
          <w:szCs w:val="20"/>
          <w:rtl w:val="true"/>
        </w:rPr>
        <w:t>.</w:t>
      </w:r>
    </w:p>
  </w:footnote>
  <w:footnote w:id="2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 الشیخ الأعظم، کتاب النکاح </w:t>
      </w:r>
      <w:r>
        <w:rPr>
          <w:rFonts w:eastAsia="IRNazanin" w:cs="IRNazanin"/>
          <w:b w:val="false"/>
          <w:bCs w:val="false"/>
          <w:i w:val="false"/>
          <w:iCs w:val="false"/>
          <w:color w:val="333333"/>
          <w:sz w:val="20"/>
          <w:szCs w:val="20"/>
        </w:rPr>
        <w:t>142:20</w:t>
      </w:r>
      <w:r>
        <w:rPr>
          <w:rFonts w:eastAsia="IRNazanin" w:cs="IRNazanin"/>
          <w:b w:val="false"/>
          <w:bCs w:val="false"/>
          <w:i w:val="false"/>
          <w:iCs w:val="false"/>
          <w:color w:val="333333"/>
          <w:sz w:val="20"/>
          <w:szCs w:val="20"/>
          <w:rtl w:val="true"/>
        </w:rPr>
        <w:t>.</w:t>
      </w:r>
    </w:p>
  </w:footnote>
  <w:footnote w:id="2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98:12</w:t>
      </w:r>
      <w:r>
        <w:rPr>
          <w:rFonts w:eastAsia="IRNazanin" w:cs="IRNazanin"/>
          <w:b w:val="false"/>
          <w:bCs w:val="false"/>
          <w:i w:val="false"/>
          <w:iCs w:val="false"/>
          <w:color w:val="333333"/>
          <w:sz w:val="20"/>
          <w:szCs w:val="20"/>
          <w:rtl w:val="true"/>
        </w:rPr>
        <w:t>.</w:t>
      </w:r>
    </w:p>
  </w:footnote>
  <w:footnote w:id="2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یظهر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بحسب تتبّعنا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الکفایة الإجماع علی ذلک، انظر کفایة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191:29</w:t>
      </w:r>
      <w:r>
        <w:rPr>
          <w:rFonts w:eastAsia="IRNazanin" w:cs="IRNazanin"/>
          <w:b w:val="false"/>
          <w:bCs w:val="false"/>
          <w:i w:val="false"/>
          <w:iCs w:val="false"/>
          <w:color w:val="333333"/>
          <w:sz w:val="20"/>
          <w:szCs w:val="20"/>
          <w:rtl w:val="true"/>
        </w:rPr>
        <w:t>.</w:t>
      </w:r>
    </w:p>
  </w:footnote>
  <w:footnote w:id="2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382:7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236:3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208:14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220:14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326:15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131:7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388:7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1555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527:17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الأزواج،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کتاب النکاح </w:t>
      </w:r>
      <w:r>
        <w:rPr>
          <w:rFonts w:eastAsia="IRNazanin" w:cs="IRNazanin"/>
          <w:b w:val="false"/>
          <w:bCs w:val="false"/>
          <w:i w:val="false"/>
          <w:iCs w:val="false"/>
          <w:color w:val="333333"/>
          <w:sz w:val="20"/>
          <w:szCs w:val="20"/>
        </w:rPr>
        <w:t>302:2</w:t>
      </w:r>
      <w:r>
        <w:rPr>
          <w:rFonts w:eastAsia="IRNazanin" w:cs="IRNazanin"/>
          <w:b w:val="false"/>
          <w:bCs w:val="false"/>
          <w:i w:val="false"/>
          <w:iCs w:val="false"/>
          <w:color w:val="333333"/>
          <w:sz w:val="20"/>
          <w:szCs w:val="20"/>
          <w:rtl w:val="true"/>
        </w:rPr>
        <w:t>.</w:t>
      </w:r>
    </w:p>
  </w:footnote>
  <w:footnote w:id="2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397:5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387:7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1554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190:29</w:t>
      </w:r>
      <w:r>
        <w:rPr>
          <w:rFonts w:eastAsia="IRNazanin" w:cs="IRNazanin"/>
          <w:b w:val="false"/>
          <w:bCs w:val="false"/>
          <w:i w:val="false"/>
          <w:iCs w:val="false"/>
          <w:color w:val="333333"/>
          <w:sz w:val="20"/>
          <w:szCs w:val="20"/>
          <w:rtl w:val="true"/>
        </w:rPr>
        <w:t>.</w:t>
      </w:r>
    </w:p>
  </w:footnote>
  <w:footnote w:id="2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سلسلة مؤلّفات الشیخ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أحکام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254:4</w:t>
      </w:r>
      <w:r>
        <w:rPr>
          <w:rFonts w:eastAsia="IRNazanin" w:cs="IRNazanin"/>
          <w:b w:val="false"/>
          <w:bCs w:val="false"/>
          <w:i w:val="false"/>
          <w:iCs w:val="false"/>
          <w:color w:val="333333"/>
          <w:sz w:val="20"/>
          <w:szCs w:val="20"/>
          <w:rtl w:val="true"/>
        </w:rPr>
        <w:t>.</w:t>
      </w:r>
    </w:p>
  </w:footnote>
  <w:footnote w:id="2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المؤتلف من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2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المراد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2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99:12</w:t>
      </w:r>
      <w:r>
        <w:rPr>
          <w:rFonts w:ascii="IRNazanin" w:hAnsi="IRNazanin" w:eastAsia="IRNazanin"/>
          <w:b w:val="false"/>
          <w:b w:val="false"/>
          <w:bCs w:val="false"/>
          <w:i w:val="false"/>
          <w:i w:val="false"/>
          <w:iCs w:val="false"/>
          <w:color w:val="333333"/>
          <w:sz w:val="20"/>
          <w:sz w:val="20"/>
          <w:szCs w:val="20"/>
          <w:rtl w:val="true"/>
        </w:rPr>
        <w:t xml:space="preserve">؛ نهایة المرام </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 xml:space="preserve">؛ التنقیح الرائع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الروضة البهیّة </w:t>
      </w:r>
      <w:r>
        <w:rPr>
          <w:rFonts w:eastAsia="IRNazanin" w:cs="IRNazanin"/>
          <w:b w:val="false"/>
          <w:bCs w:val="false"/>
          <w:i w:val="false"/>
          <w:iCs w:val="false"/>
          <w:color w:val="333333"/>
          <w:sz w:val="20"/>
          <w:szCs w:val="20"/>
        </w:rPr>
        <w:t>118:5</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244:23</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191:29</w:t>
      </w:r>
      <w:r>
        <w:rPr>
          <w:rFonts w:eastAsia="IRNazanin" w:cs="IRNazanin"/>
          <w:b w:val="false"/>
          <w:bCs w:val="false"/>
          <w:i w:val="false"/>
          <w:iCs w:val="false"/>
          <w:color w:val="333333"/>
          <w:sz w:val="20"/>
          <w:szCs w:val="20"/>
          <w:rtl w:val="true"/>
        </w:rPr>
        <w:t>.</w:t>
      </w:r>
    </w:p>
  </w:footnote>
  <w:footnote w:id="2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869:2</w:t>
      </w:r>
      <w:r>
        <w:rPr>
          <w:rFonts w:eastAsia="IRNazanin" w:cs="IRNazanin"/>
          <w:b w:val="false"/>
          <w:bCs w:val="false"/>
          <w:i w:val="false"/>
          <w:iCs w:val="false"/>
          <w:color w:val="333333"/>
          <w:sz w:val="20"/>
          <w:szCs w:val="20"/>
          <w:rtl w:val="true"/>
        </w:rPr>
        <w:t>.</w:t>
      </w:r>
    </w:p>
  </w:footnote>
  <w:footnote w:id="2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w:t>
      </w:r>
      <w:r>
        <w:rPr>
          <w:rFonts w:eastAsia="IRNazanin" w:cs="IRNazanin"/>
          <w:b w:val="false"/>
          <w:bCs w:val="false"/>
          <w:i w:val="false"/>
          <w:iCs w:val="false"/>
          <w:color w:val="333333"/>
          <w:sz w:val="20"/>
          <w:szCs w:val="20"/>
        </w:rPr>
        <w:t>300:2</w:t>
      </w:r>
      <w:r>
        <w:rPr>
          <w:rFonts w:eastAsia="IRNazanin" w:cs="IRNazanin"/>
          <w:b w:val="false"/>
          <w:bCs w:val="false"/>
          <w:i w:val="false"/>
          <w:iCs w:val="false"/>
          <w:color w:val="333333"/>
          <w:sz w:val="20"/>
          <w:szCs w:val="20"/>
          <w:rtl w:val="true"/>
        </w:rPr>
        <w:t>.</w:t>
      </w:r>
    </w:p>
  </w:footnote>
  <w:footnote w:id="2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w:t>
      </w:r>
      <w:r>
        <w:rPr>
          <w:rFonts w:eastAsia="IRNazanin" w:cs="IRNazanin"/>
          <w:b w:val="false"/>
          <w:bCs w:val="false"/>
          <w:i w:val="false"/>
          <w:iCs w:val="false"/>
          <w:color w:val="333333"/>
          <w:sz w:val="20"/>
          <w:szCs w:val="20"/>
        </w:rPr>
        <w:t>302:2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404:6</w:t>
      </w:r>
      <w:r>
        <w:rPr>
          <w:rFonts w:eastAsia="IRNazanin" w:cs="IRNazanin"/>
          <w:b w:val="false"/>
          <w:bCs w:val="false"/>
          <w:i w:val="false"/>
          <w:iCs w:val="false"/>
          <w:color w:val="333333"/>
          <w:sz w:val="20"/>
          <w:szCs w:val="20"/>
          <w:rtl w:val="true"/>
        </w:rPr>
        <w:t>.</w:t>
      </w:r>
    </w:p>
  </w:footnote>
  <w:footnote w:id="2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190:29</w:t>
      </w:r>
      <w:r>
        <w:rPr>
          <w:rFonts w:eastAsia="IRNazanin" w:cs="IRNazanin"/>
          <w:b w:val="false"/>
          <w:bCs w:val="false"/>
          <w:i w:val="false"/>
          <w:iCs w:val="false"/>
          <w:color w:val="333333"/>
          <w:sz w:val="20"/>
          <w:szCs w:val="20"/>
          <w:rtl w:val="true"/>
        </w:rPr>
        <w:t>.</w:t>
      </w:r>
    </w:p>
  </w:footnote>
  <w:footnote w:id="2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 الشیخ الأعظم، کتاب النکاح </w:t>
      </w:r>
      <w:r>
        <w:rPr>
          <w:rFonts w:eastAsia="IRNazanin" w:cs="IRNazanin"/>
          <w:b w:val="false"/>
          <w:bCs w:val="false"/>
          <w:i w:val="false"/>
          <w:iCs w:val="false"/>
          <w:color w:val="333333"/>
          <w:sz w:val="20"/>
          <w:szCs w:val="20"/>
        </w:rPr>
        <w:t>144:20</w:t>
      </w:r>
      <w:r>
        <w:rPr>
          <w:rFonts w:eastAsia="IRNazanin" w:cs="IRNazanin"/>
          <w:b w:val="false"/>
          <w:bCs w:val="false"/>
          <w:i w:val="false"/>
          <w:iCs w:val="false"/>
          <w:color w:val="333333"/>
          <w:sz w:val="20"/>
          <w:szCs w:val="20"/>
          <w:rtl w:val="true"/>
        </w:rPr>
        <w:t>.</w:t>
      </w:r>
    </w:p>
  </w:footnote>
  <w:footnote w:id="2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411:13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الوصایا</w:t>
      </w:r>
      <w:r>
        <w:rPr>
          <w:rFonts w:eastAsia="IRNazanin" w:cs="IRNazanin"/>
          <w:b w:val="false"/>
          <w:bCs w:val="false"/>
          <w:i w:val="false"/>
          <w:iCs w:val="false"/>
          <w:color w:val="333333"/>
          <w:sz w:val="20"/>
          <w:szCs w:val="20"/>
          <w:rtl w:val="true"/>
        </w:rPr>
        <w:t>.</w:t>
      </w:r>
    </w:p>
  </w:footnote>
  <w:footnote w:id="2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106:6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62:15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و أولیاء العقد،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189:4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215:9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454:13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الوصایا،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 الشیخ الأعظم، کتاب النکاح </w:t>
      </w:r>
      <w:r>
        <w:rPr>
          <w:rFonts w:eastAsia="IRNazanin" w:cs="IRNazanin"/>
          <w:b w:val="false"/>
          <w:bCs w:val="false"/>
          <w:i w:val="false"/>
          <w:iCs w:val="false"/>
          <w:color w:val="333333"/>
          <w:sz w:val="20"/>
          <w:szCs w:val="20"/>
        </w:rPr>
        <w:t>147:20</w:t>
      </w:r>
      <w:r>
        <w:rPr>
          <w:rFonts w:eastAsia="IRNazanin" w:cs="IRNazanin"/>
          <w:b w:val="false"/>
          <w:bCs w:val="false"/>
          <w:i w:val="false"/>
          <w:iCs w:val="false"/>
          <w:color w:val="333333"/>
          <w:sz w:val="20"/>
          <w:szCs w:val="20"/>
          <w:rtl w:val="true"/>
        </w:rPr>
        <w:t>.</w:t>
      </w:r>
    </w:p>
  </w:footnote>
  <w:footnote w:id="2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فقیه </w:t>
      </w:r>
      <w:r>
        <w:rPr>
          <w:rFonts w:eastAsia="IRNazanin" w:cs="IRNazanin"/>
          <w:b w:val="false"/>
          <w:bCs w:val="false"/>
          <w:i w:val="false"/>
          <w:iCs w:val="false"/>
          <w:color w:val="333333"/>
          <w:sz w:val="20"/>
          <w:szCs w:val="20"/>
        </w:rPr>
        <w:t>210:4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236:9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478:13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الوصایا،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 الشیخ الأعظم، کتاب النکاح </w:t>
      </w:r>
      <w:r>
        <w:rPr>
          <w:rFonts w:eastAsia="IRNazanin" w:cs="IRNazanin"/>
          <w:b w:val="false"/>
          <w:bCs w:val="false"/>
          <w:i w:val="false"/>
          <w:iCs w:val="false"/>
          <w:color w:val="333333"/>
          <w:sz w:val="20"/>
          <w:szCs w:val="20"/>
        </w:rPr>
        <w:t>147:20</w:t>
      </w:r>
      <w:r>
        <w:rPr>
          <w:rFonts w:eastAsia="IRNazanin" w:cs="IRNazanin"/>
          <w:b w:val="false"/>
          <w:bCs w:val="false"/>
          <w:i w:val="false"/>
          <w:iCs w:val="false"/>
          <w:color w:val="333333"/>
          <w:sz w:val="20"/>
          <w:szCs w:val="20"/>
          <w:rtl w:val="true"/>
        </w:rPr>
        <w:t>.</w:t>
      </w:r>
    </w:p>
  </w:footnote>
  <w:footnote w:id="2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216:6</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290:13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الوکالة،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 الشیخ الأعظم، کتاب النکاح </w:t>
      </w:r>
      <w:r>
        <w:rPr>
          <w:rFonts w:eastAsia="IRNazanin" w:cs="IRNazanin"/>
          <w:b w:val="false"/>
          <w:bCs w:val="false"/>
          <w:i w:val="false"/>
          <w:iCs w:val="false"/>
          <w:color w:val="333333"/>
          <w:sz w:val="20"/>
          <w:szCs w:val="20"/>
        </w:rPr>
        <w:t>146:20</w:t>
      </w:r>
      <w:r>
        <w:rPr>
          <w:rFonts w:eastAsia="IRNazanin" w:cs="IRNazanin"/>
          <w:b w:val="false"/>
          <w:bCs w:val="false"/>
          <w:i w:val="false"/>
          <w:iCs w:val="false"/>
          <w:color w:val="333333"/>
          <w:sz w:val="20"/>
          <w:szCs w:val="20"/>
          <w:rtl w:val="true"/>
        </w:rPr>
        <w:t>.</w:t>
      </w:r>
    </w:p>
  </w:footnote>
  <w:footnote w:id="2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404:6</w:t>
      </w:r>
      <w:r>
        <w:rPr>
          <w:rFonts w:eastAsia="IRNazanin" w:cs="IRNazanin"/>
          <w:b w:val="false"/>
          <w:bCs w:val="false"/>
          <w:i w:val="false"/>
          <w:iCs w:val="false"/>
          <w:color w:val="333333"/>
          <w:sz w:val="20"/>
          <w:szCs w:val="20"/>
          <w:rtl w:val="true"/>
        </w:rPr>
        <w:t>.</w:t>
      </w:r>
    </w:p>
  </w:footnote>
  <w:footnote w:id="2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w:t>
      </w:r>
    </w:p>
  </w:footnote>
  <w:footnote w:id="2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190:29</w:t>
      </w:r>
      <w:r>
        <w:rPr>
          <w:rFonts w:eastAsia="IRNazanin" w:cs="IRNazanin"/>
          <w:b w:val="false"/>
          <w:bCs w:val="false"/>
          <w:i w:val="false"/>
          <w:iCs w:val="false"/>
          <w:color w:val="333333"/>
          <w:sz w:val="20"/>
          <w:szCs w:val="20"/>
          <w:rtl w:val="true"/>
        </w:rPr>
        <w:t>.</w:t>
      </w:r>
    </w:p>
  </w:footnote>
  <w:footnote w:id="2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الوکالة،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354:7</w:t>
      </w:r>
      <w:r>
        <w:rPr>
          <w:rFonts w:ascii="IRNazanin" w:hAnsi="IRNazanin" w:eastAsia="IRNazanin"/>
          <w:b w:val="false"/>
          <w:b w:val="false"/>
          <w:bCs w:val="false"/>
          <w:i w:val="false"/>
          <w:i w:val="false"/>
          <w:iCs w:val="false"/>
          <w:color w:val="333333"/>
          <w:sz w:val="20"/>
          <w:sz w:val="20"/>
          <w:szCs w:val="20"/>
          <w:rtl w:val="true"/>
        </w:rPr>
        <w:t xml:space="preserve">؛ الشرح الکبیر </w:t>
      </w:r>
      <w:r>
        <w:rPr>
          <w:rFonts w:eastAsia="IRNazanin" w:cs="IRNazanin"/>
          <w:b w:val="false"/>
          <w:bCs w:val="false"/>
          <w:i w:val="false"/>
          <w:iCs w:val="false"/>
          <w:color w:val="333333"/>
          <w:sz w:val="20"/>
          <w:szCs w:val="20"/>
        </w:rPr>
        <w:t>440:7</w:t>
      </w:r>
      <w:r>
        <w:rPr>
          <w:rFonts w:eastAsia="IRNazanin" w:cs="IRNazanin"/>
          <w:b w:val="false"/>
          <w:bCs w:val="false"/>
          <w:i w:val="false"/>
          <w:iCs w:val="false"/>
          <w:color w:val="333333"/>
          <w:sz w:val="20"/>
          <w:szCs w:val="20"/>
          <w:rtl w:val="true"/>
        </w:rPr>
        <w:t>.</w:t>
      </w:r>
    </w:p>
  </w:footnote>
  <w:footnote w:id="2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الجواهر الثمینة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للسرخسی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w:t>
      </w:r>
    </w:p>
  </w:footnote>
  <w:footnote w:id="2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355:7</w:t>
      </w:r>
      <w:r>
        <w:rPr>
          <w:rFonts w:eastAsia="IRNazanin" w:cs="IRNazanin"/>
          <w:b w:val="false"/>
          <w:bCs w:val="false"/>
          <w:i w:val="false"/>
          <w:iCs w:val="false"/>
          <w:color w:val="333333"/>
          <w:sz w:val="20"/>
          <w:szCs w:val="20"/>
          <w:rtl w:val="true"/>
        </w:rPr>
        <w:t>.</w:t>
      </w:r>
    </w:p>
  </w:footnote>
  <w:footnote w:id="2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355:7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تصرّفٍ؛ الشرح الکبیر </w:t>
      </w:r>
      <w:r>
        <w:rPr>
          <w:rFonts w:eastAsia="IRNazanin" w:cs="IRNazanin"/>
          <w:b w:val="false"/>
          <w:bCs w:val="false"/>
          <w:i w:val="false"/>
          <w:iCs w:val="false"/>
          <w:color w:val="333333"/>
          <w:sz w:val="20"/>
          <w:szCs w:val="20"/>
        </w:rPr>
        <w:t>441:7</w:t>
      </w:r>
      <w:r>
        <w:rPr>
          <w:rFonts w:eastAsia="IRNazanin" w:cs="IRNazanin"/>
          <w:b w:val="false"/>
          <w:bCs w:val="false"/>
          <w:i w:val="false"/>
          <w:iCs w:val="false"/>
          <w:color w:val="333333"/>
          <w:sz w:val="20"/>
          <w:szCs w:val="20"/>
          <w:rtl w:val="true"/>
        </w:rPr>
        <w:t>.</w:t>
      </w:r>
    </w:p>
  </w:footnote>
  <w:footnote w:id="2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127:4</w:t>
      </w:r>
      <w:r>
        <w:rPr>
          <w:rFonts w:ascii="IRNazanin" w:hAnsi="IRNazanin" w:eastAsia="IRNazanin"/>
          <w:b w:val="false"/>
          <w:b w:val="false"/>
          <w:bCs w:val="false"/>
          <w:i w:val="false"/>
          <w:i w:val="false"/>
          <w:iCs w:val="false"/>
          <w:color w:val="333333"/>
          <w:sz w:val="20"/>
          <w:sz w:val="20"/>
          <w:szCs w:val="20"/>
          <w:rtl w:val="true"/>
        </w:rPr>
        <w:t xml:space="preserve">؛ الحاوی الکبیر للماوردی </w:t>
      </w:r>
      <w:r>
        <w:rPr>
          <w:rFonts w:eastAsia="IRNazanin" w:cs="IRNazanin"/>
          <w:b w:val="false"/>
          <w:bCs w:val="false"/>
          <w:i w:val="false"/>
          <w:iCs w:val="false"/>
          <w:color w:val="333333"/>
          <w:sz w:val="20"/>
          <w:szCs w:val="20"/>
        </w:rPr>
        <w:t>202:10</w:t>
      </w:r>
      <w:r>
        <w:rPr>
          <w:rFonts w:eastAsia="IRNazanin" w:cs="IRNazanin"/>
          <w:b w:val="false"/>
          <w:bCs w:val="false"/>
          <w:i w:val="false"/>
          <w:iCs w:val="false"/>
          <w:color w:val="333333"/>
          <w:sz w:val="20"/>
          <w:szCs w:val="20"/>
          <w:rtl w:val="true"/>
        </w:rPr>
        <w:t>.</w:t>
      </w:r>
    </w:p>
  </w:footnote>
  <w:footnote w:id="2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بالآثار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بدایة المجتهد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المغنی </w:t>
      </w:r>
      <w:r>
        <w:rPr>
          <w:rFonts w:eastAsia="IRNazanin" w:cs="IRNazanin"/>
          <w:b w:val="false"/>
          <w:bCs w:val="false"/>
          <w:i w:val="false"/>
          <w:iCs w:val="false"/>
          <w:color w:val="333333"/>
          <w:sz w:val="20"/>
          <w:szCs w:val="20"/>
        </w:rPr>
        <w:t>354:7</w:t>
      </w:r>
      <w:r>
        <w:rPr>
          <w:rFonts w:ascii="IRNazanin" w:hAnsi="IRNazanin" w:eastAsia="IRNazanin"/>
          <w:b w:val="false"/>
          <w:b w:val="false"/>
          <w:bCs w:val="false"/>
          <w:i w:val="false"/>
          <w:i w:val="false"/>
          <w:iCs w:val="false"/>
          <w:color w:val="333333"/>
          <w:sz w:val="20"/>
          <w:sz w:val="20"/>
          <w:szCs w:val="20"/>
          <w:rtl w:val="true"/>
        </w:rPr>
        <w:t xml:space="preserve">؛ المبسوط للسرخسی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w:t>
      </w:r>
    </w:p>
  </w:footnote>
  <w:footnote w:id="2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المزنی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الکبری </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w:t>
      </w:r>
    </w:p>
  </w:footnote>
  <w:footnote w:id="2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354:7</w:t>
      </w:r>
      <w:r>
        <w:rPr>
          <w:rFonts w:ascii="IRNazanin" w:hAnsi="IRNazanin" w:eastAsia="IRNazanin"/>
          <w:b w:val="false"/>
          <w:b w:val="false"/>
          <w:bCs w:val="false"/>
          <w:i w:val="false"/>
          <w:i w:val="false"/>
          <w:iCs w:val="false"/>
          <w:color w:val="333333"/>
          <w:sz w:val="20"/>
          <w:sz w:val="20"/>
          <w:szCs w:val="20"/>
          <w:rtl w:val="true"/>
        </w:rPr>
        <w:t xml:space="preserve">؛ الشرح الکبیر </w:t>
      </w:r>
      <w:r>
        <w:rPr>
          <w:rFonts w:eastAsia="IRNazanin" w:cs="IRNazanin"/>
          <w:b w:val="false"/>
          <w:bCs w:val="false"/>
          <w:i w:val="false"/>
          <w:iCs w:val="false"/>
          <w:color w:val="333333"/>
          <w:sz w:val="20"/>
          <w:szCs w:val="20"/>
        </w:rPr>
        <w:t>441:7</w:t>
      </w:r>
      <w:r>
        <w:rPr>
          <w:rFonts w:eastAsia="IRNazanin" w:cs="IRNazanin"/>
          <w:b w:val="false"/>
          <w:bCs w:val="false"/>
          <w:i w:val="false"/>
          <w:iCs w:val="false"/>
          <w:color w:val="333333"/>
          <w:sz w:val="20"/>
          <w:szCs w:val="20"/>
          <w:rtl w:val="true"/>
        </w:rPr>
        <w:t>.</w:t>
      </w:r>
    </w:p>
  </w:footnote>
  <w:footnote w:id="2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354:7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2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للسرخسی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w:t>
      </w:r>
    </w:p>
  </w:footnote>
  <w:footnote w:id="2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الدارقطنی </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w:t>
      </w:r>
    </w:p>
  </w:footnote>
  <w:footnote w:id="2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354:7</w:t>
      </w:r>
      <w:r>
        <w:rPr>
          <w:rFonts w:ascii="IRNazanin" w:hAnsi="IRNazanin" w:eastAsia="IRNazanin"/>
          <w:b w:val="false"/>
          <w:b w:val="false"/>
          <w:bCs w:val="false"/>
          <w:i w:val="false"/>
          <w:i w:val="false"/>
          <w:iCs w:val="false"/>
          <w:color w:val="333333"/>
          <w:sz w:val="20"/>
          <w:sz w:val="20"/>
          <w:szCs w:val="20"/>
          <w:rtl w:val="true"/>
        </w:rPr>
        <w:t xml:space="preserve">؛ الشرح الکبیر </w:t>
      </w:r>
      <w:r>
        <w:rPr>
          <w:rFonts w:eastAsia="IRNazanin" w:cs="IRNazanin"/>
          <w:b w:val="false"/>
          <w:bCs w:val="false"/>
          <w:i w:val="false"/>
          <w:iCs w:val="false"/>
          <w:color w:val="333333"/>
          <w:sz w:val="20"/>
          <w:szCs w:val="20"/>
        </w:rPr>
        <w:t>440:7</w:t>
      </w:r>
      <w:r>
        <w:rPr>
          <w:rFonts w:eastAsia="IRNazanin" w:cs="IRNazanin"/>
          <w:b w:val="false"/>
          <w:bCs w:val="false"/>
          <w:i w:val="false"/>
          <w:iCs w:val="false"/>
          <w:color w:val="333333"/>
          <w:sz w:val="20"/>
          <w:szCs w:val="20"/>
          <w:rtl w:val="true"/>
        </w:rPr>
        <w:t>.</w:t>
      </w:r>
    </w:p>
  </w:footnote>
  <w:footnote w:id="2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الکبری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w:t>
      </w:r>
    </w:p>
  </w:footnote>
  <w:footnote w:id="2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278:2</w:t>
      </w:r>
      <w:r>
        <w:rPr>
          <w:rFonts w:eastAsia="IRNazanin" w:cs="IRNazanin"/>
          <w:b w:val="false"/>
          <w:bCs w:val="false"/>
          <w:i w:val="false"/>
          <w:iCs w:val="false"/>
          <w:color w:val="333333"/>
          <w:sz w:val="20"/>
          <w:szCs w:val="20"/>
          <w:rtl w:val="true"/>
        </w:rPr>
        <w:t>.</w:t>
      </w:r>
    </w:p>
  </w:footnote>
  <w:footnote w:id="2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107:12</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2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166:7</w:t>
      </w:r>
      <w:r>
        <w:rPr>
          <w:rFonts w:eastAsia="IRNazanin" w:cs="IRNazanin"/>
          <w:b w:val="false"/>
          <w:bCs w:val="false"/>
          <w:i w:val="false"/>
          <w:iCs w:val="false"/>
          <w:color w:val="333333"/>
          <w:sz w:val="20"/>
          <w:szCs w:val="20"/>
          <w:rtl w:val="true"/>
        </w:rPr>
        <w:t>.</w:t>
      </w:r>
    </w:p>
  </w:footnote>
  <w:footnote w:id="2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869:2</w:t>
      </w:r>
      <w:r>
        <w:rPr>
          <w:rFonts w:eastAsia="IRNazanin" w:cs="IRNazanin"/>
          <w:b w:val="false"/>
          <w:bCs w:val="false"/>
          <w:i w:val="false"/>
          <w:iCs w:val="false"/>
          <w:color w:val="333333"/>
          <w:sz w:val="20"/>
          <w:szCs w:val="20"/>
          <w:rtl w:val="true"/>
        </w:rPr>
        <w:t>.</w:t>
      </w:r>
    </w:p>
  </w:footnote>
  <w:footnote w:id="2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308:2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النکاح</w:t>
      </w:r>
      <w:r>
        <w:rPr>
          <w:rFonts w:eastAsia="IRNazanin" w:cs="IRNazanin"/>
          <w:b w:val="false"/>
          <w:bCs w:val="false"/>
          <w:i w:val="false"/>
          <w:iCs w:val="false"/>
          <w:color w:val="333333"/>
          <w:sz w:val="20"/>
          <w:szCs w:val="20"/>
          <w:rtl w:val="true"/>
        </w:rPr>
        <w:t>.</w:t>
      </w:r>
    </w:p>
  </w:footnote>
  <w:footnote w:id="2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اعلم أنّ کون شیء شرطاً لشیءٍ مرجعه إلی کون وجوده دخیلاً فی الشیء فی قبال المانع، الذی معناه قیدیّة عدمه للشیء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وجوده مانع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کون شیءٍ مسقطاً لشیءٍ فمعناه أنّه مزیل له بعد تحقّقه و وجوده، فمعنی کون إسلام الأب شرطاً فی ولایته أی وجوده دخیلٌ فی ثبوتها و بدونه لا تثبت له الولایة، و معنی أنّ الکفر مانع عن ولایة الأب علی تزویج صغاره أو مسقط لها أی بسببه زالت ولایته، و لعلّه یمکن استفادة الشرطیة من بعض النصوص، مثل صحیحة فضل بن عبد الملک المتقدّمة التی جاء فیها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الجدّ مرضیّاً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یشترط أن یکون الجدّ مرضیّاً، و لا ریب فی أنّ المجنون و الکافر لا یکونان مرضیّین</w:t>
      </w:r>
      <w:r>
        <w:rPr>
          <w:rFonts w:eastAsia="IRNazanin" w:cs="IRNazanin"/>
          <w:b w:val="false"/>
          <w:bCs w:val="false"/>
          <w:i w:val="false"/>
          <w:iCs w:val="false"/>
          <w:color w:val="333333"/>
          <w:sz w:val="20"/>
          <w:szCs w:val="20"/>
          <w:rtl w:val="true"/>
        </w:rPr>
        <w:t>.</w:t>
      </w:r>
    </w:p>
  </w:footnote>
  <w:footnote w:id="2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208:29</w:t>
      </w:r>
      <w:r>
        <w:rPr>
          <w:rFonts w:eastAsia="IRNazanin" w:cs="IRNazanin"/>
          <w:b w:val="false"/>
          <w:bCs w:val="false"/>
          <w:i w:val="false"/>
          <w:iCs w:val="false"/>
          <w:color w:val="333333"/>
          <w:sz w:val="20"/>
          <w:szCs w:val="20"/>
          <w:rtl w:val="true"/>
        </w:rPr>
        <w:t>.</w:t>
      </w:r>
    </w:p>
  </w:footnote>
  <w:footnote w:id="2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مختلف الشیعة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p>
  </w:footnote>
  <w:footnote w:id="2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2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206:29</w:t>
      </w:r>
      <w:r>
        <w:rPr>
          <w:rFonts w:eastAsia="IRNazanin" w:cs="IRNazanin"/>
          <w:b w:val="false"/>
          <w:bCs w:val="false"/>
          <w:i w:val="false"/>
          <w:iCs w:val="false"/>
          <w:color w:val="333333"/>
          <w:sz w:val="20"/>
          <w:szCs w:val="20"/>
          <w:rtl w:val="true"/>
        </w:rPr>
        <w:t>.</w:t>
      </w:r>
    </w:p>
  </w:footnote>
  <w:footnote w:id="2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166:7</w:t>
      </w:r>
      <w:r>
        <w:rPr>
          <w:rFonts w:eastAsia="IRNazanin" w:cs="IRNazanin"/>
          <w:b w:val="false"/>
          <w:bCs w:val="false"/>
          <w:i w:val="false"/>
          <w:iCs w:val="false"/>
          <w:color w:val="333333"/>
          <w:sz w:val="20"/>
          <w:szCs w:val="20"/>
          <w:rtl w:val="true"/>
        </w:rPr>
        <w:t>.</w:t>
      </w:r>
    </w:p>
  </w:footnote>
  <w:footnote w:id="2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267:23</w:t>
      </w:r>
      <w:r>
        <w:rPr>
          <w:rFonts w:eastAsia="IRNazanin" w:cs="IRNazanin"/>
          <w:b w:val="false"/>
          <w:bCs w:val="false"/>
          <w:i w:val="false"/>
          <w:iCs w:val="false"/>
          <w:color w:val="333333"/>
          <w:sz w:val="20"/>
          <w:szCs w:val="20"/>
          <w:rtl w:val="true"/>
        </w:rPr>
        <w:t>.</w:t>
      </w:r>
    </w:p>
  </w:footnote>
  <w:footnote w:id="2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کتاب النکاح </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w:t>
      </w:r>
    </w:p>
  </w:footnote>
  <w:footnote w:id="2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281:24</w:t>
      </w:r>
      <w:r>
        <w:rPr>
          <w:rFonts w:eastAsia="IRNazanin" w:cs="IRNazanin"/>
          <w:b w:val="false"/>
          <w:bCs w:val="false"/>
          <w:i w:val="false"/>
          <w:iCs w:val="false"/>
          <w:color w:val="333333"/>
          <w:sz w:val="20"/>
          <w:szCs w:val="20"/>
          <w:rtl w:val="true"/>
        </w:rPr>
        <w:t>.</w:t>
      </w:r>
    </w:p>
  </w:footnote>
  <w:footnote w:id="2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p>
  </w:footnote>
  <w:footnote w:id="2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107:12</w:t>
      </w:r>
      <w:r>
        <w:rPr>
          <w:rFonts w:eastAsia="IRNazanin" w:cs="IRNazanin"/>
          <w:b w:val="false"/>
          <w:bCs w:val="false"/>
          <w:i w:val="false"/>
          <w:iCs w:val="false"/>
          <w:color w:val="333333"/>
          <w:sz w:val="20"/>
          <w:szCs w:val="20"/>
          <w:rtl w:val="true"/>
        </w:rPr>
        <w:t>.</w:t>
      </w:r>
    </w:p>
  </w:footnote>
  <w:footnote w:id="2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166:7</w:t>
      </w:r>
      <w:r>
        <w:rPr>
          <w:rFonts w:eastAsia="IRNazanin" w:cs="IRNazanin"/>
          <w:b w:val="false"/>
          <w:bCs w:val="false"/>
          <w:i w:val="false"/>
          <w:iCs w:val="false"/>
          <w:color w:val="333333"/>
          <w:sz w:val="20"/>
          <w:szCs w:val="20"/>
          <w:rtl w:val="true"/>
        </w:rPr>
        <w:t>.</w:t>
      </w:r>
    </w:p>
  </w:footnote>
  <w:footnote w:id="2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2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267:23</w:t>
      </w:r>
      <w:r>
        <w:rPr>
          <w:rFonts w:eastAsia="IRNazanin" w:cs="IRNazanin"/>
          <w:b w:val="false"/>
          <w:bCs w:val="false"/>
          <w:i w:val="false"/>
          <w:iCs w:val="false"/>
          <w:color w:val="333333"/>
          <w:sz w:val="20"/>
          <w:szCs w:val="20"/>
          <w:rtl w:val="true"/>
        </w:rPr>
        <w:t>.</w:t>
      </w:r>
    </w:p>
  </w:footnote>
  <w:footnote w:id="2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 الشیخ الأعظم، کتاب النکاح </w:t>
      </w:r>
      <w:r>
        <w:rPr>
          <w:rFonts w:eastAsia="IRNazanin" w:cs="IRNazanin"/>
          <w:b w:val="false"/>
          <w:bCs w:val="false"/>
          <w:i w:val="false"/>
          <w:iCs w:val="false"/>
          <w:color w:val="333333"/>
          <w:sz w:val="20"/>
          <w:szCs w:val="20"/>
        </w:rPr>
        <w:t>127:20</w:t>
      </w:r>
      <w:r>
        <w:rPr>
          <w:rFonts w:eastAsia="IRNazanin" w:cs="IRNazanin"/>
          <w:b w:val="false"/>
          <w:bCs w:val="false"/>
          <w:i w:val="false"/>
          <w:iCs w:val="false"/>
          <w:color w:val="333333"/>
          <w:sz w:val="20"/>
          <w:szCs w:val="20"/>
          <w:rtl w:val="true"/>
        </w:rPr>
        <w:t>.</w:t>
      </w:r>
    </w:p>
  </w:footnote>
  <w:footnote w:id="2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207:29</w:t>
      </w:r>
      <w:r>
        <w:rPr>
          <w:rFonts w:ascii="IRNazanin" w:hAnsi="IRNazanin" w:eastAsia="IRNazanin"/>
          <w:b w:val="false"/>
          <w:b w:val="false"/>
          <w:bCs w:val="false"/>
          <w:i w:val="false"/>
          <w:i w:val="false"/>
          <w:iCs w:val="false"/>
          <w:color w:val="333333"/>
          <w:sz w:val="20"/>
          <w:sz w:val="20"/>
          <w:szCs w:val="20"/>
          <w:rtl w:val="true"/>
        </w:rPr>
        <w:t xml:space="preserve">؛ مستمسک العروة </w:t>
      </w:r>
      <w:r>
        <w:rPr>
          <w:rFonts w:eastAsia="IRNazanin" w:cs="IRNazanin"/>
          <w:b w:val="false"/>
          <w:bCs w:val="false"/>
          <w:i w:val="false"/>
          <w:iCs w:val="false"/>
          <w:color w:val="333333"/>
          <w:sz w:val="20"/>
          <w:szCs w:val="20"/>
        </w:rPr>
        <w:t>482:14</w:t>
      </w:r>
      <w:r>
        <w:rPr>
          <w:rFonts w:ascii="IRNazanin" w:hAnsi="IRNazanin" w:eastAsia="IRNazanin"/>
          <w:b w:val="false"/>
          <w:b w:val="false"/>
          <w:bCs w:val="false"/>
          <w:i w:val="false"/>
          <w:i w:val="false"/>
          <w:iCs w:val="false"/>
          <w:color w:val="333333"/>
          <w:sz w:val="20"/>
          <w:sz w:val="20"/>
          <w:szCs w:val="20"/>
          <w:rtl w:val="true"/>
        </w:rPr>
        <w:t xml:space="preserve">؛ مستند العروة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النکاح؛ تفصیل الشریعة، 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المکاسب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جامعة النجف</w:t>
      </w:r>
      <w:r>
        <w:rPr>
          <w:rFonts w:eastAsia="IRNazanin" w:cs="IRNazanin"/>
          <w:b w:val="false"/>
          <w:bCs w:val="false"/>
          <w:i w:val="false"/>
          <w:iCs w:val="false"/>
          <w:color w:val="333333"/>
          <w:sz w:val="20"/>
          <w:szCs w:val="20"/>
          <w:rtl w:val="true"/>
        </w:rPr>
        <w:t>.</w:t>
      </w:r>
    </w:p>
  </w:footnote>
  <w:footnote w:id="2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203:2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w:t>
      </w:r>
      <w:r>
        <w:rPr>
          <w:rFonts w:eastAsia="IRNazanin" w:cs="IRNazanin"/>
          <w:b w:val="false"/>
          <w:bCs w:val="false"/>
          <w:i w:val="false"/>
          <w:iCs w:val="false"/>
          <w:color w:val="333333"/>
          <w:sz w:val="20"/>
          <w:szCs w:val="20"/>
        </w:rPr>
        <w:t>482:14</w:t>
      </w:r>
      <w:r>
        <w:rPr>
          <w:rFonts w:eastAsia="IRNazanin" w:cs="IRNazanin"/>
          <w:b w:val="false"/>
          <w:bCs w:val="false"/>
          <w:i w:val="false"/>
          <w:iCs w:val="false"/>
          <w:color w:val="333333"/>
          <w:sz w:val="20"/>
          <w:szCs w:val="20"/>
          <w:rtl w:val="true"/>
        </w:rPr>
        <w:t>.</w:t>
      </w:r>
    </w:p>
  </w:footnote>
  <w:footnote w:id="2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النکاح</w:t>
      </w:r>
      <w:r>
        <w:rPr>
          <w:rFonts w:eastAsia="IRNazanin" w:cs="IRNazanin"/>
          <w:b w:val="false"/>
          <w:bCs w:val="false"/>
          <w:i w:val="false"/>
          <w:iCs w:val="false"/>
          <w:color w:val="333333"/>
          <w:sz w:val="20"/>
          <w:szCs w:val="20"/>
          <w:rtl w:val="true"/>
        </w:rPr>
        <w:t>.</w:t>
      </w:r>
    </w:p>
  </w:footnote>
  <w:footnote w:id="2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المکاسب و البیع </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w:t>
      </w:r>
    </w:p>
  </w:footnote>
  <w:footnote w:id="2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المصباح المنیر صفحة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الطریق، و کذا فی القاموس المحیط </w:t>
      </w:r>
      <w:r>
        <w:rPr>
          <w:rFonts w:eastAsia="IRNazanin" w:cs="IRNazanin"/>
          <w:b w:val="false"/>
          <w:bCs w:val="false"/>
          <w:i w:val="false"/>
          <w:iCs w:val="false"/>
          <w:color w:val="333333"/>
          <w:sz w:val="20"/>
          <w:szCs w:val="20"/>
        </w:rPr>
        <w:t>403:3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معجم المقابیس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السین و الباء و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واحد یدلّ علی إرسال شیء من علوّ إلی سفل و علی امتداد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السبیل هو الطریق سمّی بذلک لامتداده</w:t>
      </w:r>
      <w:r>
        <w:rPr>
          <w:rFonts w:eastAsia="IRNazanin" w:cs="IRNazanin"/>
          <w:b w:val="false"/>
          <w:bCs w:val="false"/>
          <w:i w:val="false"/>
          <w:iCs w:val="false"/>
          <w:color w:val="333333"/>
          <w:sz w:val="20"/>
          <w:szCs w:val="20"/>
          <w:rtl w:val="true"/>
        </w:rPr>
        <w:t>.</w:t>
      </w:r>
    </w:p>
  </w:footnote>
  <w:footnote w:id="2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سورة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سورة النصر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سورة الفتح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سورة الصف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البیع </w:t>
      </w:r>
      <w:r>
        <w:rPr>
          <w:rFonts w:eastAsia="IRNazanin" w:cs="IRNazanin"/>
          <w:b w:val="false"/>
          <w:bCs w:val="false"/>
          <w:i w:val="false"/>
          <w:iCs w:val="false"/>
          <w:color w:val="333333"/>
          <w:sz w:val="20"/>
          <w:szCs w:val="20"/>
        </w:rPr>
        <w:t>540:2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2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البیان فی أحکام القرآن </w:t>
      </w:r>
      <w:r>
        <w:rPr>
          <w:rFonts w:eastAsia="IRNazanin" w:cs="IRNazanin"/>
          <w:b w:val="false"/>
          <w:bCs w:val="false"/>
          <w:i w:val="false"/>
          <w:iCs w:val="false"/>
          <w:color w:val="333333"/>
          <w:sz w:val="20"/>
          <w:szCs w:val="20"/>
        </w:rPr>
        <w:t>558:2</w:t>
      </w:r>
      <w:r>
        <w:rPr>
          <w:rFonts w:eastAsia="IRNazanin" w:cs="IRNazanin"/>
          <w:b w:val="false"/>
          <w:bCs w:val="false"/>
          <w:i w:val="false"/>
          <w:iCs w:val="false"/>
          <w:color w:val="333333"/>
          <w:sz w:val="20"/>
          <w:szCs w:val="20"/>
          <w:rtl w:val="true"/>
        </w:rPr>
        <w:t>.</w:t>
      </w:r>
    </w:p>
  </w:footnote>
  <w:footnote w:id="2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المکاسب للإیروانی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العرفان فی فقه القرآن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البیان فی أحکام القرآن </w:t>
      </w:r>
      <w:r>
        <w:rPr>
          <w:rFonts w:eastAsia="IRNazanin" w:cs="IRNazanin"/>
          <w:b w:val="false"/>
          <w:bCs w:val="false"/>
          <w:i w:val="false"/>
          <w:iCs w:val="false"/>
          <w:color w:val="333333"/>
          <w:sz w:val="20"/>
          <w:szCs w:val="20"/>
        </w:rPr>
        <w:t>557:2</w:t>
      </w:r>
      <w:r>
        <w:rPr>
          <w:rFonts w:eastAsia="IRNazanin" w:cs="IRNazanin"/>
          <w:b w:val="false"/>
          <w:bCs w:val="false"/>
          <w:i w:val="false"/>
          <w:iCs w:val="false"/>
          <w:color w:val="333333"/>
          <w:sz w:val="20"/>
          <w:szCs w:val="20"/>
          <w:rtl w:val="true"/>
        </w:rPr>
        <w:t>.</w:t>
      </w:r>
    </w:p>
  </w:footnote>
  <w:footnote w:id="2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376:17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أبواب موانع الإرث،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297:4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الجامع الصغیر للسیوطی </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 xml:space="preserve">؛ صحیح البخاری </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 xml:space="preserve">؛ عوالی اللآلئ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العروة، 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w:t>
      </w:r>
    </w:p>
  </w:footnote>
  <w:footnote w:id="2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107:12</w:t>
      </w:r>
      <w:r>
        <w:rPr>
          <w:rFonts w:eastAsia="IRNazanin" w:cs="IRNazanin"/>
          <w:b w:val="false"/>
          <w:bCs w:val="false"/>
          <w:i w:val="false"/>
          <w:iCs w:val="false"/>
          <w:color w:val="333333"/>
          <w:sz w:val="20"/>
          <w:szCs w:val="20"/>
          <w:rtl w:val="true"/>
        </w:rPr>
        <w:t>.</w:t>
      </w:r>
    </w:p>
  </w:footnote>
  <w:footnote w:id="2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الفقهیّة للسیّد البجنوردی </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w:t>
      </w:r>
    </w:p>
  </w:footnote>
  <w:footnote w:id="2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الفقهیة </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w:t>
      </w:r>
    </w:p>
  </w:footnote>
  <w:footnote w:id="2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w:t>
      </w:r>
    </w:p>
  </w:footnote>
  <w:footnote w:id="2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500:2</w:t>
      </w:r>
      <w:r>
        <w:rPr>
          <w:rFonts w:eastAsia="IRNazanin" w:cs="IRNazanin"/>
          <w:b w:val="false"/>
          <w:bCs w:val="false"/>
          <w:i w:val="false"/>
          <w:iCs w:val="false"/>
          <w:color w:val="333333"/>
          <w:sz w:val="20"/>
          <w:szCs w:val="20"/>
          <w:rtl w:val="true"/>
        </w:rPr>
        <w:t>.</w:t>
      </w:r>
    </w:p>
  </w:footnote>
  <w:footnote w:id="2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الجواهر الثمینة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تبیین المسالک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356:7</w:t>
      </w:r>
      <w:r>
        <w:rPr>
          <w:rFonts w:ascii="IRNazanin" w:hAnsi="IRNazanin" w:eastAsia="IRNazanin"/>
          <w:b w:val="false"/>
          <w:b w:val="false"/>
          <w:bCs w:val="false"/>
          <w:i w:val="false"/>
          <w:i w:val="false"/>
          <w:iCs w:val="false"/>
          <w:color w:val="333333"/>
          <w:sz w:val="20"/>
          <w:sz w:val="20"/>
          <w:szCs w:val="20"/>
          <w:rtl w:val="true"/>
        </w:rPr>
        <w:t xml:space="preserve">؛ و الشرح الکبیر </w:t>
      </w:r>
      <w:r>
        <w:rPr>
          <w:rFonts w:eastAsia="IRNazanin" w:cs="IRNazanin"/>
          <w:b w:val="false"/>
          <w:bCs w:val="false"/>
          <w:i w:val="false"/>
          <w:iCs w:val="false"/>
          <w:color w:val="333333"/>
          <w:sz w:val="20"/>
          <w:szCs w:val="20"/>
        </w:rPr>
        <w:t>425:7</w:t>
      </w:r>
      <w:r>
        <w:rPr>
          <w:rFonts w:eastAsia="IRNazanin" w:cs="IRNazanin"/>
          <w:b w:val="false"/>
          <w:bCs w:val="false"/>
          <w:i w:val="false"/>
          <w:iCs w:val="false"/>
          <w:color w:val="333333"/>
          <w:sz w:val="20"/>
          <w:szCs w:val="20"/>
          <w:rtl w:val="true"/>
        </w:rPr>
        <w:t>.</w:t>
      </w:r>
    </w:p>
  </w:footnote>
  <w:footnote w:id="2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النکاح</w:t>
      </w:r>
      <w:r>
        <w:rPr>
          <w:rFonts w:eastAsia="IRNazanin" w:cs="IRNazanin"/>
          <w:b w:val="false"/>
          <w:bCs w:val="false"/>
          <w:i w:val="false"/>
          <w:iCs w:val="false"/>
          <w:color w:val="333333"/>
          <w:sz w:val="20"/>
          <w:szCs w:val="20"/>
          <w:rtl w:val="true"/>
        </w:rPr>
        <w:t>.</w:t>
      </w:r>
    </w:p>
  </w:footnote>
  <w:footnote w:id="2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278:2</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166:7</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267:23</w:t>
      </w:r>
      <w:r>
        <w:rPr>
          <w:rFonts w:eastAsia="IRNazanin" w:cs="IRNazanin"/>
          <w:b w:val="false"/>
          <w:bCs w:val="false"/>
          <w:i w:val="false"/>
          <w:iCs w:val="false"/>
          <w:color w:val="333333"/>
          <w:sz w:val="20"/>
          <w:szCs w:val="20"/>
          <w:rtl w:val="true"/>
        </w:rPr>
        <w:t>.</w:t>
      </w:r>
    </w:p>
  </w:footnote>
  <w:footnote w:id="2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180:4</w:t>
      </w:r>
      <w:r>
        <w:rPr>
          <w:rFonts w:eastAsia="IRNazanin" w:cs="IRNazanin"/>
          <w:b w:val="false"/>
          <w:bCs w:val="false"/>
          <w:i w:val="false"/>
          <w:iCs w:val="false"/>
          <w:color w:val="333333"/>
          <w:sz w:val="20"/>
          <w:szCs w:val="20"/>
          <w:rtl w:val="true"/>
        </w:rPr>
        <w:t>.</w:t>
      </w:r>
    </w:p>
  </w:footnote>
  <w:footnote w:id="2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کتاب النکاح </w:t>
      </w:r>
      <w:r>
        <w:rPr>
          <w:rFonts w:eastAsia="IRNazanin" w:cs="IRNazanin"/>
          <w:b w:val="false"/>
          <w:bCs w:val="false"/>
          <w:i w:val="false"/>
          <w:iCs w:val="false"/>
          <w:color w:val="333333"/>
          <w:sz w:val="20"/>
          <w:szCs w:val="20"/>
        </w:rPr>
        <w:t>308:2</w:t>
      </w:r>
      <w:r>
        <w:rPr>
          <w:rFonts w:eastAsia="IRNazanin" w:cs="IRNazanin"/>
          <w:b w:val="false"/>
          <w:bCs w:val="false"/>
          <w:i w:val="false"/>
          <w:iCs w:val="false"/>
          <w:color w:val="333333"/>
          <w:sz w:val="20"/>
          <w:szCs w:val="20"/>
          <w:rtl w:val="true"/>
        </w:rPr>
        <w:t>.</w:t>
      </w:r>
    </w:p>
  </w:footnote>
  <w:footnote w:id="2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w:t>
      </w:r>
      <w:r>
        <w:rPr>
          <w:rFonts w:eastAsia="IRNazanin" w:cs="IRNazanin"/>
          <w:b w:val="false"/>
          <w:bCs w:val="false"/>
          <w:i w:val="false"/>
          <w:iCs w:val="false"/>
          <w:color w:val="333333"/>
          <w:sz w:val="20"/>
          <w:szCs w:val="20"/>
        </w:rPr>
        <w:t>481:14</w:t>
      </w:r>
      <w:r>
        <w:rPr>
          <w:rFonts w:eastAsia="IRNazanin" w:cs="IRNazanin"/>
          <w:b w:val="false"/>
          <w:bCs w:val="false"/>
          <w:i w:val="false"/>
          <w:iCs w:val="false"/>
          <w:color w:val="333333"/>
          <w:sz w:val="20"/>
          <w:szCs w:val="20"/>
          <w:rtl w:val="true"/>
        </w:rPr>
        <w:t>.</w:t>
      </w:r>
    </w:p>
  </w:footnote>
  <w:footnote w:id="2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207:29</w:t>
      </w:r>
      <w:r>
        <w:rPr>
          <w:rFonts w:eastAsia="IRNazanin" w:cs="IRNazanin"/>
          <w:b w:val="false"/>
          <w:bCs w:val="false"/>
          <w:i w:val="false"/>
          <w:iCs w:val="false"/>
          <w:color w:val="333333"/>
          <w:sz w:val="20"/>
          <w:szCs w:val="20"/>
          <w:rtl w:val="true"/>
        </w:rPr>
        <w:t>.</w:t>
      </w:r>
    </w:p>
  </w:footnote>
  <w:footnote w:id="2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105:12</w:t>
      </w:r>
      <w:r>
        <w:rPr>
          <w:rFonts w:eastAsia="IRNazanin" w:cs="IRNazanin"/>
          <w:b w:val="false"/>
          <w:bCs w:val="false"/>
          <w:i w:val="false"/>
          <w:iCs w:val="false"/>
          <w:color w:val="333333"/>
          <w:sz w:val="20"/>
          <w:szCs w:val="20"/>
          <w:rtl w:val="true"/>
        </w:rPr>
        <w:t>.</w:t>
      </w:r>
    </w:p>
  </w:footnote>
  <w:footnote w:id="2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269:23</w:t>
      </w:r>
      <w:r>
        <w:rPr>
          <w:rFonts w:eastAsia="IRNazanin" w:cs="IRNazanin"/>
          <w:b w:val="false"/>
          <w:bCs w:val="false"/>
          <w:i w:val="false"/>
          <w:iCs w:val="false"/>
          <w:color w:val="333333"/>
          <w:sz w:val="20"/>
          <w:szCs w:val="20"/>
          <w:rtl w:val="true"/>
        </w:rPr>
        <w:t>.</w:t>
      </w:r>
    </w:p>
  </w:footnote>
  <w:footnote w:id="2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الطبع الحجری</w:t>
      </w:r>
      <w:r>
        <w:rPr>
          <w:rFonts w:eastAsia="IRNazanin" w:cs="IRNazanin"/>
          <w:b w:val="false"/>
          <w:bCs w:val="false"/>
          <w:i w:val="false"/>
          <w:iCs w:val="false"/>
          <w:color w:val="333333"/>
          <w:sz w:val="20"/>
          <w:szCs w:val="20"/>
          <w:rtl w:val="true"/>
        </w:rPr>
        <w:t>.</w:t>
      </w:r>
    </w:p>
  </w:footnote>
  <w:footnote w:id="2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278:2</w:t>
      </w:r>
      <w:r>
        <w:rPr>
          <w:rFonts w:ascii="IRNazanin" w:hAnsi="IRNazanin" w:eastAsia="IRNazanin"/>
          <w:b w:val="false"/>
          <w:b w:val="false"/>
          <w:bCs w:val="false"/>
          <w:i w:val="false"/>
          <w:i w:val="false"/>
          <w:iCs w:val="false"/>
          <w:color w:val="333333"/>
          <w:sz w:val="20"/>
          <w:sz w:val="20"/>
          <w:szCs w:val="20"/>
          <w:rtl w:val="true"/>
        </w:rPr>
        <w:t xml:space="preserve">؛ قواعد الأحکام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 الحجری؛ و التذکرة کما حکی عنه فی کشف اللثام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2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105:12</w:t>
      </w:r>
      <w:r>
        <w:rPr>
          <w:rFonts w:eastAsia="IRNazanin" w:cs="IRNazanin"/>
          <w:b w:val="false"/>
          <w:bCs w:val="false"/>
          <w:i w:val="false"/>
          <w:iCs w:val="false"/>
          <w:color w:val="333333"/>
          <w:sz w:val="20"/>
          <w:szCs w:val="20"/>
          <w:rtl w:val="true"/>
        </w:rPr>
        <w:t>.</w:t>
      </w:r>
    </w:p>
  </w:footnote>
  <w:footnote w:id="2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167:7</w:t>
      </w:r>
      <w:r>
        <w:rPr>
          <w:rFonts w:eastAsia="IRNazanin" w:cs="IRNazanin"/>
          <w:b w:val="false"/>
          <w:bCs w:val="false"/>
          <w:i w:val="false"/>
          <w:iCs w:val="false"/>
          <w:color w:val="333333"/>
          <w:sz w:val="20"/>
          <w:szCs w:val="20"/>
          <w:rtl w:val="true"/>
        </w:rPr>
        <w:t>.</w:t>
      </w:r>
    </w:p>
  </w:footnote>
  <w:footnote w:id="2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2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269:23</w:t>
      </w:r>
      <w:r>
        <w:rPr>
          <w:rFonts w:eastAsia="IRNazanin" w:cs="IRNazanin"/>
          <w:b w:val="false"/>
          <w:bCs w:val="false"/>
          <w:i w:val="false"/>
          <w:iCs w:val="false"/>
          <w:color w:val="333333"/>
          <w:sz w:val="20"/>
          <w:szCs w:val="20"/>
          <w:rtl w:val="true"/>
        </w:rPr>
        <w:t>.</w:t>
      </w:r>
    </w:p>
  </w:footnote>
  <w:footnote w:id="2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207:29</w:t>
      </w:r>
      <w:r>
        <w:rPr>
          <w:rFonts w:eastAsia="IRNazanin" w:cs="IRNazanin"/>
          <w:b w:val="false"/>
          <w:bCs w:val="false"/>
          <w:i w:val="false"/>
          <w:iCs w:val="false"/>
          <w:color w:val="333333"/>
          <w:sz w:val="20"/>
          <w:szCs w:val="20"/>
          <w:rtl w:val="true"/>
        </w:rPr>
        <w:t>.</w:t>
      </w:r>
    </w:p>
  </w:footnote>
  <w:footnote w:id="2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 الشیخ الأعظم، کتاب النکاح </w:t>
      </w:r>
      <w:r>
        <w:rPr>
          <w:rFonts w:eastAsia="IRNazanin" w:cs="IRNazanin"/>
          <w:b w:val="false"/>
          <w:bCs w:val="false"/>
          <w:i w:val="false"/>
          <w:iCs w:val="false"/>
          <w:color w:val="333333"/>
          <w:sz w:val="20"/>
          <w:szCs w:val="20"/>
        </w:rPr>
        <w:t>178:20</w:t>
      </w:r>
      <w:r>
        <w:rPr>
          <w:rFonts w:eastAsia="IRNazanin" w:cs="IRNazanin"/>
          <w:b w:val="false"/>
          <w:bCs w:val="false"/>
          <w:i w:val="false"/>
          <w:iCs w:val="false"/>
          <w:color w:val="333333"/>
          <w:sz w:val="20"/>
          <w:szCs w:val="20"/>
          <w:rtl w:val="true"/>
        </w:rPr>
        <w:t>.</w:t>
      </w:r>
    </w:p>
  </w:footnote>
  <w:footnote w:id="2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w:t>
      </w:r>
      <w:r>
        <w:rPr>
          <w:rFonts w:eastAsia="IRNazanin" w:cs="IRNazanin"/>
          <w:b w:val="false"/>
          <w:bCs w:val="false"/>
          <w:i w:val="false"/>
          <w:iCs w:val="false"/>
          <w:color w:val="333333"/>
          <w:sz w:val="20"/>
          <w:szCs w:val="20"/>
        </w:rPr>
        <w:t>481:14</w:t>
      </w:r>
      <w:r>
        <w:rPr>
          <w:rFonts w:eastAsia="IRNazanin" w:cs="IRNazanin"/>
          <w:b w:val="false"/>
          <w:bCs w:val="false"/>
          <w:i w:val="false"/>
          <w:iCs w:val="false"/>
          <w:color w:val="333333"/>
          <w:sz w:val="20"/>
          <w:szCs w:val="20"/>
          <w:rtl w:val="true"/>
        </w:rPr>
        <w:t>.</w:t>
      </w:r>
    </w:p>
  </w:footnote>
  <w:footnote w:id="2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کتاب النکاح </w:t>
      </w:r>
      <w:r>
        <w:rPr>
          <w:rFonts w:eastAsia="IRNazanin" w:cs="IRNazanin"/>
          <w:b w:val="false"/>
          <w:bCs w:val="false"/>
          <w:i w:val="false"/>
          <w:iCs w:val="false"/>
          <w:color w:val="333333"/>
          <w:sz w:val="20"/>
          <w:szCs w:val="20"/>
        </w:rPr>
        <w:t>309:2</w:t>
      </w:r>
      <w:r>
        <w:rPr>
          <w:rFonts w:eastAsia="IRNazanin" w:cs="IRNazanin"/>
          <w:b w:val="false"/>
          <w:bCs w:val="false"/>
          <w:i w:val="false"/>
          <w:iCs w:val="false"/>
          <w:color w:val="333333"/>
          <w:sz w:val="20"/>
          <w:szCs w:val="20"/>
          <w:rtl w:val="true"/>
        </w:rPr>
        <w:t>.</w:t>
      </w:r>
    </w:p>
  </w:footnote>
  <w:footnote w:id="2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218:14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527:17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الأزواج،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39:15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309:2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النکاح مع تصرّف یسیر</w:t>
      </w:r>
      <w:r>
        <w:rPr>
          <w:rFonts w:eastAsia="IRNazanin" w:cs="IRNazanin"/>
          <w:b w:val="false"/>
          <w:bCs w:val="false"/>
          <w:i w:val="false"/>
          <w:iCs w:val="false"/>
          <w:color w:val="333333"/>
          <w:sz w:val="20"/>
          <w:szCs w:val="20"/>
          <w:rtl w:val="true"/>
        </w:rPr>
        <w:t>.</w:t>
      </w:r>
    </w:p>
  </w:footnote>
  <w:footnote w:id="2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600:2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w:t>
      </w:r>
    </w:p>
  </w:footnote>
  <w:footnote w:id="2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106:12</w:t>
      </w:r>
      <w:r>
        <w:rPr>
          <w:rFonts w:eastAsia="IRNazanin" w:cs="IRNazanin"/>
          <w:b w:val="false"/>
          <w:bCs w:val="false"/>
          <w:i w:val="false"/>
          <w:iCs w:val="false"/>
          <w:color w:val="333333"/>
          <w:sz w:val="20"/>
          <w:szCs w:val="20"/>
          <w:rtl w:val="true"/>
        </w:rPr>
        <w:t>.</w:t>
      </w:r>
    </w:p>
  </w:footnote>
  <w:footnote w:id="2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2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مقابس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600:2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w:t>
      </w:r>
    </w:p>
  </w:footnote>
  <w:footnote w:id="2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500:2</w:t>
      </w:r>
      <w:r>
        <w:rPr>
          <w:rFonts w:eastAsia="IRNazanin" w:cs="IRNazanin"/>
          <w:b w:val="false"/>
          <w:bCs w:val="false"/>
          <w:i w:val="false"/>
          <w:iCs w:val="false"/>
          <w:color w:val="333333"/>
          <w:sz w:val="20"/>
          <w:szCs w:val="20"/>
          <w:rtl w:val="true"/>
        </w:rPr>
        <w:t>.</w:t>
      </w:r>
    </w:p>
  </w:footnote>
  <w:footnote w:id="2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355:7</w:t>
      </w:r>
      <w:r>
        <w:rPr>
          <w:rFonts w:ascii="IRNazanin" w:hAnsi="IRNazanin" w:eastAsia="IRNazanin"/>
          <w:b w:val="false"/>
          <w:b w:val="false"/>
          <w:bCs w:val="false"/>
          <w:i w:val="false"/>
          <w:i w:val="false"/>
          <w:iCs w:val="false"/>
          <w:color w:val="333333"/>
          <w:sz w:val="20"/>
          <w:sz w:val="20"/>
          <w:szCs w:val="20"/>
          <w:rtl w:val="true"/>
        </w:rPr>
        <w:t xml:space="preserve">؛ و الشرح الکبیر </w:t>
      </w:r>
      <w:r>
        <w:rPr>
          <w:rFonts w:eastAsia="IRNazanin" w:cs="IRNazanin"/>
          <w:b w:val="false"/>
          <w:bCs w:val="false"/>
          <w:i w:val="false"/>
          <w:iCs w:val="false"/>
          <w:color w:val="333333"/>
          <w:sz w:val="20"/>
          <w:szCs w:val="20"/>
        </w:rPr>
        <w:t>426:7</w:t>
      </w:r>
      <w:r>
        <w:rPr>
          <w:rFonts w:eastAsia="IRNazanin" w:cs="IRNazanin"/>
          <w:b w:val="false"/>
          <w:bCs w:val="false"/>
          <w:i w:val="false"/>
          <w:iCs w:val="false"/>
          <w:color w:val="333333"/>
          <w:sz w:val="20"/>
          <w:szCs w:val="20"/>
          <w:rtl w:val="true"/>
        </w:rPr>
        <w:t>.</w:t>
      </w:r>
    </w:p>
  </w:footnote>
  <w:footnote w:id="2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تبیین المسالک شرح تدریب السالک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104:12</w:t>
      </w:r>
      <w:r>
        <w:rPr>
          <w:rFonts w:eastAsia="IRNazanin" w:cs="IRNazanin"/>
          <w:b w:val="false"/>
          <w:bCs w:val="false"/>
          <w:i w:val="false"/>
          <w:iCs w:val="false"/>
          <w:color w:val="333333"/>
          <w:sz w:val="20"/>
          <w:szCs w:val="20"/>
          <w:rtl w:val="true"/>
        </w:rPr>
        <w:t>.</w:t>
      </w:r>
    </w:p>
  </w:footnote>
  <w:footnote w:id="2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2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270:23</w:t>
      </w:r>
      <w:r>
        <w:rPr>
          <w:rFonts w:eastAsia="IRNazanin" w:cs="IRNazanin"/>
          <w:b w:val="false"/>
          <w:bCs w:val="false"/>
          <w:i w:val="false"/>
          <w:iCs w:val="false"/>
          <w:color w:val="333333"/>
          <w:sz w:val="20"/>
          <w:szCs w:val="20"/>
          <w:rtl w:val="true"/>
        </w:rPr>
        <w:t>.</w:t>
      </w:r>
    </w:p>
  </w:footnote>
  <w:footnote w:id="2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أعلام العصر </w:t>
      </w:r>
      <w:r>
        <w:rPr>
          <w:rFonts w:eastAsia="IRNazanin" w:cs="IRNazanin"/>
          <w:b w:val="false"/>
          <w:bCs w:val="false"/>
          <w:i w:val="false"/>
          <w:iCs w:val="false"/>
          <w:color w:val="333333"/>
          <w:sz w:val="20"/>
          <w:szCs w:val="20"/>
        </w:rPr>
        <w:t>869:2</w:t>
      </w:r>
      <w:r>
        <w:rPr>
          <w:rFonts w:eastAsia="IRNazanin" w:cs="IRNazanin"/>
          <w:b w:val="false"/>
          <w:bCs w:val="false"/>
          <w:i w:val="false"/>
          <w:iCs w:val="false"/>
          <w:color w:val="333333"/>
          <w:sz w:val="20"/>
          <w:szCs w:val="20"/>
          <w:rtl w:val="true"/>
        </w:rPr>
        <w:t>.</w:t>
      </w:r>
    </w:p>
  </w:footnote>
  <w:footnote w:id="2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w:t>
      </w:r>
    </w:p>
  </w:footnote>
  <w:footnote w:id="2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w:t>
      </w:r>
      <w:r>
        <w:rPr>
          <w:rFonts w:eastAsia="IRNazanin" w:cs="IRNazanin"/>
          <w:b w:val="false"/>
          <w:bCs w:val="false"/>
          <w:i w:val="false"/>
          <w:iCs w:val="false"/>
          <w:color w:val="333333"/>
          <w:sz w:val="20"/>
          <w:szCs w:val="20"/>
        </w:rPr>
        <w:t>482:14</w:t>
      </w:r>
      <w:r>
        <w:rPr>
          <w:rFonts w:eastAsia="IRNazanin" w:cs="IRNazanin"/>
          <w:b w:val="false"/>
          <w:bCs w:val="false"/>
          <w:i w:val="false"/>
          <w:iCs w:val="false"/>
          <w:color w:val="333333"/>
          <w:sz w:val="20"/>
          <w:szCs w:val="20"/>
          <w:rtl w:val="true"/>
        </w:rPr>
        <w:t>.</w:t>
      </w:r>
    </w:p>
  </w:footnote>
  <w:footnote w:id="2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النکاح</w:t>
      </w:r>
      <w:r>
        <w:rPr>
          <w:rFonts w:eastAsia="IRNazanin" w:cs="IRNazanin"/>
          <w:b w:val="false"/>
          <w:bCs w:val="false"/>
          <w:i w:val="false"/>
          <w:iCs w:val="false"/>
          <w:color w:val="333333"/>
          <w:sz w:val="20"/>
          <w:szCs w:val="20"/>
          <w:rtl w:val="true"/>
        </w:rPr>
        <w:t>.</w:t>
      </w:r>
    </w:p>
  </w:footnote>
  <w:footnote w:id="2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w:t>
      </w:r>
    </w:p>
  </w:footnote>
  <w:footnote w:id="2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206:29</w:t>
      </w:r>
      <w:r>
        <w:rPr>
          <w:rFonts w:eastAsia="IRNazanin" w:cs="IRNazanin"/>
          <w:b w:val="false"/>
          <w:bCs w:val="false"/>
          <w:i w:val="false"/>
          <w:iCs w:val="false"/>
          <w:color w:val="333333"/>
          <w:sz w:val="20"/>
          <w:szCs w:val="20"/>
          <w:rtl w:val="true"/>
        </w:rPr>
        <w:t>.</w:t>
      </w:r>
    </w:p>
  </w:footnote>
  <w:footnote w:id="2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206:29</w:t>
      </w:r>
      <w:r>
        <w:rPr>
          <w:rFonts w:eastAsia="IRNazanin" w:cs="IRNazanin"/>
          <w:b w:val="false"/>
          <w:bCs w:val="false"/>
          <w:i w:val="false"/>
          <w:iCs w:val="false"/>
          <w:color w:val="333333"/>
          <w:sz w:val="20"/>
          <w:szCs w:val="20"/>
          <w:rtl w:val="true"/>
        </w:rPr>
        <w:t>.</w:t>
      </w:r>
    </w:p>
  </w:footnote>
  <w:footnote w:id="2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104:12</w:t>
      </w:r>
      <w:r>
        <w:rPr>
          <w:rFonts w:eastAsia="IRNazanin" w:cs="IRNazanin"/>
          <w:b w:val="false"/>
          <w:bCs w:val="false"/>
          <w:i w:val="false"/>
          <w:iCs w:val="false"/>
          <w:color w:val="333333"/>
          <w:sz w:val="20"/>
          <w:szCs w:val="20"/>
          <w:rtl w:val="true"/>
        </w:rPr>
        <w:t>.</w:t>
      </w:r>
    </w:p>
  </w:footnote>
  <w:footnote w:id="2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p>
  </w:footnote>
  <w:footnote w:id="2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الصنائع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500:2</w:t>
      </w:r>
      <w:r>
        <w:rPr>
          <w:rFonts w:eastAsia="IRNazanin" w:cs="IRNazanin"/>
          <w:b w:val="false"/>
          <w:bCs w:val="false"/>
          <w:i w:val="false"/>
          <w:iCs w:val="false"/>
          <w:color w:val="333333"/>
          <w:sz w:val="20"/>
          <w:szCs w:val="20"/>
          <w:rtl w:val="true"/>
        </w:rPr>
        <w:t>.</w:t>
      </w:r>
    </w:p>
  </w:footnote>
  <w:footnote w:id="2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356:7</w:t>
      </w:r>
      <w:r>
        <w:rPr>
          <w:rFonts w:ascii="IRNazanin" w:hAnsi="IRNazanin" w:eastAsia="IRNazanin"/>
          <w:b w:val="false"/>
          <w:b w:val="false"/>
          <w:bCs w:val="false"/>
          <w:i w:val="false"/>
          <w:i w:val="false"/>
          <w:iCs w:val="false"/>
          <w:color w:val="333333"/>
          <w:sz w:val="20"/>
          <w:sz w:val="20"/>
          <w:szCs w:val="20"/>
          <w:rtl w:val="true"/>
        </w:rPr>
        <w:t xml:space="preserve">، الشرح الکبیر </w:t>
      </w:r>
      <w:r>
        <w:rPr>
          <w:rFonts w:eastAsia="IRNazanin" w:cs="IRNazanin"/>
          <w:b w:val="false"/>
          <w:bCs w:val="false"/>
          <w:i w:val="false"/>
          <w:iCs w:val="false"/>
          <w:color w:val="333333"/>
          <w:sz w:val="20"/>
          <w:szCs w:val="20"/>
        </w:rPr>
        <w:t>425:7</w:t>
      </w:r>
      <w:r>
        <w:rPr>
          <w:rFonts w:eastAsia="IRNazanin" w:cs="IRNazanin"/>
          <w:b w:val="false"/>
          <w:bCs w:val="false"/>
          <w:i w:val="false"/>
          <w:iCs w:val="false"/>
          <w:color w:val="333333"/>
          <w:sz w:val="20"/>
          <w:szCs w:val="20"/>
          <w:rtl w:val="true"/>
        </w:rPr>
        <w:t>.</w:t>
      </w:r>
    </w:p>
  </w:footnote>
  <w:footnote w:id="2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تبیین المسالک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مغنی المحتاج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w:t>
      </w:r>
    </w:p>
  </w:footnote>
  <w:footnote w:id="2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274:2</w:t>
      </w:r>
      <w:r>
        <w:rPr>
          <w:rFonts w:ascii="IRNazanin" w:hAnsi="IRNazanin" w:eastAsia="IRNazanin"/>
          <w:b w:val="false"/>
          <w:b w:val="false"/>
          <w:bCs w:val="false"/>
          <w:i w:val="false"/>
          <w:i w:val="false"/>
          <w:iCs w:val="false"/>
          <w:color w:val="333333"/>
          <w:sz w:val="20"/>
          <w:sz w:val="20"/>
          <w:szCs w:val="20"/>
          <w:rtl w:val="true"/>
        </w:rPr>
        <w:t xml:space="preserve">؛ قواعد الأحکام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547:1</w:t>
      </w:r>
      <w:r>
        <w:rPr>
          <w:rFonts w:eastAsia="IRNazanin" w:cs="IRNazanin"/>
          <w:b w:val="false"/>
          <w:bCs w:val="false"/>
          <w:i w:val="false"/>
          <w:iCs w:val="false"/>
          <w:color w:val="333333"/>
          <w:sz w:val="20"/>
          <w:szCs w:val="20"/>
          <w:rtl w:val="true"/>
        </w:rPr>
        <w:t>.</w:t>
      </w:r>
    </w:p>
  </w:footnote>
  <w:footnote w:id="2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808:2</w:t>
      </w:r>
      <w:r>
        <w:rPr>
          <w:rFonts w:ascii="IRNazanin" w:hAnsi="IRNazanin" w:eastAsia="IRNazanin"/>
          <w:b w:val="false"/>
          <w:b w:val="false"/>
          <w:bCs w:val="false"/>
          <w:i w:val="false"/>
          <w:i w:val="false"/>
          <w:iCs w:val="false"/>
          <w:color w:val="333333"/>
          <w:sz w:val="20"/>
          <w:sz w:val="20"/>
          <w:szCs w:val="20"/>
          <w:rtl w:val="true"/>
        </w:rPr>
        <w:t xml:space="preserve">؛ قواعد الأحکام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108:12</w:t>
      </w:r>
      <w:r>
        <w:rPr>
          <w:rFonts w:ascii="IRNazanin" w:hAnsi="IRNazanin" w:eastAsia="IRNazanin"/>
          <w:b w:val="false"/>
          <w:b w:val="false"/>
          <w:bCs w:val="false"/>
          <w:i w:val="false"/>
          <w:i w:val="false"/>
          <w:iCs w:val="false"/>
          <w:color w:val="333333"/>
          <w:sz w:val="20"/>
          <w:sz w:val="20"/>
          <w:szCs w:val="20"/>
          <w:rtl w:val="true"/>
        </w:rPr>
        <w:t>، کشف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2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w:t>
      </w:r>
      <w:r>
        <w:rPr>
          <w:rFonts w:eastAsia="IRNazanin" w:cs="IRNazanin"/>
          <w:b w:val="false"/>
          <w:bCs w:val="false"/>
          <w:i w:val="false"/>
          <w:iCs w:val="false"/>
          <w:color w:val="333333"/>
          <w:sz w:val="20"/>
          <w:szCs w:val="20"/>
        </w:rPr>
        <w:t>484:14</w:t>
      </w:r>
      <w:r>
        <w:rPr>
          <w:rFonts w:ascii="IRNazanin" w:hAnsi="IRNazanin" w:eastAsia="IRNazanin"/>
          <w:b w:val="false"/>
          <w:b w:val="false"/>
          <w:bCs w:val="false"/>
          <w:i w:val="false"/>
          <w:i w:val="false"/>
          <w:iCs w:val="false"/>
          <w:color w:val="333333"/>
          <w:sz w:val="20"/>
          <w:sz w:val="20"/>
          <w:szCs w:val="20"/>
          <w:rtl w:val="true"/>
        </w:rPr>
        <w:t xml:space="preserve">؛ مستند العروة، کتاب النکاح </w:t>
      </w:r>
      <w:r>
        <w:rPr>
          <w:rFonts w:eastAsia="IRNazanin" w:cs="IRNazanin"/>
          <w:b w:val="false"/>
          <w:bCs w:val="false"/>
          <w:i w:val="false"/>
          <w:iCs w:val="false"/>
          <w:color w:val="333333"/>
          <w:sz w:val="20"/>
          <w:szCs w:val="20"/>
        </w:rPr>
        <w:t>313:2</w:t>
      </w:r>
      <w:r>
        <w:rPr>
          <w:rFonts w:ascii="IRNazanin" w:hAnsi="IRNazanin" w:eastAsia="IRNazanin"/>
          <w:b w:val="false"/>
          <w:b w:val="false"/>
          <w:bCs w:val="false"/>
          <w:i w:val="false"/>
          <w:i w:val="false"/>
          <w:iCs w:val="false"/>
          <w:color w:val="333333"/>
          <w:sz w:val="20"/>
          <w:sz w:val="20"/>
          <w:szCs w:val="20"/>
          <w:rtl w:val="true"/>
        </w:rPr>
        <w:t xml:space="preserve">؛ مهذّب الأحکام </w:t>
      </w:r>
      <w:r>
        <w:rPr>
          <w:rFonts w:eastAsia="IRNazanin" w:cs="IRNazanin"/>
          <w:b w:val="false"/>
          <w:bCs w:val="false"/>
          <w:i w:val="false"/>
          <w:iCs w:val="false"/>
          <w:color w:val="333333"/>
          <w:sz w:val="20"/>
          <w:szCs w:val="20"/>
        </w:rPr>
        <w:t>282:24</w:t>
      </w:r>
      <w:r>
        <w:rPr>
          <w:rFonts w:ascii="IRNazanin" w:hAnsi="IRNazanin" w:eastAsia="IRNazanin"/>
          <w:b w:val="false"/>
          <w:b w:val="false"/>
          <w:bCs w:val="false"/>
          <w:i w:val="false"/>
          <w:i w:val="false"/>
          <w:iCs w:val="false"/>
          <w:color w:val="333333"/>
          <w:sz w:val="20"/>
          <w:sz w:val="20"/>
          <w:szCs w:val="20"/>
          <w:rtl w:val="true"/>
        </w:rPr>
        <w:t xml:space="preserve">؛ العروة الوثقی مع تعلیقات أعلام العصر </w:t>
      </w:r>
      <w:r>
        <w:rPr>
          <w:rFonts w:eastAsia="IRNazanin" w:cs="IRNazanin"/>
          <w:b w:val="false"/>
          <w:bCs w:val="false"/>
          <w:i w:val="false"/>
          <w:iCs w:val="false"/>
          <w:color w:val="333333"/>
          <w:sz w:val="20"/>
          <w:szCs w:val="20"/>
        </w:rPr>
        <w:t>869:2</w:t>
      </w:r>
      <w:r>
        <w:rPr>
          <w:rFonts w:eastAsia="IRNazanin" w:cs="IRNazanin"/>
          <w:b w:val="false"/>
          <w:bCs w:val="false"/>
          <w:i w:val="false"/>
          <w:iCs w:val="false"/>
          <w:color w:val="333333"/>
          <w:sz w:val="20"/>
          <w:szCs w:val="20"/>
          <w:rtl w:val="true"/>
        </w:rPr>
        <w:t>.</w:t>
      </w:r>
    </w:p>
  </w:footnote>
  <w:footnote w:id="2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808:2</w:t>
      </w:r>
      <w:r>
        <w:rPr>
          <w:rFonts w:eastAsia="IRNazanin" w:cs="IRNazanin"/>
          <w:b w:val="false"/>
          <w:bCs w:val="false"/>
          <w:i w:val="false"/>
          <w:iCs w:val="false"/>
          <w:color w:val="333333"/>
          <w:sz w:val="20"/>
          <w:szCs w:val="20"/>
          <w:rtl w:val="true"/>
        </w:rPr>
        <w:t>.</w:t>
      </w:r>
    </w:p>
  </w:footnote>
  <w:footnote w:id="2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2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298:18</w:t>
      </w:r>
      <w:r>
        <w:rPr>
          <w:rFonts w:eastAsia="IRNazanin" w:cs="IRNazanin"/>
          <w:b w:val="false"/>
          <w:bCs w:val="false"/>
          <w:i w:val="false"/>
          <w:iCs w:val="false"/>
          <w:color w:val="333333"/>
          <w:sz w:val="20"/>
          <w:szCs w:val="20"/>
          <w:rtl w:val="true"/>
        </w:rPr>
        <w:t>.</w:t>
      </w:r>
    </w:p>
  </w:footnote>
  <w:footnote w:id="2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w:t>
      </w:r>
      <w:r>
        <w:rPr>
          <w:rFonts w:eastAsia="IRNazanin" w:cs="IRNazanin"/>
          <w:b w:val="false"/>
          <w:bCs w:val="false"/>
          <w:i w:val="false"/>
          <w:iCs w:val="false"/>
          <w:color w:val="333333"/>
          <w:sz w:val="20"/>
          <w:szCs w:val="20"/>
        </w:rPr>
        <w:t>484:14</w:t>
      </w:r>
      <w:r>
        <w:rPr>
          <w:rFonts w:ascii="IRNazanin" w:hAnsi="IRNazanin" w:eastAsia="IRNazanin"/>
          <w:b w:val="false"/>
          <w:b w:val="false"/>
          <w:bCs w:val="false"/>
          <w:i w:val="false"/>
          <w:i w:val="false"/>
          <w:iCs w:val="false"/>
          <w:color w:val="333333"/>
          <w:sz w:val="20"/>
          <w:sz w:val="20"/>
          <w:szCs w:val="20"/>
          <w:rtl w:val="true"/>
        </w:rPr>
        <w:t xml:space="preserve">؛ تفصیل الشریعة، کتاب الحجّ </w:t>
      </w:r>
      <w:r>
        <w:rPr>
          <w:rFonts w:eastAsia="IRNazanin" w:cs="IRNazanin"/>
          <w:b w:val="false"/>
          <w:bCs w:val="false"/>
          <w:i w:val="false"/>
          <w:iCs w:val="false"/>
          <w:color w:val="333333"/>
          <w:sz w:val="20"/>
          <w:szCs w:val="20"/>
        </w:rPr>
        <w:t>438:3</w:t>
      </w:r>
      <w:r>
        <w:rPr>
          <w:rFonts w:eastAsia="IRNazanin" w:cs="IRNazanin"/>
          <w:b w:val="false"/>
          <w:bCs w:val="false"/>
          <w:i w:val="false"/>
          <w:iCs w:val="false"/>
          <w:color w:val="333333"/>
          <w:sz w:val="20"/>
          <w:szCs w:val="20"/>
          <w:rtl w:val="true"/>
        </w:rPr>
        <w:t>.</w:t>
      </w:r>
    </w:p>
  </w:footnote>
  <w:footnote w:id="2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w:t>
      </w:r>
    </w:p>
  </w:footnote>
  <w:footnote w:id="2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w:t>
      </w:r>
    </w:p>
  </w:footnote>
  <w:footnote w:id="2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کتاب النکاح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w:t>
      </w:r>
    </w:p>
  </w:footnote>
  <w:footnote w:id="2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الاحرام،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الاحرام،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المزنی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الحاوی الکبیر </w:t>
      </w:r>
      <w:r>
        <w:rPr>
          <w:rFonts w:eastAsia="IRNazanin" w:cs="IRNazanin"/>
          <w:b w:val="false"/>
          <w:bCs w:val="false"/>
          <w:i w:val="false"/>
          <w:iCs w:val="false"/>
          <w:color w:val="333333"/>
          <w:sz w:val="20"/>
          <w:szCs w:val="20"/>
        </w:rPr>
        <w:t>160:5</w:t>
      </w:r>
      <w:r>
        <w:rPr>
          <w:rFonts w:eastAsia="IRNazanin" w:cs="IRNazanin"/>
          <w:b w:val="false"/>
          <w:bCs w:val="false"/>
          <w:i w:val="false"/>
          <w:iCs w:val="false"/>
          <w:color w:val="333333"/>
          <w:sz w:val="20"/>
          <w:szCs w:val="20"/>
          <w:rtl w:val="true"/>
        </w:rPr>
        <w:t>.</w:t>
      </w:r>
    </w:p>
  </w:footnote>
  <w:footnote w:id="2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فی فقه الإمام الشافعی </w:t>
      </w:r>
      <w:r>
        <w:rPr>
          <w:rFonts w:eastAsia="IRNazanin" w:cs="IRNazanin"/>
          <w:b w:val="false"/>
          <w:bCs w:val="false"/>
          <w:i w:val="false"/>
          <w:iCs w:val="false"/>
          <w:color w:val="333333"/>
          <w:sz w:val="20"/>
          <w:szCs w:val="20"/>
        </w:rPr>
        <w:t>210:1</w:t>
      </w:r>
      <w:r>
        <w:rPr>
          <w:rFonts w:ascii="IRNazanin" w:hAnsi="IRNazanin" w:eastAsia="IRNazanin"/>
          <w:b w:val="false"/>
          <w:b w:val="false"/>
          <w:bCs w:val="false"/>
          <w:i w:val="false"/>
          <w:i w:val="false"/>
          <w:iCs w:val="false"/>
          <w:color w:val="333333"/>
          <w:sz w:val="20"/>
          <w:sz w:val="20"/>
          <w:szCs w:val="20"/>
          <w:rtl w:val="true"/>
        </w:rPr>
        <w:t xml:space="preserve">؛ الحاوی الکبیر </w:t>
      </w:r>
      <w:r>
        <w:rPr>
          <w:rFonts w:eastAsia="IRNazanin" w:cs="IRNazanin"/>
          <w:b w:val="false"/>
          <w:bCs w:val="false"/>
          <w:i w:val="false"/>
          <w:iCs w:val="false"/>
          <w:color w:val="333333"/>
          <w:sz w:val="20"/>
          <w:szCs w:val="20"/>
        </w:rPr>
        <w:t>160:5</w:t>
      </w:r>
      <w:r>
        <w:rPr>
          <w:rFonts w:ascii="IRNazanin" w:hAnsi="IRNazanin" w:eastAsia="IRNazanin"/>
          <w:b w:val="false"/>
          <w:b w:val="false"/>
          <w:bCs w:val="false"/>
          <w:i w:val="false"/>
          <w:i w:val="false"/>
          <w:iCs w:val="false"/>
          <w:color w:val="333333"/>
          <w:sz w:val="20"/>
          <w:sz w:val="20"/>
          <w:szCs w:val="20"/>
          <w:rtl w:val="true"/>
        </w:rPr>
        <w:t xml:space="preserve">؛ المجموع شرح المهذّب </w:t>
      </w:r>
      <w:r>
        <w:rPr>
          <w:rFonts w:eastAsia="IRNazanin" w:cs="IRNazanin"/>
          <w:b w:val="false"/>
          <w:bCs w:val="false"/>
          <w:i w:val="false"/>
          <w:iCs w:val="false"/>
          <w:color w:val="333333"/>
          <w:sz w:val="20"/>
          <w:szCs w:val="20"/>
        </w:rPr>
        <w:t>251:7</w:t>
      </w:r>
      <w:r>
        <w:rPr>
          <w:rFonts w:eastAsia="IRNazanin" w:cs="IRNazanin"/>
          <w:b w:val="false"/>
          <w:bCs w:val="false"/>
          <w:i w:val="false"/>
          <w:iCs w:val="false"/>
          <w:color w:val="333333"/>
          <w:sz w:val="20"/>
          <w:szCs w:val="20"/>
          <w:rtl w:val="true"/>
        </w:rPr>
        <w:t>.</w:t>
      </w:r>
    </w:p>
  </w:footnote>
  <w:footnote w:id="2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و الشرح الکبیر </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أوجز المسالک </w:t>
      </w:r>
      <w:r>
        <w:rPr>
          <w:rFonts w:eastAsia="IRNazanin" w:cs="IRNazanin"/>
          <w:b w:val="false"/>
          <w:bCs w:val="false"/>
          <w:i w:val="false"/>
          <w:iCs w:val="false"/>
          <w:color w:val="333333"/>
          <w:sz w:val="20"/>
          <w:szCs w:val="20"/>
        </w:rPr>
        <w:t>340:6</w:t>
      </w:r>
      <w:r>
        <w:rPr>
          <w:rFonts w:eastAsia="IRNazanin" w:cs="IRNazanin"/>
          <w:b w:val="false"/>
          <w:bCs w:val="false"/>
          <w:i w:val="false"/>
          <w:iCs w:val="false"/>
          <w:color w:val="333333"/>
          <w:sz w:val="20"/>
          <w:szCs w:val="20"/>
          <w:rtl w:val="true"/>
        </w:rPr>
        <w:t>.</w:t>
      </w:r>
    </w:p>
  </w:footnote>
  <w:footnote w:id="2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Pr>
        <w:t>485:1</w:t>
      </w:r>
      <w:r>
        <w:rPr>
          <w:rFonts w:eastAsia="IRNazanin" w:cs="IRNazanin"/>
          <w:b w:val="false"/>
          <w:bCs w:val="false"/>
          <w:i w:val="false"/>
          <w:iCs w:val="false"/>
          <w:color w:val="333333"/>
          <w:sz w:val="20"/>
          <w:szCs w:val="20"/>
          <w:rtl w:val="true"/>
        </w:rPr>
        <w:t>.</w:t>
      </w:r>
    </w:p>
  </w:footnote>
  <w:footnote w:id="2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المبدع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w:t>
      </w:r>
    </w:p>
  </w:footnote>
  <w:footnote w:id="2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492:3</w:t>
      </w:r>
      <w:r>
        <w:rPr>
          <w:rFonts w:eastAsia="IRNazanin" w:cs="IRNazanin"/>
          <w:b w:val="false"/>
          <w:bCs w:val="false"/>
          <w:i w:val="false"/>
          <w:iCs w:val="false"/>
          <w:color w:val="333333"/>
          <w:sz w:val="20"/>
          <w:szCs w:val="20"/>
          <w:rtl w:val="true"/>
        </w:rPr>
        <w:t>.</w:t>
      </w:r>
    </w:p>
  </w:footnote>
  <w:footnote w:id="2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المحرّر فی الفقه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w:t>
      </w:r>
    </w:p>
  </w:footnote>
  <w:footnote w:id="2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فی أوجز المسالک إلی موطأ مالک </w:t>
      </w:r>
      <w:r>
        <w:rPr>
          <w:rFonts w:eastAsia="IRNazanin" w:cs="IRNazanin"/>
          <w:b w:val="false"/>
          <w:bCs w:val="false"/>
          <w:i w:val="false"/>
          <w:iCs w:val="false"/>
          <w:color w:val="333333"/>
          <w:sz w:val="20"/>
          <w:szCs w:val="20"/>
        </w:rPr>
        <w:t>340:6</w:t>
      </w:r>
      <w:r>
        <w:rPr>
          <w:rFonts w:eastAsia="IRNazanin" w:cs="IRNazanin"/>
          <w:b w:val="false"/>
          <w:bCs w:val="false"/>
          <w:i w:val="false"/>
          <w:iCs w:val="false"/>
          <w:color w:val="333333"/>
          <w:sz w:val="20"/>
          <w:szCs w:val="20"/>
          <w:rtl w:val="true"/>
        </w:rPr>
        <w:t>.</w:t>
      </w:r>
    </w:p>
  </w:footnote>
  <w:footnote w:id="2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بدایة المجتهد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w:t>
      </w:r>
    </w:p>
  </w:footnote>
  <w:footnote w:id="2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معانی الآثار للطحاوی </w:t>
      </w:r>
      <w:r>
        <w:rPr>
          <w:rFonts w:eastAsia="IRNazanin" w:cs="IRNazanin"/>
          <w:b w:val="false"/>
          <w:bCs w:val="false"/>
          <w:i w:val="false"/>
          <w:iCs w:val="false"/>
          <w:color w:val="333333"/>
          <w:sz w:val="20"/>
          <w:szCs w:val="20"/>
        </w:rPr>
        <w:t>268:2</w:t>
      </w:r>
      <w:r>
        <w:rPr>
          <w:rFonts w:eastAsia="IRNazanin" w:cs="IRNazanin"/>
          <w:b w:val="false"/>
          <w:bCs w:val="false"/>
          <w:i w:val="false"/>
          <w:iCs w:val="false"/>
          <w:color w:val="333333"/>
          <w:sz w:val="20"/>
          <w:szCs w:val="20"/>
          <w:rtl w:val="true"/>
        </w:rPr>
        <w:t>.</w:t>
      </w:r>
    </w:p>
  </w:footnote>
  <w:footnote w:id="2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و الشرح الکبیر </w:t>
      </w:r>
      <w:r>
        <w:rPr>
          <w:rFonts w:eastAsia="IRNazanin" w:cs="IRNazanin"/>
          <w:b w:val="false"/>
          <w:bCs w:val="false"/>
          <w:i w:val="false"/>
          <w:iCs w:val="false"/>
          <w:color w:val="333333"/>
          <w:sz w:val="20"/>
          <w:szCs w:val="20"/>
        </w:rPr>
        <w:t>312:3</w:t>
      </w:r>
      <w:r>
        <w:rPr>
          <w:rFonts w:ascii="IRNazanin" w:hAnsi="IRNazanin" w:eastAsia="IRNazanin"/>
          <w:b w:val="false"/>
          <w:b w:val="false"/>
          <w:bCs w:val="false"/>
          <w:i w:val="false"/>
          <w:i w:val="false"/>
          <w:iCs w:val="false"/>
          <w:color w:val="333333"/>
          <w:sz w:val="20"/>
          <w:sz w:val="20"/>
          <w:szCs w:val="20"/>
          <w:rtl w:val="true"/>
        </w:rPr>
        <w:t xml:space="preserve">؛ الحاوی الکبیر </w:t>
      </w:r>
      <w:r>
        <w:rPr>
          <w:rFonts w:eastAsia="IRNazanin" w:cs="IRNazanin"/>
          <w:b w:val="false"/>
          <w:bCs w:val="false"/>
          <w:i w:val="false"/>
          <w:iCs w:val="false"/>
          <w:color w:val="333333"/>
          <w:sz w:val="20"/>
          <w:szCs w:val="20"/>
        </w:rPr>
        <w:t>160:5</w:t>
      </w:r>
      <w:r>
        <w:rPr>
          <w:rFonts w:eastAsia="IRNazanin" w:cs="IRNazanin"/>
          <w:b w:val="false"/>
          <w:bCs w:val="false"/>
          <w:i w:val="false"/>
          <w:iCs w:val="false"/>
          <w:color w:val="333333"/>
          <w:sz w:val="20"/>
          <w:szCs w:val="20"/>
          <w:rtl w:val="true"/>
        </w:rPr>
        <w:t>.</w:t>
      </w:r>
    </w:p>
  </w:footnote>
  <w:footnote w:id="2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أوجز المسالک </w:t>
      </w:r>
      <w:r>
        <w:rPr>
          <w:rFonts w:eastAsia="IRNazanin" w:cs="IRNazanin"/>
          <w:b w:val="false"/>
          <w:bCs w:val="false"/>
          <w:i w:val="false"/>
          <w:iCs w:val="false"/>
          <w:color w:val="333333"/>
          <w:sz w:val="20"/>
          <w:szCs w:val="20"/>
        </w:rPr>
        <w:t>341:6</w:t>
      </w:r>
      <w:r>
        <w:rPr>
          <w:rFonts w:ascii="IRNazanin" w:hAnsi="IRNazanin" w:eastAsia="IRNazanin"/>
          <w:b w:val="false"/>
          <w:b w:val="false"/>
          <w:bCs w:val="false"/>
          <w:i w:val="false"/>
          <w:i w:val="false"/>
          <w:iCs w:val="false"/>
          <w:color w:val="333333"/>
          <w:sz w:val="20"/>
          <w:sz w:val="20"/>
          <w:szCs w:val="20"/>
          <w:rtl w:val="true"/>
        </w:rPr>
        <w:t xml:space="preserve">؛ و شرح معانی الآثار للطحاوی </w:t>
      </w:r>
      <w:r>
        <w:rPr>
          <w:rFonts w:eastAsia="IRNazanin" w:cs="IRNazanin"/>
          <w:b w:val="false"/>
          <w:bCs w:val="false"/>
          <w:i w:val="false"/>
          <w:iCs w:val="false"/>
          <w:color w:val="333333"/>
          <w:sz w:val="20"/>
          <w:szCs w:val="20"/>
        </w:rPr>
        <w:t>273:2</w:t>
      </w:r>
      <w:r>
        <w:rPr>
          <w:rFonts w:eastAsia="IRNazanin" w:cs="IRNazanin"/>
          <w:b w:val="false"/>
          <w:bCs w:val="false"/>
          <w:i w:val="false"/>
          <w:iCs w:val="false"/>
          <w:color w:val="333333"/>
          <w:sz w:val="20"/>
          <w:szCs w:val="20"/>
          <w:rtl w:val="true"/>
        </w:rPr>
        <w:t>.</w:t>
      </w:r>
    </w:p>
  </w:footnote>
  <w:footnote w:id="2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160:5</w:t>
      </w:r>
      <w:r>
        <w:rPr>
          <w:rFonts w:eastAsia="IRNazanin" w:cs="IRNazanin"/>
          <w:b w:val="false"/>
          <w:bCs w:val="false"/>
          <w:i w:val="false"/>
          <w:iCs w:val="false"/>
          <w:color w:val="333333"/>
          <w:sz w:val="20"/>
          <w:szCs w:val="20"/>
          <w:rtl w:val="true"/>
        </w:rPr>
        <w:t>.</w:t>
      </w:r>
    </w:p>
  </w:footnote>
  <w:footnote w:id="2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780:222</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289:2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1841</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835:2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476:2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tl w:val="true"/>
        </w:rPr>
        <w:t xml:space="preserve">؛ سنن النسائی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w:t>
      </w:r>
    </w:p>
  </w:footnote>
  <w:footnote w:id="2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الدارقطنی </w:t>
      </w:r>
      <w:r>
        <w:rPr>
          <w:rFonts w:eastAsia="IRNazanin" w:cs="IRNazanin"/>
          <w:b w:val="false"/>
          <w:bCs w:val="false"/>
          <w:i w:val="false"/>
          <w:iCs w:val="false"/>
          <w:color w:val="333333"/>
          <w:sz w:val="20"/>
          <w:szCs w:val="20"/>
        </w:rPr>
        <w:t>182:3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3609</w:t>
      </w:r>
      <w:r>
        <w:rPr>
          <w:rFonts w:eastAsia="IRNazanin" w:cs="IRNazanin"/>
          <w:b w:val="false"/>
          <w:bCs w:val="false"/>
          <w:i w:val="false"/>
          <w:iCs w:val="false"/>
          <w:color w:val="333333"/>
          <w:sz w:val="20"/>
          <w:szCs w:val="20"/>
          <w:rtl w:val="true"/>
        </w:rPr>
        <w:t>.</w:t>
      </w:r>
    </w:p>
  </w:footnote>
  <w:footnote w:id="2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معانی الآثار </w:t>
      </w:r>
      <w:r>
        <w:rPr>
          <w:rFonts w:eastAsia="IRNazanin" w:cs="IRNazanin"/>
          <w:b w:val="false"/>
          <w:bCs w:val="false"/>
          <w:i w:val="false"/>
          <w:iCs w:val="false"/>
          <w:color w:val="333333"/>
          <w:sz w:val="20"/>
          <w:szCs w:val="20"/>
        </w:rPr>
        <w:t>272:3</w:t>
      </w:r>
      <w:r>
        <w:rPr>
          <w:rFonts w:ascii="IRNazanin" w:hAnsi="IRNazanin" w:eastAsia="IRNazanin"/>
          <w:b w:val="false"/>
          <w:b w:val="false"/>
          <w:bCs w:val="false"/>
          <w:i w:val="false"/>
          <w:i w:val="false"/>
          <w:iCs w:val="false"/>
          <w:color w:val="333333"/>
          <w:sz w:val="20"/>
          <w:sz w:val="20"/>
          <w:szCs w:val="20"/>
          <w:rtl w:val="true"/>
        </w:rPr>
        <w:t xml:space="preserve">؛ الحاوی الکبیر </w:t>
      </w:r>
      <w:r>
        <w:rPr>
          <w:rFonts w:eastAsia="IRNazanin" w:cs="IRNazanin"/>
          <w:b w:val="false"/>
          <w:bCs w:val="false"/>
          <w:i w:val="false"/>
          <w:iCs w:val="false"/>
          <w:color w:val="333333"/>
          <w:sz w:val="20"/>
          <w:szCs w:val="20"/>
        </w:rPr>
        <w:t>160:5</w:t>
      </w:r>
      <w:r>
        <w:rPr>
          <w:rFonts w:eastAsia="IRNazanin" w:cs="IRNazanin"/>
          <w:b w:val="false"/>
          <w:bCs w:val="false"/>
          <w:i w:val="false"/>
          <w:iCs w:val="false"/>
          <w:color w:val="333333"/>
          <w:sz w:val="20"/>
          <w:szCs w:val="20"/>
          <w:rtl w:val="true"/>
        </w:rPr>
        <w:t>.</w:t>
      </w:r>
    </w:p>
  </w:footnote>
  <w:footnote w:id="2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836:2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 xml:space="preserve">؛ صحیح البخاری </w:t>
      </w:r>
      <w:r>
        <w:rPr>
          <w:rFonts w:eastAsia="IRNazanin" w:cs="IRNazanin"/>
          <w:b w:val="false"/>
          <w:bCs w:val="false"/>
          <w:i w:val="false"/>
          <w:iCs w:val="false"/>
          <w:color w:val="333333"/>
          <w:sz w:val="20"/>
          <w:szCs w:val="20"/>
        </w:rPr>
        <w:t>102:5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4258</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201:3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842</w:t>
      </w:r>
      <w:r>
        <w:rPr>
          <w:rFonts w:ascii="IRNazanin" w:hAnsi="IRNazanin" w:eastAsia="IRNazanin"/>
          <w:b w:val="false"/>
          <w:b w:val="false"/>
          <w:bCs w:val="false"/>
          <w:i w:val="false"/>
          <w:i w:val="false"/>
          <w:iCs w:val="false"/>
          <w:color w:val="333333"/>
          <w:sz w:val="20"/>
          <w:sz w:val="20"/>
          <w:szCs w:val="20"/>
          <w:rtl w:val="true"/>
        </w:rPr>
        <w:t xml:space="preserve">؛ المغازی </w:t>
      </w:r>
      <w:r>
        <w:rPr>
          <w:rFonts w:eastAsia="IRNazanin" w:cs="IRNazanin"/>
          <w:b w:val="false"/>
          <w:bCs w:val="false"/>
          <w:i w:val="false"/>
          <w:iCs w:val="false"/>
          <w:color w:val="333333"/>
          <w:sz w:val="20"/>
          <w:szCs w:val="20"/>
        </w:rPr>
        <w:t>738:2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4258</w:t>
      </w:r>
      <w:r>
        <w:rPr>
          <w:rFonts w:ascii="IRNazanin" w:hAnsi="IRNazanin" w:eastAsia="IRNazanin"/>
          <w:b w:val="false"/>
          <w:b w:val="false"/>
          <w:bCs w:val="false"/>
          <w:i w:val="false"/>
          <w:i w:val="false"/>
          <w:iCs w:val="false"/>
          <w:color w:val="333333"/>
          <w:sz w:val="20"/>
          <w:sz w:val="20"/>
          <w:szCs w:val="20"/>
          <w:rtl w:val="true"/>
        </w:rPr>
        <w:t xml:space="preserve">؛ المغنی و الشرح الکبیر </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w:t>
      </w:r>
    </w:p>
  </w:footnote>
  <w:footnote w:id="2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162:5</w:t>
      </w:r>
      <w:r>
        <w:rPr>
          <w:rFonts w:eastAsia="IRNazanin" w:cs="IRNazanin"/>
          <w:b w:val="false"/>
          <w:bCs w:val="false"/>
          <w:i w:val="false"/>
          <w:iCs w:val="false"/>
          <w:color w:val="333333"/>
          <w:sz w:val="20"/>
          <w:szCs w:val="20"/>
          <w:rtl w:val="true"/>
        </w:rPr>
        <w:t>.</w:t>
      </w:r>
    </w:p>
  </w:footnote>
  <w:footnote w:id="2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837:2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632:1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w:t>
      </w:r>
    </w:p>
  </w:footnote>
  <w:footnote w:id="2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xml:space="preserve">؛ شرح معانی الآثار </w:t>
      </w:r>
      <w:r>
        <w:rPr>
          <w:rFonts w:eastAsia="IRNazanin" w:cs="IRNazanin"/>
          <w:b w:val="false"/>
          <w:bCs w:val="false"/>
          <w:i w:val="false"/>
          <w:iCs w:val="false"/>
          <w:color w:val="333333"/>
          <w:sz w:val="20"/>
          <w:szCs w:val="20"/>
        </w:rPr>
        <w:t>270:2</w:t>
      </w:r>
      <w:r>
        <w:rPr>
          <w:rFonts w:eastAsia="IRNazanin" w:cs="IRNazanin"/>
          <w:b w:val="false"/>
          <w:bCs w:val="false"/>
          <w:i w:val="false"/>
          <w:iCs w:val="false"/>
          <w:color w:val="333333"/>
          <w:sz w:val="20"/>
          <w:szCs w:val="20"/>
          <w:rtl w:val="true"/>
        </w:rPr>
        <w:t>.</w:t>
      </w:r>
    </w:p>
  </w:footnote>
  <w:footnote w:id="2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معانی الآثار للطحاوی </w:t>
      </w:r>
      <w:r>
        <w:rPr>
          <w:rFonts w:eastAsia="IRNazanin" w:cs="IRNazanin"/>
          <w:b w:val="false"/>
          <w:bCs w:val="false"/>
          <w:i w:val="false"/>
          <w:iCs w:val="false"/>
          <w:color w:val="333333"/>
          <w:sz w:val="20"/>
          <w:szCs w:val="20"/>
        </w:rPr>
        <w:t>270:2</w:t>
      </w:r>
      <w:r>
        <w:rPr>
          <w:rFonts w:eastAsia="IRNazanin" w:cs="IRNazanin"/>
          <w:b w:val="false"/>
          <w:bCs w:val="false"/>
          <w:i w:val="false"/>
          <w:iCs w:val="false"/>
          <w:color w:val="333333"/>
          <w:sz w:val="20"/>
          <w:szCs w:val="20"/>
          <w:rtl w:val="true"/>
        </w:rPr>
        <w:t>.</w:t>
      </w:r>
    </w:p>
  </w:footnote>
  <w:footnote w:id="2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الحاوی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163:5</w:t>
      </w:r>
      <w:r>
        <w:rPr>
          <w:rFonts w:eastAsia="IRNazanin" w:cs="IRNazanin"/>
          <w:b w:val="false"/>
          <w:bCs w:val="false"/>
          <w:i w:val="false"/>
          <w:iCs w:val="false"/>
          <w:color w:val="333333"/>
          <w:sz w:val="20"/>
          <w:szCs w:val="20"/>
          <w:rtl w:val="true"/>
        </w:rPr>
        <w:t>.</w:t>
      </w:r>
    </w:p>
  </w:footnote>
  <w:footnote w:id="2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53:18</w:t>
      </w:r>
      <w:r>
        <w:rPr>
          <w:rFonts w:ascii="IRNazanin" w:hAnsi="IRNazanin" w:eastAsia="IRNazanin"/>
          <w:b w:val="false"/>
          <w:b w:val="false"/>
          <w:bCs w:val="false"/>
          <w:i w:val="false"/>
          <w:i w:val="false"/>
          <w:iCs w:val="false"/>
          <w:color w:val="333333"/>
          <w:sz w:val="20"/>
          <w:sz w:val="20"/>
          <w:szCs w:val="20"/>
          <w:rtl w:val="true"/>
        </w:rPr>
        <w:t xml:space="preserve">، أبواب صفات القاضی 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302:4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915</w:t>
      </w:r>
      <w:r>
        <w:rPr>
          <w:rFonts w:ascii="IRNazanin" w:hAnsi="IRNazanin" w:eastAsia="IRNazanin"/>
          <w:b w:val="false"/>
          <w:b w:val="false"/>
          <w:bCs w:val="false"/>
          <w:i w:val="false"/>
          <w:i w:val="false"/>
          <w:iCs w:val="false"/>
          <w:color w:val="333333"/>
          <w:sz w:val="20"/>
          <w:sz w:val="20"/>
          <w:szCs w:val="20"/>
          <w:rtl w:val="true"/>
        </w:rPr>
        <w:t>؛ 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عیون أخبار الرضا علیه السلام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100:18</w:t>
      </w:r>
      <w:r>
        <w:rPr>
          <w:rFonts w:ascii="IRNazanin" w:hAnsi="IRNazanin" w:eastAsia="IRNazanin"/>
          <w:b w:val="false"/>
          <w:b w:val="false"/>
          <w:bCs w:val="false"/>
          <w:i w:val="false"/>
          <w:i w:val="false"/>
          <w:iCs w:val="false"/>
          <w:color w:val="333333"/>
          <w:sz w:val="20"/>
          <w:sz w:val="20"/>
          <w:szCs w:val="20"/>
          <w:rtl w:val="true"/>
        </w:rPr>
        <w:t xml:space="preserve">، أبواب صفات القاضی 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461:1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الوافی </w:t>
      </w:r>
      <w:r>
        <w:rPr>
          <w:rFonts w:eastAsia="IRNazanin" w:cs="IRNazanin"/>
          <w:b w:val="false"/>
          <w:bCs w:val="false"/>
          <w:i w:val="false"/>
          <w:iCs w:val="false"/>
          <w:color w:val="333333"/>
          <w:sz w:val="20"/>
          <w:szCs w:val="20"/>
        </w:rPr>
        <w:t>213:1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124:13</w:t>
      </w:r>
      <w:r>
        <w:rPr>
          <w:rFonts w:ascii="IRNazanin" w:hAnsi="IRNazanin" w:eastAsia="IRNazanin"/>
          <w:b w:val="false"/>
          <w:b w:val="false"/>
          <w:bCs w:val="false"/>
          <w:i w:val="false"/>
          <w:i w:val="false"/>
          <w:iCs w:val="false"/>
          <w:color w:val="333333"/>
          <w:sz w:val="20"/>
          <w:sz w:val="20"/>
          <w:szCs w:val="20"/>
          <w:rtl w:val="true"/>
        </w:rPr>
        <w:t xml:space="preserve">، أبواب ما یکتسب به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الوافی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فقد العلماء،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للإمام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عوائد الأیّام للنراقی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2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غیبة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283:2</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101:18</w:t>
      </w:r>
      <w:r>
        <w:rPr>
          <w:rFonts w:ascii="IRNazanin" w:hAnsi="IRNazanin" w:eastAsia="IRNazanin"/>
          <w:b w:val="false"/>
          <w:b w:val="false"/>
          <w:bCs w:val="false"/>
          <w:i w:val="false"/>
          <w:i w:val="false"/>
          <w:iCs w:val="false"/>
          <w:color w:val="333333"/>
          <w:sz w:val="20"/>
          <w:sz w:val="20"/>
          <w:szCs w:val="20"/>
          <w:rtl w:val="true"/>
        </w:rPr>
        <w:t xml:space="preserve">، أبواب صفات القاضی 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219:6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412:7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أبواب صفات القاضی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303:6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100:18</w:t>
      </w:r>
      <w:r>
        <w:rPr>
          <w:rFonts w:ascii="IRNazanin" w:hAnsi="IRNazanin" w:eastAsia="IRNazanin"/>
          <w:b w:val="false"/>
          <w:b w:val="false"/>
          <w:bCs w:val="false"/>
          <w:i w:val="false"/>
          <w:i w:val="false"/>
          <w:iCs w:val="false"/>
          <w:color w:val="333333"/>
          <w:sz w:val="20"/>
          <w:sz w:val="20"/>
          <w:szCs w:val="20"/>
          <w:rtl w:val="true"/>
        </w:rPr>
        <w:t xml:space="preserve">؛ أبواب صفات القاضی 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301:6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106:2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98:18</w:t>
      </w:r>
      <w:r>
        <w:rPr>
          <w:rFonts w:ascii="IRNazanin" w:hAnsi="IRNazanin" w:eastAsia="IRNazanin"/>
          <w:b w:val="false"/>
          <w:b w:val="false"/>
          <w:bCs w:val="false"/>
          <w:i w:val="false"/>
          <w:i w:val="false"/>
          <w:iCs w:val="false"/>
          <w:color w:val="333333"/>
          <w:sz w:val="20"/>
          <w:sz w:val="20"/>
          <w:szCs w:val="20"/>
          <w:rtl w:val="true"/>
        </w:rPr>
        <w:t xml:space="preserve">، أبواب صفات القاضی 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392:2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2083</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326:3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1880</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592:2</w:t>
      </w:r>
      <w:r>
        <w:rPr>
          <w:rFonts w:ascii="IRNazanin" w:hAnsi="IRNazanin" w:eastAsia="IRNazanin"/>
          <w:b w:val="false"/>
          <w:b w:val="false"/>
          <w:bCs w:val="false"/>
          <w:i w:val="false"/>
          <w:i w:val="false"/>
          <w:iCs w:val="false"/>
          <w:color w:val="333333"/>
          <w:sz w:val="20"/>
          <w:sz w:val="20"/>
          <w:szCs w:val="20"/>
          <w:rtl w:val="true"/>
        </w:rPr>
        <w:t xml:space="preserve">، الطبعة الحجریة؛ مسالک الأفهام </w:t>
      </w:r>
      <w:r>
        <w:rPr>
          <w:rFonts w:eastAsia="IRNazanin" w:cs="IRNazanin"/>
          <w:b w:val="false"/>
          <w:bCs w:val="false"/>
          <w:i w:val="false"/>
          <w:iCs w:val="false"/>
          <w:color w:val="333333"/>
          <w:sz w:val="20"/>
          <w:szCs w:val="20"/>
        </w:rPr>
        <w:t>147:7</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239:23</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405:6</w:t>
      </w:r>
      <w:r>
        <w:rPr>
          <w:rFonts w:eastAsia="IRNazanin" w:cs="IRNazanin"/>
          <w:b w:val="false"/>
          <w:bCs w:val="false"/>
          <w:i w:val="false"/>
          <w:iCs w:val="false"/>
          <w:color w:val="333333"/>
          <w:sz w:val="20"/>
          <w:szCs w:val="20"/>
          <w:rtl w:val="true"/>
        </w:rPr>
        <w:t>.</w:t>
      </w:r>
    </w:p>
  </w:footnote>
  <w:footnote w:id="2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الوافی </w:t>
      </w:r>
      <w:r>
        <w:rPr>
          <w:rFonts w:eastAsia="IRNazanin" w:cs="IRNazanin"/>
          <w:b w:val="false"/>
          <w:bCs w:val="false"/>
          <w:i w:val="false"/>
          <w:iCs w:val="false"/>
          <w:color w:val="333333"/>
          <w:sz w:val="20"/>
          <w:szCs w:val="20"/>
        </w:rPr>
        <w:t>179:15</w:t>
      </w:r>
      <w:r>
        <w:rPr>
          <w:rFonts w:ascii="IRNazanin" w:hAnsi="IRNazanin" w:eastAsia="IRNazanin"/>
          <w:b w:val="false"/>
          <w:b w:val="false"/>
          <w:bCs w:val="false"/>
          <w:i w:val="false"/>
          <w:i w:val="false"/>
          <w:iCs w:val="false"/>
          <w:color w:val="333333"/>
          <w:sz w:val="20"/>
          <w:sz w:val="20"/>
          <w:szCs w:val="20"/>
          <w:rtl w:val="true"/>
        </w:rPr>
        <w:t>، أبواب الأمر بالمعروف و النهی عن المنکر</w:t>
      </w:r>
      <w:r>
        <w:rPr>
          <w:rFonts w:eastAsia="IRNazanin" w:cs="IRNazanin"/>
          <w:b w:val="false"/>
          <w:bCs w:val="false"/>
          <w:i w:val="false"/>
          <w:iCs w:val="false"/>
          <w:color w:val="333333"/>
          <w:sz w:val="20"/>
          <w:szCs w:val="20"/>
          <w:rtl w:val="true"/>
        </w:rPr>
        <w:t>.</w:t>
      </w:r>
    </w:p>
  </w:footnote>
  <w:footnote w:id="2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w:t>
      </w:r>
    </w:p>
  </w:footnote>
  <w:footnote w:id="2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162:4</w:t>
      </w:r>
      <w:r>
        <w:rPr>
          <w:rFonts w:eastAsia="IRNazanin" w:cs="IRNazanin"/>
          <w:b w:val="false"/>
          <w:bCs w:val="false"/>
          <w:i w:val="false"/>
          <w:iCs w:val="false"/>
          <w:color w:val="333333"/>
          <w:sz w:val="20"/>
          <w:szCs w:val="20"/>
          <w:rtl w:val="true"/>
        </w:rPr>
        <w:t>.</w:t>
      </w:r>
    </w:p>
  </w:footnote>
  <w:footnote w:id="2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الناصریات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2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الطبع الحجری</w:t>
      </w:r>
      <w:r>
        <w:rPr>
          <w:rFonts w:eastAsia="IRNazanin" w:cs="IRNazanin"/>
          <w:b w:val="false"/>
          <w:bCs w:val="false"/>
          <w:i w:val="false"/>
          <w:iCs w:val="false"/>
          <w:color w:val="333333"/>
          <w:sz w:val="20"/>
          <w:szCs w:val="20"/>
          <w:rtl w:val="true"/>
        </w:rPr>
        <w:t>.</w:t>
      </w:r>
    </w:p>
  </w:footnote>
  <w:footnote w:id="2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560:2</w:t>
      </w:r>
      <w:r>
        <w:rPr>
          <w:rFonts w:eastAsia="IRNazanin" w:cs="IRNazanin"/>
          <w:b w:val="false"/>
          <w:bCs w:val="false"/>
          <w:i w:val="false"/>
          <w:iCs w:val="false"/>
          <w:color w:val="333333"/>
          <w:sz w:val="20"/>
          <w:szCs w:val="20"/>
          <w:rtl w:val="true"/>
        </w:rPr>
        <w:t>.</w:t>
      </w:r>
    </w:p>
  </w:footnote>
  <w:footnote w:id="2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188:29</w:t>
      </w:r>
      <w:r>
        <w:rPr>
          <w:rFonts w:eastAsia="IRNazanin" w:cs="IRNazanin"/>
          <w:b w:val="false"/>
          <w:bCs w:val="false"/>
          <w:i w:val="false"/>
          <w:iCs w:val="false"/>
          <w:color w:val="333333"/>
          <w:sz w:val="20"/>
          <w:szCs w:val="20"/>
          <w:rtl w:val="true"/>
        </w:rPr>
        <w:t>.</w:t>
      </w:r>
    </w:p>
  </w:footnote>
  <w:footnote w:id="2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96:12</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404:6</w:t>
      </w:r>
      <w:r>
        <w:rPr>
          <w:rFonts w:eastAsia="IRNazanin" w:cs="IRNazanin"/>
          <w:b w:val="false"/>
          <w:bCs w:val="false"/>
          <w:i w:val="false"/>
          <w:iCs w:val="false"/>
          <w:color w:val="333333"/>
          <w:sz w:val="20"/>
          <w:szCs w:val="20"/>
          <w:rtl w:val="true"/>
        </w:rPr>
        <w:t>.</w:t>
      </w:r>
    </w:p>
  </w:footnote>
  <w:footnote w:id="2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188:29</w:t>
      </w:r>
      <w:r>
        <w:rPr>
          <w:rFonts w:eastAsia="IRNazanin" w:cs="IRNazanin"/>
          <w:b w:val="false"/>
          <w:bCs w:val="false"/>
          <w:i w:val="false"/>
          <w:iCs w:val="false"/>
          <w:color w:val="333333"/>
          <w:sz w:val="20"/>
          <w:szCs w:val="20"/>
          <w:rtl w:val="true"/>
        </w:rPr>
        <w:t>.</w:t>
      </w:r>
    </w:p>
  </w:footnote>
  <w:footnote w:id="2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483:2</w:t>
      </w:r>
      <w:r>
        <w:rPr>
          <w:rFonts w:eastAsia="IRNazanin" w:cs="IRNazanin"/>
          <w:b w:val="false"/>
          <w:bCs w:val="false"/>
          <w:i w:val="false"/>
          <w:iCs w:val="false"/>
          <w:color w:val="333333"/>
          <w:sz w:val="20"/>
          <w:szCs w:val="20"/>
          <w:rtl w:val="true"/>
        </w:rPr>
        <w:t>.</w:t>
      </w:r>
    </w:p>
  </w:footnote>
  <w:footnote w:id="2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 الشیخ الأعظم، کتاب النکاح </w:t>
      </w:r>
      <w:r>
        <w:rPr>
          <w:rFonts w:eastAsia="IRNazanin" w:cs="IRNazanin"/>
          <w:b w:val="false"/>
          <w:bCs w:val="false"/>
          <w:i w:val="false"/>
          <w:iCs w:val="false"/>
          <w:color w:val="333333"/>
          <w:sz w:val="20"/>
          <w:szCs w:val="20"/>
        </w:rPr>
        <w:t>153:20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w:t>
      </w:r>
      <w:r>
        <w:rPr>
          <w:rFonts w:eastAsia="IRNazanin" w:cs="IRNazanin"/>
          <w:b w:val="false"/>
          <w:bCs w:val="false"/>
          <w:i w:val="false"/>
          <w:iCs w:val="false"/>
          <w:color w:val="333333"/>
          <w:sz w:val="20"/>
          <w:szCs w:val="20"/>
        </w:rPr>
        <w:t>476:14</w:t>
      </w:r>
      <w:r>
        <w:rPr>
          <w:rFonts w:eastAsia="IRNazanin" w:cs="IRNazanin"/>
          <w:b w:val="false"/>
          <w:bCs w:val="false"/>
          <w:i w:val="false"/>
          <w:iCs w:val="false"/>
          <w:color w:val="333333"/>
          <w:sz w:val="20"/>
          <w:szCs w:val="20"/>
          <w:rtl w:val="true"/>
        </w:rPr>
        <w:t>.</w:t>
      </w:r>
    </w:p>
  </w:footnote>
  <w:footnote w:id="2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کتاب النکاح </w:t>
      </w:r>
      <w:r>
        <w:rPr>
          <w:rFonts w:eastAsia="IRNazanin" w:cs="IRNazanin"/>
          <w:b w:val="false"/>
          <w:bCs w:val="false"/>
          <w:i w:val="false"/>
          <w:iCs w:val="false"/>
          <w:color w:val="333333"/>
          <w:sz w:val="20"/>
          <w:szCs w:val="20"/>
        </w:rPr>
        <w:t>303:2</w:t>
      </w:r>
      <w:r>
        <w:rPr>
          <w:rFonts w:eastAsia="IRNazanin" w:cs="IRNazanin"/>
          <w:b w:val="false"/>
          <w:bCs w:val="false"/>
          <w:i w:val="false"/>
          <w:iCs w:val="false"/>
          <w:color w:val="333333"/>
          <w:sz w:val="20"/>
          <w:szCs w:val="20"/>
          <w:rtl w:val="true"/>
        </w:rPr>
        <w:t>.</w:t>
      </w:r>
    </w:p>
  </w:footnote>
  <w:footnote w:id="2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394:2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فقه الإمام جعفر الصادق علیه السلام </w:t>
      </w:r>
      <w:r>
        <w:rPr>
          <w:rFonts w:eastAsia="IRNazanin" w:cs="IRNazanin"/>
          <w:b w:val="false"/>
          <w:bCs w:val="false"/>
          <w:i w:val="false"/>
          <w:iCs w:val="false"/>
          <w:color w:val="333333"/>
          <w:sz w:val="20"/>
          <w:szCs w:val="20"/>
        </w:rPr>
        <w:t>243:5</w:t>
      </w:r>
      <w:r>
        <w:rPr>
          <w:rFonts w:ascii="IRNazanin" w:hAnsi="IRNazanin" w:eastAsia="IRNazanin"/>
          <w:b w:val="false"/>
          <w:b w:val="false"/>
          <w:bCs w:val="false"/>
          <w:i w:val="false"/>
          <w:i w:val="false"/>
          <w:iCs w:val="false"/>
          <w:color w:val="333333"/>
          <w:sz w:val="20"/>
          <w:sz w:val="20"/>
          <w:szCs w:val="20"/>
          <w:rtl w:val="true"/>
        </w:rPr>
        <w:t xml:space="preserve">؛ جامع المدارک </w:t>
      </w:r>
      <w:r>
        <w:rPr>
          <w:rFonts w:eastAsia="IRNazanin" w:cs="IRNazanin"/>
          <w:b w:val="false"/>
          <w:bCs w:val="false"/>
          <w:i w:val="false"/>
          <w:iCs w:val="false"/>
          <w:color w:val="333333"/>
          <w:sz w:val="20"/>
          <w:szCs w:val="20"/>
        </w:rPr>
        <w:t>165:4</w:t>
      </w:r>
      <w:r>
        <w:rPr>
          <w:rFonts w:ascii="IRNazanin" w:hAnsi="IRNazanin" w:eastAsia="IRNazanin"/>
          <w:b w:val="false"/>
          <w:b w:val="false"/>
          <w:bCs w:val="false"/>
          <w:i w:val="false"/>
          <w:i w:val="false"/>
          <w:iCs w:val="false"/>
          <w:color w:val="333333"/>
          <w:sz w:val="20"/>
          <w:sz w:val="20"/>
          <w:szCs w:val="20"/>
          <w:rtl w:val="true"/>
        </w:rPr>
        <w:t>؛ تفصیل الشریعة، 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392:2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2083</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326:3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1879</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147:7</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405:6</w:t>
      </w:r>
      <w:r>
        <w:rPr>
          <w:rFonts w:eastAsia="IRNazanin" w:cs="IRNazanin"/>
          <w:b w:val="false"/>
          <w:bCs w:val="false"/>
          <w:i w:val="false"/>
          <w:iCs w:val="false"/>
          <w:color w:val="333333"/>
          <w:sz w:val="20"/>
          <w:szCs w:val="20"/>
          <w:rtl w:val="true"/>
        </w:rPr>
        <w:t>.</w:t>
      </w:r>
    </w:p>
  </w:footnote>
  <w:footnote w:id="2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188:29</w:t>
      </w:r>
      <w:r>
        <w:rPr>
          <w:rFonts w:eastAsia="IRNazanin" w:cs="IRNazanin"/>
          <w:b w:val="false"/>
          <w:bCs w:val="false"/>
          <w:i w:val="false"/>
          <w:iCs w:val="false"/>
          <w:color w:val="333333"/>
          <w:sz w:val="20"/>
          <w:szCs w:val="20"/>
          <w:rtl w:val="true"/>
        </w:rPr>
        <w:t>.</w:t>
      </w:r>
    </w:p>
  </w:footnote>
  <w:footnote w:id="2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الأمّ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w:t>
      </w:r>
    </w:p>
  </w:footnote>
  <w:footnote w:id="2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المحتاج </w:t>
      </w:r>
      <w:r>
        <w:rPr>
          <w:rFonts w:eastAsia="IRNazanin" w:cs="IRNazanin"/>
          <w:b w:val="false"/>
          <w:bCs w:val="false"/>
          <w:i w:val="false"/>
          <w:iCs w:val="false"/>
          <w:color w:val="333333"/>
          <w:sz w:val="20"/>
          <w:szCs w:val="20"/>
        </w:rPr>
        <w:t>230:6</w:t>
      </w:r>
      <w:r>
        <w:rPr>
          <w:rFonts w:eastAsia="IRNazanin" w:cs="IRNazanin"/>
          <w:b w:val="false"/>
          <w:bCs w:val="false"/>
          <w:i w:val="false"/>
          <w:iCs w:val="false"/>
          <w:color w:val="333333"/>
          <w:sz w:val="20"/>
          <w:szCs w:val="20"/>
          <w:rtl w:val="true"/>
        </w:rPr>
        <w:t>.</w:t>
      </w:r>
    </w:p>
  </w:footnote>
  <w:footnote w:id="2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350:7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الفقه علی المذاهب الأربعة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w:t>
      </w:r>
    </w:p>
  </w:footnote>
  <w:footnote w:id="2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الإسلامی و أدلّته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w:t>
      </w:r>
    </w:p>
  </w:footnote>
  <w:footnote w:id="2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أسهل المدارک </w:t>
      </w:r>
      <w:r>
        <w:rPr>
          <w:rFonts w:eastAsia="IRNazanin" w:cs="IRNazanin"/>
          <w:b w:val="false"/>
          <w:bCs w:val="false"/>
          <w:i w:val="false"/>
          <w:iCs w:val="false"/>
          <w:color w:val="333333"/>
          <w:sz w:val="20"/>
          <w:szCs w:val="20"/>
        </w:rPr>
        <w:t>369:1</w:t>
      </w:r>
      <w:r>
        <w:rPr>
          <w:rFonts w:ascii="IRNazanin" w:hAnsi="IRNazanin" w:eastAsia="IRNazanin"/>
          <w:b w:val="false"/>
          <w:b w:val="false"/>
          <w:bCs w:val="false"/>
          <w:i w:val="false"/>
          <w:i w:val="false"/>
          <w:iCs w:val="false"/>
          <w:color w:val="333333"/>
          <w:sz w:val="20"/>
          <w:sz w:val="20"/>
          <w:szCs w:val="20"/>
          <w:rtl w:val="true"/>
        </w:rPr>
        <w:t xml:space="preserve">؛ الفقه علی المذاهب الأربعة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الکواکب الدریّة </w:t>
      </w:r>
      <w:r>
        <w:rPr>
          <w:rFonts w:eastAsia="IRNazanin" w:cs="IRNazanin"/>
          <w:b w:val="false"/>
          <w:bCs w:val="false"/>
          <w:i w:val="false"/>
          <w:iCs w:val="false"/>
          <w:color w:val="333333"/>
          <w:sz w:val="20"/>
          <w:szCs w:val="20"/>
        </w:rPr>
        <w:t>150:2</w:t>
      </w:r>
      <w:r>
        <w:rPr>
          <w:rFonts w:ascii="IRNazanin" w:hAnsi="IRNazanin" w:eastAsia="IRNazanin"/>
          <w:b w:val="false"/>
          <w:b w:val="false"/>
          <w:bCs w:val="false"/>
          <w:i w:val="false"/>
          <w:i w:val="false"/>
          <w:iCs w:val="false"/>
          <w:color w:val="333333"/>
          <w:sz w:val="20"/>
          <w:sz w:val="20"/>
          <w:szCs w:val="20"/>
          <w:rtl w:val="true"/>
        </w:rPr>
        <w:t xml:space="preserve">؛ تبیین المسالک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الأیام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مستند الشیعة </w:t>
      </w:r>
      <w:r>
        <w:rPr>
          <w:rFonts w:eastAsia="IRNazanin" w:cs="IRNazanin"/>
          <w:b w:val="false"/>
          <w:bCs w:val="false"/>
          <w:i w:val="false"/>
          <w:iCs w:val="false"/>
          <w:color w:val="333333"/>
          <w:sz w:val="20"/>
          <w:szCs w:val="20"/>
        </w:rPr>
        <w:t>142:16</w:t>
      </w:r>
      <w:r>
        <w:rPr>
          <w:rFonts w:eastAsia="IRNazanin" w:cs="IRNazanin"/>
          <w:b w:val="false"/>
          <w:bCs w:val="false"/>
          <w:i w:val="false"/>
          <w:iCs w:val="false"/>
          <w:color w:val="333333"/>
          <w:sz w:val="20"/>
          <w:szCs w:val="20"/>
          <w:rtl w:val="true"/>
        </w:rPr>
        <w:t>.</w:t>
      </w:r>
    </w:p>
  </w:footnote>
  <w:footnote w:id="2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404:6</w:t>
      </w:r>
      <w:r>
        <w:rPr>
          <w:rFonts w:eastAsia="IRNazanin" w:cs="IRNazanin"/>
          <w:b w:val="false"/>
          <w:bCs w:val="false"/>
          <w:i w:val="false"/>
          <w:iCs w:val="false"/>
          <w:color w:val="333333"/>
          <w:sz w:val="20"/>
          <w:szCs w:val="20"/>
          <w:rtl w:val="true"/>
        </w:rPr>
        <w:t>.</w:t>
      </w:r>
    </w:p>
  </w:footnote>
  <w:footnote w:id="2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237:23</w:t>
      </w:r>
      <w:r>
        <w:rPr>
          <w:rFonts w:eastAsia="IRNazanin" w:cs="IRNazanin"/>
          <w:b w:val="false"/>
          <w:bCs w:val="false"/>
          <w:i w:val="false"/>
          <w:iCs w:val="false"/>
          <w:color w:val="333333"/>
          <w:sz w:val="20"/>
          <w:szCs w:val="20"/>
          <w:rtl w:val="true"/>
        </w:rPr>
        <w:t>.</w:t>
      </w:r>
    </w:p>
  </w:footnote>
  <w:footnote w:id="2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عناوین الأصول </w:t>
      </w:r>
      <w:r>
        <w:rPr>
          <w:rFonts w:eastAsia="IRNazanin" w:cs="IRNazanin"/>
          <w:b w:val="false"/>
          <w:bCs w:val="false"/>
          <w:i w:val="false"/>
          <w:iCs w:val="false"/>
          <w:color w:val="333333"/>
          <w:sz w:val="20"/>
          <w:szCs w:val="20"/>
        </w:rPr>
        <w:t>344:2</w:t>
      </w:r>
      <w:r>
        <w:rPr>
          <w:rFonts w:eastAsia="IRNazanin" w:cs="IRNazanin"/>
          <w:b w:val="false"/>
          <w:bCs w:val="false"/>
          <w:i w:val="false"/>
          <w:iCs w:val="false"/>
          <w:color w:val="333333"/>
          <w:sz w:val="20"/>
          <w:szCs w:val="20"/>
          <w:rtl w:val="true"/>
        </w:rPr>
        <w:t>.</w:t>
      </w:r>
    </w:p>
  </w:footnote>
  <w:footnote w:id="2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المرام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2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116:5</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96:12</w:t>
      </w:r>
      <w:r>
        <w:rPr>
          <w:rFonts w:eastAsia="IRNazanin" w:cs="IRNazanin"/>
          <w:b w:val="false"/>
          <w:bCs w:val="false"/>
          <w:i w:val="false"/>
          <w:iCs w:val="false"/>
          <w:color w:val="333333"/>
          <w:sz w:val="20"/>
          <w:szCs w:val="20"/>
          <w:rtl w:val="true"/>
        </w:rPr>
        <w:t>.</w:t>
      </w:r>
    </w:p>
  </w:footnote>
  <w:footnote w:id="2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المدارک </w:t>
      </w:r>
      <w:r>
        <w:rPr>
          <w:rFonts w:eastAsia="IRNazanin" w:cs="IRNazanin"/>
          <w:b w:val="false"/>
          <w:bCs w:val="false"/>
          <w:i w:val="false"/>
          <w:iCs w:val="false"/>
          <w:color w:val="333333"/>
          <w:sz w:val="20"/>
          <w:szCs w:val="20"/>
        </w:rPr>
        <w:t>165:4</w:t>
      </w:r>
      <w:r>
        <w:rPr>
          <w:rFonts w:eastAsia="IRNazanin" w:cs="IRNazanin"/>
          <w:b w:val="false"/>
          <w:bCs w:val="false"/>
          <w:i w:val="false"/>
          <w:iCs w:val="false"/>
          <w:color w:val="333333"/>
          <w:sz w:val="20"/>
          <w:szCs w:val="20"/>
          <w:rtl w:val="true"/>
        </w:rPr>
        <w:t>.</w:t>
      </w:r>
    </w:p>
  </w:footnote>
  <w:footnote w:id="2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165:4</w:t>
      </w:r>
      <w:r>
        <w:rPr>
          <w:rFonts w:eastAsia="IRNazanin" w:cs="IRNazanin"/>
          <w:b w:val="false"/>
          <w:bCs w:val="false"/>
          <w:i w:val="false"/>
          <w:iCs w:val="false"/>
          <w:color w:val="333333"/>
          <w:sz w:val="20"/>
          <w:szCs w:val="20"/>
          <w:rtl w:val="true"/>
        </w:rPr>
        <w:t>.</w:t>
      </w:r>
    </w:p>
  </w:footnote>
  <w:footnote w:id="2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277:2</w:t>
      </w:r>
      <w:r>
        <w:rPr>
          <w:rFonts w:eastAsia="IRNazanin" w:cs="IRNazanin"/>
          <w:b w:val="false"/>
          <w:bCs w:val="false"/>
          <w:i w:val="false"/>
          <w:iCs w:val="false"/>
          <w:color w:val="333333"/>
          <w:sz w:val="20"/>
          <w:szCs w:val="20"/>
          <w:rtl w:val="true"/>
        </w:rPr>
        <w:t>.</w:t>
      </w:r>
    </w:p>
  </w:footnote>
  <w:footnote w:id="2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 الشیخ الأعظم </w:t>
      </w:r>
      <w:r>
        <w:rPr>
          <w:rFonts w:eastAsia="IRNazanin" w:cs="IRNazanin"/>
          <w:b w:val="false"/>
          <w:bCs w:val="false"/>
          <w:i w:val="false"/>
          <w:iCs w:val="false"/>
          <w:color w:val="333333"/>
          <w:sz w:val="20"/>
          <w:szCs w:val="20"/>
        </w:rPr>
        <w:t>148:20</w:t>
      </w:r>
      <w:r>
        <w:rPr>
          <w:rFonts w:eastAsia="IRNazanin" w:cs="IRNazanin"/>
          <w:b w:val="false"/>
          <w:bCs w:val="false"/>
          <w:i w:val="false"/>
          <w:iCs w:val="false"/>
          <w:color w:val="333333"/>
          <w:sz w:val="20"/>
          <w:szCs w:val="20"/>
          <w:rtl w:val="true"/>
        </w:rPr>
        <w:t>.</w:t>
      </w:r>
    </w:p>
  </w:footnote>
  <w:footnote w:id="2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388:7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1543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236:3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220:14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209:14</w:t>
      </w:r>
      <w:r>
        <w:rPr>
          <w:rFonts w:ascii="IRNazanin" w:hAnsi="IRNazanin" w:eastAsia="IRNazanin"/>
          <w:b w:val="false"/>
          <w:b w:val="false"/>
          <w:bCs w:val="false"/>
          <w:i w:val="false"/>
          <w:i w:val="false"/>
          <w:iCs w:val="false"/>
          <w:color w:val="333333"/>
          <w:sz w:val="20"/>
          <w:sz w:val="20"/>
          <w:szCs w:val="20"/>
          <w:rtl w:val="true"/>
        </w:rPr>
        <w:t xml:space="preserve">، أبواب عقد النکاح، 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المفهوم منها أنّه إذا لم یزوجهما الأبوان و هذه أیضاً فی صورة وجود الأبوین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 ف</w:t>
      </w:r>
    </w:p>
  </w:footnote>
  <w:footnote w:id="2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یخفی أنّ الظاهر بل الصریح من مورد هذه الروایات هی صورة وجود الأبوین، فالدلیل لا یرتبط بالمدّعی، حیث إنّه فی صورة عدم وجود الأبوین فالاستدلال بالروایات غیر صحیح 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 ف</w:t>
      </w:r>
    </w:p>
  </w:footnote>
  <w:footnote w:id="2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الأیام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2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393:5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386:7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1550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201:14</w:t>
      </w:r>
      <w:r>
        <w:rPr>
          <w:rFonts w:ascii="IRNazanin" w:hAnsi="IRNazanin" w:eastAsia="IRNazanin"/>
          <w:b w:val="false"/>
          <w:b w:val="false"/>
          <w:bCs w:val="false"/>
          <w:i w:val="false"/>
          <w:i w:val="false"/>
          <w:iCs w:val="false"/>
          <w:color w:val="333333"/>
          <w:sz w:val="20"/>
          <w:sz w:val="20"/>
          <w:szCs w:val="20"/>
          <w:rtl w:val="true"/>
        </w:rPr>
        <w:t xml:space="preserve">، أبواب عقد النکاح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w:t>
      </w:r>
    </w:p>
  </w:footnote>
  <w:footnote w:id="3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3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188:29</w:t>
      </w:r>
      <w:r>
        <w:rPr>
          <w:rFonts w:eastAsia="IRNazanin" w:cs="IRNazanin"/>
          <w:b w:val="false"/>
          <w:bCs w:val="false"/>
          <w:i w:val="false"/>
          <w:iCs w:val="false"/>
          <w:color w:val="333333"/>
          <w:sz w:val="20"/>
          <w:szCs w:val="20"/>
          <w:rtl w:val="true"/>
        </w:rPr>
        <w:t>.</w:t>
      </w:r>
    </w:p>
  </w:footnote>
  <w:footnote w:id="3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w:t>
      </w:r>
      <w:r>
        <w:rPr>
          <w:rFonts w:eastAsia="IRNazanin" w:cs="IRNazanin"/>
          <w:b w:val="false"/>
          <w:bCs w:val="false"/>
          <w:i w:val="false"/>
          <w:iCs w:val="false"/>
          <w:color w:val="333333"/>
          <w:sz w:val="20"/>
          <w:szCs w:val="20"/>
        </w:rPr>
        <w:t>476:14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نسبه المحقّق الخوانساری إلی قیل؛ جامع المدارک </w:t>
      </w:r>
      <w:r>
        <w:rPr>
          <w:rFonts w:eastAsia="IRNazanin" w:cs="IRNazanin"/>
          <w:b w:val="false"/>
          <w:bCs w:val="false"/>
          <w:i w:val="false"/>
          <w:iCs w:val="false"/>
          <w:color w:val="333333"/>
          <w:sz w:val="20"/>
          <w:szCs w:val="20"/>
        </w:rPr>
        <w:t>146:4</w:t>
      </w:r>
      <w:r>
        <w:rPr>
          <w:rFonts w:ascii="IRNazanin" w:hAnsi="IRNazanin" w:eastAsia="IRNazanin"/>
          <w:b w:val="false"/>
          <w:b w:val="false"/>
          <w:bCs w:val="false"/>
          <w:i w:val="false"/>
          <w:i w:val="false"/>
          <w:iCs w:val="false"/>
          <w:color w:val="333333"/>
          <w:sz w:val="20"/>
          <w:sz w:val="20"/>
          <w:szCs w:val="20"/>
          <w:rtl w:val="true"/>
        </w:rPr>
        <w:t xml:space="preserve">؛ مهذّب الأحکام للسیّد السبزواری </w:t>
      </w:r>
      <w:r>
        <w:rPr>
          <w:rFonts w:eastAsia="IRNazanin" w:cs="IRNazanin"/>
          <w:b w:val="false"/>
          <w:bCs w:val="false"/>
          <w:i w:val="false"/>
          <w:iCs w:val="false"/>
          <w:color w:val="333333"/>
          <w:sz w:val="20"/>
          <w:szCs w:val="20"/>
        </w:rPr>
        <w:t>254:24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392:2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2083</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326:3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1879</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w:t>
      </w:r>
    </w:p>
  </w:footnote>
  <w:footnote w:id="3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الإنصاف أنّ العموم مستفاد من الحدیث بلا شکّ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ح و</w:t>
      </w:r>
    </w:p>
  </w:footnote>
  <w:footnote w:id="3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لا یرتبط بالمقام؛ فإنّ البحث فی وجود الولایة للحاکم فی صورة عدم وجود الأبوین، فثبوت الولایة للحاکم لا ینافی الحصر فی صورة وجود الأبوین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 ف</w:t>
      </w:r>
    </w:p>
  </w:footnote>
  <w:footnote w:id="3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تنویع السلطان فی الروایات بالعادل و غیر العادل یدفع هذا الاحتمال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ح</w:t>
      </w:r>
    </w:p>
  </w:footnote>
  <w:footnote w:id="3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المدارک </w:t>
      </w:r>
      <w:r>
        <w:rPr>
          <w:rFonts w:eastAsia="IRNazanin" w:cs="IRNazanin"/>
          <w:b w:val="false"/>
          <w:bCs w:val="false"/>
          <w:i w:val="false"/>
          <w:iCs w:val="false"/>
          <w:color w:val="333333"/>
          <w:sz w:val="20"/>
          <w:szCs w:val="20"/>
        </w:rPr>
        <w:t>166:4</w:t>
      </w:r>
      <w:r>
        <w:rPr>
          <w:rFonts w:eastAsia="IRNazanin" w:cs="IRNazanin"/>
          <w:b w:val="false"/>
          <w:bCs w:val="false"/>
          <w:i w:val="false"/>
          <w:iCs w:val="false"/>
          <w:color w:val="333333"/>
          <w:sz w:val="20"/>
          <w:szCs w:val="20"/>
          <w:rtl w:val="true"/>
        </w:rPr>
        <w:t>.</w:t>
      </w:r>
    </w:p>
  </w:footnote>
  <w:footnote w:id="3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392:7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1570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378:7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1530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215:14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391:5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287:3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1197</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377:7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1525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201:14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381:7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1542</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326:3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208:14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الأیّام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3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392:7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1572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462:7</w:t>
      </w:r>
      <w:r>
        <w:rPr>
          <w:rFonts w:eastAsia="IRNazanin" w:cs="IRNazanin"/>
          <w:b w:val="false"/>
          <w:bCs w:val="false"/>
          <w:i w:val="false"/>
          <w:iCs w:val="false"/>
          <w:color w:val="333333"/>
          <w:sz w:val="20"/>
          <w:szCs w:val="20"/>
          <w:rtl w:val="true"/>
        </w:rPr>
        <w:t>.</w:t>
      </w:r>
    </w:p>
  </w:footnote>
  <w:footnote w:id="3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3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305:4</w:t>
      </w:r>
      <w:r>
        <w:rPr>
          <w:rFonts w:eastAsia="IRNazanin" w:cs="IRNazanin"/>
          <w:b w:val="false"/>
          <w:bCs w:val="false"/>
          <w:i w:val="false"/>
          <w:iCs w:val="false"/>
          <w:color w:val="333333"/>
          <w:sz w:val="20"/>
          <w:szCs w:val="20"/>
          <w:rtl w:val="true"/>
        </w:rPr>
        <w:t>.</w:t>
      </w:r>
    </w:p>
  </w:footnote>
  <w:footnote w:id="3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Pr>
        <w:t>273:2</w:t>
      </w:r>
      <w:r>
        <w:rPr>
          <w:rFonts w:eastAsia="IRNazanin" w:cs="IRNazanin"/>
          <w:b w:val="false"/>
          <w:bCs w:val="false"/>
          <w:i w:val="false"/>
          <w:iCs w:val="false"/>
          <w:color w:val="333333"/>
          <w:sz w:val="20"/>
          <w:szCs w:val="20"/>
          <w:rtl w:val="true"/>
        </w:rPr>
        <w:t>.</w:t>
      </w:r>
    </w:p>
  </w:footnote>
  <w:footnote w:id="3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342:2</w:t>
      </w:r>
      <w:r>
        <w:rPr>
          <w:rFonts w:eastAsia="IRNazanin" w:cs="IRNazanin"/>
          <w:b w:val="false"/>
          <w:bCs w:val="false"/>
          <w:i w:val="false"/>
          <w:iCs w:val="false"/>
          <w:color w:val="333333"/>
          <w:sz w:val="20"/>
          <w:szCs w:val="20"/>
          <w:rtl w:val="true"/>
        </w:rPr>
        <w:t>.</w:t>
      </w:r>
    </w:p>
  </w:footnote>
  <w:footnote w:id="3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w:t>
      </w:r>
    </w:p>
  </w:footnote>
  <w:footnote w:id="3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w:t>
      </w:r>
      <w:r>
        <w:rPr>
          <w:rFonts w:eastAsia="IRNazanin" w:cs="IRNazanin"/>
          <w:b w:val="false"/>
          <w:bCs w:val="false"/>
          <w:i w:val="false"/>
          <w:iCs w:val="false"/>
          <w:color w:val="333333"/>
          <w:sz w:val="20"/>
          <w:szCs w:val="20"/>
        </w:rPr>
        <w:t>150:7</w:t>
      </w:r>
      <w:r>
        <w:rPr>
          <w:rFonts w:eastAsia="IRNazanin" w:cs="IRNazanin"/>
          <w:b w:val="false"/>
          <w:bCs w:val="false"/>
          <w:i w:val="false"/>
          <w:iCs w:val="false"/>
          <w:color w:val="333333"/>
          <w:sz w:val="20"/>
          <w:szCs w:val="20"/>
          <w:rtl w:val="true"/>
        </w:rPr>
        <w:t>.</w:t>
      </w:r>
    </w:p>
  </w:footnote>
  <w:footnote w:id="3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و نکتها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w:t>
      </w:r>
    </w:p>
  </w:footnote>
  <w:footnote w:id="3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العرفان </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w:t>
      </w:r>
    </w:p>
  </w:footnote>
  <w:footnote w:id="3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226:3</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92:12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355:5</w:t>
      </w:r>
      <w:r>
        <w:rPr>
          <w:rFonts w:eastAsia="IRNazanin" w:cs="IRNazanin"/>
          <w:b w:val="false"/>
          <w:bCs w:val="false"/>
          <w:i w:val="false"/>
          <w:iCs w:val="false"/>
          <w:color w:val="333333"/>
          <w:sz w:val="20"/>
          <w:szCs w:val="20"/>
          <w:rtl w:val="true"/>
        </w:rPr>
        <w:t>.</w:t>
      </w:r>
    </w:p>
  </w:footnote>
  <w:footnote w:id="3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w:t>
      </w:r>
    </w:p>
  </w:footnote>
  <w:footnote w:id="3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573:2</w:t>
      </w:r>
      <w:r>
        <w:rPr>
          <w:rFonts w:ascii="IRNazanin" w:hAnsi="IRNazanin" w:eastAsia="IRNazanin"/>
          <w:b w:val="false"/>
          <w:b w:val="false"/>
          <w:bCs w:val="false"/>
          <w:i w:val="false"/>
          <w:i w:val="false"/>
          <w:iCs w:val="false"/>
          <w:color w:val="333333"/>
          <w:sz w:val="20"/>
          <w:sz w:val="20"/>
          <w:szCs w:val="20"/>
          <w:rtl w:val="true"/>
        </w:rPr>
        <w:t>؛ 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3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106:6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62:15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مهور باب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373:3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1584</w:t>
      </w:r>
      <w:r>
        <w:rPr>
          <w:rFonts w:eastAsia="IRNazanin" w:cs="IRNazanin"/>
          <w:b w:val="false"/>
          <w:bCs w:val="false"/>
          <w:i w:val="false"/>
          <w:iCs w:val="false"/>
          <w:color w:val="333333"/>
          <w:sz w:val="20"/>
          <w:szCs w:val="20"/>
          <w:rtl w:val="true"/>
        </w:rPr>
        <w:t>.</w:t>
      </w:r>
    </w:p>
  </w:footnote>
  <w:footnote w:id="3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401:5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388:7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1555</w:t>
      </w:r>
      <w:r>
        <w:rPr>
          <w:rFonts w:eastAsia="IRNazanin" w:cs="IRNazanin"/>
          <w:b w:val="false"/>
          <w:bCs w:val="false"/>
          <w:i w:val="false"/>
          <w:iCs w:val="false"/>
          <w:color w:val="333333"/>
          <w:sz w:val="20"/>
          <w:szCs w:val="20"/>
          <w:rtl w:val="true"/>
        </w:rPr>
        <w:t>.</w:t>
      </w:r>
    </w:p>
  </w:footnote>
  <w:footnote w:id="3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220:14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869:2</w:t>
      </w:r>
      <w:r>
        <w:rPr>
          <w:rFonts w:ascii="IRNazanin" w:hAnsi="IRNazanin" w:eastAsia="IRNazanin"/>
          <w:b w:val="false"/>
          <w:b w:val="false"/>
          <w:bCs w:val="false"/>
          <w:i w:val="false"/>
          <w:i w:val="false"/>
          <w:iCs w:val="false"/>
          <w:color w:val="333333"/>
          <w:sz w:val="20"/>
          <w:sz w:val="20"/>
          <w:szCs w:val="20"/>
          <w:rtl w:val="true"/>
        </w:rPr>
        <w:t xml:space="preserve">، فصل فی أولیاء العقد مسألة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w:t>
      </w:r>
    </w:p>
  </w:footnote>
  <w:footnote w:id="3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 الشیخ الأعظم، کتاب النکاح </w:t>
      </w:r>
      <w:r>
        <w:rPr>
          <w:rFonts w:eastAsia="IRNazanin" w:cs="IRNazanin"/>
          <w:b w:val="false"/>
          <w:bCs w:val="false"/>
          <w:i w:val="false"/>
          <w:iCs w:val="false"/>
          <w:color w:val="333333"/>
          <w:sz w:val="20"/>
          <w:szCs w:val="20"/>
        </w:rPr>
        <w:t>149:20</w:t>
      </w:r>
      <w:r>
        <w:rPr>
          <w:rFonts w:eastAsia="IRNazanin" w:cs="IRNazanin"/>
          <w:b w:val="false"/>
          <w:bCs w:val="false"/>
          <w:i w:val="false"/>
          <w:iCs w:val="false"/>
          <w:color w:val="333333"/>
          <w:sz w:val="20"/>
          <w:szCs w:val="20"/>
          <w:rtl w:val="true"/>
        </w:rPr>
        <w:t>.</w:t>
      </w:r>
    </w:p>
  </w:footnote>
  <w:footnote w:id="3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عناوین الأصول </w:t>
      </w:r>
      <w:r>
        <w:rPr>
          <w:rFonts w:eastAsia="IRNazanin" w:cs="IRNazanin"/>
          <w:b w:val="false"/>
          <w:bCs w:val="false"/>
          <w:i w:val="false"/>
          <w:iCs w:val="false"/>
          <w:color w:val="333333"/>
          <w:sz w:val="20"/>
          <w:szCs w:val="20"/>
        </w:rPr>
        <w:t>559:2</w:t>
      </w:r>
      <w:r>
        <w:rPr>
          <w:rFonts w:eastAsia="IRNazanin" w:cs="IRNazanin"/>
          <w:b w:val="false"/>
          <w:bCs w:val="false"/>
          <w:i w:val="false"/>
          <w:iCs w:val="false"/>
          <w:color w:val="333333"/>
          <w:sz w:val="20"/>
          <w:szCs w:val="20"/>
          <w:rtl w:val="true"/>
        </w:rPr>
        <w:t>.</w:t>
      </w:r>
    </w:p>
  </w:footnote>
  <w:footnote w:id="3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405:6</w:t>
      </w:r>
      <w:r>
        <w:rPr>
          <w:rFonts w:eastAsia="IRNazanin" w:cs="IRNazanin"/>
          <w:b w:val="false"/>
          <w:bCs w:val="false"/>
          <w:i w:val="false"/>
          <w:iCs w:val="false"/>
          <w:color w:val="333333"/>
          <w:sz w:val="20"/>
          <w:szCs w:val="20"/>
          <w:rtl w:val="true"/>
        </w:rPr>
        <w:t>.</w:t>
      </w:r>
    </w:p>
  </w:footnote>
  <w:footnote w:id="3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الشرائع </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w:t>
      </w:r>
    </w:p>
  </w:footnote>
  <w:footnote w:id="3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3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304:2</w:t>
      </w:r>
      <w:r>
        <w:rPr>
          <w:rFonts w:eastAsia="IRNazanin" w:cs="IRNazanin"/>
          <w:b w:val="false"/>
          <w:bCs w:val="false"/>
          <w:i w:val="false"/>
          <w:iCs w:val="false"/>
          <w:color w:val="333333"/>
          <w:sz w:val="20"/>
          <w:szCs w:val="20"/>
          <w:rtl w:val="true"/>
        </w:rPr>
        <w:t>.</w:t>
      </w:r>
    </w:p>
  </w:footnote>
  <w:footnote w:id="3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394:2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869:2</w:t>
      </w:r>
      <w:r>
        <w:rPr>
          <w:rFonts w:ascii="IRNazanin" w:hAnsi="IRNazanin" w:eastAsia="IRNazanin"/>
          <w:b w:val="false"/>
          <w:b w:val="false"/>
          <w:bCs w:val="false"/>
          <w:i w:val="false"/>
          <w:i w:val="false"/>
          <w:iCs w:val="false"/>
          <w:color w:val="333333"/>
          <w:sz w:val="20"/>
          <w:sz w:val="20"/>
          <w:szCs w:val="20"/>
          <w:rtl w:val="true"/>
        </w:rPr>
        <w:t xml:space="preserve">، فصل فی أولیاء العقد، المسألة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w:t>
      </w:r>
      <w:r>
        <w:rPr>
          <w:rFonts w:eastAsia="IRNazanin" w:cs="IRNazanin"/>
          <w:b w:val="false"/>
          <w:bCs w:val="false"/>
          <w:i w:val="false"/>
          <w:iCs w:val="false"/>
          <w:color w:val="333333"/>
          <w:sz w:val="20"/>
          <w:szCs w:val="20"/>
        </w:rPr>
        <w:t>477:14</w:t>
      </w:r>
      <w:r>
        <w:rPr>
          <w:rFonts w:eastAsia="IRNazanin" w:cs="IRNazanin"/>
          <w:b w:val="false"/>
          <w:bCs w:val="false"/>
          <w:i w:val="false"/>
          <w:iCs w:val="false"/>
          <w:color w:val="333333"/>
          <w:sz w:val="20"/>
          <w:szCs w:val="20"/>
          <w:rtl w:val="true"/>
        </w:rPr>
        <w:t>.</w:t>
      </w:r>
    </w:p>
  </w:footnote>
  <w:footnote w:id="3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392:2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2082</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250:1</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326:1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1879</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w:t>
      </w:r>
    </w:p>
  </w:footnote>
  <w:footnote w:id="3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188:29</w:t>
      </w:r>
      <w:r>
        <w:rPr>
          <w:rFonts w:eastAsia="IRNazanin" w:cs="IRNazanin"/>
          <w:b w:val="false"/>
          <w:bCs w:val="false"/>
          <w:i w:val="false"/>
          <w:iCs w:val="false"/>
          <w:color w:val="333333"/>
          <w:sz w:val="20"/>
          <w:szCs w:val="20"/>
          <w:rtl w:val="true"/>
        </w:rPr>
        <w:t>.</w:t>
      </w:r>
    </w:p>
  </w:footnote>
  <w:footnote w:id="3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143:16</w:t>
      </w:r>
      <w:r>
        <w:rPr>
          <w:rFonts w:eastAsia="IRNazanin" w:cs="IRNazanin"/>
          <w:b w:val="false"/>
          <w:bCs w:val="false"/>
          <w:i w:val="false"/>
          <w:iCs w:val="false"/>
          <w:color w:val="333333"/>
          <w:sz w:val="20"/>
          <w:szCs w:val="20"/>
          <w:rtl w:val="true"/>
        </w:rPr>
        <w:t>.</w:t>
      </w:r>
    </w:p>
  </w:footnote>
  <w:footnote w:id="3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کتاب النکاح </w:t>
      </w:r>
      <w:r>
        <w:rPr>
          <w:rFonts w:eastAsia="IRNazanin" w:cs="IRNazanin"/>
          <w:b w:val="false"/>
          <w:bCs w:val="false"/>
          <w:i w:val="false"/>
          <w:iCs w:val="false"/>
          <w:color w:val="333333"/>
          <w:sz w:val="20"/>
          <w:szCs w:val="20"/>
        </w:rPr>
        <w:t>303:2</w:t>
      </w:r>
      <w:r>
        <w:rPr>
          <w:rFonts w:eastAsia="IRNazanin" w:cs="IRNazanin"/>
          <w:b w:val="false"/>
          <w:bCs w:val="false"/>
          <w:i w:val="false"/>
          <w:iCs w:val="false"/>
          <w:color w:val="333333"/>
          <w:sz w:val="20"/>
          <w:szCs w:val="20"/>
          <w:rtl w:val="true"/>
        </w:rPr>
        <w:t>.</w:t>
      </w:r>
    </w:p>
  </w:footnote>
  <w:footnote w:id="3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405:6</w:t>
      </w:r>
      <w:r>
        <w:rPr>
          <w:rFonts w:eastAsia="IRNazanin" w:cs="IRNazanin"/>
          <w:b w:val="false"/>
          <w:bCs w:val="false"/>
          <w:i w:val="false"/>
          <w:iCs w:val="false"/>
          <w:color w:val="333333"/>
          <w:sz w:val="20"/>
          <w:szCs w:val="20"/>
          <w:rtl w:val="true"/>
        </w:rPr>
        <w:t>.</w:t>
      </w:r>
    </w:p>
  </w:footnote>
  <w:footnote w:id="3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94:12</w:t>
      </w:r>
      <w:r>
        <w:rPr>
          <w:rFonts w:eastAsia="IRNazanin" w:cs="IRNazanin"/>
          <w:b w:val="false"/>
          <w:bCs w:val="false"/>
          <w:i w:val="false"/>
          <w:iCs w:val="false"/>
          <w:color w:val="333333"/>
          <w:sz w:val="20"/>
          <w:szCs w:val="20"/>
          <w:rtl w:val="true"/>
        </w:rPr>
        <w:t>.</w:t>
      </w:r>
    </w:p>
  </w:footnote>
  <w:footnote w:id="3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 الشیخ الأعظم، کتاب النکاح </w:t>
      </w:r>
      <w:r>
        <w:rPr>
          <w:rFonts w:eastAsia="IRNazanin" w:cs="IRNazanin"/>
          <w:b w:val="false"/>
          <w:bCs w:val="false"/>
          <w:i w:val="false"/>
          <w:iCs w:val="false"/>
          <w:color w:val="333333"/>
          <w:sz w:val="20"/>
          <w:szCs w:val="20"/>
        </w:rPr>
        <w:t>148:20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w:t>
      </w:r>
      <w:r>
        <w:rPr>
          <w:rFonts w:eastAsia="IRNazanin" w:cs="IRNazanin"/>
          <w:b w:val="false"/>
          <w:bCs w:val="false"/>
          <w:i w:val="false"/>
          <w:iCs w:val="false"/>
          <w:color w:val="333333"/>
          <w:sz w:val="20"/>
          <w:szCs w:val="20"/>
        </w:rPr>
        <w:t>484:2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غیبة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383:2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101:18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القاضی 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302:6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106:2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98:18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352:4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915</w:t>
      </w:r>
      <w:r>
        <w:rPr>
          <w:rFonts w:ascii="IRNazanin" w:hAnsi="IRNazanin" w:eastAsia="IRNazanin"/>
          <w:b w:val="false"/>
          <w:b w:val="false"/>
          <w:bCs w:val="false"/>
          <w:i w:val="false"/>
          <w:i w:val="false"/>
          <w:iCs w:val="false"/>
          <w:color w:val="333333"/>
          <w:sz w:val="20"/>
          <w:sz w:val="20"/>
          <w:szCs w:val="20"/>
          <w:rtl w:val="true"/>
        </w:rPr>
        <w:t>؛ 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100:18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124:13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303:6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100:18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303:2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النکاح</w:t>
      </w:r>
      <w:r>
        <w:rPr>
          <w:rFonts w:eastAsia="IRNazanin" w:cs="IRNazanin"/>
          <w:b w:val="false"/>
          <w:bCs w:val="false"/>
          <w:i w:val="false"/>
          <w:iCs w:val="false"/>
          <w:color w:val="333333"/>
          <w:sz w:val="20"/>
          <w:szCs w:val="20"/>
          <w:rtl w:val="true"/>
        </w:rPr>
        <w:t>.</w:t>
      </w:r>
    </w:p>
  </w:footnote>
  <w:footnote w:id="3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476:14</w:t>
      </w:r>
      <w:r>
        <w:rPr>
          <w:rFonts w:eastAsia="IRNazanin" w:cs="IRNazanin"/>
          <w:b w:val="false"/>
          <w:bCs w:val="false"/>
          <w:i w:val="false"/>
          <w:iCs w:val="false"/>
          <w:color w:val="333333"/>
          <w:sz w:val="20"/>
          <w:szCs w:val="20"/>
          <w:rtl w:val="true"/>
        </w:rPr>
        <w:t>.</w:t>
      </w:r>
    </w:p>
  </w:footnote>
  <w:footnote w:id="3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الوافی </w:t>
      </w:r>
      <w:r>
        <w:rPr>
          <w:rFonts w:eastAsia="IRNazanin" w:cs="IRNazanin"/>
          <w:b w:val="false"/>
          <w:bCs w:val="false"/>
          <w:i w:val="false"/>
          <w:iCs w:val="false"/>
          <w:color w:val="333333"/>
          <w:sz w:val="20"/>
          <w:szCs w:val="20"/>
        </w:rPr>
        <w:t>179:15</w:t>
      </w:r>
      <w:r>
        <w:rPr>
          <w:rFonts w:ascii="IRNazanin" w:hAnsi="IRNazanin" w:eastAsia="IRNazanin"/>
          <w:b w:val="false"/>
          <w:b w:val="false"/>
          <w:bCs w:val="false"/>
          <w:i w:val="false"/>
          <w:i w:val="false"/>
          <w:iCs w:val="false"/>
          <w:color w:val="333333"/>
          <w:sz w:val="20"/>
          <w:sz w:val="20"/>
          <w:szCs w:val="20"/>
          <w:rtl w:val="true"/>
        </w:rPr>
        <w:t>، أبواب الأمر بالمعروف و النهی عن المنکر</w:t>
      </w:r>
      <w:r>
        <w:rPr>
          <w:rFonts w:eastAsia="IRNazanin" w:cs="IRNazanin"/>
          <w:b w:val="false"/>
          <w:bCs w:val="false"/>
          <w:i w:val="false"/>
          <w:iCs w:val="false"/>
          <w:color w:val="333333"/>
          <w:sz w:val="20"/>
          <w:szCs w:val="20"/>
          <w:rtl w:val="true"/>
        </w:rPr>
        <w:t>.</w:t>
      </w:r>
    </w:p>
  </w:footnote>
  <w:footnote w:id="3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عناوین الأصول </w:t>
      </w:r>
      <w:r>
        <w:rPr>
          <w:rFonts w:eastAsia="IRNazanin" w:cs="IRNazanin"/>
          <w:b w:val="false"/>
          <w:bCs w:val="false"/>
          <w:i w:val="false"/>
          <w:iCs w:val="false"/>
          <w:color w:val="333333"/>
          <w:sz w:val="20"/>
          <w:szCs w:val="20"/>
        </w:rPr>
        <w:t>570:2</w:t>
      </w:r>
      <w:r>
        <w:rPr>
          <w:rFonts w:eastAsia="IRNazanin" w:cs="IRNazanin"/>
          <w:b w:val="false"/>
          <w:bCs w:val="false"/>
          <w:i w:val="false"/>
          <w:iCs w:val="false"/>
          <w:color w:val="333333"/>
          <w:sz w:val="20"/>
          <w:szCs w:val="20"/>
          <w:rtl w:val="true"/>
        </w:rPr>
        <w:t>.</w:t>
      </w:r>
    </w:p>
  </w:footnote>
  <w:footnote w:id="3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الحسبة بمعنی الأجر، أی ما یرجی من إتیانه الأجر و الثواب عند اللّه، و منه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أذَّن فی سبیل اللّه صلاة واحدة إیماناً و احتساباً و تقرّباً إلی اللّه عزّ و جلّ غفر له، ما سلف من ذنوبه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طلباً للثواب من اللّه تبارک و تعالی، و أیضاً 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صام یوماً من شعبان إیماناً و احتساباً غفر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فالأمور الحسبیّة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یصحّ أن یطلب فی إتیانها الأجر و الثواب من اللّه تبارک و تعالی، سواء کانت من الأمور النوعیّة کالقضاوة و الحکومة بین الناس مثلاً أو من الأمور الشخصیّة، کتجهیز جنازة مسلم لا ولیّ له أو تطهیر مسجد أو مصحف أو المقدّسات الدینیّة أو المذهبیة، و منه یعلم أنّ موضوعها لا بدّ من أن یکون ما فیه رضا الشارع و الإذن فیه، فما هو مرجوح سواء کان مکروهاً أو محرّماً لا یقع بنفسه من موارد الحسبة، فموردها یکون من موارد الأمر بالمعروف و النهی عن المنکر، و القیام بما فیه مرضاة اللّه تعالی إیجاباً أو ندباً، و مورد الحسبة یمکن أن یکون واجباً کفائیاً کتجهیزات المیّت مثلاً، و الأمر بالمعروف و النهی عن المنکر، و إقامة جمیع الواجبات النظامیة، أو عیناً کنفس ما تقدّم من الأمثلة مع الانحصار، أو مندوباً کقضاء الحوائج إن لم تکن واجباً، أو مباحاً کجملة من المباحات النظامیة مع عدم منع شرعی فی البین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255:24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یکفی فی الدلیل علی الحسبة عموم مثل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فَاسْتَبِقُوا الْخَیْراتِ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سارِعُوا إِلی مَغْفِرَةٍ مِنْ رَبِّکُمْ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و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الْمُؤْمِنُونَ وَ الْمُؤْمِناتُ بَعْضُهُمْ أَوْلِیاءُ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فضلاً عن السنة المقدّسة المتواترة، مثل 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عونک الضعیف من أفضل الصدقة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اللّه فی عون المؤمن ما کان المؤمن فی عون أخیه فانتفعوا بالعظة و ارغبوا فی الخیر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586:11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فعل المعروف،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کتاب النکاح </w:t>
      </w:r>
      <w:r>
        <w:rPr>
          <w:rFonts w:eastAsia="IRNazanin" w:cs="IRNazanin"/>
          <w:b w:val="false"/>
          <w:bCs w:val="false"/>
          <w:i w:val="false"/>
          <w:iCs w:val="false"/>
          <w:color w:val="333333"/>
          <w:sz w:val="20"/>
          <w:szCs w:val="20"/>
        </w:rPr>
        <w:t>303:2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w:t>
      </w:r>
      <w:r>
        <w:rPr>
          <w:rFonts w:eastAsia="IRNazanin" w:cs="IRNazanin"/>
          <w:b w:val="false"/>
          <w:bCs w:val="false"/>
          <w:i w:val="false"/>
          <w:iCs w:val="false"/>
          <w:color w:val="333333"/>
          <w:sz w:val="20"/>
          <w:szCs w:val="20"/>
        </w:rPr>
        <w:t>477:14</w:t>
      </w:r>
      <w:r>
        <w:rPr>
          <w:rFonts w:eastAsia="IRNazanin" w:cs="IRNazanin"/>
          <w:b w:val="false"/>
          <w:bCs w:val="false"/>
          <w:i w:val="false"/>
          <w:iCs w:val="false"/>
          <w:color w:val="333333"/>
          <w:sz w:val="20"/>
          <w:szCs w:val="20"/>
          <w:rtl w:val="true"/>
        </w:rPr>
        <w:t>.</w:t>
      </w:r>
    </w:p>
  </w:footnote>
  <w:footnote w:id="3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255:24</w:t>
      </w:r>
      <w:r>
        <w:rPr>
          <w:rFonts w:eastAsia="IRNazanin" w:cs="IRNazanin"/>
          <w:b w:val="false"/>
          <w:bCs w:val="false"/>
          <w:i w:val="false"/>
          <w:iCs w:val="false"/>
          <w:color w:val="333333"/>
          <w:sz w:val="20"/>
          <w:szCs w:val="20"/>
          <w:rtl w:val="true"/>
        </w:rPr>
        <w:t>.</w:t>
      </w:r>
    </w:p>
  </w:footnote>
  <w:footnote w:id="3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w:t>
      </w:r>
    </w:p>
  </w:footnote>
  <w:footnote w:id="3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ذیل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207:14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207:14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527:17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الأزواج،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528:17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الأزواج،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392:2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2083</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326:3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1879</w:t>
      </w:r>
      <w:r>
        <w:rPr>
          <w:rFonts w:eastAsia="IRNazanin" w:cs="IRNazanin"/>
          <w:b w:val="false"/>
          <w:bCs w:val="false"/>
          <w:i w:val="false"/>
          <w:iCs w:val="false"/>
          <w:color w:val="333333"/>
          <w:sz w:val="20"/>
          <w:szCs w:val="20"/>
          <w:rtl w:val="true"/>
        </w:rPr>
        <w:t>.</w:t>
      </w:r>
    </w:p>
  </w:footnote>
  <w:footnote w:id="3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المتحصّل منه أنّ العقد صدر من أهله و وقع فی محلّه</w:t>
      </w:r>
      <w:r>
        <w:rPr>
          <w:rFonts w:eastAsia="IRNazanin" w:cs="IRNazanin"/>
          <w:b w:val="false"/>
          <w:bCs w:val="false"/>
          <w:i w:val="false"/>
          <w:iCs w:val="false"/>
          <w:color w:val="333333"/>
          <w:sz w:val="20"/>
          <w:szCs w:val="20"/>
          <w:rtl w:val="true"/>
        </w:rPr>
        <w:t>.</w:t>
      </w:r>
    </w:p>
  </w:footnote>
  <w:footnote w:id="3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504:2</w:t>
      </w:r>
      <w:r>
        <w:rPr>
          <w:rFonts w:eastAsia="IRNazanin" w:cs="IRNazanin"/>
          <w:b w:val="false"/>
          <w:bCs w:val="false"/>
          <w:i w:val="false"/>
          <w:iCs w:val="false"/>
          <w:color w:val="333333"/>
          <w:sz w:val="20"/>
          <w:szCs w:val="20"/>
          <w:rtl w:val="true"/>
        </w:rPr>
        <w:t>.</w:t>
      </w:r>
    </w:p>
  </w:footnote>
  <w:footnote w:id="3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للسرخسی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w:t>
      </w:r>
    </w:p>
  </w:footnote>
  <w:footnote w:id="3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الجواهر الثمینة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تبیین المسالک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3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علی المذاهب الأربعة، کتاب النکاح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الأمّ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w:t>
      </w:r>
    </w:p>
  </w:footnote>
  <w:footnote w:id="3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589:7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الشرح الکبیر </w:t>
      </w:r>
      <w:r>
        <w:rPr>
          <w:rFonts w:eastAsia="IRNazanin" w:cs="IRNazanin"/>
          <w:b w:val="false"/>
          <w:bCs w:val="false"/>
          <w:i w:val="false"/>
          <w:iCs w:val="false"/>
          <w:color w:val="333333"/>
          <w:sz w:val="20"/>
          <w:szCs w:val="20"/>
        </w:rPr>
        <w:t>585:7</w:t>
      </w:r>
      <w:r>
        <w:rPr>
          <w:rFonts w:eastAsia="IRNazanin" w:cs="IRNazanin"/>
          <w:b w:val="false"/>
          <w:bCs w:val="false"/>
          <w:i w:val="false"/>
          <w:iCs w:val="false"/>
          <w:color w:val="333333"/>
          <w:sz w:val="20"/>
          <w:szCs w:val="20"/>
          <w:rtl w:val="true"/>
        </w:rPr>
        <w:t>.</w:t>
      </w:r>
    </w:p>
  </w:footnote>
  <w:footnote w:id="3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الشرح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image" Target="media/image2.jpeg"/><Relationship Id="rId712" Type="http://schemas.openxmlformats.org/officeDocument/2006/relationships/image" Target="media/image2.jpeg"/><Relationship Id="rId713" Type="http://schemas.openxmlformats.org/officeDocument/2006/relationships/footer" Target="footer706.xml"/><Relationship Id="rId714" Type="http://schemas.openxmlformats.org/officeDocument/2006/relationships/footnotes" Target="footnotes.xml"/><Relationship Id="rId715" Type="http://schemas.openxmlformats.org/officeDocument/2006/relationships/numbering" Target="numbering.xml"/><Relationship Id="rId716" Type="http://schemas.openxmlformats.org/officeDocument/2006/relationships/fontTable" Target="fontTable.xml"/><Relationship Id="rId717" Type="http://schemas.openxmlformats.org/officeDocument/2006/relationships/settings" Target="settings.xml"/><Relationship Id="rId71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720</Pages>
  <Words>46961</Words>
  <Characters>194123</Characters>
  <CharactersWithSpaces>239015</CharactersWithSpaces>
  <Paragraphs>2070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2026-08-22T06:57:37Z</dcterms:created>
  <dc:creator>ghaemiyeh.com</dc:creator>
  <dc:description/>
  <dc:language>en-US</dc:language>
  <cp:lastModifiedBy/>
  <dcterms:modified xsi:type="dcterms:W3CDTF">2026-08-22T10:28:17Z</dcterms:modified>
  <cp:revision>1</cp:revision>
  <dc:subject/>
  <dc:title>موسوعه احکام الاطفال و ادلتها مقارنه تفصیلیه بین مذهب الامامیه و المذاهب الاخری جلد 1</dc:title>
</cp:coreProperties>
</file>

<file path=docProps/custom.xml><?xml version="1.0" encoding="utf-8"?>
<Properties xmlns="http://schemas.openxmlformats.org/officeDocument/2006/custom-properties" xmlns:vt="http://schemas.openxmlformats.org/officeDocument/2006/docPropsVTypes"/>
</file>