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0577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0579_73709187">
            <w:r>
              <w:rPr>
                <w:webHidden/>
                <w:rStyle w:val="IndexLink"/>
                <w:rtl w:val="true"/>
              </w:rPr>
              <w:t>البسملة جزئيّتها و الجهر بها على ضوء الكتاب و السنّة</w:t>
            </w:r>
            <w:r>
              <w:rPr>
                <w:rStyle w:val="IndexLink"/>
                <w:rtl w:val="true"/>
              </w:rPr>
              <w:tab/>
            </w:r>
            <w:r>
              <w:rPr>
                <w:rStyle w:val="IndexLink"/>
              </w:rPr>
              <w:t>4</w:t>
            </w:r>
          </w:hyperlink>
        </w:p>
        <w:p>
          <w:pPr>
            <w:pStyle w:val="Contents2"/>
            <w:tabs>
              <w:tab w:val="clear" w:pos="8743"/>
              <w:tab w:val="right" w:pos="9026" w:leader="dot"/>
            </w:tabs>
            <w:rPr/>
          </w:pPr>
          <w:hyperlink w:anchor="__RefHeading___Toc1630581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1630583_73709187">
            <w:r>
              <w:rPr>
                <w:webHidden/>
                <w:rStyle w:val="IndexLink"/>
                <w:rtl w:val="true"/>
              </w:rPr>
              <w:t>البسملة جزئيّتها و الجهر بها</w:t>
            </w:r>
            <w:r>
              <w:rPr>
                <w:rStyle w:val="IndexLink"/>
                <w:rtl w:val="true"/>
              </w:rPr>
              <w:tab/>
            </w:r>
            <w:r>
              <w:rPr>
                <w:rStyle w:val="IndexLink"/>
              </w:rPr>
              <w:t>7</w:t>
            </w:r>
          </w:hyperlink>
        </w:p>
        <w:p>
          <w:pPr>
            <w:pStyle w:val="Contents3"/>
            <w:tabs>
              <w:tab w:val="clear" w:pos="8459"/>
              <w:tab w:val="right" w:pos="9026" w:leader="dot"/>
            </w:tabs>
            <w:rPr/>
          </w:pPr>
          <w:hyperlink w:anchor="__RefHeading___Toc1630585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630587_73709187">
            <w:r>
              <w:rPr>
                <w:webHidden/>
                <w:rStyle w:val="IndexLink"/>
              </w:rPr>
              <w:t>1</w:t>
            </w:r>
            <w:r>
              <w:rPr>
                <w:rStyle w:val="IndexLink"/>
                <w:rtl w:val="true"/>
              </w:rPr>
              <w:t xml:space="preserve"> </w:t>
            </w:r>
            <w:r>
              <w:rPr>
                <w:rStyle w:val="IndexLink"/>
                <w:rtl w:val="true"/>
              </w:rPr>
              <w:t>فضل البسملة</w:t>
            </w:r>
            <w:r>
              <w:rPr>
                <w:rStyle w:val="IndexLink"/>
                <w:rtl w:val="true"/>
              </w:rPr>
              <w:tab/>
            </w:r>
            <w:r>
              <w:rPr>
                <w:rStyle w:val="IndexLink"/>
              </w:rPr>
              <w:t>11</w:t>
            </w:r>
          </w:hyperlink>
        </w:p>
        <w:p>
          <w:pPr>
            <w:pStyle w:val="Contents3"/>
            <w:tabs>
              <w:tab w:val="clear" w:pos="8459"/>
              <w:tab w:val="right" w:pos="9026" w:leader="dot"/>
            </w:tabs>
            <w:rPr/>
          </w:pPr>
          <w:hyperlink w:anchor="__RefHeading___Toc1630589_73709187">
            <w:r>
              <w:rPr>
                <w:webHidden/>
                <w:rStyle w:val="IndexLink"/>
              </w:rPr>
              <w:t>2</w:t>
            </w:r>
            <w:r>
              <w:rPr>
                <w:rStyle w:val="IndexLink"/>
                <w:rtl w:val="true"/>
              </w:rPr>
              <w:t xml:space="preserve"> </w:t>
            </w:r>
            <w:r>
              <w:rPr>
                <w:rStyle w:val="IndexLink"/>
                <w:rtl w:val="true"/>
              </w:rPr>
              <w:t>أقوال الفقهاء في جزئيّة البسملة</w:t>
            </w:r>
            <w:r>
              <w:rPr>
                <w:rStyle w:val="IndexLink"/>
                <w:rtl w:val="true"/>
              </w:rPr>
              <w:tab/>
            </w:r>
            <w:r>
              <w:rPr>
                <w:rStyle w:val="IndexLink"/>
              </w:rPr>
              <w:t>13</w:t>
            </w:r>
          </w:hyperlink>
        </w:p>
        <w:p>
          <w:pPr>
            <w:pStyle w:val="Contents3"/>
            <w:tabs>
              <w:tab w:val="clear" w:pos="8459"/>
              <w:tab w:val="right" w:pos="9026" w:leader="dot"/>
            </w:tabs>
            <w:rPr/>
          </w:pPr>
          <w:hyperlink w:anchor="__RefHeading___Toc1630591_73709187">
            <w:r>
              <w:rPr>
                <w:webHidden/>
                <w:rStyle w:val="IndexLink"/>
              </w:rPr>
              <w:t>3</w:t>
            </w:r>
            <w:r>
              <w:rPr>
                <w:rStyle w:val="IndexLink"/>
                <w:rtl w:val="true"/>
              </w:rPr>
              <w:t xml:space="preserve"> </w:t>
            </w:r>
            <w:r>
              <w:rPr>
                <w:rStyle w:val="IndexLink"/>
                <w:rtl w:val="true"/>
              </w:rPr>
              <w:t>البسملة جزء من الفاتحة</w:t>
            </w:r>
            <w:r>
              <w:rPr>
                <w:rStyle w:val="IndexLink"/>
                <w:rtl w:val="true"/>
              </w:rPr>
              <w:tab/>
            </w:r>
            <w:r>
              <w:rPr>
                <w:rStyle w:val="IndexLink"/>
              </w:rPr>
              <w:t>18</w:t>
            </w:r>
          </w:hyperlink>
        </w:p>
        <w:p>
          <w:pPr>
            <w:pStyle w:val="Contents4"/>
            <w:tabs>
              <w:tab w:val="clear" w:pos="8176"/>
              <w:tab w:val="right" w:pos="9026" w:leader="dot"/>
            </w:tabs>
            <w:rPr/>
          </w:pPr>
          <w:hyperlink w:anchor="__RefHeading___Toc1630593_7370918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630595_73709187">
            <w:r>
              <w:rPr>
                <w:webHidden/>
                <w:rStyle w:val="IndexLink"/>
                <w:rtl w:val="true"/>
              </w:rPr>
              <w:t>السبع المثاني هي فاتحة الكتاب</w:t>
            </w:r>
            <w:r>
              <w:rPr>
                <w:rStyle w:val="IndexLink"/>
                <w:rtl w:val="true"/>
              </w:rPr>
              <w:tab/>
            </w:r>
            <w:r>
              <w:rPr>
                <w:rStyle w:val="IndexLink"/>
              </w:rPr>
              <w:t>25</w:t>
            </w:r>
          </w:hyperlink>
        </w:p>
        <w:p>
          <w:pPr>
            <w:pStyle w:val="Contents4"/>
            <w:tabs>
              <w:tab w:val="clear" w:pos="8176"/>
              <w:tab w:val="right" w:pos="9026" w:leader="dot"/>
            </w:tabs>
            <w:rPr/>
          </w:pPr>
          <w:hyperlink w:anchor="__RefHeading___Toc1630597_73709187">
            <w:r>
              <w:rPr>
                <w:webHidden/>
                <w:rStyle w:val="IndexLink"/>
                <w:rtl w:val="true"/>
              </w:rPr>
              <w:t>فاتحة الكتاب سبع آيات مع البسملة</w:t>
            </w:r>
            <w:r>
              <w:rPr>
                <w:rStyle w:val="IndexLink"/>
                <w:rtl w:val="true"/>
              </w:rPr>
              <w:tab/>
            </w:r>
            <w:r>
              <w:rPr>
                <w:rStyle w:val="IndexLink"/>
              </w:rPr>
              <w:t>32</w:t>
            </w:r>
          </w:hyperlink>
        </w:p>
        <w:p>
          <w:pPr>
            <w:pStyle w:val="Contents4"/>
            <w:tabs>
              <w:tab w:val="clear" w:pos="8176"/>
              <w:tab w:val="right" w:pos="9026" w:leader="dot"/>
            </w:tabs>
            <w:rPr/>
          </w:pPr>
          <w:hyperlink w:anchor="__RefHeading___Toc1630599_73709187">
            <w:r>
              <w:rPr>
                <w:webHidden/>
                <w:rStyle w:val="IndexLink"/>
                <w:rtl w:val="true"/>
              </w:rPr>
              <w:t xml:space="preserve">روايات أئمّة أهل البيت </w:t>
            </w:r>
            <w:r>
              <w:rPr>
                <w:rStyle w:val="IndexLink"/>
                <w:rtl w:val="true"/>
              </w:rPr>
              <w:t>(</w:t>
            </w:r>
            <w:r>
              <w:rPr>
                <w:rStyle w:val="IndexLink"/>
                <w:rtl w:val="true"/>
              </w:rPr>
              <w:t>عليهم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630601_73709187">
            <w:r>
              <w:rPr>
                <w:webHidden/>
                <w:rStyle w:val="IndexLink"/>
              </w:rPr>
              <w:t>4</w:t>
            </w:r>
            <w:r>
              <w:rPr>
                <w:rStyle w:val="IndexLink"/>
                <w:rtl w:val="true"/>
              </w:rPr>
              <w:t xml:space="preserve"> </w:t>
            </w:r>
            <w:r>
              <w:rPr>
                <w:rStyle w:val="IndexLink"/>
                <w:rtl w:val="true"/>
              </w:rPr>
              <w:t>التسمية و لزوم الجهر بها</w:t>
            </w:r>
            <w:r>
              <w:rPr>
                <w:rStyle w:val="IndexLink"/>
                <w:rtl w:val="true"/>
              </w:rPr>
              <w:tab/>
            </w:r>
            <w:r>
              <w:rPr>
                <w:rStyle w:val="IndexLink"/>
              </w:rPr>
              <w:t>38</w:t>
            </w:r>
          </w:hyperlink>
        </w:p>
        <w:p>
          <w:pPr>
            <w:pStyle w:val="Contents4"/>
            <w:tabs>
              <w:tab w:val="clear" w:pos="8176"/>
              <w:tab w:val="right" w:pos="9026" w:leader="dot"/>
            </w:tabs>
            <w:rPr/>
          </w:pPr>
          <w:hyperlink w:anchor="__RefHeading___Toc1630603_7370918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630605_73709187">
            <w:r>
              <w:rPr>
                <w:webHidden/>
                <w:rStyle w:val="IndexLink"/>
                <w:rtl w:val="true"/>
              </w:rPr>
              <w:t xml:space="preserve">أئمّة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 الجهر بالبسملة</w:t>
            </w:r>
            <w:r>
              <w:rPr>
                <w:rStyle w:val="IndexLink"/>
                <w:rtl w:val="true"/>
              </w:rPr>
              <w:tab/>
            </w:r>
            <w:r>
              <w:rPr>
                <w:rStyle w:val="IndexLink"/>
              </w:rPr>
              <w:t>46</w:t>
            </w:r>
          </w:hyperlink>
        </w:p>
        <w:p>
          <w:pPr>
            <w:pStyle w:val="Contents3"/>
            <w:tabs>
              <w:tab w:val="clear" w:pos="8459"/>
              <w:tab w:val="right" w:pos="9026" w:leader="dot"/>
            </w:tabs>
            <w:rPr/>
          </w:pPr>
          <w:hyperlink w:anchor="__RefHeading___Toc1630607_73709187">
            <w:r>
              <w:rPr>
                <w:webHidden/>
                <w:rStyle w:val="IndexLink"/>
              </w:rPr>
              <w:t>5</w:t>
            </w:r>
            <w:r>
              <w:rPr>
                <w:rStyle w:val="IndexLink"/>
                <w:rtl w:val="true"/>
              </w:rPr>
              <w:t xml:space="preserve"> </w:t>
            </w:r>
            <w:r>
              <w:rPr>
                <w:rStyle w:val="IndexLink"/>
                <w:rtl w:val="true"/>
              </w:rPr>
              <w:t>حجّة المخالف على أنّ التسمية ليست جزءاً من الفاتحة أو لا يجهر بها</w:t>
            </w:r>
            <w:r>
              <w:rPr>
                <w:rStyle w:val="IndexLink"/>
                <w:rtl w:val="true"/>
              </w:rPr>
              <w:tab/>
            </w:r>
            <w:r>
              <w:rPr>
                <w:rStyle w:val="IndexLink"/>
              </w:rPr>
              <w:t>50</w:t>
            </w:r>
          </w:hyperlink>
        </w:p>
        <w:p>
          <w:pPr>
            <w:pStyle w:val="Contents4"/>
            <w:tabs>
              <w:tab w:val="clear" w:pos="8176"/>
              <w:tab w:val="right" w:pos="9026" w:leader="dot"/>
            </w:tabs>
            <w:rPr/>
          </w:pPr>
          <w:hyperlink w:anchor="__RefHeading___Toc1630609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630611_73709187">
            <w:r>
              <w:rPr>
                <w:webHidden/>
                <w:rStyle w:val="IndexLink"/>
                <w:rtl w:val="true"/>
              </w:rPr>
              <w:t>ما يكذّبه التاريخ الصحيح</w:t>
            </w:r>
            <w:r>
              <w:rPr>
                <w:rStyle w:val="IndexLink"/>
                <w:rtl w:val="true"/>
              </w:rPr>
              <w:tab/>
            </w:r>
            <w:r>
              <w:rPr>
                <w:rStyle w:val="IndexLink"/>
              </w:rPr>
              <w:t>59</w:t>
            </w:r>
          </w:hyperlink>
        </w:p>
        <w:p>
          <w:pPr>
            <w:pStyle w:val="Contents3"/>
            <w:tabs>
              <w:tab w:val="clear" w:pos="8459"/>
              <w:tab w:val="right" w:pos="9026" w:leader="dot"/>
            </w:tabs>
            <w:rPr/>
          </w:pPr>
          <w:hyperlink w:anchor="__RefHeading___Toc1630613_73709187">
            <w:r>
              <w:rPr>
                <w:webHidden/>
                <w:rStyle w:val="IndexLink"/>
              </w:rPr>
              <w:t>6</w:t>
            </w:r>
            <w:r>
              <w:rPr>
                <w:rStyle w:val="IndexLink"/>
                <w:rtl w:val="true"/>
              </w:rPr>
              <w:t xml:space="preserve"> </w:t>
            </w:r>
            <w:r>
              <w:rPr>
                <w:rStyle w:val="IndexLink"/>
                <w:rtl w:val="true"/>
              </w:rPr>
              <w:t>البسملة جزء من مفتتح كلّ سورة</w:t>
            </w:r>
            <w:r>
              <w:rPr>
                <w:rStyle w:val="IndexLink"/>
                <w:rtl w:val="true"/>
              </w:rPr>
              <w:tab/>
            </w:r>
            <w:r>
              <w:rPr>
                <w:rStyle w:val="IndexLink"/>
              </w:rPr>
              <w:t>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35_100294"/>
      <w:bookmarkStart w:id="1" w:name="pg11435_100294"/>
      <w:bookmarkEnd w:id="1"/>
    </w:p>
    <w:p>
      <w:pPr>
        <w:pStyle w:val="Heading2"/>
        <w:numPr>
          <w:ilvl w:val="1"/>
          <w:numId w:val="1"/>
        </w:numPr>
        <w:rPr/>
      </w:pPr>
      <w:bookmarkStart w:id="2" w:name="pg11435_100294"/>
      <w:bookmarkStart w:id="3" w:name="__RefHeading___Toc163057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0579_73709187"/>
      <w:bookmarkStart w:id="6" w:name="_Toc2"/>
      <w:bookmarkEnd w:id="5"/>
      <w:r>
        <w:rPr>
          <w:rtl w:val="true"/>
        </w:rPr>
        <w:t>البسملة جزئيّتها و الجهر بها على ضوء الكتاب و السنّة</w:t>
      </w:r>
      <w:bookmarkStart w:id="7" w:name="pg11435_100296"/>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جزئيّتها و الجهر بها على ضوء الكتاب و السنّة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630581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35_100298"/>
    </w:p>
    <w:p>
      <w:pPr>
        <w:pStyle w:val="Heading2"/>
        <w:numPr>
          <w:ilvl w:val="1"/>
          <w:numId w:val="1"/>
        </w:numPr>
        <w:rPr/>
      </w:pPr>
      <w:bookmarkStart w:id="11" w:name="__RefHeading___Toc1630583_73709187"/>
      <w:bookmarkStart w:id="12" w:name="_Toc4"/>
      <w:bookmarkEnd w:id="10"/>
      <w:bookmarkEnd w:id="11"/>
      <w:r>
        <w:rPr>
          <w:rtl w:val="true"/>
        </w:rPr>
        <w:t>البسملة جزئيّتها و الجهر بها</w:t>
      </w:r>
      <w:bookmarkEnd w:id="12"/>
    </w:p>
    <w:p>
      <w:pPr>
        <w:pStyle w:val="Heading3"/>
        <w:numPr>
          <w:ilvl w:val="2"/>
          <w:numId w:val="1"/>
        </w:numPr>
        <w:rPr/>
      </w:pPr>
      <w:bookmarkStart w:id="13" w:name="__RefHeading___Toc1630585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البسملة في اللغة و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بِسْمِ اللّهِ الرَّحْمنِ الرَّحِيمِ، يقال بَسْمَل 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أو كتب بسم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البسملة، أي أكثر من قول بسم اللّه</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البسملة هي سمة المسلمين حيث لا يستفتحون بشيء إلاّ بعد ذكر بِسْمِ اللّهِ الرَّحْمنِ الرَّحِيمِ، و هي آية التوحيد و سبب نفر المشركين،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قد كان شعار المشركين في عصر الجاهلية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يستفتحون بذلك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آل الأمر في صلح الحديبية إلى كتابة وثيقة صلح بين الطرفين، أمرَ النبي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فكتب علي وفق ما أُمِر، فقال سهيل مندوب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و لكن اكتب باسمك اللهم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فالبسملة هي الحد الفاصل بين الإسلام و الشرك، و بها يميّز المؤمن عن الكافر، و لا ينفك المسلم منها في حِلّه و ترحاله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البسملة آية قرآنية تشهد عليها المصاحف عبر القرون، و قد كتبت في مفتتح كلّ سورة خلا سورة التوبة، كتبوها كما كتبوا غيرها من سائر الآيات بدون ميز مع اتّفاقهم على أن لا يكتبوا شيئاً من غير القرآن فيه إلاّ بميزة بيّنة حرصاً منهم على أن لا يختلط به شيء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تراهم ميّزوا عنه أسماء سوره، و عدد آياته، و رموز أجزائه، و أرباعه، و ركوعه و سجوده، كتبوها على نحو يعلم أنّها خارجة عن القرآن، و في الوقت نفسه اتّفقوا على كتابة البسملة مفتتح كلّ سورة كسائر الآيات دون فرق بين الخلف و السلف، و لا تجد قرآناً مخطوطاً من عهد الصحابة إلى يومنا هذا على غير هذا النمط، و هذا اتّفاق عملي منهم على أنّ البسملة جزء من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انّه طرأ الاختلاف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الأظهر انّ الاختلاف ظهر في خلافة معاوية بن أبي سفيان أو قبله بقليل، و أمّا ما هي العلّة لطروء هذا الاختلاف، فلعلّ بعض الدواعي له، هو المخالفة لسيرة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البسملة حيث أطبق الجميع على أنّ علي بن أبي طالب كان يجهر بها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علي بن أبي طالب فقد كان يجهر بالتسمية و قد ثبت بالتواتر،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w:t>
      </w:r>
    </w:p>
    <w:p>
      <w:pPr>
        <w:pStyle w:val="BookText"/>
        <w:rPr/>
      </w:pPr>
      <w:r>
        <w:rPr>
          <w:rFonts w:ascii="Amiri" w:hAnsi="Amiri" w:eastAsia="Amiri" w:cs="Amiri"/>
          <w:color w:val="111111"/>
          <w:sz w:val="28"/>
          <w:sz w:val="28"/>
          <w:szCs w:val="28"/>
          <w:rtl w:val="true"/>
          <w:lang w:bidi="ar-SA"/>
        </w:rPr>
        <w:t>شَرف للذاكرين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قد تضافرت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أصحابه، على أنّ كون البسملة جزء من الفاتحة و انّها يجب الجهر بها في الصلوات الجهرية، كما أنّها جزء من كلّ سورة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حقيقة الحال في ضمن 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5" w:name="pg11435_100302"/>
    </w:p>
    <w:p>
      <w:pPr>
        <w:pStyle w:val="Heading3"/>
        <w:numPr>
          <w:ilvl w:val="2"/>
          <w:numId w:val="1"/>
        </w:numPr>
        <w:rPr/>
      </w:pPr>
      <w:bookmarkStart w:id="16" w:name="__RefHeading___Toc1630587_73709187"/>
      <w:bookmarkStart w:id="17" w:name="_Toc6"/>
      <w:bookmarkEnd w:id="15"/>
      <w:bookmarkEnd w:id="16"/>
      <w:r>
        <w:rPr/>
        <w:t>1</w:t>
      </w:r>
      <w:r>
        <w:rPr>
          <w:rtl w:val="true"/>
        </w:rPr>
        <w:t xml:space="preserve"> </w:t>
      </w:r>
      <w:r>
        <w:rPr>
          <w:rtl w:val="true"/>
        </w:rPr>
        <w:t>فضل البسملة</w:t>
      </w:r>
      <w:bookmarkEnd w:id="17"/>
    </w:p>
    <w:p>
      <w:pPr>
        <w:pStyle w:val="BookText"/>
        <w:rPr/>
      </w:pPr>
      <w:r>
        <w:rPr>
          <w:rFonts w:ascii="Amiri" w:hAnsi="Amiri" w:eastAsia="Amiri" w:cs="Amiri"/>
          <w:color w:val="111111"/>
          <w:sz w:val="28"/>
          <w:sz w:val="28"/>
          <w:szCs w:val="28"/>
          <w:rtl w:val="true"/>
          <w:lang w:bidi="ar-SA"/>
        </w:rPr>
        <w:t>قد ورد في فضل البسملة أحاديث كثيرة نقتبس منها 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تنزل على أحد غيري سوى ما حكاه اللّه سبحانه من كتاب سليمان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الشيخ الطوسي عن عبد اللّه بن يحيى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الكاهلي،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أقرب إلى اسم اللّه الأعظم من ناظر العين إلى بياضها</w:t>
      </w:r>
      <w:r>
        <w:rPr>
          <w:rFonts w:eastAsia="Amiri" w:cs="Amiri" w:ascii="Amiri" w:hAnsi="Amiri"/>
          <w:color w:val="111111"/>
          <w:sz w:val="28"/>
          <w:szCs w:val="28"/>
          <w:rtl w:val="true"/>
          <w:lang w:bidi="ar-SA"/>
        </w:rPr>
        <w:t>».</w:t>
      </w:r>
      <w:r>
        <w:rPr>
          <w:rStyle w:val="FootnoteAnchor"/>
        </w:rPr>
        <w:footnoteReference w:id="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8" w:name="pg11435_100304"/>
    </w:p>
    <w:p>
      <w:pPr>
        <w:pStyle w:val="Heading3"/>
        <w:numPr>
          <w:ilvl w:val="2"/>
          <w:numId w:val="1"/>
        </w:numPr>
        <w:rPr/>
      </w:pPr>
      <w:bookmarkStart w:id="19" w:name="__RefHeading___Toc1630589_73709187"/>
      <w:bookmarkStart w:id="20" w:name="_Toc7"/>
      <w:bookmarkEnd w:id="18"/>
      <w:bookmarkEnd w:id="19"/>
      <w:r>
        <w:rPr/>
        <w:t>2</w:t>
      </w:r>
      <w:r>
        <w:rPr>
          <w:rtl w:val="true"/>
        </w:rPr>
        <w:t xml:space="preserve"> </w:t>
      </w:r>
      <w:r>
        <w:rPr>
          <w:rtl w:val="true"/>
        </w:rPr>
        <w:t>أقوال الفقهاء في جزئيّة البسملة</w:t>
      </w:r>
      <w:bookmarkEnd w:id="20"/>
    </w:p>
    <w:p>
      <w:pPr>
        <w:pStyle w:val="BookText"/>
        <w:rPr/>
      </w:pPr>
      <w:r>
        <w:rPr>
          <w:rFonts w:ascii="Amiri" w:hAnsi="Amiri" w:eastAsia="Amiri" w:cs="Amiri"/>
          <w:color w:val="111111"/>
          <w:sz w:val="28"/>
          <w:sz w:val="28"/>
          <w:szCs w:val="28"/>
          <w:rtl w:val="true"/>
          <w:lang w:bidi="ar-SA"/>
        </w:rPr>
        <w:t>قد ذكر القرطبي أقوال أئمّة المذاهب الأربعة بوضوح،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قراءة بِسْمِ اللّهِ الرَّحْمنِ الرَّحِيمِ في افتتاح القراءة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فمنع ذلك مالك في الصلاة المكتوبة جهراً كانت أو سراً لا في استفتاح أُمّ القرآن و لا في غيرها من السور، و أجاز ذلك في النافلة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و الثوري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مع أُمّ القرآن في كلّ ركعة 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يقرؤها و لا بدّ في الجهر جهراً و في السرّ سرّاً، و هي عنده آية من فاتحة الكتاب،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p>
    <w:p>
      <w:pPr>
        <w:pStyle w:val="BookText"/>
        <w:rPr/>
      </w:pPr>
      <w:r>
        <w:rPr>
          <w:rFonts w:ascii="Amiri" w:hAnsi="Amiri" w:eastAsia="Amiri" w:cs="Amiri"/>
          <w:color w:val="111111"/>
          <w:sz w:val="28"/>
          <w:sz w:val="28"/>
          <w:szCs w:val="28"/>
          <w:rtl w:val="true"/>
          <w:lang w:bidi="ar-SA"/>
        </w:rPr>
        <w:t>البسملة آية من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 أبو ثور 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قول الشافعي هل هي آية من كلّ سورة أم إنّما هي آية من سورة النمل فقط و من فاتحة الكتاب؟ فرُوي عنه القولان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الاختلاف من هذا آيل إلى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الآثار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فاتحة الكتاب أم لا؟</w:t>
      </w:r>
      <w:r>
        <w:rPr>
          <w:rStyle w:val="FootnoteAnchor"/>
          <w:rtl w:val="true"/>
        </w:rPr>
        <w:footnoteReference w:id="11"/>
      </w: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آية من كلّ سورة من جميع القرآن، و هي آية من أوّل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آية من أوّل الحمد بلا خلاف بينهم، و في كونها آية من كلّ سورة قولان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آية من أوّل كلّ سورة،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آية من كلّ سورة و إنّما تتمّ مع ما بعدها فتصير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و إسحاق و أبو ثور و أبو عبيدة و عطاء و الزهري و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آية من أوّل كلّ سورة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بِسْمِ اللّهِ الرَّحْمنِ الرَّحِيمِ ترك مائة و ثلاث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مالك و الأوزاعي 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آية من فاتحة الكتاب و لا من سائر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 و الأوزاعي 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يقرأها في الصلاة بل يكبّر، و يبتدي بالحمد إلاّ في شهر رمضان، و المستحب أن يأتي بها بين كلّ سورتين تبركاً للفصل، و لا يأتي بها في أوّل الفاتحة</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لا يرى البسملة جزءاً من السور مطلقاً، و أمّا الحنفية و الحنابلة فيرونها جزءاً من فاتحة الكتاب لكن يقرءونها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الشافعية فيرونها جزءاً من فاتحة الكتاب، و يقرءونها في الجهر جهراً و في السرّ سرّاً، و أمّا كونها جزءاً من سائر السور ففيه عن الشافعي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الإمامية فليس عندهم إلاّ قول واحد، و هو انّ البسملة جزء من كلّ سورة، و يجهر بها في الصلوات الجهرية وجوباً و في الصلوات السرية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الأقوال بالنسبة إليهم قول مالك حيث إنّ البسملة عنده ليست آية من القرآن إلاّ في سورة النمل فانّها جزء من آية و يكره قراءتها بصلاة فرض للإمام و غيره قبل الفاتحة أو سورة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هذا القول من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مندِّداً لمن يترك البسملة في الصلاة و يرى الجهر بها بدعة، فقال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عمدوا إلى أعظم آية في كتاب اللّه عزّ و جلّ فزعموا انّها بدعة إذا أظهروها، و هي بسم اللّه الرّحمن</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تحقيق المقام يقتضي البحث في الأُمور التالية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البسملة جزء من الفاتحة أم لا؟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انّها جزء فهل يجهر بها في الصلوات الجهرية؟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البسملة جزء من سائر السور أم لا؟ و نستعرض مورد أدلّة الأقوال مع القضاء الحاسم بإذن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1" w:name="pg11435_100309"/>
    </w:p>
    <w:p>
      <w:pPr>
        <w:pStyle w:val="Heading3"/>
        <w:numPr>
          <w:ilvl w:val="2"/>
          <w:numId w:val="1"/>
        </w:numPr>
        <w:rPr/>
      </w:pPr>
      <w:bookmarkStart w:id="22" w:name="__RefHeading___Toc1630591_73709187"/>
      <w:bookmarkStart w:id="23" w:name="_Toc8"/>
      <w:bookmarkEnd w:id="21"/>
      <w:bookmarkEnd w:id="22"/>
      <w:r>
        <w:rPr/>
        <w:t>3</w:t>
      </w:r>
      <w:r>
        <w:rPr>
          <w:rtl w:val="true"/>
        </w:rPr>
        <w:t xml:space="preserve"> </w:t>
      </w:r>
      <w:r>
        <w:rPr>
          <w:rtl w:val="true"/>
        </w:rPr>
        <w:t>البسملة جزء من الفاتحة</w:t>
      </w:r>
      <w:bookmarkEnd w:id="23"/>
    </w:p>
    <w:p>
      <w:pPr>
        <w:pStyle w:val="Heading4"/>
        <w:numPr>
          <w:ilvl w:val="3"/>
          <w:numId w:val="1"/>
        </w:numPr>
        <w:rPr/>
      </w:pPr>
      <w:bookmarkStart w:id="24" w:name="__RefHeading___Toc1630593_7370918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إنّ البسملة جزء من الفاتحة، و يدلّ عليه أُمور نذكرها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الشافعي باسناده انّ معاوية قدم المدينة فصلّى بها، و لم يقرأ بِسْمِ اللّهِ الرَّحْمنِ الرَّحِيمِ، و لم يكبّر عند الخفض إلى الركوع و السجود، فلما سلّم ناداه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سرقتَ من الصلاة، أين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التكبير عند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أعاد الصلاة مع التسمية و التكبير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سلطاناً عظيم القوة، شديد الشوكة، فلو لا انّ الجهر بالتسمية كان كالأمر المتقرر عند كلّ الصحابة من المهاجرين و الأنصار، و إلاّ لما قدروا</w:t>
      </w:r>
    </w:p>
    <w:p>
      <w:pPr>
        <w:pStyle w:val="BookText"/>
        <w:rPr/>
      </w:pPr>
      <w:r>
        <w:rPr>
          <w:rFonts w:ascii="Amiri" w:hAnsi="Amiri" w:eastAsia="Amiri" w:cs="Amiri"/>
          <w:color w:val="111111"/>
          <w:sz w:val="28"/>
          <w:sz w:val="28"/>
          <w:szCs w:val="28"/>
          <w:rtl w:val="true"/>
          <w:lang w:bidi="ar-SA"/>
        </w:rPr>
        <w:t>على إظهار الإنكار عليه بسبب ترك التسمية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 التسمية جزء من الفاتحة لما اعترض المهاجرون و الأنصار على تركها مضافاً إلى ترك 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الأثر كما يدلّ على جزئيّة التسمية، يدلّ على لزوم الجهر بها، فيستدلّ به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الشافعي عن مسلم، عن ابن جريج، عن ابن أبي مليكة، عن أُمّ سلمة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فعدّ بِسْمِ اللّهِ الرَّحْمنِ الرَّحِيمِ آية، الحمد للّه ربّ العالمين آية، الرحمن الرحيم آية، مالك يوم الدين آية، اياك نعبد و اياك نستعين آية، اهدنا الصراط المستقيم آية، صراط الذين انعمت عليهم غير المغضوب عليهم و لا الضالين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صريح على الجزئيّة</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أُمّ سلمة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في الصلاة بِسْمِ اللّهِ الرَّحْمنِ الرَّحِيمِ فعدها آية، الحمد للّه ربّ العالمين آيتين، الرّحمن الرّحيم ثلاث آيات، مالك يوم الدين أربع آيات،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إيّاك نعبد و إيّاك نستعين، و جمع خمس أصابعه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بِسْمِ اللّهِ الرَّحْمنِ الرَّحِيمِ، الحمد للّه ربّ العالمين يقطعها حرفاً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على صحّته الذهبي في تلخيصه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عن نعيم المجمر،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وراء أبي هريرة، فقرأ بِسْمِ اللّهِ الرَّحْمنِ الرَّحِيمِ قرأ بأُمّ القرآن حتّى بلغ و لا الضّالين،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يقول كلّما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يقول إذا سلم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بيده انّي لأشبهكم صلاة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قرره الذهبي في تلخيصه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ابن مالك كيف كان قراءة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مدّاً،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يمد الرحيم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قرره على ذلك الذهبي في تلخيصه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عن ابن جريج، عن أبيه، عن سعيد بن جبير،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آتَيْناكَ سَبْعاً 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لقد أخبرك سعيد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و لم يخرجاه و تمام هذا الباب في كتاب الصلاة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الثعلبي باسناده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إذ دخل رجل يصلّي، فافتتح الصلاة، و تعوّذ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رجل قطعت على نفسك الصلاة، أما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الحمد؟ فمن تركها فقد ترك آية، و من ترك آية فقد أفسد عليه صلاته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الثعلبي عن علي انّه كان إذا افتتح السورة في الصلاة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قراءتها فقد نقص،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تمام السبع المثاني</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الثعلبي عن طلحة بن عبيد اللّه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آية من كتاب اللّه، و قد نزل علىّ فيما عدّ من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الدارقطني و صحّحه و البيهقي في السنن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أُمّ القرآن، و أُمّ الكتاب، و السبع المثاني،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آياتها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الأوسط و الدارقطني و البيهقي عن نافع، انّ ابن عمر كان إذا افتتح الصلاة يقرأ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 القرآن و في السورة التي تليها، و يذكر أنّه سمع ذلك من رسول اللّه</w:t>
      </w:r>
      <w:r>
        <w:rPr>
          <w:rFonts w:eastAsia="Amiri" w:cs="Amiri" w:ascii="Amiri" w:hAnsi="Amiri"/>
          <w:color w:val="111111"/>
          <w:sz w:val="28"/>
          <w:szCs w:val="28"/>
          <w:rtl w:val="true"/>
          <w:lang w:bidi="ar-SA"/>
        </w:rPr>
        <w:t>.</w:t>
      </w:r>
      <w:r>
        <w:rPr>
          <w:rStyle w:val="FootnoteAnchor"/>
        </w:rPr>
        <w:footnoteReference w:id="2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و الترمذي و الدارقطني و البيهقي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صلاته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الدارقطني و البيهقي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قرأ و هو يؤم الناس افتتح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من كتاب اللّه، اقرءوا إن شئتم فاتحة القرآن، فانّها الآية السابعة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البيهقي في شعب الإيمان عن ابن عمر انّه كان يقرأ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ختم السورة قرأها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في المصحف إلاّ لتقرأ</w:t>
      </w:r>
      <w:r>
        <w:rPr>
          <w:rFonts w:eastAsia="Amiri" w:cs="Amiri" w:ascii="Amiri" w:hAnsi="Amiri"/>
          <w:color w:val="111111"/>
          <w:sz w:val="28"/>
          <w:szCs w:val="28"/>
          <w:rtl w:val="true"/>
          <w:lang w:bidi="ar-SA"/>
        </w:rPr>
        <w:t>.</w:t>
      </w:r>
      <w:r>
        <w:rPr>
          <w:rStyle w:val="FootnoteAnchor"/>
        </w:rPr>
        <w:footnoteReference w:id="2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6" w:name="pg11435_100316"/>
    </w:p>
    <w:p>
      <w:pPr>
        <w:pStyle w:val="Heading4"/>
        <w:numPr>
          <w:ilvl w:val="3"/>
          <w:numId w:val="1"/>
        </w:numPr>
        <w:rPr/>
      </w:pPr>
      <w:bookmarkStart w:id="27" w:name="__RefHeading___Toc1630595_73709187"/>
      <w:bookmarkStart w:id="28" w:name="_Toc10"/>
      <w:bookmarkEnd w:id="26"/>
      <w:bookmarkEnd w:id="27"/>
      <w:r>
        <w:rPr>
          <w:rtl w:val="true"/>
        </w:rPr>
        <w:t>السبع المثاني هي فاتحة الكتاب</w:t>
      </w:r>
      <w:bookmarkEnd w:id="28"/>
    </w:p>
    <w:p>
      <w:pPr>
        <w:pStyle w:val="BookText"/>
        <w:rPr/>
      </w:pPr>
      <w:r>
        <w:rPr>
          <w:rFonts w:ascii="Amiri" w:hAnsi="Amiri" w:eastAsia="Amiri" w:cs="Amiri"/>
          <w:color w:val="111111"/>
          <w:sz w:val="28"/>
          <w:sz w:val="28"/>
          <w:szCs w:val="28"/>
          <w:rtl w:val="true"/>
          <w:lang w:bidi="ar-SA"/>
        </w:rPr>
        <w:t>قد تضافرت الروايات عن علي و ابن مسعود و غيرهما من الصحابة و كثير من التابعين على أنّ المراد من السبع المثاني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هذا من جانب، و من جانب آخر، انّ آياتها لا تبلغ سبعاً إلاّ إذا عُدّ البسملة آية منها، فإليك الكلام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دلّ على المراد من السبع المثاني هو سورة الفاتحة،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يفسر السبع المثاني بفاتحة الكتاب من دون تصريح بأنّ البسملة جزء من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يفسر السبع المثاني بفاتحة الكتاب مع التصريح بأنّ البسملة من آياتها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 فإليك بعض ما وقفنا عليه لا كلّه،</w:t>
      </w:r>
    </w:p>
    <w:p>
      <w:pPr>
        <w:pStyle w:val="BookText"/>
        <w:rPr/>
      </w:pPr>
      <w:r>
        <w:rPr>
          <w:rFonts w:ascii="Amiri" w:hAnsi="Amiri" w:eastAsia="Amiri" w:cs="Amiri"/>
          <w:color w:val="111111"/>
          <w:sz w:val="28"/>
          <w:sz w:val="28"/>
          <w:szCs w:val="28"/>
          <w:rtl w:val="true"/>
          <w:lang w:bidi="ar-SA"/>
        </w:rPr>
        <w:t>لأنّه يوجب الإطناب في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عن عبد خير،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 المثاني فاتحة الكتاب</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مسعود عن سبع من المثاني،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الحسن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آتَيْناكَ سَبْعاً 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أيضاً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فاختة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الكتاب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الطبري عن أبي العالية في قول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آتَيْناكَ سَبْعاً 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سبع آيات، قلت 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السبع الطول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أنزلت هذه و ما أنزل من الطول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المثاني، لأنّه يثنّى بها كلّما قرأ القرآن قرأها، فقيل لأبي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الضحاك بن مزاحم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السبع الطول،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هذه السورة سبعاً من المثاني و ما نزل شيء من 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عن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من المثاني هي فاتحة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عن ابن جريج عن ابن مليكة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آتَيْناكَ سَبْعاً 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 ذكر فاتحة الكتاب 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لنبي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الطبري عن أبي هريرة، عن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سورة ما أنزل في التوراة و لا في</w:t>
      </w:r>
    </w:p>
    <w:p>
      <w:pPr>
        <w:pStyle w:val="BookText"/>
        <w:rPr/>
      </w:pPr>
      <w:r>
        <w:rPr>
          <w:rFonts w:ascii="Amiri" w:hAnsi="Amiri" w:eastAsia="Amiri" w:cs="Amiri"/>
          <w:color w:val="111111"/>
          <w:sz w:val="28"/>
          <w:sz w:val="28"/>
          <w:szCs w:val="28"/>
          <w:rtl w:val="true"/>
          <w:lang w:bidi="ar-SA"/>
        </w:rPr>
        <w:t>الإنجيل و لا في الزبور و لا في القرآن مثلها،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لأرجو أن لا تخرج من ذلك الباب حتّى تعلّمها،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معه فجعل يحدثني و يده في يدي، فجعلت أتباطأ كراهية أن يخرج قبل أن يخبرني بها، فلمّا قرب من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السورة التي وعدتني،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إذا افتتحت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و هي السبع المثاني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أعطيت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القرآن و هي فاتحة الكتاب و هي السبع المثاني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فاتحة الكتاب و هي السبع المثاني و القرآن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القسم الثاني و هو ما يفسر السبع المثاني بفاتحة الكتاب و يجعل البسملة أوّل آية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جرير و ابن المنذر و الطبراني و ابن مردويه و الحاكم و صحّحه و البيهقي في سننه عن ابن عباس انّه سُئل عن السبع المثاني،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استثناها اللّه لأُمّة محمّد، فرفعها في أُمّ الكتاب، فدخرها لهم حتى أخرجها و لم يعطها أحداً قبله،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الآية 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الطبري عن سعيد بن جبير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آتَيْناكَ سَبْعاً 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فقرأها على 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الرحيم، الآية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ابن عباس علىَّ كما قرأها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 بِسْمِ اللّهِ الرَّحْمنِ الرَّحِيمِ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 ثمّ قرأ فاتحة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آتَيْناكَ سَبْعاً مِنَ الْمَثانِي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شهادة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فاستفتح ثمّ 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خروج البسملة من جوهرها، و ذلك لأنّ البسملة لما كانت موجودة في صدر عامة السور فأشار إلى البسملة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سائر آياتها التي تتميز عن سائر السور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قرأ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يفسر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الطبري عن أبي سعيد بن المعلى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و هو يصلّي فصلّى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منعك أن 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لأُعلمنك أعظم سورة في القرآن، فكأنّه بينها أو نسي،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الذي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هي السبع المثاني و القرآن العظيم الذي أُوتيته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و البيهقي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قرأ و هو يؤم الناس افتتح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كتاب اللّه، اقرءوا إن شئتم فاتحة الكتاب، فانّها الآية السابعة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الدارقطني و البيهقي في السنن بسند صحيح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رضي اللّه عنه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9" w:name="pg11435_100323"/>
    </w:p>
    <w:p>
      <w:pPr>
        <w:pStyle w:val="BookText"/>
        <w:rPr/>
      </w:pPr>
      <w:bookmarkEnd w:id="29"/>
      <w:r>
        <w:rPr>
          <w:rFonts w:ascii="Amiri" w:hAnsi="Amiri" w:eastAsia="Amiri" w:cs="Amiri"/>
          <w:color w:val="111111"/>
          <w:sz w:val="28"/>
          <w:sz w:val="28"/>
          <w:szCs w:val="28"/>
          <w:rtl w:val="true"/>
          <w:lang w:bidi="ar-SA"/>
        </w:rPr>
        <w:t>السبع المثاني،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ست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الأنباري في المصاحف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سبع يا أُمّ سلمة</w:t>
      </w:r>
      <w:r>
        <w:rPr>
          <w:rFonts w:eastAsia="Amiri" w:cs="Amiri" w:ascii="Amiri" w:hAnsi="Amiri"/>
          <w:color w:val="111111"/>
          <w:sz w:val="28"/>
          <w:szCs w:val="28"/>
          <w:rtl w:val="true"/>
          <w:lang w:bidi="ar-SA"/>
        </w:rPr>
        <w:t>.</w:t>
      </w:r>
      <w:r>
        <w:rPr>
          <w:rStyle w:val="FootnoteAnchor"/>
          <w:rtl w:val="true"/>
        </w:rPr>
        <w:footnoteReference w:id="41"/>
      </w:r>
    </w:p>
    <w:p>
      <w:pPr>
        <w:pStyle w:val="Heading4"/>
        <w:numPr>
          <w:ilvl w:val="3"/>
          <w:numId w:val="1"/>
        </w:numPr>
        <w:rPr/>
      </w:pPr>
      <w:bookmarkStart w:id="30" w:name="__RefHeading___Toc1630597_73709187"/>
      <w:bookmarkStart w:id="31" w:name="_Toc11"/>
      <w:bookmarkEnd w:id="30"/>
      <w:r>
        <w:rPr>
          <w:rtl w:val="true"/>
        </w:rPr>
        <w:t>فاتحة الكتاب سبع آيات مع البسملة</w:t>
      </w:r>
      <w:bookmarkEnd w:id="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فاتحة الكتاب آيات سبع إذا قلنا بكون التسمية جزءاً منها و لذلك ترى أنّ المصاحف المعروفة تعد البسملة آية من سورة الفاتحة و إن كان يترك عدّها آية من سائر</w:t>
      </w:r>
    </w:p>
    <w:p>
      <w:pPr>
        <w:pStyle w:val="BookText"/>
        <w:rPr/>
      </w:pPr>
      <w:r>
        <w:rPr>
          <w:rFonts w:ascii="Amiri" w:hAnsi="Amiri" w:eastAsia="Amiri" w:cs="Amiri"/>
          <w:color w:val="111111"/>
          <w:sz w:val="28"/>
          <w:sz w:val="28"/>
          <w:szCs w:val="28"/>
          <w:rtl w:val="true"/>
          <w:lang w:bidi="ar-SA"/>
        </w:rPr>
        <w:t>السور، و على ذلك يكون عدد الآيات سبعاً كالشكل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فترى أنّ كلّ آية جملة تامة، و أمّا من لم يجعل التسمية من السبع فقد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الْمَغْضُوبِ عَلَيْهِمْ وَ 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أُخرى، و معنى ذلك جعل المبدل منه آية و البدل آية أُخرى، و هذا ما لا يستسيغه الذوق السليم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حاول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أُخرى فقد سلك مسلكاً وعراً، فإنّ الجملتين كسبيكة واحدة تنص على التوحيد في العبادة</w:t>
      </w:r>
      <w:bookmarkStart w:id="32" w:name="pg11435_100325"/>
    </w:p>
    <w:p>
      <w:pPr>
        <w:pStyle w:val="BookText"/>
        <w:rPr/>
      </w:pPr>
      <w:bookmarkEnd w:id="32"/>
      <w:r>
        <w:rPr>
          <w:rFonts w:ascii="Amiri" w:hAnsi="Amiri" w:eastAsia="Amiri" w:cs="Amiri"/>
          <w:color w:val="111111"/>
          <w:sz w:val="28"/>
          <w:sz w:val="28"/>
          <w:szCs w:val="28"/>
          <w:rtl w:val="true"/>
          <w:lang w:bidi="ar-SA"/>
        </w:rPr>
        <w:t>و الاستعانة فما معنى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وقفنا عليه من روايات أهل السنّة الدالة على أنّ البسملة جزء من الفاتحة، و يدلّ عليه أيضاً أمران آخران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سيمرّ عليك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كانوا يجهرون بالبسملة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 البسملة جزء من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رعاية لنظام البحث فصلنا ما يدلّ على الجهر بالبسملة في قراءة الفاتحة عن ذكر البسملة، كما فصلنا ما يدلّ على أنّ البسملة جزء من كلّ سورة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630599_73709187"/>
      <w:bookmarkStart w:id="34" w:name="_Toc12"/>
      <w:bookmarkEnd w:id="33"/>
      <w:r>
        <w:rPr>
          <w:rtl w:val="true"/>
        </w:rPr>
        <w:t xml:space="preserve">روايات أئمّة أهل البيت </w:t>
      </w:r>
      <w:r>
        <w:rPr>
          <w:rtl w:val="true"/>
        </w:rPr>
        <w:t>(</w:t>
      </w:r>
      <w:r>
        <w:rPr>
          <w:rtl w:val="true"/>
        </w:rPr>
        <w:t>عليهم السلام</w:t>
      </w:r>
      <w:r>
        <w:rPr>
          <w:rtl w:val="true"/>
        </w:rPr>
        <w:t>)</w:t>
      </w:r>
      <w:bookmarkEnd w:id="34"/>
    </w:p>
    <w:p>
      <w:pPr>
        <w:pStyle w:val="BookText"/>
        <w:rPr/>
      </w:pPr>
      <w:r>
        <w:rPr>
          <w:rFonts w:ascii="Amiri" w:hAnsi="Amiri" w:eastAsia="Amiri" w:cs="Amiri"/>
          <w:color w:val="111111"/>
          <w:sz w:val="28"/>
          <w:sz w:val="28"/>
          <w:szCs w:val="28"/>
          <w:rtl w:val="true"/>
          <w:lang w:bidi="ar-SA"/>
        </w:rPr>
        <w:t xml:space="preserve">أمّا ما روي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عنه و لا حرج، و لنذكر بعض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السبع المثاني و القرآن</w:t>
      </w:r>
    </w:p>
    <w:p>
      <w:pPr>
        <w:pStyle w:val="BookText"/>
        <w:rPr/>
      </w:pPr>
      <w:r>
        <w:rPr>
          <w:rFonts w:ascii="Amiri" w:hAnsi="Amiri" w:eastAsia="Amiri" w:cs="Amiri"/>
          <w:color w:val="111111"/>
          <w:sz w:val="28"/>
          <w:sz w:val="28"/>
          <w:szCs w:val="28"/>
          <w:rtl w:val="true"/>
          <w:lang w:bidi="ar-SA"/>
        </w:rPr>
        <w:t>العظيم، أ هي الفاتحة؟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أفضلهن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يحيى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أقرب إلى اسم اللّه الأعظم من ناظر العين إلى بياضها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الكليني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للصلاة أقرأ بسم اللّه الرّحمن الرحيم في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بِسْمِ اللّهِ الرَّحْمنِ الرَّحِيمِ، أ هي من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يقرأها و يعدها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هي السبع المثاني</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إلى غير ذلك ممّا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جزئيّة البسملة من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أنّ المأثور المشهور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لا يبدأ ببسم اللّه أقطع، و كلّ أمر ذي بال لا يبدأ فيه ببسم اللّه فهو أبتر أو أجذم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من المعلوم أنّ القرآن أفضل ما أوحاه اللّه تعالى إلى أنبيائه و رسله و انّ كلّ سورة منه ذات بال و عظمة تحدّى اللّه بها البشر فعجزوا عن أن يأتوا بمثلها، فهل يمكن أن يكون القرآن أقطع؟ تعالى اللّه و تعالى فرقانه الحكيم و تعالت سوره عن ذلك علوّاً كبيراً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هي الفلاح و هي خير العمل كما ينادى به في أعلى المنائر و المنابر و يعرفه البادي و الحاضر، لا يوازنها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يكايلها شيء بعد الإيمان باللّه تعالى و كتبه و رسله و اليوم الآخر، فهل يجوز أن يشرعها اللّه تعالى بتراء جذماء؟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يجرأ على القول به برّ و لا فاجر، لكن الأئمّة البررة مالكاً و الأوزاعي و أبا حنيفة رضي اللّه عنهم ذهلوا عن هذه اللوازم، و كلّ مجتهد في الاستنباط من الأدلّة الشرعية معذور و مأجور إن أصاب و إن أخطأ</w:t>
      </w:r>
      <w:r>
        <w:rPr>
          <w:rFonts w:eastAsia="Amiri" w:cs="Amiri" w:ascii="Amiri" w:hAnsi="Amiri"/>
          <w:color w:val="111111"/>
          <w:sz w:val="28"/>
          <w:szCs w:val="28"/>
          <w:rtl w:val="true"/>
          <w:lang w:bidi="ar-SA"/>
        </w:rPr>
        <w:t>.</w:t>
      </w:r>
      <w:r>
        <w:rPr>
          <w:rStyle w:val="FootnoteAnchor"/>
        </w:rPr>
        <w:footnoteReference w:id="4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5" w:name="pg11435_100329"/>
    </w:p>
    <w:p>
      <w:pPr>
        <w:pStyle w:val="Heading3"/>
        <w:numPr>
          <w:ilvl w:val="2"/>
          <w:numId w:val="1"/>
        </w:numPr>
        <w:rPr/>
      </w:pPr>
      <w:bookmarkStart w:id="36" w:name="__RefHeading___Toc1630601_73709187"/>
      <w:bookmarkStart w:id="37" w:name="_Toc13"/>
      <w:bookmarkEnd w:id="35"/>
      <w:bookmarkEnd w:id="36"/>
      <w:r>
        <w:rPr/>
        <w:t>4</w:t>
      </w:r>
      <w:r>
        <w:rPr>
          <w:rtl w:val="true"/>
        </w:rPr>
        <w:t xml:space="preserve"> </w:t>
      </w:r>
      <w:r>
        <w:rPr>
          <w:rtl w:val="true"/>
        </w:rPr>
        <w:t>التسمية و لزوم الجهر بها</w:t>
      </w:r>
      <w:bookmarkEnd w:id="37"/>
    </w:p>
    <w:p>
      <w:pPr>
        <w:pStyle w:val="Heading4"/>
        <w:numPr>
          <w:ilvl w:val="3"/>
          <w:numId w:val="1"/>
        </w:numPr>
        <w:rPr/>
      </w:pPr>
      <w:bookmarkStart w:id="38" w:name="__RefHeading___Toc1630603_73709187"/>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قد أثبت البحث السالف الذكر انّ التسمية جزء من فاتحة الكتاب و من صميمها، فلا تتم السورة إلاّ بقراءتها، و أمّا الجهر بها فحكمه كحكم سائر أجزاء السورة، فلو كانت الصلاة من الصلوات الجهرية يجب الجهر بها ما لم يدلّ دليل على جواز المخافتة، مضافاً إلى أنّه قد تضافرت الروايات على لزوم الجهر بها، و يستفاد ذلك من الروايات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الحاكم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الحاكم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هذا الحديث عن آخرهم ثقات، و أقرّه على ذلك الذهبي في تلخيصه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الحاكم في مستدركه عن محمد بن أبي السري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المعتمر بن سليمان ما، لا أحصي صلاة الصبح و المغرب فكان يجهر ب بِسْمِ اللّهِ الرَّحْمنِ الرَّحِيمِ قبل فاتحة الكتاب و بعدها، و سمعت المعتمر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 أن اقتدي بصلاة أبي، 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 أن اقتدى بصلاة أنس بن مالك، و قال أنس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آلو أن اقتدي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رواة هذا الحديث عن آخرهم ثقات، و أقرّه على ذلك الذهبي في تلخيصه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الحاكم عن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النبي صلَّى اللّه عليه و آله و سلَّم و خلف أبي بكر و خلف عمر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عثمان و خلف علي كلّهم كانوا يجهرون بقراءة بِسْمِ اللّهِ الرَّحْمنِ الرَّحِيمِ،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في الباب عن أمير المؤمنين عثمان و علي، و طلحة بن عبيد اللّه، و جابر بن عبد اللّه، و عبد اللّه بن عمر، و الحكم بن عمير الثمالي، و النعمان بن بشير، و سمرة بن جندب، و بريدة الأسلمي، و عائشة بنت الصديق كلّها مخرجة عندي في الباب، تركتها إيثاراً للتخفيف و اختصرت منها ما يليق بهذا الباب، و كذلك ذكرت في الباب من جهر ب بِسْمِ اللّهِ الرَّحْمنِ الرَّحِيمِ من الصحابة و التابعين و أتباعهم</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انّ الكلام الأخير الذي يدّعي إطباق الأئمة على الجهر بالتسمية في الصلوات يخالف مذهب إمام الذهبي، فغاظ غيظه و ادّعى انّ نسبة الجهر إلى هؤلاء كذب محض، ثمّ حلف على صدق مدّعاه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يدّعي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فعليه البيّنة لا الحلف، و إلاّ ففي وسع كلّ من يرى الحديث مخالفاً لهواه و للمذهب الذي نشأ عليه أن يحلف على كذبه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الإمام الشافعي في مسنده انّ معاوية قدم المدينة فصلّى بها و لم يقرأ بِسْمِ اللّهِ الرَّحْمنِ الرَّحِيمِ، فاعترض عليه المهاجرون و الأنصار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سرقت منّا الصلاة، أين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عليه الشافعي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الجهر بالتسمية كان كالأمر المتقرر عند كلّ الصحابة من المهاجرين و الأنصار، و إلاّ لما قدروا على إظهار الإنكار عليه بسبب ترك التسمية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الحاكم بنحو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معاوية بالمدينة صلاة فجهر فيها بالقراءة فقرأ فيها بِسْمِ اللّهِ الرَّحْمنِ الرَّحِيمِ لأُمّ القرآن و لم يقرأ بِسْمِ اللّهِ الرَّحْمنِ الرَّحِيمِ للسورة التي بعدها حتّى قضى تلك القراءة، فلمّا سلّم ناداه من سمع ذلك من المهاجرين</w:t>
      </w:r>
    </w:p>
    <w:p>
      <w:pPr>
        <w:pStyle w:val="BookText"/>
        <w:rPr/>
      </w:pPr>
      <w:r>
        <w:rPr>
          <w:rFonts w:ascii="Amiri" w:hAnsi="Amiri" w:eastAsia="Amiri" w:cs="Amiri"/>
          <w:color w:val="111111"/>
          <w:sz w:val="28"/>
          <w:sz w:val="28"/>
          <w:szCs w:val="28"/>
          <w:rtl w:val="true"/>
          <w:lang w:bidi="ar-SA"/>
        </w:rPr>
        <w:t>و الأنصار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سرقت الصلاة أم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بعد ذلك قرأ بِسْمِ اللّهِ الرَّحْمنِ الرَّحِيمِ للسورة التي بعد أُمّ القرآن و كبّر حين يهوي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فقد احتج بعبد المجيد بن عبد العزيز و سائر الرواة متفق على عدالتهم، و أقرّه على ذلك الذهبي في تلخيصه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البيهقي روى الجهر ب بِسْمِ اللّهِ الرَّحْمنِ الرَّحِيمِ في سننه عن عمر بن الخطاب و ابن عباس و ابن عمر و ابن الزبير، ثمّ قال الرازي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علي بن أبي طالب كان يجهر بالتسمية فقد ثبت بالتواتر و من اقتدى في دينه بعلي بن أبي طالب فقد اهتدى،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عليه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البزار و الدارقطني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الطفيل قال سمعت علي بن أبي طالب و عمار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يجهر في المكتوبات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فاتحة الكتاب</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عن عائشة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الدارقطني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الكعبة فجهر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الدارقطني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السورتين جميعاً</w:t>
      </w:r>
      <w:r>
        <w:rPr>
          <w:rFonts w:eastAsia="Amiri" w:cs="Amiri" w:ascii="Amiri" w:hAnsi="Amiri"/>
          <w:color w:val="111111"/>
          <w:sz w:val="28"/>
          <w:szCs w:val="28"/>
          <w:rtl w:val="true"/>
          <w:lang w:bidi="ar-SA"/>
        </w:rPr>
        <w:t>.</w:t>
      </w:r>
      <w:r>
        <w:rPr>
          <w:rStyle w:val="FootnoteAnchor"/>
        </w:rPr>
        <w:footnoteReference w:id="5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و الحاكم و البيهقي عن أبي هريرة،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 زاد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فترك الناس ذلك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الدارقطني عن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عمر فكانوا يجهرون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الثعلبي عن علي بن زيد بن جدعان انّ العبادلة كانوا يستفتحون القراءة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 عبد اللّه بن عمر، و عبد اللّه بن الزبير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البيهقي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أن تقرأ بِسْمِ اللّهِ الرَّحْمنِ الرَّحِيمِ، و انّ أوّل من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 بالمدينة و كان رجلاً حييّاً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الدارقطني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جبرئيل الصلاة، فقام فكبّر لنا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يجهر، في كلّ ركعة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الدارقطني عن الحكم بن عمير و كان بدرياً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فجهر في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الليل، و صلاة الفجر و صلاة الجمعة</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احتجّ الرازي على لزوم الجهر بالتسمية في الصلوات الجهرية بما أوعزنا إليه في صدر البحث من أنّ حكم جزء السورة كحكم كلّها و لا يصحّ التبعيض بين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0" w:name="pg11435_100337"/>
    </w:p>
    <w:p>
      <w:pPr>
        <w:pStyle w:val="BookText"/>
        <w:rPr/>
      </w:pPr>
      <w:bookmarkEnd w:id="40"/>
      <w:r>
        <w:rPr>
          <w:rFonts w:ascii="Amiri" w:hAnsi="Amiri" w:eastAsia="Amiri" w:cs="Amiri"/>
          <w:color w:val="111111"/>
          <w:sz w:val="28"/>
          <w:sz w:val="28"/>
          <w:szCs w:val="28"/>
          <w:rtl w:val="true"/>
          <w:lang w:bidi="ar-SA"/>
        </w:rPr>
        <w:t>الكل و الجزء إلاّ بدليل قاطع، و قد ذكره الرازي باللفظ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دللنا على أنّ التسمية آية من الفاتحة، و 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دلّ على أنّ السورة الواحدة إمّا أن تكون بتمامها سرية أو جهرية، فأمّا أن يكون بعضها سرياً و بعضها جهرياً فهذا مفقود في جميع السور، و إذا ثبت هذا كان الجهر بالتسمية مشروعاً في القراءة الجهرية</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41" w:name="__RefHeading___Toc1630605_73709187"/>
      <w:bookmarkStart w:id="42" w:name="_Toc15"/>
      <w:bookmarkEnd w:id="41"/>
      <w:r>
        <w:rPr>
          <w:rtl w:val="true"/>
        </w:rPr>
        <w:t xml:space="preserve">أئمّة أهل البيت </w:t>
      </w:r>
      <w:r>
        <w:rPr>
          <w:rtl w:val="true"/>
        </w:rPr>
        <w:t>(</w:t>
      </w:r>
      <w:r>
        <w:rPr>
          <w:rtl w:val="true"/>
        </w:rPr>
        <w:t>عليهم السلام</w:t>
      </w:r>
      <w:r>
        <w:rPr>
          <w:rtl w:val="true"/>
        </w:rPr>
        <w:t xml:space="preserve">) </w:t>
      </w:r>
      <w:r>
        <w:rPr>
          <w:rtl w:val="true"/>
        </w:rPr>
        <w:t>و الجهر بالبسملة</w:t>
      </w:r>
      <w:bookmarkEnd w:id="42"/>
    </w:p>
    <w:p>
      <w:pPr>
        <w:pStyle w:val="BookText"/>
        <w:rPr/>
      </w:pPr>
      <w:r>
        <w:rPr>
          <w:rFonts w:ascii="Amiri" w:hAnsi="Amiri" w:eastAsia="Amiri" w:cs="Amiri"/>
          <w:color w:val="111111"/>
          <w:sz w:val="28"/>
          <w:sz w:val="28"/>
          <w:szCs w:val="28"/>
          <w:rtl w:val="true"/>
          <w:lang w:bidi="ar-SA"/>
        </w:rPr>
        <w:t xml:space="preserve">تضافرت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الجهر بالبسملة، و كانت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الجهر بها، نقتطف شيئاً ممّا أثر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أبو الفتوح الرازي في تفسيره باسناده إلى الرضا،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الجهر ببسم اللّه الرحمن</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علي بن إبراهيم في تفسيره باسناده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جهر به و هي الآية التي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ذَكَرْتَ رَبَّكَ فِي الْقُرْآنِ وَحْدَهُ وَلَّوْا عَلى أَدْبارِهِمْ نُفُوراً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الصدوق باسناده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الإجهار ببسم اللّه الرحمن الرحيم في الصلاة واجب</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الصدوق باسناده عن الفضل بن شاذان فيما كتبه الرضا للمأمون في بيان محض الإسلام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الإجهار ب بِسْمِ اللّهِ الرَّحْمنِ الرَّحِيمِ في جميع الصلوات سنّة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يجهر ب بِسْمِ اللّهِ الرَّحْمنِ الرَّحِيمِ في جميع صلواته بالليل و النهار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الكليني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فكان إذا كانت صلاة لا يجهر فيها، جهر ب بِسْمِ اللّهِ الرَّحْمنِ الرَّحِيمِ، و كان يجهر في السورتين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العياشي عن خالد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عمدوا إلى أعظم آية في كتاب اللّه فزعموا انّها بدعة إذا أظهروها، و هي بِسْمِ اللّهِ الرَّحْمنِ الرَّحِيمِ</w:t>
      </w:r>
      <w:r>
        <w:rPr>
          <w:rFonts w:eastAsia="Amiri" w:cs="Amiri" w:ascii="Amiri" w:hAnsi="Amiri"/>
          <w:color w:val="111111"/>
          <w:sz w:val="28"/>
          <w:szCs w:val="28"/>
          <w:rtl w:val="true"/>
          <w:lang w:bidi="ar-SA"/>
        </w:rPr>
        <w:t>».</w:t>
      </w:r>
      <w:r>
        <w:rPr>
          <w:rStyle w:val="FootnoteAnchor"/>
        </w:rPr>
        <w:footnoteReference w:id="7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الكليني عن يحيى بن أبي عمران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تقول في رجل ابتدأ ب بِسْمِ اللّهِ الرَّحْمنِ الرَّحِيمِ في صلاته وحده في أُمّ الكتاب فلمّا صار إلى غير أُمّ الكتاب من السورة تركها، 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يعيدها مرّتين على رغم أنفه يعني العباسي</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فيما ذكر من الروايات غنى و كفاية، لطالب الحقّ و رائد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3" w:name="pg11435_100341"/>
    </w:p>
    <w:p>
      <w:pPr>
        <w:pStyle w:val="Heading3"/>
        <w:numPr>
          <w:ilvl w:val="2"/>
          <w:numId w:val="1"/>
        </w:numPr>
        <w:rPr/>
      </w:pPr>
      <w:bookmarkStart w:id="44" w:name="__RefHeading___Toc1630607_73709187"/>
      <w:bookmarkStart w:id="45" w:name="_Toc16"/>
      <w:bookmarkEnd w:id="43"/>
      <w:bookmarkEnd w:id="44"/>
      <w:r>
        <w:rPr/>
        <w:t>5</w:t>
      </w:r>
      <w:r>
        <w:rPr>
          <w:rtl w:val="true"/>
        </w:rPr>
        <w:t xml:space="preserve"> </w:t>
      </w:r>
      <w:r>
        <w:rPr>
          <w:rtl w:val="true"/>
        </w:rPr>
        <w:t>حجّة المخالف على أنّ التسمية ليست جزءاً من الفاتحة أو لا يجهر بها</w:t>
      </w:r>
      <w:bookmarkEnd w:id="45"/>
    </w:p>
    <w:p>
      <w:pPr>
        <w:pStyle w:val="Heading4"/>
        <w:numPr>
          <w:ilvl w:val="3"/>
          <w:numId w:val="1"/>
        </w:numPr>
        <w:rPr/>
      </w:pPr>
      <w:bookmarkStart w:id="46" w:name="__RefHeading___Toc1630609_73709187"/>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 قد تجلّت الحقيقة بأجلى مظاهرها و ظهرت بأوضح الدلائل، انّ البسملة جزء من الفاتحة و انّها يجهر بها في الصلوات الجهرية لزوماً، و هناك روايات غريبة بين ما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تركها بتاتاً أو لم يجهر بها، لكن مضمون بعضها أوضح دليل على كذبها و وضعها نذكرها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عمر و عثمان فلم أسمع أحداً منهم يقرأ بسم اللّه الرّحمن</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أيضاً بسند آخر عن أنس بن مالك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عمر و عثمان فكانوا يستفتحون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يذكرون بِسْمِ اللّهِ الرَّحْمنِ الرَّحِيمِ في أوّل قراءة و لا في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بما أخرج الحاكم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 بِسْمِ اللّهِ الرَّحْمنِ الرَّحِيمِ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فلأجل هذا التعارض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الرازي في الإجابة عن الحديثين اللّذين هما العمدة في القول بالترك أو بالسرّ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حامد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في هذا الباب ست روايات، أمّا الحنفية فقد رووا عنه ثلاث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خلف أبي بكر و عمر و عثمان، فكانوا يستفتحون الصلاة بالحمد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كانوا يذكرون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ثالثتها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أحداً منهم قال بِسْمِ اللّهِ الرَّحْمنِ الرَّحِيمِ، فهذه الروايات الثلاث تقوي قول الحنفية، و ثلاث أُخرى تناقض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أنّ أنساً روى أنّ معاوية لمّا ترك بِسْمِ اللّهِ الرَّحْمنِ الرَّحِيمِ في الصلاة أنكر عليه المهاجرون و الأنصار، و قد بيّنا أنّ هذا يدلّ على أنّ الجهر بهذه الكلمات كالأمر المتواتر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قلابة عن أنس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بكر و عمر كانوا يجهرون ب بِسْمِ اللّهِ الرَّحْمنِ الرَّحِيمِ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الجهر ب بِسْمِ اللّهِ الرَّحْمنِ الرَّحِيمِ و الإسرار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الرواية عن أنس في هذه المسألة قد عظم فيها الخبط و الاضطراب، فبقيت متعارضة فوجب الرجوع إلى سائر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قول أنس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يستفتح الصلاة بالحمد للّه ربّ العالمين أنّه كان يقدّم هذه السورة في القراءة على غيرها من السور،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المراد منه تمام هذه، فجعل هذه اللفظة اسماً لهذه السورة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ففيها تهمة أُخرى، و هي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يبالغ في الجهر بالتسمية، فلما وصلت الدولة إلى بني أُميّة بالغوا في المنع من الجهر، سعياً في إبطال آثار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 أنساً خاف منهم، فلهذا السبب اضطربت أقواله فيه، و نحن و إن شككنا في شيء فانّا لا نشكّ أنّه مهما وقع التعارض بين قول أنس و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بقي عليه طول عمره، فانّ الأخذ بقول علي أولى، فهذا جواب قاطع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أبي شيبة و الترمذي و النسائي و ابن ماجة و البيهقي عن عبد اللّه بن 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سمعني أبي و أنا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محدِث؟ 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عمر و عثمان، فلم أسمع أحداً منهم جهر ب 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أجاب الرازي عن هذا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بوجوه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راوي أخباركم أنس و ابن المغفل، و راوي قولنا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عمر و أبو هريرة، و هؤلاء كانوا أكثر علماً و قرباً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و ابن المغفل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بالضرورة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يقدّم الأكابر على الأصاغر، و العلماء على غير العلماء، و الأشراف على الأعراب، و لا شكّ أنّ علياً و ابن عباس و ابن عمر كانوا أعلى حالاً في العلم و الشرف و علوّ الدرجة من أنس و ابن المغفل، و الغاية على الظن أنّ علياً و ابن عباس و ابن عمر كانوا يقفون بالقرب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أنس و ابن المغفل يقفان بالبعد منه، و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يبالغ في الجهر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تَجْهَرْ بِصَلاتِكَ وَ لا تُخافِتْ بِها </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 أيضاً فالإنسان أوّل ما يَشْرع في القراءة إنّما يَشْرع فيها بصوت ضعيف ثمّ لا يزال يقوى صوته ساعة فساعة، فهذه أسباب ظاهرة في أن يكون علي و ابن عباس و ابن عمر و أبو هريرة سمعوا الجهر بالتسمية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أنساً و ابن المغفل ما سمعاه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عدم الجهر في حديث ابن المغفل عدم المبالغة في رفع الصوت،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تَجْهَرْ بِصَلاتِكَ وَ لا تُخافِتْ بِها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الدلائل العقلية موافقة لنا، و عمل علي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من اتّخذ علياً إماماً لدينه فقد استمسك بالعروة الوثقى في دينه و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أبي هريرة،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الصلاة بيني و بين عبدي نصفين، فلما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علىَّ عبدي،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مجّدني عبدي،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بيني و بين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بهذا الخبر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الصلاة و السلام لم يذكر التسمية و لو كانت آية من الفاتحة لذكرها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الصلاة بيني و بين عبدي نصفين، و المراد من الصلاة، الفاتحة، و هذا التنصيف إنّما يحصل إذا قلنا بأنّ التسمية ليست آية من الفاتحة، لأنّ الفاتحة سبع آيات، فيجب أن يكون فيها للّه</w:t>
      </w:r>
    </w:p>
    <w:p>
      <w:pPr>
        <w:pStyle w:val="BookText"/>
        <w:rPr/>
      </w:pPr>
      <w:r>
        <w:rPr>
          <w:rFonts w:ascii="Amiri" w:hAnsi="Amiri" w:eastAsia="Amiri" w:cs="Amiri"/>
          <w:color w:val="111111"/>
          <w:sz w:val="28"/>
          <w:sz w:val="28"/>
          <w:szCs w:val="28"/>
          <w:rtl w:val="true"/>
          <w:lang w:bidi="ar-SA"/>
        </w:rPr>
        <w:t>ثلاث آيات و نصف، و هي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للعبد ثلاث آيات و نصف و هي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الفاتحة حصل للّه أربع آيات و نصف و للعبد آيتان</w:t>
      </w:r>
      <w:r>
        <w:rPr>
          <w:rStyle w:val="FootnoteAnchor"/>
          <w:rtl w:val="true"/>
        </w:rPr>
        <w:footnoteReference w:id="75"/>
      </w:r>
      <w:r>
        <w:rPr>
          <w:rFonts w:ascii="Amiri" w:hAnsi="Amiri" w:eastAsia="Amiri" w:cs="Amiri"/>
          <w:color w:val="111111"/>
          <w:sz w:val="28"/>
          <w:sz w:val="28"/>
          <w:szCs w:val="28"/>
          <w:rtl w:val="true"/>
          <w:lang w:bidi="ar-SA"/>
        </w:rPr>
        <w:t>و نصف، و ذلك يبطل التنصيف المذكور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بخبر ابن عباس مرفوعاً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الصلاة بيني و بين عبدي،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عبدي إلى آخر الحديث، و قد اشتملت الرواية على البسملة و ليست في مرفوعة ابن عباس كلمة نصفين، و التقسيم لا يستدعي المساواة من حيث العدد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النصف كما يحتمل النصف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الآيات يحتمل النصف في المعنى،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نصف العلم، و سمّاه بالنصف من حيث إنّه بحث عن أحوال الأموات و الموت و الحياة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هريرة روى عن رسول اللّه الجهر ب بِسْمِ اللّهِ الرَّحْمنِ الرَّحِيمِ و كان هو يجهر 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لأشبهكم صلاة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عليك حديثه في ذلك</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روت عائشة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يفتتح الصلاة بالتكبير و القراءة بالحمد للّه ربّ العالمين، و هذا يدلّ على أنّ التسمية ليست آية من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جعلت الحمد للّه ربّ العالمين اسماً لهذه السورة،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انّه قرأ هذه السورة فكذا هاهنا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التعبير عن مجموع السورة بالآية التي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8" w:name="pg11435_100350"/>
    </w:p>
    <w:p>
      <w:pPr>
        <w:pStyle w:val="BookText"/>
        <w:rPr/>
      </w:pPr>
      <w:bookmarkEnd w:id="48"/>
      <w:r>
        <w:rPr>
          <w:rFonts w:ascii="Amiri" w:hAnsi="Amiri" w:eastAsia="Amiri" w:cs="Amiri"/>
          <w:color w:val="111111"/>
          <w:sz w:val="28"/>
          <w:sz w:val="28"/>
          <w:szCs w:val="28"/>
          <w:rtl w:val="true"/>
          <w:lang w:bidi="ar-SA"/>
        </w:rPr>
        <w:t>وردت في أوّلها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فلان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لِلّهِ ما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 ذلك، فيكون معنى الحديث انّه كان يفتتح الصلاة بالتكبير و بقراءة هذه السورة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49" w:name="__RefHeading___Toc1630611_73709187"/>
      <w:bookmarkStart w:id="50" w:name="_Toc18"/>
      <w:bookmarkEnd w:id="49"/>
      <w:r>
        <w:rPr>
          <w:rtl w:val="true"/>
        </w:rPr>
        <w:t>ما يكذّبه التاريخ الصحيح</w:t>
      </w:r>
      <w:bookmarkEnd w:id="5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هزأ منه المشركون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يذكر إله اليمامة، و كان مسيلمة يتسمّى الرحمن، فلمّا نزلت هذه الآية أمر رسول اللّه أن لا يجهر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نفس ما أخرجه ابن داود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ببسم اللّه الرّحمن الرّحيم،</w:t>
      </w:r>
    </w:p>
    <w:p>
      <w:pPr>
        <w:pStyle w:val="BookText"/>
        <w:rPr/>
      </w:pPr>
      <w:r>
        <w:rPr>
          <w:rFonts w:ascii="Amiri" w:hAnsi="Amiri" w:eastAsia="Amiri" w:cs="Amiri"/>
          <w:color w:val="111111"/>
          <w:sz w:val="28"/>
          <w:sz w:val="28"/>
          <w:szCs w:val="28"/>
          <w:rtl w:val="true"/>
          <w:lang w:bidi="ar-SA"/>
        </w:rPr>
        <w:t xml:space="preserve">و كان أهل مكة يسمّون مسيلمة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يدعو إلى إله اليمامة،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بإخفائها فما جهر بها حتّى مات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لكن التاريخ يكذّب الرواية مهما صحّح سندها أو أرسلت إرسالَ المسلّم، لأنّه ما علا أمرُ مسيلمة إلاّ في السنة العاشرة من الهجرة، و أين هو من بدء الهجرة و صدر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و غيره انّ مسيلمة وفد إلى النبي مع جماعة و أسلم، و لمّا عاد إلى موطنه ادّعى النبوة، و التفّ حوله عصابة من قومه تعصباً، و قد نقل انّ واحداً من أتباعه سأل مسيلمة ذات 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يأتيك؟ قال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نور أم في ظلمة؟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انّك كذّاب و انّ محمّداً صادق، و لكنّ كذّابَ ربيعة أحبّ إلينا من صادق مُضر</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الروائية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شاءَ الرَّحْمنُ ما عَبَدْناهُمْ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أَنْتُمْ إِلاّ بَشَرٌ مِثْلُنا وَ ما أَنْزَلَ الرَّحْمنُ مِنْ شَيْءٍ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قد خاطبهم اللّه سبحانه بهذا الوصف أزيد من خمسين موضعاً، فكيف يا تُرى أنكروا وصفه تعالى بهذا الوصف و زُعِم أنّه مستعار من وصف صاحب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فليس إنكارهم دليلاً على عدم عرفانهم، فانّ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بموضع الكليم في دعوته إلى عبادة اللّه بما انّه إله واحد لا شريك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شيبة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 بِسْمِ اللّهِ الرَّحْمنِ الرَّحِيمِ قراءة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باللّه عليك هل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اشتهر بأنّه كان يجهر بها في صلواته عامة،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الإمام الشافعي و من أخذ عنه أو أخذ منه، الذين كانوا يجهرون بها في الصلوات الجهرية من الأعراب؟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نظيره ما أخرجه ابن أبي شيبة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الإمام ب بِسْمِ اللّهِ الرَّحْمنِ الرَّحِيمِ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الأئمة الذين أخذ إبراهيم عنهم الفقه،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يجهرون بالتسمية فهل أخذ الفقه من المبدعة؟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يشهد على أنّ عزو هذه الأقاويل إلى أئمّة الحديث و الفقه، كذب 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الأمرين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التسمية جزء من الفاتحة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التسمية يجهر بها في الصلوات الجهرية</w:t>
      </w:r>
      <w:r>
        <w:rPr>
          <w:rFonts w:eastAsia="Amiri" w:cs="Amiri" w:ascii="Amiri" w:hAnsi="Amiri"/>
          <w:color w:val="111111"/>
          <w:sz w:val="28"/>
          <w:szCs w:val="28"/>
          <w:rtl w:val="true"/>
          <w:lang w:bidi="ar-SA"/>
        </w:rPr>
        <w:t>.</w:t>
      </w:r>
      <w:bookmarkStart w:id="51" w:name="pg11435_100355"/>
    </w:p>
    <w:p>
      <w:pPr>
        <w:pStyle w:val="Heading3"/>
        <w:numPr>
          <w:ilvl w:val="2"/>
          <w:numId w:val="1"/>
        </w:numPr>
        <w:rPr/>
      </w:pPr>
      <w:bookmarkStart w:id="52" w:name="__RefHeading___Toc1630613_73709187"/>
      <w:bookmarkStart w:id="53" w:name="_Toc19"/>
      <w:bookmarkEnd w:id="51"/>
      <w:bookmarkEnd w:id="52"/>
      <w:r>
        <w:rPr/>
        <w:t>6</w:t>
      </w:r>
      <w:r>
        <w:rPr>
          <w:rtl w:val="true"/>
        </w:rPr>
        <w:t xml:space="preserve"> </w:t>
      </w:r>
      <w:r>
        <w:rPr>
          <w:rtl w:val="true"/>
        </w:rPr>
        <w:t>البسملة جزء من مفتتح كلّ سورة</w:t>
      </w:r>
      <w:bookmarkEnd w:id="53"/>
    </w:p>
    <w:p>
      <w:pPr>
        <w:pStyle w:val="BookText"/>
        <w:rPr/>
      </w:pPr>
      <w:r>
        <w:rPr>
          <w:rFonts w:ascii="Amiri" w:hAnsi="Amiri" w:eastAsia="Amiri" w:cs="Amiri"/>
          <w:color w:val="111111"/>
          <w:sz w:val="28"/>
          <w:sz w:val="28"/>
          <w:szCs w:val="28"/>
          <w:rtl w:val="true"/>
          <w:lang w:bidi="ar-SA"/>
        </w:rPr>
        <w:t>قد أوقفك البحث السابق على أنّ التسمية جزء من الفاتحة، و أنّه يجب الجهر بها في الصلوات الجهرية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البحث الثالث و هو انّ التسمية جزء من مفتتح كلّ سورة إلاّ سورة التوبة، و يدلّ على ذلك الأُمور التالية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كافة فالتابعين أجمعين فسائر تابعيهم و تابعي التابعين في كلّ خلف من هذه الأُمّة منذ دوّن القرآن إلى يومنا هذا مجمعون إجماعاً عملياً على كتابة البسملة في مفتتح كلّ سورة خلا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كتبوها كما كتبوا غيرها من سائر الآيات بدون ميزة مع أنّهم كافة متصافقون</w:t>
      </w:r>
    </w:p>
    <w:p>
      <w:pPr>
        <w:pStyle w:val="BookText"/>
        <w:rPr/>
      </w:pPr>
      <w:r>
        <w:rPr>
          <w:rFonts w:ascii="Amiri" w:hAnsi="Amiri" w:eastAsia="Amiri" w:cs="Amiri"/>
          <w:color w:val="111111"/>
          <w:sz w:val="28"/>
          <w:sz w:val="28"/>
          <w:szCs w:val="28"/>
          <w:rtl w:val="true"/>
          <w:lang w:bidi="ar-SA"/>
        </w:rPr>
        <w:t>على أن لا يكتبوا شيئاً من غير القرآن إلاّ بميزة بيّنة حرصاً منهم على أن لا يختلط فيه شيء من غيره، أ لا تراهم كيف ميّزوا عنه أسماء سوره و رموز أجزائه و أحزابه و أرباعه و أخماسه و أعشاره فوضعوها خارجة عن السور على وجه يعلم منه خروجها عن القرآن احتفاظاً به و احتياطاً عليه، و لعلّك تعلم أنّ الأُمّة قل ما اجتمعت بقضها و قضيضها على أمر كاجتماعها على ذلك، و هذا بمجرده دليل على أنّ بسم اللّه الرّحمن الرّحيم آية مستقلة في مفتتح كلّ سورة رسمها السلف و الخلف في مفتتحها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ابن عباس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جاءه جبرئيل فقرأ بسم اللّه الرّحمن الرّحيم علم أنّها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 لم يخرجاه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ختم السورة حتّى تنزل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هذا حديث صحيح على شرط الشيخين و لم يخرجاه، و أقرّه على صحّته الذهبي في تلخيص المستدرك</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لا يعلمون انقضاء السورة حتّى تنزل بسم اللّه الرّحمن الرّحيم، فإذا نزلت بِسْمِ اللّهِ الرَّحْمنِ الرَّحِيمِ علموا أنّ السورة قد انقضت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ضريس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آية</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الواحدي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بِسْمِ اللّهِ الرَّحْمنِ الرَّحِيمِ في كلّ سورة</w:t>
      </w:r>
      <w:r>
        <w:rPr>
          <w:rFonts w:eastAsia="Amiri" w:cs="Amiri" w:ascii="Amiri" w:hAnsi="Amiri"/>
          <w:color w:val="111111"/>
          <w:sz w:val="28"/>
          <w:szCs w:val="28"/>
          <w:rtl w:val="true"/>
          <w:lang w:bidi="ar-SA"/>
        </w:rPr>
        <w:t>.</w:t>
      </w:r>
      <w:r>
        <w:rPr>
          <w:rStyle w:val="FootnoteAnchor"/>
        </w:rPr>
        <w:footnoteReference w:id="8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الأوسط و الدارقطني و البيهقي عن نافع انّ ابن عمر كان إذا افتتح الصلاة يقرأ بِسْمِ اللّهِ الرَّحْمنِ الرَّحِيمِ في أُمّ القرآن و في السورة التي تليها و يذكر انّه سمع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w:t>
      </w:r>
      <w:r>
        <w:rPr>
          <w:rStyle w:val="FootnoteAnchor"/>
        </w:rPr>
        <w:footnoteReference w:id="9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بسملة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نقله الرازي بتمامه في تفسيره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تفسير سورة الفاتحة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باب تعظيم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النوري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أبواب المائة فما فوقه،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8049</Words>
  <Characters>32174</Characters>
  <CharactersWithSpaces>39805</CharactersWithSpaces>
  <Paragraphs>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2026-08-21T22:06:54Z</dcterms:created>
  <dc:creator>ghaemiyeh.com</dc:creator>
  <dc:description/>
  <dc:language>en-US</dc:language>
  <cp:lastModifiedBy/>
  <dcterms:modified xsi:type="dcterms:W3CDTF">2026-08-22T01:36:57Z</dcterms:modified>
  <cp:revision>1</cp:revision>
  <dc:subject/>
  <dc:title>سلسله المسائل الفقهیه جلد 5</dc:title>
</cp:coreProperties>
</file>

<file path=docProps/custom.xml><?xml version="1.0" encoding="utf-8"?>
<Properties xmlns="http://schemas.openxmlformats.org/officeDocument/2006/custom-properties" xmlns:vt="http://schemas.openxmlformats.org/officeDocument/2006/docPropsVTypes"/>
</file>